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6A131" w14:textId="77777777" w:rsidR="00AA27AC" w:rsidRDefault="00AA27AC" w:rsidP="00AA27AC">
      <w:pPr>
        <w:spacing w:line="245" w:lineRule="auto"/>
        <w:jc w:val="center"/>
        <w:rPr>
          <w:b/>
          <w:bCs/>
          <w:sz w:val="32"/>
          <w:szCs w:val="32"/>
          <w:lang w:val="pt-BR"/>
        </w:rPr>
      </w:pPr>
    </w:p>
    <w:tbl>
      <w:tblPr>
        <w:tblpPr w:leftFromText="180" w:rightFromText="180" w:vertAnchor="text" w:horzAnchor="margin" w:tblpXSpec="center" w:tblpY="-386"/>
        <w:tblW w:w="10474" w:type="dxa"/>
        <w:tblLayout w:type="fixed"/>
        <w:tblLook w:val="0000" w:firstRow="0" w:lastRow="0" w:firstColumn="0" w:lastColumn="0" w:noHBand="0" w:noVBand="0"/>
      </w:tblPr>
      <w:tblGrid>
        <w:gridCol w:w="5369"/>
        <w:gridCol w:w="5105"/>
      </w:tblGrid>
      <w:tr w:rsidR="00AA27AC" w:rsidRPr="00974B69" w14:paraId="214FB7A7" w14:textId="77777777" w:rsidTr="00AA27AC">
        <w:trPr>
          <w:trHeight w:val="1402"/>
        </w:trPr>
        <w:tc>
          <w:tcPr>
            <w:tcW w:w="5369" w:type="dxa"/>
          </w:tcPr>
          <w:p w14:paraId="5AD3FB45" w14:textId="77777777" w:rsidR="00AA27AC" w:rsidRDefault="00AA27AC" w:rsidP="00A6257D">
            <w:pPr>
              <w:ind w:left="72" w:right="-115"/>
              <w:jc w:val="center"/>
              <w:rPr>
                <w:spacing w:val="-6"/>
                <w:sz w:val="24"/>
                <w:szCs w:val="24"/>
              </w:rPr>
            </w:pPr>
            <w:r w:rsidRPr="00974B69">
              <w:rPr>
                <w:spacing w:val="-6"/>
                <w:sz w:val="24"/>
                <w:szCs w:val="24"/>
              </w:rPr>
              <w:softHyphen/>
            </w:r>
            <w:r w:rsidRPr="00974B69">
              <w:rPr>
                <w:spacing w:val="-6"/>
                <w:sz w:val="24"/>
                <w:szCs w:val="24"/>
              </w:rPr>
              <w:softHyphen/>
            </w:r>
            <w:r w:rsidRPr="00974B69">
              <w:rPr>
                <w:spacing w:val="-6"/>
                <w:sz w:val="24"/>
                <w:szCs w:val="24"/>
              </w:rPr>
              <w:softHyphen/>
            </w:r>
            <w:r w:rsidRPr="00974B69">
              <w:rPr>
                <w:spacing w:val="-6"/>
                <w:sz w:val="24"/>
                <w:szCs w:val="24"/>
              </w:rPr>
              <w:softHyphen/>
              <w:t>MINISTRY OF PLANNING AND INVESTMENT</w:t>
            </w:r>
          </w:p>
          <w:p w14:paraId="115B60A8" w14:textId="77777777" w:rsidR="00AA27AC" w:rsidRPr="00974B69" w:rsidRDefault="00AA27AC" w:rsidP="00A6257D">
            <w:pPr>
              <w:ind w:left="72" w:right="-115"/>
              <w:jc w:val="center"/>
              <w:rPr>
                <w:b/>
                <w:bCs/>
                <w:spacing w:val="-6"/>
                <w:sz w:val="24"/>
                <w:szCs w:val="24"/>
              </w:rPr>
            </w:pPr>
            <w:r>
              <w:rPr>
                <w:rFonts w:ascii="Calibri" w:hAnsi="Calibri" w:cs="Calibri"/>
                <w:noProof/>
                <w:sz w:val="22"/>
                <w:szCs w:val="22"/>
              </w:rPr>
              <mc:AlternateContent>
                <mc:Choice Requires="wps">
                  <w:drawing>
                    <wp:anchor distT="4294967291" distB="4294967291" distL="114300" distR="114300" simplePos="0" relativeHeight="251680768" behindDoc="0" locked="0" layoutInCell="1" allowOverlap="1" wp14:anchorId="0A45530B" wp14:editId="208F8A84">
                      <wp:simplePos x="0" y="0"/>
                      <wp:positionH relativeFrom="column">
                        <wp:posOffset>1145540</wp:posOffset>
                      </wp:positionH>
                      <wp:positionV relativeFrom="paragraph">
                        <wp:posOffset>203199</wp:posOffset>
                      </wp:positionV>
                      <wp:extent cx="9715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D665EA" id="Straight Connector 28" o:spid="_x0000_s1026" style="position:absolute;z-index:251680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974B69">
              <w:rPr>
                <w:b/>
                <w:bCs/>
                <w:spacing w:val="-6"/>
                <w:sz w:val="24"/>
                <w:szCs w:val="24"/>
              </w:rPr>
              <w:t>GENERAL STATISTICS OFFICE</w:t>
            </w:r>
          </w:p>
          <w:p w14:paraId="7997D7A8" w14:textId="46D218D3" w:rsidR="00AA27AC" w:rsidRPr="00974B69" w:rsidRDefault="00AA27AC" w:rsidP="00A6257D">
            <w:pPr>
              <w:spacing w:before="120"/>
              <w:ind w:left="16" w:right="-18"/>
              <w:jc w:val="center"/>
              <w:rPr>
                <w:sz w:val="26"/>
                <w:szCs w:val="26"/>
              </w:rPr>
            </w:pPr>
            <w:r w:rsidRPr="00974B69">
              <w:rPr>
                <w:sz w:val="26"/>
                <w:szCs w:val="26"/>
              </w:rPr>
              <w:t xml:space="preserve">No: </w:t>
            </w:r>
            <w:r>
              <w:rPr>
                <w:sz w:val="26"/>
                <w:szCs w:val="26"/>
              </w:rPr>
              <w:t>330</w:t>
            </w:r>
            <w:r w:rsidRPr="00974B69">
              <w:rPr>
                <w:sz w:val="26"/>
                <w:szCs w:val="26"/>
              </w:rPr>
              <w:t>/BC-TCTK</w:t>
            </w:r>
          </w:p>
        </w:tc>
        <w:tc>
          <w:tcPr>
            <w:tcW w:w="5105" w:type="dxa"/>
          </w:tcPr>
          <w:p w14:paraId="513944F0" w14:textId="77777777" w:rsidR="00AA27AC" w:rsidRPr="00974B69" w:rsidRDefault="00AA27AC" w:rsidP="00A6257D">
            <w:pPr>
              <w:rPr>
                <w:b/>
                <w:bCs/>
                <w:sz w:val="24"/>
                <w:szCs w:val="24"/>
              </w:rPr>
            </w:pPr>
            <w:r w:rsidRPr="00974B69">
              <w:rPr>
                <w:b/>
                <w:bCs/>
                <w:sz w:val="24"/>
                <w:szCs w:val="24"/>
              </w:rPr>
              <w:t>SOCIALIST REPUBLIC OF VIET NAM</w:t>
            </w:r>
          </w:p>
          <w:p w14:paraId="1D167D3D" w14:textId="77777777" w:rsidR="00AA27AC" w:rsidRPr="00974B69" w:rsidRDefault="00AA27AC" w:rsidP="00A6257D">
            <w:pPr>
              <w:rPr>
                <w:b/>
                <w:bCs/>
                <w:sz w:val="24"/>
                <w:szCs w:val="24"/>
              </w:rPr>
            </w:pPr>
            <w:r>
              <w:rPr>
                <w:rFonts w:ascii="Calibri" w:hAnsi="Calibri" w:cs="Calibri"/>
                <w:noProof/>
                <w:sz w:val="22"/>
                <w:szCs w:val="22"/>
              </w:rPr>
              <mc:AlternateContent>
                <mc:Choice Requires="wps">
                  <w:drawing>
                    <wp:anchor distT="4294967291" distB="4294967291" distL="114300" distR="114300" simplePos="0" relativeHeight="251681792" behindDoc="0" locked="0" layoutInCell="1" allowOverlap="1" wp14:anchorId="3DC1A24D" wp14:editId="487C2E3A">
                      <wp:simplePos x="0" y="0"/>
                      <wp:positionH relativeFrom="column">
                        <wp:posOffset>336550</wp:posOffset>
                      </wp:positionH>
                      <wp:positionV relativeFrom="paragraph">
                        <wp:posOffset>203199</wp:posOffset>
                      </wp:positionV>
                      <wp:extent cx="188404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8E1928" id="Straight Connector 12" o:spid="_x0000_s1026" style="position:absolute;z-index:251681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974B69">
              <w:rPr>
                <w:b/>
                <w:bCs/>
                <w:sz w:val="24"/>
                <w:szCs w:val="24"/>
              </w:rPr>
              <w:t>Independence-Freedom-Happiness</w:t>
            </w:r>
          </w:p>
          <w:p w14:paraId="02CF3CAB" w14:textId="77777777" w:rsidR="00AA27AC" w:rsidRDefault="00AA27AC" w:rsidP="00A6257D">
            <w:pPr>
              <w:ind w:left="72"/>
              <w:jc w:val="center"/>
              <w:rPr>
                <w:i/>
                <w:iCs/>
                <w:sz w:val="26"/>
                <w:szCs w:val="26"/>
              </w:rPr>
            </w:pPr>
          </w:p>
          <w:p w14:paraId="635725BD" w14:textId="2455DBFB" w:rsidR="00AA27AC" w:rsidRPr="00974B69" w:rsidRDefault="00AA27AC" w:rsidP="00A6257D">
            <w:pPr>
              <w:ind w:left="72" w:right="849"/>
              <w:jc w:val="center"/>
              <w:rPr>
                <w:b/>
                <w:bCs/>
                <w:i/>
                <w:iCs/>
                <w:sz w:val="26"/>
                <w:szCs w:val="26"/>
              </w:rPr>
            </w:pPr>
            <w:r w:rsidRPr="00974B69">
              <w:rPr>
                <w:i/>
                <w:iCs/>
                <w:sz w:val="26"/>
                <w:szCs w:val="26"/>
              </w:rPr>
              <w:t>Ha Noi, 2</w:t>
            </w:r>
            <w:r>
              <w:rPr>
                <w:i/>
                <w:iCs/>
                <w:sz w:val="26"/>
                <w:szCs w:val="26"/>
              </w:rPr>
              <w:t>9</w:t>
            </w:r>
            <w:r w:rsidRPr="00974B69">
              <w:rPr>
                <w:i/>
                <w:iCs/>
                <w:sz w:val="26"/>
                <w:szCs w:val="26"/>
                <w:vertAlign w:val="superscript"/>
              </w:rPr>
              <w:t>th</w:t>
            </w:r>
            <w:r w:rsidRPr="00974B69">
              <w:rPr>
                <w:i/>
                <w:iCs/>
                <w:sz w:val="26"/>
                <w:szCs w:val="26"/>
              </w:rPr>
              <w:t xml:space="preserve"> </w:t>
            </w:r>
            <w:r>
              <w:rPr>
                <w:i/>
                <w:iCs/>
                <w:sz w:val="26"/>
                <w:szCs w:val="26"/>
              </w:rPr>
              <w:t>August</w:t>
            </w:r>
            <w:r w:rsidRPr="00974B69">
              <w:rPr>
                <w:i/>
                <w:iCs/>
                <w:sz w:val="26"/>
                <w:szCs w:val="26"/>
              </w:rPr>
              <w:t xml:space="preserve"> 202</w:t>
            </w:r>
            <w:r w:rsidR="00492E9B">
              <w:rPr>
                <w:i/>
                <w:iCs/>
                <w:sz w:val="26"/>
                <w:szCs w:val="26"/>
              </w:rPr>
              <w:t>4</w:t>
            </w:r>
          </w:p>
        </w:tc>
      </w:tr>
    </w:tbl>
    <w:p w14:paraId="347FF0CE" w14:textId="47EC76F2" w:rsidR="00AA27AC" w:rsidRDefault="00AA27AC" w:rsidP="00AA27AC">
      <w:pPr>
        <w:spacing w:line="245" w:lineRule="auto"/>
        <w:jc w:val="center"/>
        <w:rPr>
          <w:b/>
          <w:bCs/>
          <w:sz w:val="32"/>
          <w:szCs w:val="32"/>
          <w:lang w:val="pt-BR"/>
        </w:rPr>
      </w:pPr>
      <w:r w:rsidRPr="006D7720">
        <w:rPr>
          <w:b/>
          <w:bCs/>
          <w:sz w:val="32"/>
          <w:szCs w:val="32"/>
          <w:lang w:val="pt-BR"/>
        </w:rPr>
        <w:t xml:space="preserve">Socio-economic situation report </w:t>
      </w:r>
    </w:p>
    <w:p w14:paraId="2B45ECA6" w14:textId="4F536A76" w:rsidR="00AA27AC" w:rsidRPr="00D2474C" w:rsidRDefault="00AA27AC" w:rsidP="00AA27AC">
      <w:pPr>
        <w:spacing w:line="245" w:lineRule="auto"/>
        <w:jc w:val="center"/>
        <w:rPr>
          <w:b/>
          <w:bCs/>
          <w:sz w:val="34"/>
          <w:szCs w:val="34"/>
        </w:rPr>
      </w:pPr>
      <w:r>
        <w:rPr>
          <w:b/>
          <w:bCs/>
          <w:sz w:val="32"/>
          <w:szCs w:val="32"/>
          <w:lang w:val="pt-BR"/>
        </w:rPr>
        <w:t>in August and the 8 months of 202</w:t>
      </w:r>
      <w:r w:rsidR="00186FD6">
        <w:rPr>
          <w:b/>
          <w:bCs/>
          <w:sz w:val="32"/>
          <w:szCs w:val="32"/>
          <w:lang w:val="pt-BR"/>
        </w:rPr>
        <w:t>4</w:t>
      </w:r>
    </w:p>
    <w:p w14:paraId="34945FAB" w14:textId="77777777" w:rsidR="00AA27AC" w:rsidRPr="003D1613" w:rsidRDefault="00AA27AC" w:rsidP="006F7F7E">
      <w:pPr>
        <w:spacing w:before="20"/>
        <w:rPr>
          <w:rFonts w:ascii="Arial" w:hAnsi="Arial" w:cs="Arial"/>
          <w:b/>
          <w:bCs/>
          <w:sz w:val="30"/>
          <w:szCs w:val="52"/>
        </w:rPr>
      </w:pPr>
      <w:r w:rsidRPr="003D1613">
        <w:rPr>
          <w:rFonts w:ascii="Arial" w:hAnsi="Arial" w:cs="Arial"/>
          <w:b/>
          <w:bCs/>
          <w:noProof/>
          <w:sz w:val="50"/>
          <w:szCs w:val="52"/>
        </w:rPr>
        <mc:AlternateContent>
          <mc:Choice Requires="wps">
            <w:drawing>
              <wp:anchor distT="0" distB="0" distL="114300" distR="114300" simplePos="0" relativeHeight="251678720" behindDoc="0" locked="0" layoutInCell="1" allowOverlap="1" wp14:anchorId="3B26E1E9" wp14:editId="5DB589B9">
                <wp:simplePos x="0" y="0"/>
                <wp:positionH relativeFrom="column">
                  <wp:posOffset>2136140</wp:posOffset>
                </wp:positionH>
                <wp:positionV relativeFrom="paragraph">
                  <wp:posOffset>26035</wp:posOffset>
                </wp:positionV>
                <wp:extent cx="1412875" cy="0"/>
                <wp:effectExtent l="10160" t="6985" r="5715" b="12065"/>
                <wp:wrapNone/>
                <wp:docPr id="83632818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76FB3"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"/>
            </w:pict>
          </mc:Fallback>
        </mc:AlternateContent>
      </w:r>
    </w:p>
    <w:p w14:paraId="6DC3D967" w14:textId="77777777" w:rsidR="006F7F7E" w:rsidRPr="006F7F7E" w:rsidRDefault="006F7F7E" w:rsidP="006F7F7E">
      <w:pPr>
        <w:spacing w:before="120" w:after="120" w:line="360" w:lineRule="exact"/>
        <w:ind w:firstLine="567"/>
        <w:jc w:val="both"/>
        <w:rPr>
          <w:b/>
          <w:lang w:val="fr-FR"/>
        </w:rPr>
      </w:pPr>
      <w:r w:rsidRPr="006F7F7E">
        <w:rPr>
          <w:b/>
          <w:lang w:val="fr-FR"/>
        </w:rPr>
        <w:t>1. Agriculture, forestry production and fishery</w:t>
      </w:r>
    </w:p>
    <w:p w14:paraId="0D782621" w14:textId="77777777" w:rsidR="006F7F7E" w:rsidRPr="006F7F7E" w:rsidRDefault="006F7F7E" w:rsidP="006F7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exact"/>
        <w:ind w:firstLine="567"/>
        <w:jc w:val="both"/>
        <w:rPr>
          <w:i/>
          <w:lang w:val="sv-SE"/>
        </w:rPr>
      </w:pPr>
      <w:r w:rsidRPr="006F7F7E">
        <w:rPr>
          <w:i/>
          <w:lang w:val="sv-SE"/>
        </w:rPr>
        <w:t>Agricultural production in the month focused on harvesting summer-autumn rice, cultivating and caring for rice, other annual crops. Livestock production is generally stable, localities have well controlled epidemics, pig and poultry herds continue to grow. Localities promote the exploitation of wood and forest products reached harvest age. Aquaculture exploitation has increased significantly, met domestic and export demand.</w:t>
      </w:r>
    </w:p>
    <w:p w14:paraId="555B6E11" w14:textId="77777777" w:rsidR="006F7F7E" w:rsidRPr="006F7F7E" w:rsidRDefault="006F7F7E" w:rsidP="006F7F7E">
      <w:pPr>
        <w:tabs>
          <w:tab w:val="left" w:pos="720"/>
          <w:tab w:val="left" w:pos="1276"/>
        </w:tabs>
        <w:spacing w:before="120" w:after="120" w:line="360" w:lineRule="exact"/>
        <w:ind w:firstLine="567"/>
        <w:jc w:val="both"/>
        <w:rPr>
          <w:b/>
          <w:i/>
          <w:lang w:val="fr-FR"/>
        </w:rPr>
      </w:pPr>
      <w:r w:rsidRPr="006F7F7E">
        <w:rPr>
          <w:b/>
          <w:i/>
          <w:lang w:val="fr-FR"/>
        </w:rPr>
        <w:t>a) Agriculture</w:t>
      </w:r>
    </w:p>
    <w:p w14:paraId="2F9A7737" w14:textId="77777777" w:rsidR="006F7F7E" w:rsidRPr="006F7F7E" w:rsidRDefault="006F7F7E" w:rsidP="006F7F7E">
      <w:pPr>
        <w:tabs>
          <w:tab w:val="left" w:pos="1276"/>
        </w:tabs>
        <w:spacing w:before="120" w:after="120" w:line="360" w:lineRule="exact"/>
        <w:ind w:firstLine="567"/>
        <w:jc w:val="both"/>
        <w:rPr>
          <w:lang w:val="sv-SE"/>
        </w:rPr>
      </w:pPr>
      <w:r w:rsidRPr="006F7F7E">
        <w:rPr>
          <w:i/>
          <w:lang w:val="sv-SE"/>
        </w:rPr>
        <w:t>Summer-autumn rice</w:t>
      </w:r>
    </w:p>
    <w:p w14:paraId="53DC482E" w14:textId="77777777" w:rsidR="006F7F7E" w:rsidRPr="006F7F7E" w:rsidRDefault="006F7F7E" w:rsidP="006F7F7E">
      <w:pPr>
        <w:tabs>
          <w:tab w:val="left" w:pos="1276"/>
        </w:tabs>
        <w:spacing w:before="120" w:after="120" w:line="360" w:lineRule="exact"/>
        <w:ind w:firstLine="567"/>
        <w:jc w:val="both"/>
        <w:rPr>
          <w:lang w:val="sv-SE"/>
        </w:rPr>
      </w:pPr>
      <w:r w:rsidRPr="006F7F7E">
        <w:rPr>
          <w:lang w:val="sv-SE"/>
        </w:rPr>
        <w:t>The nationwide summer-autumn rice cultivation area this year is estimated to reach 1,909.8 thousand hectares, equal to 99.8% of the same period last year. Of which, northern localities reached 173.9 thousand hectares, equal to 100.7%; Southern localities reached 1,735.9 thousand hectares, equal to 99.8%, the Mekong Delta region alone reached 1,470.0 thousand hectares, equal to 99.7%. This year's summer-autumn rice seeding progress is slower than the same period last year, mainly due to the impact of drought and saltwater intrusion since the beginning of the year. As of August 20</w:t>
      </w:r>
      <w:r w:rsidRPr="006F7F7E">
        <w:rPr>
          <w:vertAlign w:val="superscript"/>
          <w:lang w:val="sv-SE"/>
        </w:rPr>
        <w:t>th</w:t>
      </w:r>
      <w:r w:rsidRPr="006F7F7E">
        <w:rPr>
          <w:lang w:val="sv-SE"/>
        </w:rPr>
        <w:t>, 2024, the whole country harvested 1,170.6 thousand hectares of summer-autumn rice, accounting for 61.3% of the sowing area and equal to 99.2% of the same period last year. Mainly concentrated in the Mekong Delta region with an estimated harvest area of ​​968.0 thousand hectares, accounting for 65.9% of the sowing area and equal to 98.7% of the same period in 2023.</w:t>
      </w:r>
    </w:p>
    <w:p w14:paraId="44C9E653" w14:textId="77777777" w:rsidR="006F7F7E" w:rsidRPr="006F7F7E" w:rsidRDefault="006F7F7E" w:rsidP="006F7F7E">
      <w:pPr>
        <w:tabs>
          <w:tab w:val="left" w:pos="1276"/>
        </w:tabs>
        <w:spacing w:before="120" w:after="120" w:line="360" w:lineRule="exact"/>
        <w:ind w:firstLine="567"/>
        <w:jc w:val="both"/>
        <w:rPr>
          <w:lang w:val="sv-SE"/>
        </w:rPr>
      </w:pPr>
      <w:r w:rsidRPr="006F7F7E">
        <w:rPr>
          <w:i/>
          <w:lang w:val="sv-SE"/>
        </w:rPr>
        <w:t>Seasonal rice</w:t>
      </w:r>
      <w:r w:rsidRPr="006F7F7E">
        <w:rPr>
          <w:lang w:val="sv-SE"/>
        </w:rPr>
        <w:tab/>
      </w:r>
    </w:p>
    <w:p w14:paraId="1095E149" w14:textId="77777777" w:rsidR="006F7F7E" w:rsidRPr="006F7F7E" w:rsidRDefault="006F7F7E" w:rsidP="006F7F7E">
      <w:pPr>
        <w:tabs>
          <w:tab w:val="left" w:pos="1276"/>
        </w:tabs>
        <w:spacing w:before="120" w:after="120" w:line="360" w:lineRule="exact"/>
        <w:ind w:firstLine="567"/>
        <w:jc w:val="both"/>
        <w:rPr>
          <w:lang w:val="sv-SE"/>
        </w:rPr>
      </w:pPr>
      <w:r w:rsidRPr="006F7F7E">
        <w:rPr>
          <w:lang w:val="sv-SE"/>
        </w:rPr>
        <w:t xml:space="preserve">As of August 20, 2024, the whole country has planted 1,391.2 thousand hectares of winter rice, equal to 99.7% of the same period last year, of which: Northern localities have planted 994.0 thousand hectares, equal to 99.7% of the same period last year. .5%; Southern localities cultivated 397.2 thousand hectares, equal to 100.5%. Seasonal rice production in the Northern provinces has been affected by heavy rains that have lasted on a large scale recently. Faced with the above situation, localities have promptly directed pumping to drain floods to save </w:t>
      </w:r>
      <w:r w:rsidRPr="006F7F7E">
        <w:rPr>
          <w:lang w:val="sv-SE"/>
        </w:rPr>
        <w:lastRenderedPageBreak/>
        <w:t>rice, and at the same time proactively overcome the consequences of storms such as replanting and replanting rice, quickly stabilizing life and production in the area. affected areas. Currently, the summer rice areas not affected by floods are growing and developing well. However, small leaf rollers, brown planthoppers, white-backed planthoppers... appear sporadically on rice fields, causing slight damage in some localities. The Agriculture sector in localities needs to direct farmers to actively prevent and control the infection so that it does not spread on a large scale, affecting the production results of the entire crop.</w:t>
      </w:r>
    </w:p>
    <w:p w14:paraId="60F06CE8" w14:textId="77777777" w:rsidR="006F7F7E" w:rsidRPr="006F7F7E" w:rsidRDefault="006F7F7E" w:rsidP="006F7F7E">
      <w:pPr>
        <w:spacing w:before="120" w:after="120" w:line="360" w:lineRule="exact"/>
        <w:ind w:firstLine="567"/>
        <w:jc w:val="both"/>
        <w:rPr>
          <w:lang w:val="sv-SE"/>
        </w:rPr>
      </w:pPr>
      <w:r w:rsidRPr="006F7F7E">
        <w:rPr>
          <w:i/>
          <w:lang w:val="sv-SE"/>
        </w:rPr>
        <w:t>Autumn - winter rice</w:t>
      </w:r>
    </w:p>
    <w:p w14:paraId="028EF3C0" w14:textId="77777777" w:rsidR="006F7F7E" w:rsidRPr="006F7F7E" w:rsidRDefault="006F7F7E" w:rsidP="006F7F7E">
      <w:pPr>
        <w:spacing w:before="120" w:after="120" w:line="360" w:lineRule="exact"/>
        <w:ind w:firstLine="567"/>
        <w:jc w:val="both"/>
        <w:rPr>
          <w:lang w:val="sv-SE"/>
        </w:rPr>
      </w:pPr>
      <w:r w:rsidRPr="006F7F7E">
        <w:rPr>
          <w:lang w:val="sv-SE"/>
        </w:rPr>
        <w:t>This year's fall-winter rice production in the Mekong Delta has favorable weather and stable rice prices, so farmers are speeding up progress. As of August 20, 2024, the Mekong Delta region has sown 489.1 thousand hectares of autumn-winter rice, equal to 107.4% of the same period last year. Autumn-winter rice is currently growing well, localities need to regularly check the capacity of irrigation works, develop plans to ensure safe operation and promptly detect and handle critical locations, landslides during the rainy season.</w:t>
      </w:r>
    </w:p>
    <w:p w14:paraId="4129BCB4" w14:textId="77777777" w:rsidR="006F7F7E" w:rsidRPr="006F7F7E" w:rsidRDefault="006F7F7E" w:rsidP="006F7F7E">
      <w:pPr>
        <w:spacing w:before="120" w:after="120" w:line="360" w:lineRule="exact"/>
        <w:ind w:firstLine="567"/>
        <w:jc w:val="both"/>
        <w:rPr>
          <w:i/>
          <w:lang w:val="sv-SE"/>
        </w:rPr>
      </w:pPr>
      <w:r w:rsidRPr="006F7F7E">
        <w:rPr>
          <w:i/>
          <w:lang w:val="sv-SE"/>
        </w:rPr>
        <w:t>Annual crops</w:t>
      </w:r>
    </w:p>
    <w:p w14:paraId="793928D2" w14:textId="77777777" w:rsidR="006F7F7E" w:rsidRPr="006F7F7E" w:rsidRDefault="006F7F7E" w:rsidP="006F7F7E">
      <w:pPr>
        <w:spacing w:before="120" w:after="120" w:line="360" w:lineRule="exact"/>
        <w:ind w:firstLine="567"/>
        <w:jc w:val="both"/>
        <w:rPr>
          <w:lang w:val="sv-SE"/>
        </w:rPr>
      </w:pPr>
      <w:r w:rsidRPr="006F7F7E">
        <w:rPr>
          <w:lang w:val="sv-SE"/>
        </w:rPr>
        <w:t>Along with rice cultivation, localities across the country are planting cash crops. However, the area of ​​corn, peanuts and soybeans continued to decrease compared to the same period last year, mainly due to low economic efficiency. The area of ​​vegetables and beans increased slightly. The area of ​​sweet potatoes has increased because recently there have been many good quality sweet potato varieties that bring higher economic efficiency, so people have increased new planting areas.</w:t>
      </w:r>
    </w:p>
    <w:p w14:paraId="20DFF28F" w14:textId="77777777" w:rsidR="006F7F7E" w:rsidRPr="006F7F7E" w:rsidRDefault="006F7F7E" w:rsidP="006F7F7E">
      <w:pPr>
        <w:spacing w:before="120" w:after="120" w:line="360" w:lineRule="exact"/>
        <w:jc w:val="center"/>
        <w:rPr>
          <w:lang w:val="de-DE"/>
        </w:rPr>
      </w:pPr>
      <w:r w:rsidRPr="006F7F7E">
        <w:rPr>
          <w:b/>
          <w:lang w:val="de-DE"/>
        </w:rPr>
        <w:t>Figure 1. Cultivation of main annual crops</w:t>
      </w:r>
    </w:p>
    <w:p w14:paraId="4A690B93" w14:textId="77777777" w:rsidR="006F7F7E" w:rsidRPr="006F7F7E" w:rsidRDefault="006F7F7E" w:rsidP="006F7F7E">
      <w:pPr>
        <w:tabs>
          <w:tab w:val="left" w:pos="567"/>
        </w:tabs>
        <w:spacing w:before="120" w:after="120" w:line="360" w:lineRule="exact"/>
        <w:jc w:val="center"/>
        <w:rPr>
          <w:bCs/>
          <w:i/>
          <w:iCs/>
          <w:lang w:val="vi-VN"/>
        </w:rPr>
      </w:pPr>
      <w:r w:rsidRPr="006F7F7E">
        <w:rPr>
          <w:noProof/>
          <w:lang w:val="en-GB" w:eastAsia="en-GB"/>
        </w:rPr>
        <w:drawing>
          <wp:anchor distT="0" distB="0" distL="114300" distR="114300" simplePos="0" relativeHeight="251688960" behindDoc="0" locked="0" layoutInCell="1" allowOverlap="1" wp14:anchorId="385DB792" wp14:editId="7E5839D9">
            <wp:simplePos x="0" y="0"/>
            <wp:positionH relativeFrom="margin">
              <wp:align>right</wp:align>
            </wp:positionH>
            <wp:positionV relativeFrom="margin">
              <wp:posOffset>5314315</wp:posOffset>
            </wp:positionV>
            <wp:extent cx="5934075" cy="2505075"/>
            <wp:effectExtent l="0" t="0" r="9525" b="9525"/>
            <wp:wrapSquare wrapText="bothSides"/>
            <wp:docPr id="191730014" name="Picture 191730014" descr="X:\01 Bao cao thang\2024\Thang 8\Chuyen vien\AI Nông nghiệp\1x\Artboard 1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1 Bao cao thang\2024\Thang 8\Chuyen vien\AI Nông nghiệp\1x\Artboard 1 copy.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219" t="67167" r="9284" b="10024"/>
                    <a:stretch/>
                  </pic:blipFill>
                  <pic:spPr bwMode="auto">
                    <a:xfrm>
                      <a:off x="0" y="0"/>
                      <a:ext cx="5934075" cy="2505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7F7E">
        <w:rPr>
          <w:bCs/>
          <w:i/>
          <w:iCs/>
          <w:lang w:val="vi-VN"/>
        </w:rPr>
        <w:t>(</w:t>
      </w:r>
      <w:r w:rsidRPr="006F7F7E">
        <w:rPr>
          <w:i/>
          <w:lang w:val="de-DE"/>
        </w:rPr>
        <w:t>As of 20/8/2024</w:t>
      </w:r>
      <w:r w:rsidRPr="006F7F7E">
        <w:rPr>
          <w:bCs/>
          <w:i/>
          <w:iCs/>
          <w:lang w:val="vi-VN"/>
        </w:rPr>
        <w:t>)</w:t>
      </w:r>
    </w:p>
    <w:p w14:paraId="3AEDE603" w14:textId="77777777" w:rsidR="006F7F7E" w:rsidRPr="006F7F7E" w:rsidRDefault="006F7F7E" w:rsidP="006F7F7E">
      <w:pPr>
        <w:tabs>
          <w:tab w:val="left" w:pos="567"/>
        </w:tabs>
        <w:spacing w:before="120" w:after="120" w:line="360" w:lineRule="exact"/>
        <w:jc w:val="center"/>
      </w:pPr>
    </w:p>
    <w:p w14:paraId="539DD23C" w14:textId="77777777" w:rsidR="006F7F7E" w:rsidRPr="006F7F7E" w:rsidRDefault="006F7F7E" w:rsidP="006F7F7E">
      <w:pPr>
        <w:tabs>
          <w:tab w:val="left" w:pos="1276"/>
        </w:tabs>
        <w:spacing w:before="120" w:after="120" w:line="360" w:lineRule="exact"/>
        <w:ind w:firstLine="567"/>
        <w:jc w:val="both"/>
        <w:rPr>
          <w:lang w:val="sv-SE"/>
        </w:rPr>
      </w:pPr>
      <w:r w:rsidRPr="006F7F7E">
        <w:rPr>
          <w:i/>
        </w:rPr>
        <w:t>Livestock</w:t>
      </w:r>
    </w:p>
    <w:p w14:paraId="68973D22" w14:textId="77777777" w:rsidR="006F7F7E" w:rsidRPr="006F7F7E" w:rsidRDefault="006F7F7E" w:rsidP="006F7F7E">
      <w:pPr>
        <w:tabs>
          <w:tab w:val="left" w:pos="1276"/>
        </w:tabs>
        <w:spacing w:before="120" w:after="120" w:line="360" w:lineRule="exact"/>
        <w:ind w:firstLine="567"/>
        <w:jc w:val="both"/>
        <w:rPr>
          <w:lang w:val="sv-SE"/>
        </w:rPr>
      </w:pPr>
      <w:r w:rsidRPr="006F7F7E">
        <w:rPr>
          <w:noProof/>
          <w:lang w:val="en-GB" w:eastAsia="en-GB"/>
        </w:rPr>
        <w:drawing>
          <wp:anchor distT="0" distB="0" distL="114300" distR="114300" simplePos="0" relativeHeight="251689984" behindDoc="0" locked="0" layoutInCell="1" allowOverlap="1" wp14:anchorId="19B0238F" wp14:editId="1550E3D1">
            <wp:simplePos x="0" y="0"/>
            <wp:positionH relativeFrom="margin">
              <wp:posOffset>19050</wp:posOffset>
            </wp:positionH>
            <wp:positionV relativeFrom="margin">
              <wp:posOffset>1457325</wp:posOffset>
            </wp:positionV>
            <wp:extent cx="5937250" cy="1680210"/>
            <wp:effectExtent l="0" t="0" r="6350" b="0"/>
            <wp:wrapSquare wrapText="bothSides"/>
            <wp:docPr id="323817017" name="Picture 323817017" descr="C:\Users\dtphong\Downloads\Chan nuoi_T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phong\Downloads\Chan nuoi_T8-02.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058" t="44418" r="11376" b="40059"/>
                    <a:stretch/>
                  </pic:blipFill>
                  <pic:spPr bwMode="auto">
                    <a:xfrm>
                      <a:off x="0" y="0"/>
                      <a:ext cx="5937250" cy="1680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7F7E">
        <w:rPr>
          <w:lang w:val="sv-SE"/>
        </w:rPr>
        <w:t>Buffalo and cow husbandry during the month tended to decrease</w:t>
      </w:r>
      <w:r w:rsidRPr="006F7F7E">
        <w:rPr>
          <w:vertAlign w:val="superscript"/>
          <w:lang w:val="sv-SE"/>
        </w:rPr>
        <w:footnoteReference w:id="1"/>
      </w:r>
      <w:r w:rsidRPr="006F7F7E">
        <w:rPr>
          <w:lang w:val="sv-SE"/>
        </w:rPr>
        <w:t>. Pig and poultry farming is developing stably, farmers are proactive in breeding sources and pork prices have increased slightly in recent months</w:t>
      </w:r>
      <w:r w:rsidRPr="006F7F7E">
        <w:rPr>
          <w:vertAlign w:val="superscript"/>
          <w:lang w:val="sv-SE"/>
        </w:rPr>
        <w:footnoteReference w:id="2"/>
      </w:r>
      <w:r w:rsidRPr="006F7F7E">
        <w:rPr>
          <w:lang w:val="sv-SE"/>
        </w:rPr>
        <w:t>. However, livestock farmers still need to closely monitor the market situation, and authorities need to provide timely information and well manage the local livestock situation.</w:t>
      </w:r>
    </w:p>
    <w:p w14:paraId="0D112C6D" w14:textId="77777777" w:rsidR="006F7F7E" w:rsidRPr="006F7F7E" w:rsidRDefault="006F7F7E" w:rsidP="006F7F7E">
      <w:pPr>
        <w:spacing w:before="120" w:after="120" w:line="360" w:lineRule="exact"/>
        <w:jc w:val="center"/>
        <w:rPr>
          <w:b/>
        </w:rPr>
      </w:pPr>
      <w:r w:rsidRPr="006F7F7E">
        <w:rPr>
          <w:b/>
        </w:rPr>
        <w:t xml:space="preserve">Figure 2. The growth rate of the population of livestock                                                  at the end of </w:t>
      </w:r>
      <w:proofErr w:type="gramStart"/>
      <w:r w:rsidRPr="006F7F7E">
        <w:rPr>
          <w:b/>
        </w:rPr>
        <w:t>August,</w:t>
      </w:r>
      <w:proofErr w:type="gramEnd"/>
      <w:r w:rsidRPr="006F7F7E">
        <w:rPr>
          <w:b/>
        </w:rPr>
        <w:t xml:space="preserve"> 2024 compared to the same time last year</w:t>
      </w:r>
    </w:p>
    <w:p w14:paraId="53A7B952" w14:textId="79405032" w:rsidR="006F7F7E" w:rsidRDefault="006F7F7E" w:rsidP="006F7F7E">
      <w:pPr>
        <w:spacing w:before="120" w:after="120" w:line="360" w:lineRule="exact"/>
        <w:ind w:firstLine="567"/>
        <w:jc w:val="both"/>
        <w:rPr>
          <w:lang w:val="sv-SE"/>
        </w:rPr>
      </w:pPr>
      <w:r w:rsidRPr="006F7F7E">
        <w:rPr>
          <w:lang w:val="sv-SE"/>
        </w:rPr>
        <w:t>As of August 26, 2024, the whole country no longer has an outbreak of bird flu; Foot and mouth disease epidemic occurred in 03 localities, lumpy dermatitis epidemic in 07 localities, rabies epidemic in 11 localities and African swine fever epidemic in 29 localities in less than 21 days.</w:t>
      </w:r>
    </w:p>
    <w:p w14:paraId="55884BA7" w14:textId="77777777" w:rsidR="006F7F7E" w:rsidRPr="006F7F7E" w:rsidRDefault="006F7F7E" w:rsidP="006F7F7E">
      <w:pPr>
        <w:tabs>
          <w:tab w:val="left" w:pos="0"/>
        </w:tabs>
        <w:spacing w:after="40" w:line="288" w:lineRule="auto"/>
        <w:ind w:firstLine="567"/>
        <w:jc w:val="both"/>
        <w:rPr>
          <w:b/>
          <w:i/>
        </w:rPr>
      </w:pPr>
      <w:r w:rsidRPr="006F7F7E">
        <w:rPr>
          <w:b/>
          <w:i/>
        </w:rPr>
        <w:t>b) Forestry</w:t>
      </w:r>
    </w:p>
    <w:p w14:paraId="68CB3516" w14:textId="77777777" w:rsidR="006F7F7E" w:rsidRPr="006F7F7E" w:rsidRDefault="006F7F7E" w:rsidP="006F7F7E">
      <w:pPr>
        <w:shd w:val="clear" w:color="auto" w:fill="FFFFFF"/>
        <w:spacing w:after="40" w:line="288" w:lineRule="auto"/>
        <w:ind w:firstLine="567"/>
        <w:jc w:val="both"/>
      </w:pPr>
      <w:bookmarkStart w:id="0" w:name="_Hlk134107173"/>
      <w:r w:rsidRPr="006F7F7E">
        <w:t xml:space="preserve">The area of concentrated newly planted forests nationwide in August 2024 was </w:t>
      </w:r>
      <w:bookmarkStart w:id="1" w:name="_Hlk134107230"/>
      <w:bookmarkEnd w:id="0"/>
      <w:r w:rsidRPr="006F7F7E">
        <w:t>estimated at 20,8 thousand hectares, down 5,2% over the same period last year. Some provinces have slow forestation progress</w:t>
      </w:r>
      <w:r w:rsidRPr="006F7F7E">
        <w:rPr>
          <w:vertAlign w:val="superscript"/>
        </w:rPr>
        <w:footnoteReference w:id="3"/>
      </w:r>
      <w:r w:rsidRPr="006F7F7E">
        <w:t>: Kon Tum by 41.2% over the same period last year; Quang Tri by 71.8%; Nghe An by 95.3%. The number of scattered forest trees planted reached 6.5 million trees, up 3.4% over the same period last year. The output of exploited timber in the month reached 2,086.4 thousand m3, up 7.6% due to people stepping up the exploitation of timber at harvest age. Some localities have high timber exploitation output compared to the same period last year: Bac Kan increased by 28.8%; Yen Bai increased by 15.5%; Thanh Hoa increased by 7.9%; Quang Ninh increased by 7.6%.</w:t>
      </w:r>
    </w:p>
    <w:p w14:paraId="56C06AA7" w14:textId="77777777" w:rsidR="006F7F7E" w:rsidRPr="006F7F7E" w:rsidRDefault="006F7F7E" w:rsidP="006F7F7E">
      <w:pPr>
        <w:shd w:val="clear" w:color="auto" w:fill="FFFFFF"/>
        <w:spacing w:after="40" w:line="288" w:lineRule="auto"/>
        <w:ind w:firstLine="567"/>
        <w:jc w:val="both"/>
      </w:pPr>
      <w:r w:rsidRPr="006F7F7E">
        <w:lastRenderedPageBreak/>
        <w:t>Total eight months of 2024, the area of ​​newly planted concentrated forests is estimated at 164.2 thousand hectares, up 3.3% over the same period last year; the number of scattered forest trees planted reached 57.6 million trees, up 3.1%; the output of exploited timber reached 14,033.2 thousand m3, up 7.2%.</w:t>
      </w:r>
    </w:p>
    <w:p w14:paraId="2EC86475" w14:textId="77777777" w:rsidR="006F7F7E" w:rsidRPr="006F7F7E" w:rsidRDefault="006F7F7E" w:rsidP="006F7F7E">
      <w:pPr>
        <w:shd w:val="clear" w:color="auto" w:fill="FFFFFF"/>
        <w:spacing w:after="40" w:line="288" w:lineRule="auto"/>
        <w:ind w:firstLine="567"/>
        <w:jc w:val="both"/>
        <w:rPr>
          <w:spacing w:val="4"/>
          <w:lang w:val="de-DE"/>
        </w:rPr>
      </w:pPr>
      <w:r w:rsidRPr="006F7F7E">
        <w:rPr>
          <w:lang w:val="de-DE"/>
        </w:rPr>
        <w:t>The damaged forest area</w:t>
      </w:r>
      <w:r w:rsidRPr="006F7F7E">
        <w:rPr>
          <w:vertAlign w:val="superscript"/>
        </w:rPr>
        <w:footnoteReference w:id="4"/>
      </w:r>
      <w:r w:rsidRPr="006F7F7E">
        <w:rPr>
          <w:lang w:val="de-DE"/>
        </w:rPr>
        <w:t xml:space="preserve"> </w:t>
      </w:r>
      <w:r w:rsidRPr="006F7F7E">
        <w:t>in August</w:t>
      </w:r>
      <w:r w:rsidRPr="006F7F7E">
        <w:rPr>
          <w:lang w:val="de-DE"/>
        </w:rPr>
        <w:t xml:space="preserve"> was</w:t>
      </w:r>
      <w:r w:rsidRPr="006F7F7E">
        <w:rPr>
          <w:spacing w:val="4"/>
          <w:lang w:val="de-DE"/>
        </w:rPr>
        <w:t xml:space="preserve"> </w:t>
      </w:r>
      <w:bookmarkEnd w:id="1"/>
      <w:r w:rsidRPr="006F7F7E">
        <w:rPr>
          <w:spacing w:val="4"/>
          <w:lang w:val="de-DE"/>
        </w:rPr>
        <w:t>48.5 hectares, down 55.4% over the same period last year. Of which, the area of ​​forest cut down and destroyed was 43.2 hectares, down 56.8%; the area of ​​forest burned was 5.3 hectares, down 38.2%. In the first eight months of 2024, the whole country had 1,386.2 hectares of damaged forest, down 6.6% over the same period last year. Of which, the area of ​​forest cut down and destroyed was 647.7 hectares, down 24.5%; the area of ​​forest burned was 738.5 hectares, up 17.7%.</w:t>
      </w:r>
    </w:p>
    <w:p w14:paraId="58C2A389" w14:textId="77777777" w:rsidR="006F7F7E" w:rsidRPr="006F7F7E" w:rsidRDefault="006F7F7E" w:rsidP="006F7F7E">
      <w:pPr>
        <w:shd w:val="clear" w:color="auto" w:fill="FFFFFF"/>
        <w:spacing w:after="40" w:line="288" w:lineRule="auto"/>
        <w:ind w:firstLine="567"/>
        <w:jc w:val="both"/>
        <w:rPr>
          <w:b/>
          <w:bCs/>
          <w:i/>
          <w:iCs/>
          <w:lang w:val="de-DE"/>
        </w:rPr>
      </w:pPr>
      <w:r w:rsidRPr="006F7F7E">
        <w:rPr>
          <w:b/>
          <w:bCs/>
          <w:i/>
          <w:iCs/>
          <w:lang w:val="de-DE"/>
        </w:rPr>
        <w:t>c) Fishery</w:t>
      </w:r>
    </w:p>
    <w:p w14:paraId="3E08A01A" w14:textId="77777777" w:rsidR="006F7F7E" w:rsidRPr="006F7F7E" w:rsidRDefault="006F7F7E" w:rsidP="006F7F7E">
      <w:pPr>
        <w:spacing w:before="40" w:after="40" w:line="288" w:lineRule="auto"/>
        <w:ind w:right="1" w:firstLine="567"/>
        <w:jc w:val="both"/>
        <w:rPr>
          <w:lang w:val="de-DE"/>
        </w:rPr>
      </w:pPr>
      <w:bookmarkStart w:id="2" w:name="_Hlk134107280"/>
      <w:r w:rsidRPr="006F7F7E">
        <w:rPr>
          <w:bCs/>
          <w:spacing w:val="-2"/>
        </w:rPr>
        <w:t xml:space="preserve">Fishery output in </w:t>
      </w:r>
      <w:r w:rsidRPr="006F7F7E">
        <w:t>August</w:t>
      </w:r>
      <w:r w:rsidRPr="006F7F7E">
        <w:rPr>
          <w:bCs/>
          <w:spacing w:val="-2"/>
        </w:rPr>
        <w:t xml:space="preserve"> 2024 was estimated at </w:t>
      </w:r>
      <w:bookmarkStart w:id="3" w:name="_Hlk134107302"/>
      <w:bookmarkEnd w:id="2"/>
      <w:r w:rsidRPr="006F7F7E">
        <w:rPr>
          <w:lang w:val="de-DE"/>
        </w:rPr>
        <w:t xml:space="preserve">862.3 thousand tons, up 2.5% over the same period last year, including: Fish reached 561.0 thousand tons, up 2.4%; </w:t>
      </w:r>
      <w:bookmarkEnd w:id="3"/>
      <w:r w:rsidRPr="006F7F7E">
        <w:rPr>
          <w:lang w:val="de-DE"/>
        </w:rPr>
        <w:t>shrimp estimated at 176.3 thousand tons, up 2.7%; other aquatic products estimated at 125.0 thousand tons, up 2.6%.</w:t>
      </w:r>
    </w:p>
    <w:p w14:paraId="6BF2DD69" w14:textId="77777777" w:rsidR="006F7F7E" w:rsidRPr="006F7F7E" w:rsidRDefault="006F7F7E" w:rsidP="006F7F7E">
      <w:pPr>
        <w:spacing w:before="40" w:after="40" w:line="288" w:lineRule="auto"/>
        <w:ind w:right="1" w:firstLine="567"/>
        <w:jc w:val="both"/>
        <w:rPr>
          <w:bCs/>
          <w:spacing w:val="-2"/>
        </w:rPr>
      </w:pPr>
      <w:r w:rsidRPr="006F7F7E">
        <w:rPr>
          <w:bCs/>
          <w:spacing w:val="-2"/>
        </w:rPr>
        <w:t xml:space="preserve">Aquaculture </w:t>
      </w:r>
      <w:r w:rsidRPr="006F7F7E">
        <w:rPr>
          <w:bCs/>
          <w:spacing w:val="2"/>
          <w:lang w:val="pt-BR"/>
        </w:rPr>
        <w:t>production</w:t>
      </w:r>
      <w:r w:rsidRPr="006F7F7E">
        <w:rPr>
          <w:bCs/>
          <w:spacing w:val="-2"/>
        </w:rPr>
        <w:t xml:space="preserve"> in August was estimated at 522.4 thousand tons, up 3.8% over the same period last year. Of which: Fish reached 293.0 thousand tons, up 4.5%; shrimp reached 165.7 thousand tons, up 2.8%.</w:t>
      </w:r>
    </w:p>
    <w:p w14:paraId="5F24E86C" w14:textId="77777777" w:rsidR="006F7F7E" w:rsidRPr="006F7F7E" w:rsidRDefault="006F7F7E" w:rsidP="006F7F7E">
      <w:pPr>
        <w:spacing w:after="40" w:line="288" w:lineRule="auto"/>
        <w:ind w:firstLine="567"/>
        <w:jc w:val="both"/>
        <w:rPr>
          <w:lang w:val="de-DE"/>
        </w:rPr>
      </w:pPr>
      <w:r w:rsidRPr="006F7F7E">
        <w:rPr>
          <w:lang w:val="de-DE"/>
        </w:rPr>
        <w:t xml:space="preserve">Pangasius </w:t>
      </w:r>
      <w:r w:rsidRPr="006F7F7E">
        <w:rPr>
          <w:bCs/>
          <w:spacing w:val="2"/>
          <w:lang w:val="pt-BR"/>
        </w:rPr>
        <w:t>production</w:t>
      </w:r>
      <w:r w:rsidRPr="006F7F7E">
        <w:rPr>
          <w:lang w:val="de-DE"/>
        </w:rPr>
        <w:t xml:space="preserve"> in </w:t>
      </w:r>
      <w:r w:rsidRPr="006F7F7E">
        <w:rPr>
          <w:bCs/>
          <w:spacing w:val="-2"/>
        </w:rPr>
        <w:t>August was estimated at 148.2 thousand tons, up 3.9% over the same period last year due to the stable price of raw pangasius at a high level</w:t>
      </w:r>
      <w:r w:rsidRPr="006F7F7E">
        <w:rPr>
          <w:vertAlign w:val="superscript"/>
          <w:lang w:val="de-DE"/>
        </w:rPr>
        <w:t xml:space="preserve"> </w:t>
      </w:r>
      <w:r w:rsidRPr="006F7F7E">
        <w:rPr>
          <w:vertAlign w:val="superscript"/>
          <w:lang w:val="de-DE"/>
        </w:rPr>
        <w:footnoteReference w:id="5"/>
      </w:r>
      <w:r w:rsidRPr="006F7F7E">
        <w:rPr>
          <w:lang w:val="de-DE"/>
        </w:rPr>
        <w:t xml:space="preserve"> so fish farmers and businesses adjusted farming output accordingly to meet processing and export activities.</w:t>
      </w:r>
    </w:p>
    <w:p w14:paraId="25F56B00" w14:textId="77777777" w:rsidR="006F7F7E" w:rsidRPr="006F7F7E" w:rsidRDefault="006F7F7E" w:rsidP="006F7F7E">
      <w:pPr>
        <w:spacing w:after="40" w:line="288" w:lineRule="auto"/>
        <w:ind w:firstLine="567"/>
        <w:jc w:val="both"/>
        <w:rPr>
          <w:bCs/>
          <w:spacing w:val="2"/>
          <w:lang w:val="pt-BR"/>
        </w:rPr>
      </w:pPr>
      <w:r w:rsidRPr="006F7F7E">
        <w:rPr>
          <w:bCs/>
          <w:spacing w:val="2"/>
          <w:lang w:val="pt-BR"/>
        </w:rPr>
        <w:t xml:space="preserve">Shrimp production in </w:t>
      </w:r>
      <w:r w:rsidRPr="006F7F7E">
        <w:rPr>
          <w:bCs/>
          <w:spacing w:val="-2"/>
        </w:rPr>
        <w:t>August increased compared to the same period last year due to increased export activities and the time to harvest aquatic products, including brackish water shrimp. Whiteleg shrimp output is estimated at 119.6 thousand tons, up 2.7% over the same period last year; black tiger shrimp output is estimated at 30.0 thousand tons, up 1.7%.</w:t>
      </w:r>
    </w:p>
    <w:p w14:paraId="5316AAD4" w14:textId="77777777" w:rsidR="006F7F7E" w:rsidRPr="006F7F7E" w:rsidRDefault="006F7F7E" w:rsidP="006F7F7E">
      <w:pPr>
        <w:spacing w:after="40" w:line="288" w:lineRule="auto"/>
        <w:ind w:firstLine="567"/>
        <w:jc w:val="both"/>
        <w:rPr>
          <w:lang w:val="de-DE"/>
        </w:rPr>
      </w:pPr>
      <w:r w:rsidRPr="006F7F7E">
        <w:rPr>
          <w:lang w:val="de-DE"/>
        </w:rPr>
        <w:t xml:space="preserve">The caught fishery </w:t>
      </w:r>
      <w:r w:rsidRPr="006F7F7E">
        <w:rPr>
          <w:bCs/>
          <w:spacing w:val="2"/>
          <w:lang w:val="pt-BR"/>
        </w:rPr>
        <w:t>production</w:t>
      </w:r>
      <w:r w:rsidRPr="006F7F7E">
        <w:rPr>
          <w:lang w:val="de-DE"/>
        </w:rPr>
        <w:t xml:space="preserve"> was estimated at 339.9 thousand tons, up 0.5% over the same period last year, including: Fish reached 268.0 thousand tons, up 0.1%; shrimp reached 10.6 thousand tons, up 1.0%; other aquatic products reached 61.3 thousand tons, up 2.5%. The output of exploited marine aquatic products was estimated at 314.6 thousand tons, up 0.4% over the same period last year.</w:t>
      </w:r>
    </w:p>
    <w:p w14:paraId="27A459F7" w14:textId="77777777" w:rsidR="006F7F7E" w:rsidRPr="006F7F7E" w:rsidRDefault="006F7F7E" w:rsidP="006F7F7E">
      <w:pPr>
        <w:spacing w:after="40" w:line="288" w:lineRule="auto"/>
        <w:ind w:firstLine="567"/>
        <w:jc w:val="center"/>
        <w:rPr>
          <w:rFonts w:ascii="Arial" w:hAnsi="Arial" w:cs="Arial"/>
          <w:b/>
          <w:bCs/>
          <w:sz w:val="24"/>
          <w:szCs w:val="24"/>
          <w:lang w:val="de-DE"/>
        </w:rPr>
      </w:pPr>
      <w:r w:rsidRPr="006F7F7E">
        <w:rPr>
          <w:rFonts w:ascii="Arial" w:hAnsi="Arial" w:cs="Arial"/>
          <w:b/>
          <w:bCs/>
          <w:sz w:val="24"/>
          <w:szCs w:val="24"/>
          <w:lang w:val="de-DE"/>
        </w:rPr>
        <w:lastRenderedPageBreak/>
        <w:t>Figure 3. Fishery production in 8 months of 2024</w:t>
      </w:r>
    </w:p>
    <w:p w14:paraId="671C0F20" w14:textId="77777777" w:rsidR="006F7F7E" w:rsidRPr="006F7F7E" w:rsidRDefault="006F7F7E" w:rsidP="006F7F7E">
      <w:pPr>
        <w:shd w:val="clear" w:color="auto" w:fill="FFFFFF"/>
        <w:tabs>
          <w:tab w:val="left" w:pos="9360"/>
        </w:tabs>
        <w:jc w:val="center"/>
        <w:rPr>
          <w:rFonts w:ascii="Arial" w:hAnsi="Arial" w:cs="Arial"/>
          <w:b/>
          <w:bCs/>
          <w:sz w:val="24"/>
          <w:szCs w:val="24"/>
          <w:lang w:val="de-DE"/>
        </w:rPr>
      </w:pPr>
      <w:r w:rsidRPr="006F7F7E">
        <w:rPr>
          <w:rFonts w:ascii="Arial" w:hAnsi="Arial" w:cs="Arial"/>
          <w:b/>
          <w:bCs/>
          <w:sz w:val="24"/>
          <w:szCs w:val="24"/>
          <w:lang w:val="de-DE"/>
        </w:rPr>
        <w:t>over the same period last year</w:t>
      </w:r>
    </w:p>
    <w:p w14:paraId="3A7D39E2" w14:textId="77777777" w:rsidR="006F7F7E" w:rsidRPr="006F7F7E" w:rsidRDefault="006F7F7E" w:rsidP="006F7F7E">
      <w:pPr>
        <w:spacing w:before="100" w:beforeAutospacing="1" w:after="100" w:afterAutospacing="1"/>
        <w:rPr>
          <w:sz w:val="24"/>
          <w:szCs w:val="24"/>
          <w:lang w:val="en-GB" w:eastAsia="en-GB"/>
        </w:rPr>
      </w:pPr>
      <w:r w:rsidRPr="006F7F7E">
        <w:rPr>
          <w:noProof/>
          <w:sz w:val="24"/>
          <w:szCs w:val="24"/>
          <w:lang w:val="en-GB" w:eastAsia="en-GB"/>
        </w:rPr>
        <w:drawing>
          <wp:inline distT="0" distB="0" distL="0" distR="0" wp14:anchorId="4F92188B" wp14:editId="32C4686F">
            <wp:extent cx="5784112" cy="1866392"/>
            <wp:effectExtent l="0" t="0" r="7620" b="635"/>
            <wp:docPr id="186024208" name="Picture 186024208" descr="D:\o D\vinhvanphong\Thủy sản\Năm 2024\Tháng 8\Thuy san _T8-2024 hình-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D\vinhvanphong\Thủy sản\Năm 2024\Tháng 8\Thuy san _T8-2024 hình-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5437" cy="1915221"/>
                    </a:xfrm>
                    <a:prstGeom prst="rect">
                      <a:avLst/>
                    </a:prstGeom>
                    <a:noFill/>
                    <a:ln>
                      <a:noFill/>
                    </a:ln>
                  </pic:spPr>
                </pic:pic>
              </a:graphicData>
            </a:graphic>
          </wp:inline>
        </w:drawing>
      </w:r>
    </w:p>
    <w:p w14:paraId="13CB9450" w14:textId="58AA4C65" w:rsidR="006F7F7E" w:rsidRPr="006F7F7E" w:rsidRDefault="006F7F7E" w:rsidP="006F7F7E">
      <w:pPr>
        <w:spacing w:after="120" w:line="360" w:lineRule="atLeast"/>
        <w:ind w:right="1" w:firstLine="720"/>
        <w:jc w:val="both"/>
      </w:pPr>
      <w:bookmarkStart w:id="4" w:name="_Hlk134187656"/>
      <w:r w:rsidRPr="006F7F7E">
        <w:rPr>
          <w:spacing w:val="4"/>
          <w:lang w:val="sv-SE"/>
        </w:rPr>
        <w:t xml:space="preserve">Generally, </w:t>
      </w:r>
      <w:r w:rsidRPr="006F7F7E">
        <w:t>in 8 months of 2024,</w:t>
      </w:r>
      <w:r w:rsidRPr="006F7F7E">
        <w:rPr>
          <w:bCs/>
          <w:spacing w:val="-2"/>
        </w:rPr>
        <w:t xml:space="preserve"> fishery output was estimated </w:t>
      </w:r>
      <w:bookmarkEnd w:id="4"/>
      <w:r w:rsidRPr="006F7F7E">
        <w:rPr>
          <w:bCs/>
          <w:spacing w:val="-2"/>
        </w:rPr>
        <w:t>at 6,090.1 thousand tons, up 2.6% over the same period last year. Including: Fish reached 4,321.3 thousand tons, up 2.5%; shrimp reached 877.2 thousand tons, up 3.9%; other aquatic products 891.6 thousand tons, up 2.2%.</w:t>
      </w:r>
    </w:p>
    <w:p w14:paraId="4CDE6588" w14:textId="77777777" w:rsidR="00264E47" w:rsidRPr="00552BC7" w:rsidRDefault="00264E47" w:rsidP="00264E47">
      <w:pPr>
        <w:spacing w:after="120" w:line="288" w:lineRule="auto"/>
        <w:ind w:firstLine="567"/>
        <w:jc w:val="both"/>
        <w:rPr>
          <w:b/>
          <w:bCs/>
          <w:lang w:val="pl-PL"/>
        </w:rPr>
      </w:pPr>
      <w:r w:rsidRPr="00552BC7">
        <w:rPr>
          <w:b/>
          <w:bCs/>
          <w:lang w:val="pl-PL"/>
        </w:rPr>
        <w:t>2. Industrial production</w:t>
      </w:r>
    </w:p>
    <w:p w14:paraId="0AE9FBFC" w14:textId="1A89C734" w:rsidR="00264E47" w:rsidRPr="00552BC7" w:rsidRDefault="002C5F17" w:rsidP="00264E47">
      <w:pPr>
        <w:shd w:val="clear" w:color="auto" w:fill="FFFFFF"/>
        <w:spacing w:after="120" w:line="288" w:lineRule="auto"/>
        <w:ind w:firstLine="567"/>
        <w:jc w:val="both"/>
        <w:rPr>
          <w:i/>
          <w:iCs/>
          <w:shd w:val="clear" w:color="auto" w:fill="FFFFFF"/>
        </w:rPr>
      </w:pPr>
      <w:r w:rsidRPr="002C5F17">
        <w:rPr>
          <w:i/>
          <w:lang w:val="sv-SE"/>
        </w:rPr>
        <w:t>Industrial production in August continued the positive growth trend, it is estimated that the industrial production index in August 2024 will increase by 2.0% compared to the previous month and increase by 9.5% over the same period last year. Generally, in the first eight months of 2024, the industrial production index is estimated to increase by 8.6% over the same period last year</w:t>
      </w:r>
      <w:r w:rsidR="00264E47" w:rsidRPr="00552BC7">
        <w:rPr>
          <w:rStyle w:val="FootnoteReference"/>
          <w:rFonts w:eastAsia="Calibri"/>
          <w:i/>
          <w:lang w:val="sv-SE"/>
        </w:rPr>
        <w:footnoteReference w:id="6"/>
      </w:r>
      <w:r w:rsidR="00264E47" w:rsidRPr="00552BC7">
        <w:rPr>
          <w:i/>
          <w:lang w:val="sv-SE"/>
        </w:rPr>
        <w:t>.</w:t>
      </w:r>
    </w:p>
    <w:p w14:paraId="0A61F96E" w14:textId="33AC254B" w:rsidR="002C5F17" w:rsidRDefault="002C5F17" w:rsidP="00264E47">
      <w:pPr>
        <w:widowControl w:val="0"/>
        <w:shd w:val="clear" w:color="auto" w:fill="FFFFFF"/>
        <w:tabs>
          <w:tab w:val="left" w:pos="8931"/>
        </w:tabs>
        <w:spacing w:after="120" w:line="288" w:lineRule="auto"/>
        <w:ind w:firstLine="567"/>
        <w:jc w:val="both"/>
        <w:rPr>
          <w:spacing w:val="2"/>
          <w:lang w:val="pl-PL"/>
        </w:rPr>
      </w:pPr>
      <w:r w:rsidRPr="002C5F17">
        <w:rPr>
          <w:spacing w:val="2"/>
          <w:lang w:val="pl-PL"/>
        </w:rPr>
        <w:t>The index of industrial production (IIP) in August 2024 is estimated to increase by 2.0% compared to the previous month</w:t>
      </w:r>
      <w:r w:rsidR="007657D1">
        <w:rPr>
          <w:rStyle w:val="FootnoteReference"/>
          <w:spacing w:val="2"/>
          <w:lang w:val="pl-PL"/>
        </w:rPr>
        <w:footnoteReference w:id="7"/>
      </w:r>
      <w:r w:rsidRPr="002C5F17">
        <w:rPr>
          <w:spacing w:val="2"/>
          <w:lang w:val="pl-PL"/>
        </w:rPr>
        <w:t xml:space="preserve"> and increase by 9.5% over the same period last year. In which, compared to the same period last year, the processing and manufacturing industry increased by 10.6%; the electricity production and distribution industry increased by 8.9%; water supply, waste and wastewater management and treatment activities increased by 12.6%; the mining industry alone decreased by 1.5%.</w:t>
      </w:r>
    </w:p>
    <w:p w14:paraId="25A96A4A" w14:textId="4C800A48" w:rsidR="002C5F17" w:rsidRPr="00552BC7" w:rsidRDefault="002C5F17" w:rsidP="00264E47">
      <w:pPr>
        <w:widowControl w:val="0"/>
        <w:shd w:val="clear" w:color="auto" w:fill="FFFFFF"/>
        <w:tabs>
          <w:tab w:val="left" w:pos="8931"/>
        </w:tabs>
        <w:spacing w:after="120" w:line="288" w:lineRule="auto"/>
        <w:ind w:firstLine="567"/>
        <w:jc w:val="both"/>
        <w:rPr>
          <w:spacing w:val="-2"/>
          <w:lang w:val="pl-PL"/>
        </w:rPr>
      </w:pPr>
      <w:r w:rsidRPr="002C5F17">
        <w:rPr>
          <w:spacing w:val="-2"/>
          <w:lang w:val="pl-PL"/>
        </w:rPr>
        <w:t xml:space="preserve">Generally, in the first eight months of 2024, IIP is estimated to increase by 8.6% over the same period last year (the same period in 2023 decreased by 0.2%). In which, the manufacturing sector increased by 9.7% (the same period in 2023 </w:t>
      </w:r>
      <w:r w:rsidRPr="002C5F17">
        <w:rPr>
          <w:spacing w:val="-2"/>
          <w:lang w:val="pl-PL"/>
        </w:rPr>
        <w:lastRenderedPageBreak/>
        <w:t>decreased by 0.4%), contributing 8.4 percentage points in the overall increase; the electricity production and distribution</w:t>
      </w:r>
      <w:r>
        <w:rPr>
          <w:spacing w:val="-2"/>
          <w:lang w:val="pl-PL"/>
        </w:rPr>
        <w:t xml:space="preserve"> </w:t>
      </w:r>
      <w:r w:rsidRPr="002C5F17">
        <w:rPr>
          <w:spacing w:val="-2"/>
          <w:lang w:val="pl-PL"/>
        </w:rPr>
        <w:t>increased by 11.6%, contributing 1.0 percentage points; water supply, waste and wastewater management and treatment activities increased by 7.8%, contributing 0.1 percentage points; the mining industry decreased by 6.0%, decreasing by 0.9 percentage points.</w:t>
      </w:r>
    </w:p>
    <w:p w14:paraId="2DD6DB6A" w14:textId="0ABD85CF" w:rsidR="00264E47" w:rsidRPr="00552BC7" w:rsidRDefault="00264E47" w:rsidP="00264E47">
      <w:pPr>
        <w:widowControl w:val="0"/>
        <w:shd w:val="clear" w:color="auto" w:fill="FFFFFF"/>
        <w:tabs>
          <w:tab w:val="left" w:pos="8931"/>
        </w:tabs>
        <w:spacing w:after="120" w:line="288" w:lineRule="auto"/>
        <w:ind w:firstLine="567"/>
        <w:jc w:val="both"/>
        <w:rPr>
          <w:spacing w:val="-4"/>
          <w:lang w:val="pl-PL"/>
        </w:rPr>
      </w:pPr>
      <w:r w:rsidRPr="00552BC7">
        <w:rPr>
          <w:i/>
          <w:spacing w:val="-4"/>
          <w:lang w:val="pl-PL"/>
        </w:rPr>
        <w:t>Production index for the 8 months of 202</w:t>
      </w:r>
      <w:r w:rsidR="002C5F17">
        <w:rPr>
          <w:i/>
          <w:spacing w:val="-4"/>
          <w:lang w:val="pl-PL"/>
        </w:rPr>
        <w:t>4</w:t>
      </w:r>
      <w:r w:rsidRPr="00552BC7">
        <w:rPr>
          <w:i/>
          <w:spacing w:val="-4"/>
          <w:lang w:val="pl-PL"/>
        </w:rPr>
        <w:t xml:space="preserve"> of some key industries</w:t>
      </w:r>
      <w:r w:rsidRPr="00552BC7">
        <w:rPr>
          <w:spacing w:val="-4"/>
          <w:lang w:val="pl-PL"/>
        </w:rPr>
        <w:t xml:space="preserve"> </w:t>
      </w:r>
      <w:r w:rsidRPr="00552BC7">
        <w:rPr>
          <w:i/>
          <w:spacing w:val="-4"/>
          <w:lang w:val="pl-PL"/>
        </w:rPr>
        <w:t>Grade II increased sharply compared to the same period last y</w:t>
      </w:r>
      <w:r>
        <w:rPr>
          <w:i/>
          <w:spacing w:val="-4"/>
          <w:lang w:val="pl-PL"/>
        </w:rPr>
        <w:t>ear</w:t>
      </w:r>
      <w:r w:rsidRPr="00552BC7">
        <w:rPr>
          <w:spacing w:val="-4"/>
          <w:lang w:val="pl-PL"/>
        </w:rPr>
        <w:t xml:space="preserve">: </w:t>
      </w:r>
      <w:r w:rsidR="001F09D8" w:rsidRPr="001F09D8">
        <w:rPr>
          <w:spacing w:val="-4"/>
        </w:rPr>
        <w:t>Manufacture of rubber and plastics products</w:t>
      </w:r>
      <w:r w:rsidR="001F09D8">
        <w:rPr>
          <w:spacing w:val="-4"/>
        </w:rPr>
        <w:t xml:space="preserve"> </w:t>
      </w:r>
      <w:r w:rsidR="001F09D8" w:rsidRPr="001F09D8">
        <w:rPr>
          <w:spacing w:val="-4"/>
        </w:rPr>
        <w:t xml:space="preserve">increased by 29.5%; </w:t>
      </w:r>
      <w:r w:rsidR="001F09D8">
        <w:rPr>
          <w:spacing w:val="-4"/>
        </w:rPr>
        <w:t>m</w:t>
      </w:r>
      <w:r w:rsidR="001F09D8" w:rsidRPr="001F09D8">
        <w:rPr>
          <w:spacing w:val="-4"/>
        </w:rPr>
        <w:t>anufacture of furniture</w:t>
      </w:r>
      <w:r w:rsidR="001F09D8">
        <w:rPr>
          <w:spacing w:val="-4"/>
        </w:rPr>
        <w:t xml:space="preserve"> </w:t>
      </w:r>
      <w:r w:rsidR="001F09D8" w:rsidRPr="001F09D8">
        <w:rPr>
          <w:spacing w:val="-4"/>
        </w:rPr>
        <w:t xml:space="preserve">increased by 21.6%; </w:t>
      </w:r>
      <w:r w:rsidR="001F09D8">
        <w:rPr>
          <w:spacing w:val="-4"/>
        </w:rPr>
        <w:t>m</w:t>
      </w:r>
      <w:r w:rsidR="001F09D8" w:rsidRPr="001F09D8">
        <w:rPr>
          <w:spacing w:val="-4"/>
        </w:rPr>
        <w:t>ining of metal ores</w:t>
      </w:r>
      <w:r w:rsidR="001F09D8">
        <w:rPr>
          <w:spacing w:val="-4"/>
        </w:rPr>
        <w:t xml:space="preserve"> </w:t>
      </w:r>
      <w:r w:rsidR="001F09D8" w:rsidRPr="001F09D8">
        <w:rPr>
          <w:spacing w:val="-4"/>
        </w:rPr>
        <w:t xml:space="preserve">increased by 19%; </w:t>
      </w:r>
      <w:r w:rsidR="001F09D8">
        <w:rPr>
          <w:spacing w:val="-4"/>
        </w:rPr>
        <w:t>m</w:t>
      </w:r>
      <w:r w:rsidR="001F09D8" w:rsidRPr="001F09D8">
        <w:rPr>
          <w:spacing w:val="-4"/>
        </w:rPr>
        <w:t xml:space="preserve">anufacture of chemicals and chemical products increased by 17.8%; </w:t>
      </w:r>
      <w:r w:rsidR="001F09D8">
        <w:rPr>
          <w:spacing w:val="-4"/>
        </w:rPr>
        <w:t>m</w:t>
      </w:r>
      <w:r w:rsidR="001F09D8" w:rsidRPr="001F09D8">
        <w:rPr>
          <w:spacing w:val="-4"/>
        </w:rPr>
        <w:t xml:space="preserve">anufacture of textiles increased by 13.4%; </w:t>
      </w:r>
      <w:r w:rsidR="001F09D8">
        <w:rPr>
          <w:spacing w:val="-4"/>
        </w:rPr>
        <w:t>m</w:t>
      </w:r>
      <w:r w:rsidR="001F09D8" w:rsidRPr="001F09D8">
        <w:rPr>
          <w:spacing w:val="-4"/>
        </w:rPr>
        <w:t xml:space="preserve">anufacture of basic metals increased by 13.2%; </w:t>
      </w:r>
      <w:r w:rsidR="001F09D8">
        <w:rPr>
          <w:spacing w:val="-4"/>
        </w:rPr>
        <w:t>m</w:t>
      </w:r>
      <w:r w:rsidR="001F09D8" w:rsidRPr="001F09D8">
        <w:rPr>
          <w:spacing w:val="-4"/>
        </w:rPr>
        <w:t xml:space="preserve">anufacture of fabricated metal products, except machinery and equipment increased by 12.6%; </w:t>
      </w:r>
      <w:r w:rsidR="001F09D8">
        <w:rPr>
          <w:spacing w:val="-4"/>
        </w:rPr>
        <w:t>m</w:t>
      </w:r>
      <w:r w:rsidR="001F09D8" w:rsidRPr="001F09D8">
        <w:rPr>
          <w:spacing w:val="-4"/>
        </w:rPr>
        <w:t xml:space="preserve">anufacture of computer, electronic and optical products increased by 9.8%; </w:t>
      </w:r>
      <w:r w:rsidR="001F09D8">
        <w:rPr>
          <w:spacing w:val="-4"/>
        </w:rPr>
        <w:t>m</w:t>
      </w:r>
      <w:r w:rsidR="001F09D8" w:rsidRPr="001F09D8">
        <w:rPr>
          <w:spacing w:val="-4"/>
        </w:rPr>
        <w:t>anufacture of food products increased by 7.3%</w:t>
      </w:r>
      <w:r w:rsidRPr="00552BC7">
        <w:rPr>
          <w:spacing w:val="-4"/>
          <w:lang w:val="pl-PL"/>
        </w:rPr>
        <w:t xml:space="preserve">. </w:t>
      </w:r>
      <w:r w:rsidR="001F09D8" w:rsidRPr="001F09D8">
        <w:rPr>
          <w:spacing w:val="-4"/>
          <w:lang w:val="pl-PL"/>
        </w:rPr>
        <w:t>In the opposite direction, the IIP index of some industries increased low or decreased</w:t>
      </w:r>
      <w:r w:rsidRPr="00552BC7">
        <w:rPr>
          <w:spacing w:val="-4"/>
          <w:lang w:val="pl-PL"/>
        </w:rPr>
        <w:t xml:space="preserve">: </w:t>
      </w:r>
      <w:r w:rsidR="001F09D8" w:rsidRPr="001F09D8">
        <w:rPr>
          <w:spacing w:val="-4"/>
          <w:lang w:val="pl-PL"/>
        </w:rPr>
        <w:t xml:space="preserve">Manufacture of other transport equipment increased by 4%; </w:t>
      </w:r>
      <w:r w:rsidR="001F09D8">
        <w:rPr>
          <w:spacing w:val="-4"/>
          <w:lang w:val="pl-PL"/>
        </w:rPr>
        <w:t>m</w:t>
      </w:r>
      <w:r w:rsidR="001F09D8" w:rsidRPr="001F09D8">
        <w:rPr>
          <w:spacing w:val="-4"/>
          <w:lang w:val="pl-PL"/>
        </w:rPr>
        <w:t xml:space="preserve">anufacture of beverages increased by 0.5%; </w:t>
      </w:r>
      <w:r w:rsidR="001F09D8">
        <w:rPr>
          <w:spacing w:val="-4"/>
          <w:lang w:val="pl-PL"/>
        </w:rPr>
        <w:t>e</w:t>
      </w:r>
      <w:r w:rsidR="001F09D8" w:rsidRPr="001F09D8">
        <w:rPr>
          <w:spacing w:val="-4"/>
          <w:lang w:val="pl-PL"/>
        </w:rPr>
        <w:t xml:space="preserve">xtraction of crude petroleum and natural gas decreased by 11.2%; </w:t>
      </w:r>
      <w:r w:rsidR="001F09D8">
        <w:rPr>
          <w:spacing w:val="-4"/>
          <w:lang w:val="pl-PL"/>
        </w:rPr>
        <w:t>r</w:t>
      </w:r>
      <w:r w:rsidR="001F09D8" w:rsidRPr="001F09D8">
        <w:rPr>
          <w:spacing w:val="-4"/>
          <w:lang w:val="pl-PL"/>
        </w:rPr>
        <w:t xml:space="preserve">epair and installation of machinery and equipment decreased by 3.4%; </w:t>
      </w:r>
      <w:r w:rsidR="003A70F1">
        <w:rPr>
          <w:spacing w:val="-4"/>
          <w:lang w:val="pl-PL"/>
        </w:rPr>
        <w:t>m</w:t>
      </w:r>
      <w:r w:rsidR="003A70F1" w:rsidRPr="003A70F1">
        <w:rPr>
          <w:spacing w:val="-4"/>
          <w:lang w:val="pl-PL"/>
        </w:rPr>
        <w:t xml:space="preserve">ining of coal and lignite </w:t>
      </w:r>
      <w:r w:rsidR="001F09D8" w:rsidRPr="001F09D8">
        <w:rPr>
          <w:spacing w:val="-4"/>
          <w:lang w:val="pl-PL"/>
        </w:rPr>
        <w:t xml:space="preserve">decreased by 3.3%; </w:t>
      </w:r>
      <w:r w:rsidR="003A70F1">
        <w:rPr>
          <w:spacing w:val="-4"/>
          <w:lang w:val="pl-PL"/>
        </w:rPr>
        <w:t>m</w:t>
      </w:r>
      <w:r w:rsidR="003A70F1" w:rsidRPr="003A70F1">
        <w:rPr>
          <w:spacing w:val="-4"/>
          <w:lang w:val="pl-PL"/>
        </w:rPr>
        <w:t>anufacture of other non-metallic mineral products</w:t>
      </w:r>
      <w:r w:rsidR="001F09D8" w:rsidRPr="001F09D8">
        <w:rPr>
          <w:spacing w:val="-4"/>
          <w:lang w:val="pl-PL"/>
        </w:rPr>
        <w:t xml:space="preserve"> decreased by 0.6%.</w:t>
      </w:r>
    </w:p>
    <w:p w14:paraId="26AC329F" w14:textId="7D1EE1FC" w:rsidR="00264E47" w:rsidRPr="00552BC7" w:rsidRDefault="00264E47" w:rsidP="00264E47">
      <w:pPr>
        <w:spacing w:after="160" w:line="288" w:lineRule="auto"/>
        <w:jc w:val="center"/>
        <w:rPr>
          <w:rFonts w:ascii="Arial" w:hAnsi="Arial" w:cs="Arial"/>
          <w:b/>
          <w:spacing w:val="-2"/>
          <w:sz w:val="24"/>
          <w:szCs w:val="24"/>
          <w:lang w:val="pl-PL"/>
        </w:rPr>
      </w:pPr>
      <w:r w:rsidRPr="00552BC7">
        <w:rPr>
          <w:rFonts w:ascii="Arial" w:hAnsi="Arial" w:cs="Arial"/>
          <w:b/>
          <w:spacing w:val="-2"/>
          <w:sz w:val="24"/>
          <w:szCs w:val="24"/>
          <w:lang w:val="pl-PL"/>
        </w:rPr>
        <w:t xml:space="preserve">Table 1. Growth/decrease rate of IIP index in the 8 </w:t>
      </w:r>
      <w:r w:rsidRPr="00552BC7">
        <w:rPr>
          <w:rFonts w:ascii="Arial" w:hAnsi="Arial" w:cs="Arial"/>
          <w:b/>
          <w:spacing w:val="-2"/>
          <w:sz w:val="24"/>
          <w:szCs w:val="24"/>
        </w:rPr>
        <w:t xml:space="preserve">months </w:t>
      </w:r>
      <w:r w:rsidRPr="00552BC7">
        <w:rPr>
          <w:rFonts w:ascii="Arial" w:hAnsi="Arial" w:cs="Arial"/>
          <w:b/>
          <w:spacing w:val="-2"/>
          <w:sz w:val="24"/>
          <w:szCs w:val="24"/>
          <w:lang w:val="pl-PL"/>
        </w:rPr>
        <w:t>of 20</w:t>
      </w:r>
      <w:r w:rsidR="003A70F1">
        <w:rPr>
          <w:rFonts w:ascii="Arial" w:hAnsi="Arial" w:cs="Arial"/>
          <w:b/>
          <w:spacing w:val="-2"/>
          <w:sz w:val="24"/>
          <w:szCs w:val="24"/>
          <w:lang w:val="pl-PL"/>
        </w:rPr>
        <w:t>20</w:t>
      </w:r>
      <w:r w:rsidRPr="00552BC7">
        <w:rPr>
          <w:rFonts w:ascii="Arial" w:hAnsi="Arial" w:cs="Arial"/>
          <w:b/>
          <w:spacing w:val="-2"/>
          <w:sz w:val="24"/>
          <w:szCs w:val="24"/>
          <w:lang w:val="pl-PL"/>
        </w:rPr>
        <w:t>-202</w:t>
      </w:r>
      <w:r w:rsidR="003A70F1">
        <w:rPr>
          <w:rFonts w:ascii="Arial" w:hAnsi="Arial" w:cs="Arial"/>
          <w:b/>
          <w:spacing w:val="-2"/>
          <w:sz w:val="24"/>
          <w:szCs w:val="24"/>
          <w:lang w:val="pl-PL"/>
        </w:rPr>
        <w:t>4</w:t>
      </w:r>
      <w:r w:rsidRPr="00552BC7">
        <w:rPr>
          <w:rFonts w:ascii="Arial" w:hAnsi="Arial" w:cs="Arial"/>
          <w:b/>
          <w:spacing w:val="-2"/>
          <w:sz w:val="24"/>
          <w:szCs w:val="24"/>
          <w:lang w:val="pl-PL"/>
        </w:rPr>
        <w:t xml:space="preserve"> </w:t>
      </w:r>
      <w:r w:rsidRPr="00552BC7">
        <w:rPr>
          <w:rFonts w:ascii="Arial" w:hAnsi="Arial" w:cs="Arial"/>
          <w:b/>
          <w:spacing w:val="-2"/>
          <w:sz w:val="24"/>
          <w:szCs w:val="24"/>
          <w:lang w:val="pl-PL"/>
        </w:rPr>
        <w:br/>
        <w:t>compared to the same period last year of some key industries</w:t>
      </w:r>
    </w:p>
    <w:p w14:paraId="371ED1AF" w14:textId="77777777" w:rsidR="00264E47" w:rsidRPr="00552BC7" w:rsidRDefault="00264E47" w:rsidP="00264E47">
      <w:pPr>
        <w:shd w:val="clear" w:color="auto" w:fill="FFFFFF"/>
        <w:tabs>
          <w:tab w:val="left" w:pos="8931"/>
        </w:tabs>
        <w:ind w:right="45"/>
        <w:jc w:val="right"/>
        <w:rPr>
          <w:b/>
          <w:i/>
          <w:sz w:val="4"/>
          <w:lang w:val="pl-PL"/>
        </w:rPr>
      </w:pPr>
      <w:r w:rsidRPr="00552BC7">
        <w:rPr>
          <w:rFonts w:ascii="Arial" w:hAnsi="Arial" w:cs="Arial"/>
          <w:b/>
          <w:i/>
          <w:spacing w:val="-2"/>
          <w:sz w:val="24"/>
          <w:lang w:val="pl-PL"/>
        </w:rPr>
        <w:t xml:space="preserve">                                                                                                                               </w:t>
      </w:r>
      <w:r w:rsidRPr="00552BC7">
        <w:rPr>
          <w:rFonts w:ascii="Arial" w:hAnsi="Arial" w:cs="Arial"/>
          <w:b/>
          <w:i/>
          <w:spacing w:val="-2"/>
          <w:sz w:val="20"/>
          <w:szCs w:val="20"/>
          <w:lang w:val="pl-PL"/>
        </w:rPr>
        <w:t>%</w:t>
      </w:r>
    </w:p>
    <w:tbl>
      <w:tblPr>
        <w:tblW w:w="4985" w:type="pct"/>
        <w:jc w:val="center"/>
        <w:tblBorders>
          <w:top w:val="single" w:sz="4" w:space="0" w:color="auto"/>
        </w:tblBorders>
        <w:tblLook w:val="04A0" w:firstRow="1" w:lastRow="0" w:firstColumn="1" w:lastColumn="0" w:noHBand="0" w:noVBand="1"/>
      </w:tblPr>
      <w:tblGrid>
        <w:gridCol w:w="4855"/>
        <w:gridCol w:w="830"/>
        <w:gridCol w:w="848"/>
        <w:gridCol w:w="661"/>
        <w:gridCol w:w="745"/>
        <w:gridCol w:w="1106"/>
      </w:tblGrid>
      <w:tr w:rsidR="00264E47" w:rsidRPr="00552BC7" w14:paraId="312A061D" w14:textId="77777777" w:rsidTr="007657D1">
        <w:trPr>
          <w:trHeight w:val="546"/>
          <w:tblHeader/>
          <w:jc w:val="center"/>
        </w:trPr>
        <w:tc>
          <w:tcPr>
            <w:tcW w:w="2684" w:type="pct"/>
            <w:shd w:val="clear" w:color="auto" w:fill="auto"/>
            <w:noWrap/>
            <w:vAlign w:val="bottom"/>
            <w:hideMark/>
          </w:tcPr>
          <w:p w14:paraId="345EEAD6" w14:textId="77777777" w:rsidR="00264E47" w:rsidRPr="00552BC7" w:rsidRDefault="00264E47" w:rsidP="00886F58">
            <w:pPr>
              <w:rPr>
                <w:rFonts w:ascii="Arial" w:hAnsi="Arial" w:cs="Arial"/>
                <w:sz w:val="20"/>
                <w:szCs w:val="20"/>
              </w:rPr>
            </w:pPr>
          </w:p>
        </w:tc>
        <w:tc>
          <w:tcPr>
            <w:tcW w:w="459" w:type="pct"/>
            <w:tcBorders>
              <w:top w:val="single" w:sz="4" w:space="0" w:color="auto"/>
              <w:bottom w:val="single" w:sz="4" w:space="0" w:color="auto"/>
            </w:tcBorders>
            <w:shd w:val="clear" w:color="auto" w:fill="auto"/>
            <w:vAlign w:val="center"/>
            <w:hideMark/>
          </w:tcPr>
          <w:p w14:paraId="3863D96D" w14:textId="7FAE328D" w:rsidR="00264E47" w:rsidRPr="00552BC7" w:rsidRDefault="00264E47" w:rsidP="00886F58">
            <w:pPr>
              <w:jc w:val="center"/>
              <w:rPr>
                <w:rFonts w:ascii="Arial" w:hAnsi="Arial" w:cs="Arial"/>
                <w:sz w:val="20"/>
                <w:szCs w:val="20"/>
              </w:rPr>
            </w:pPr>
            <w:r w:rsidRPr="00552BC7">
              <w:rPr>
                <w:rFonts w:ascii="Arial" w:hAnsi="Arial" w:cs="Arial"/>
                <w:sz w:val="20"/>
                <w:szCs w:val="20"/>
              </w:rPr>
              <w:t>20</w:t>
            </w:r>
            <w:r w:rsidR="003A70F1">
              <w:rPr>
                <w:rFonts w:ascii="Arial" w:hAnsi="Arial" w:cs="Arial"/>
                <w:sz w:val="20"/>
                <w:szCs w:val="20"/>
              </w:rPr>
              <w:t>20</w:t>
            </w:r>
          </w:p>
        </w:tc>
        <w:tc>
          <w:tcPr>
            <w:tcW w:w="469" w:type="pct"/>
            <w:tcBorders>
              <w:top w:val="single" w:sz="4" w:space="0" w:color="auto"/>
              <w:bottom w:val="single" w:sz="4" w:space="0" w:color="auto"/>
            </w:tcBorders>
            <w:shd w:val="clear" w:color="auto" w:fill="auto"/>
            <w:vAlign w:val="center"/>
            <w:hideMark/>
          </w:tcPr>
          <w:p w14:paraId="69990196" w14:textId="32432D50" w:rsidR="00264E47" w:rsidRPr="00552BC7" w:rsidRDefault="00264E47" w:rsidP="00886F58">
            <w:pPr>
              <w:jc w:val="center"/>
              <w:rPr>
                <w:rFonts w:ascii="Arial" w:hAnsi="Arial" w:cs="Arial"/>
                <w:sz w:val="20"/>
                <w:szCs w:val="20"/>
              </w:rPr>
            </w:pPr>
            <w:r w:rsidRPr="00552BC7">
              <w:rPr>
                <w:rFonts w:ascii="Arial" w:hAnsi="Arial" w:cs="Arial"/>
                <w:sz w:val="20"/>
                <w:szCs w:val="20"/>
              </w:rPr>
              <w:t>202</w:t>
            </w:r>
            <w:r w:rsidR="003A70F1">
              <w:rPr>
                <w:rFonts w:ascii="Arial" w:hAnsi="Arial" w:cs="Arial"/>
                <w:sz w:val="20"/>
                <w:szCs w:val="20"/>
              </w:rPr>
              <w:t>1</w:t>
            </w:r>
          </w:p>
        </w:tc>
        <w:tc>
          <w:tcPr>
            <w:tcW w:w="365" w:type="pct"/>
            <w:tcBorders>
              <w:top w:val="single" w:sz="4" w:space="0" w:color="auto"/>
              <w:bottom w:val="single" w:sz="4" w:space="0" w:color="auto"/>
            </w:tcBorders>
            <w:shd w:val="clear" w:color="auto" w:fill="auto"/>
            <w:vAlign w:val="center"/>
            <w:hideMark/>
          </w:tcPr>
          <w:p w14:paraId="2DDED346" w14:textId="40A953DD" w:rsidR="00264E47" w:rsidRPr="00552BC7" w:rsidRDefault="00264E47" w:rsidP="00886F58">
            <w:pPr>
              <w:jc w:val="center"/>
              <w:rPr>
                <w:rFonts w:ascii="Arial" w:hAnsi="Arial" w:cs="Arial"/>
                <w:sz w:val="20"/>
                <w:szCs w:val="20"/>
              </w:rPr>
            </w:pPr>
            <w:r w:rsidRPr="00552BC7">
              <w:rPr>
                <w:rFonts w:ascii="Arial" w:hAnsi="Arial" w:cs="Arial"/>
                <w:sz w:val="20"/>
                <w:szCs w:val="20"/>
              </w:rPr>
              <w:t>202</w:t>
            </w:r>
            <w:r w:rsidR="003A70F1">
              <w:rPr>
                <w:rFonts w:ascii="Arial" w:hAnsi="Arial" w:cs="Arial"/>
                <w:sz w:val="20"/>
                <w:szCs w:val="20"/>
              </w:rPr>
              <w:t>2</w:t>
            </w:r>
          </w:p>
        </w:tc>
        <w:tc>
          <w:tcPr>
            <w:tcW w:w="412" w:type="pct"/>
            <w:tcBorders>
              <w:top w:val="single" w:sz="4" w:space="0" w:color="auto"/>
              <w:bottom w:val="single" w:sz="4" w:space="0" w:color="auto"/>
            </w:tcBorders>
            <w:shd w:val="clear" w:color="auto" w:fill="auto"/>
            <w:vAlign w:val="center"/>
            <w:hideMark/>
          </w:tcPr>
          <w:p w14:paraId="585C00F7" w14:textId="015245DD" w:rsidR="00264E47" w:rsidRPr="00552BC7" w:rsidRDefault="00264E47" w:rsidP="00886F58">
            <w:pPr>
              <w:jc w:val="center"/>
              <w:rPr>
                <w:rFonts w:ascii="Arial" w:hAnsi="Arial" w:cs="Arial"/>
                <w:sz w:val="20"/>
                <w:szCs w:val="20"/>
              </w:rPr>
            </w:pPr>
            <w:r w:rsidRPr="00552BC7">
              <w:rPr>
                <w:rFonts w:ascii="Arial" w:hAnsi="Arial" w:cs="Arial"/>
                <w:sz w:val="20"/>
                <w:szCs w:val="20"/>
              </w:rPr>
              <w:t>202</w:t>
            </w:r>
            <w:r w:rsidR="003A70F1">
              <w:rPr>
                <w:rFonts w:ascii="Arial" w:hAnsi="Arial" w:cs="Arial"/>
                <w:sz w:val="20"/>
                <w:szCs w:val="20"/>
              </w:rPr>
              <w:t>3</w:t>
            </w:r>
          </w:p>
        </w:tc>
        <w:tc>
          <w:tcPr>
            <w:tcW w:w="611" w:type="pct"/>
            <w:tcBorders>
              <w:top w:val="single" w:sz="4" w:space="0" w:color="auto"/>
              <w:bottom w:val="single" w:sz="4" w:space="0" w:color="auto"/>
            </w:tcBorders>
            <w:shd w:val="clear" w:color="auto" w:fill="auto"/>
            <w:vAlign w:val="center"/>
            <w:hideMark/>
          </w:tcPr>
          <w:p w14:paraId="5C9DEA15" w14:textId="071C5E83" w:rsidR="00264E47" w:rsidRPr="00552BC7" w:rsidRDefault="00264E47" w:rsidP="00886F58">
            <w:pPr>
              <w:jc w:val="center"/>
              <w:rPr>
                <w:rFonts w:ascii="Arial" w:hAnsi="Arial" w:cs="Arial"/>
                <w:sz w:val="20"/>
                <w:szCs w:val="20"/>
              </w:rPr>
            </w:pPr>
            <w:r w:rsidRPr="00552BC7">
              <w:rPr>
                <w:rFonts w:ascii="Arial" w:hAnsi="Arial" w:cs="Arial"/>
                <w:sz w:val="20"/>
                <w:szCs w:val="20"/>
              </w:rPr>
              <w:t>Estimated 202</w:t>
            </w:r>
            <w:r w:rsidR="003A70F1">
              <w:rPr>
                <w:rFonts w:ascii="Arial" w:hAnsi="Arial" w:cs="Arial"/>
                <w:sz w:val="20"/>
                <w:szCs w:val="20"/>
              </w:rPr>
              <w:t>4</w:t>
            </w:r>
          </w:p>
        </w:tc>
      </w:tr>
      <w:tr w:rsidR="003A70F1" w:rsidRPr="00552BC7" w14:paraId="7AA2357B" w14:textId="77777777" w:rsidTr="007657D1">
        <w:trPr>
          <w:trHeight w:val="374"/>
          <w:jc w:val="center"/>
        </w:trPr>
        <w:tc>
          <w:tcPr>
            <w:tcW w:w="2684" w:type="pct"/>
            <w:shd w:val="clear" w:color="auto" w:fill="auto"/>
            <w:noWrap/>
            <w:vAlign w:val="center"/>
            <w:hideMark/>
          </w:tcPr>
          <w:p w14:paraId="34396240" w14:textId="0F9CD6D7" w:rsidR="003A70F1" w:rsidRPr="00552BC7" w:rsidRDefault="003A70F1" w:rsidP="003A70F1">
            <w:pPr>
              <w:rPr>
                <w:rFonts w:ascii="Arial" w:hAnsi="Arial" w:cs="Arial"/>
                <w:sz w:val="20"/>
                <w:szCs w:val="20"/>
              </w:rPr>
            </w:pPr>
            <w:r>
              <w:rPr>
                <w:rFonts w:ascii="Arial" w:hAnsi="Arial" w:cs="Arial"/>
                <w:sz w:val="20"/>
                <w:szCs w:val="20"/>
              </w:rPr>
              <w:t>M</w:t>
            </w:r>
            <w:r w:rsidRPr="003A70F1">
              <w:rPr>
                <w:rFonts w:ascii="Arial" w:hAnsi="Arial" w:cs="Arial"/>
                <w:sz w:val="20"/>
                <w:szCs w:val="20"/>
              </w:rPr>
              <w:t>ining of coal and lignite</w:t>
            </w:r>
          </w:p>
        </w:tc>
        <w:tc>
          <w:tcPr>
            <w:tcW w:w="459" w:type="pct"/>
            <w:tcBorders>
              <w:top w:val="single" w:sz="4" w:space="0" w:color="auto"/>
            </w:tcBorders>
            <w:shd w:val="clear" w:color="auto" w:fill="auto"/>
            <w:noWrap/>
            <w:vAlign w:val="center"/>
            <w:hideMark/>
          </w:tcPr>
          <w:p w14:paraId="187AF151" w14:textId="30DA7C7A" w:rsidR="003A70F1" w:rsidRPr="00552BC7" w:rsidRDefault="003A70F1" w:rsidP="003A70F1">
            <w:pPr>
              <w:jc w:val="center"/>
              <w:rPr>
                <w:rFonts w:ascii="Arial" w:hAnsi="Arial" w:cs="Arial"/>
                <w:sz w:val="20"/>
                <w:szCs w:val="20"/>
              </w:rPr>
            </w:pPr>
            <w:r w:rsidRPr="00DE0776">
              <w:rPr>
                <w:rFonts w:ascii="Arial" w:hAnsi="Arial" w:cs="Arial"/>
                <w:sz w:val="20"/>
                <w:szCs w:val="20"/>
              </w:rPr>
              <w:t>4,8</w:t>
            </w:r>
          </w:p>
        </w:tc>
        <w:tc>
          <w:tcPr>
            <w:tcW w:w="469" w:type="pct"/>
            <w:tcBorders>
              <w:top w:val="single" w:sz="4" w:space="0" w:color="auto"/>
            </w:tcBorders>
            <w:shd w:val="clear" w:color="auto" w:fill="auto"/>
            <w:noWrap/>
            <w:vAlign w:val="center"/>
            <w:hideMark/>
          </w:tcPr>
          <w:p w14:paraId="3F886F84" w14:textId="421B25D7" w:rsidR="003A70F1" w:rsidRPr="00552BC7" w:rsidRDefault="003A70F1" w:rsidP="003A70F1">
            <w:pPr>
              <w:jc w:val="center"/>
              <w:rPr>
                <w:rFonts w:ascii="Arial" w:hAnsi="Arial" w:cs="Arial"/>
                <w:sz w:val="20"/>
                <w:szCs w:val="20"/>
              </w:rPr>
            </w:pPr>
            <w:r w:rsidRPr="00DE0776">
              <w:rPr>
                <w:rFonts w:ascii="Arial" w:hAnsi="Arial" w:cs="Arial"/>
                <w:sz w:val="20"/>
                <w:szCs w:val="20"/>
              </w:rPr>
              <w:t>-0,3</w:t>
            </w:r>
          </w:p>
        </w:tc>
        <w:tc>
          <w:tcPr>
            <w:tcW w:w="365" w:type="pct"/>
            <w:tcBorders>
              <w:top w:val="single" w:sz="4" w:space="0" w:color="auto"/>
            </w:tcBorders>
            <w:shd w:val="clear" w:color="auto" w:fill="auto"/>
            <w:noWrap/>
            <w:vAlign w:val="center"/>
            <w:hideMark/>
          </w:tcPr>
          <w:p w14:paraId="702AF28B" w14:textId="3A0774F2" w:rsidR="003A70F1" w:rsidRPr="00552BC7" w:rsidRDefault="003A70F1" w:rsidP="003A70F1">
            <w:pPr>
              <w:jc w:val="center"/>
              <w:rPr>
                <w:rFonts w:ascii="Arial" w:hAnsi="Arial" w:cs="Arial"/>
                <w:sz w:val="20"/>
                <w:szCs w:val="20"/>
              </w:rPr>
            </w:pPr>
            <w:r w:rsidRPr="00DE0776">
              <w:rPr>
                <w:rFonts w:ascii="Arial" w:hAnsi="Arial" w:cs="Arial"/>
                <w:sz w:val="20"/>
                <w:szCs w:val="20"/>
              </w:rPr>
              <w:t>6,9</w:t>
            </w:r>
          </w:p>
        </w:tc>
        <w:tc>
          <w:tcPr>
            <w:tcW w:w="412" w:type="pct"/>
            <w:tcBorders>
              <w:top w:val="single" w:sz="4" w:space="0" w:color="auto"/>
            </w:tcBorders>
            <w:shd w:val="clear" w:color="auto" w:fill="auto"/>
            <w:noWrap/>
            <w:vAlign w:val="center"/>
            <w:hideMark/>
          </w:tcPr>
          <w:p w14:paraId="3AA7A54C" w14:textId="61FE6418" w:rsidR="003A70F1" w:rsidRPr="00552BC7" w:rsidRDefault="003A70F1" w:rsidP="003A70F1">
            <w:pPr>
              <w:jc w:val="center"/>
              <w:rPr>
                <w:rFonts w:ascii="Arial" w:hAnsi="Arial" w:cs="Arial"/>
                <w:sz w:val="20"/>
                <w:szCs w:val="20"/>
              </w:rPr>
            </w:pPr>
            <w:r w:rsidRPr="00DE0776">
              <w:rPr>
                <w:rFonts w:ascii="Arial" w:hAnsi="Arial" w:cs="Arial"/>
                <w:sz w:val="20"/>
                <w:szCs w:val="20"/>
              </w:rPr>
              <w:t>-1,2</w:t>
            </w:r>
          </w:p>
        </w:tc>
        <w:tc>
          <w:tcPr>
            <w:tcW w:w="611" w:type="pct"/>
            <w:tcBorders>
              <w:top w:val="single" w:sz="4" w:space="0" w:color="auto"/>
            </w:tcBorders>
            <w:shd w:val="clear" w:color="auto" w:fill="auto"/>
            <w:noWrap/>
            <w:vAlign w:val="center"/>
            <w:hideMark/>
          </w:tcPr>
          <w:p w14:paraId="4C7D368A" w14:textId="41BFBDC5" w:rsidR="003A70F1" w:rsidRPr="00552BC7" w:rsidRDefault="003A70F1" w:rsidP="003A70F1">
            <w:pPr>
              <w:jc w:val="center"/>
              <w:rPr>
                <w:rFonts w:ascii="Arial" w:hAnsi="Arial" w:cs="Arial"/>
                <w:sz w:val="20"/>
                <w:szCs w:val="20"/>
              </w:rPr>
            </w:pPr>
            <w:r w:rsidRPr="00DE0776">
              <w:rPr>
                <w:rFonts w:ascii="Arial" w:hAnsi="Arial" w:cs="Arial"/>
                <w:sz w:val="20"/>
                <w:szCs w:val="20"/>
              </w:rPr>
              <w:t>-3,3</w:t>
            </w:r>
          </w:p>
        </w:tc>
      </w:tr>
      <w:tr w:rsidR="003A70F1" w:rsidRPr="00552BC7" w14:paraId="4A8837D2" w14:textId="77777777" w:rsidTr="007657D1">
        <w:trPr>
          <w:trHeight w:val="374"/>
          <w:jc w:val="center"/>
        </w:trPr>
        <w:tc>
          <w:tcPr>
            <w:tcW w:w="2684" w:type="pct"/>
            <w:shd w:val="clear" w:color="auto" w:fill="auto"/>
            <w:noWrap/>
            <w:vAlign w:val="center"/>
            <w:hideMark/>
          </w:tcPr>
          <w:p w14:paraId="3BEA985C" w14:textId="78000C60" w:rsidR="003A70F1" w:rsidRPr="00552BC7" w:rsidRDefault="003A70F1" w:rsidP="003A70F1">
            <w:pPr>
              <w:rPr>
                <w:rFonts w:ascii="Arial" w:hAnsi="Arial" w:cs="Arial"/>
                <w:sz w:val="20"/>
                <w:szCs w:val="20"/>
              </w:rPr>
            </w:pPr>
            <w:r>
              <w:rPr>
                <w:rFonts w:ascii="Arial" w:hAnsi="Arial" w:cs="Arial"/>
                <w:sz w:val="20"/>
                <w:szCs w:val="20"/>
              </w:rPr>
              <w:t>E</w:t>
            </w:r>
            <w:r w:rsidRPr="003A70F1">
              <w:rPr>
                <w:rFonts w:ascii="Arial" w:hAnsi="Arial" w:cs="Arial"/>
                <w:sz w:val="20"/>
                <w:szCs w:val="20"/>
              </w:rPr>
              <w:t>xtraction of crude petroleum and natural gas</w:t>
            </w:r>
          </w:p>
        </w:tc>
        <w:tc>
          <w:tcPr>
            <w:tcW w:w="459" w:type="pct"/>
            <w:shd w:val="clear" w:color="auto" w:fill="auto"/>
            <w:noWrap/>
            <w:vAlign w:val="center"/>
            <w:hideMark/>
          </w:tcPr>
          <w:p w14:paraId="31E3D1D2" w14:textId="7613BF6A" w:rsidR="003A70F1" w:rsidRPr="00552BC7" w:rsidRDefault="003A70F1" w:rsidP="003A70F1">
            <w:pPr>
              <w:jc w:val="center"/>
              <w:rPr>
                <w:rFonts w:ascii="Arial" w:hAnsi="Arial" w:cs="Arial"/>
                <w:sz w:val="20"/>
                <w:szCs w:val="20"/>
              </w:rPr>
            </w:pPr>
            <w:r w:rsidRPr="00DE0776">
              <w:rPr>
                <w:rFonts w:ascii="Arial" w:hAnsi="Arial" w:cs="Arial"/>
                <w:sz w:val="20"/>
                <w:szCs w:val="20"/>
              </w:rPr>
              <w:t>-11,6</w:t>
            </w:r>
          </w:p>
        </w:tc>
        <w:tc>
          <w:tcPr>
            <w:tcW w:w="469" w:type="pct"/>
            <w:shd w:val="clear" w:color="auto" w:fill="auto"/>
            <w:noWrap/>
            <w:vAlign w:val="center"/>
            <w:hideMark/>
          </w:tcPr>
          <w:p w14:paraId="0BF53B4F" w14:textId="06D33E98" w:rsidR="003A70F1" w:rsidRPr="00552BC7" w:rsidRDefault="003A70F1" w:rsidP="003A70F1">
            <w:pPr>
              <w:jc w:val="center"/>
              <w:rPr>
                <w:rFonts w:ascii="Arial" w:hAnsi="Arial" w:cs="Arial"/>
                <w:sz w:val="20"/>
                <w:szCs w:val="20"/>
              </w:rPr>
            </w:pPr>
            <w:r w:rsidRPr="00DE0776">
              <w:rPr>
                <w:rFonts w:ascii="Arial" w:hAnsi="Arial" w:cs="Arial"/>
                <w:sz w:val="20"/>
                <w:szCs w:val="20"/>
              </w:rPr>
              <w:t>-11,1</w:t>
            </w:r>
          </w:p>
        </w:tc>
        <w:tc>
          <w:tcPr>
            <w:tcW w:w="365" w:type="pct"/>
            <w:shd w:val="clear" w:color="auto" w:fill="auto"/>
            <w:noWrap/>
            <w:vAlign w:val="center"/>
            <w:hideMark/>
          </w:tcPr>
          <w:p w14:paraId="59F10D41" w14:textId="4F0A6FDA" w:rsidR="003A70F1" w:rsidRPr="00552BC7" w:rsidRDefault="003A70F1" w:rsidP="003A70F1">
            <w:pPr>
              <w:jc w:val="center"/>
              <w:rPr>
                <w:rFonts w:ascii="Arial" w:hAnsi="Arial" w:cs="Arial"/>
                <w:sz w:val="20"/>
                <w:szCs w:val="20"/>
              </w:rPr>
            </w:pPr>
            <w:r w:rsidRPr="00DE0776">
              <w:rPr>
                <w:rFonts w:ascii="Arial" w:hAnsi="Arial" w:cs="Arial"/>
                <w:sz w:val="20"/>
                <w:szCs w:val="20"/>
              </w:rPr>
              <w:t>-0,6</w:t>
            </w:r>
          </w:p>
        </w:tc>
        <w:tc>
          <w:tcPr>
            <w:tcW w:w="412" w:type="pct"/>
            <w:shd w:val="clear" w:color="auto" w:fill="auto"/>
            <w:noWrap/>
            <w:vAlign w:val="center"/>
            <w:hideMark/>
          </w:tcPr>
          <w:p w14:paraId="0F96625D" w14:textId="50402587" w:rsidR="003A70F1" w:rsidRPr="00552BC7" w:rsidRDefault="003A70F1" w:rsidP="003A70F1">
            <w:pPr>
              <w:jc w:val="center"/>
              <w:rPr>
                <w:rFonts w:ascii="Arial" w:hAnsi="Arial" w:cs="Arial"/>
                <w:sz w:val="20"/>
                <w:szCs w:val="20"/>
              </w:rPr>
            </w:pPr>
            <w:r w:rsidRPr="00DE0776">
              <w:rPr>
                <w:rFonts w:ascii="Arial" w:hAnsi="Arial" w:cs="Arial"/>
                <w:sz w:val="20"/>
                <w:szCs w:val="20"/>
              </w:rPr>
              <w:t>-2,6</w:t>
            </w:r>
          </w:p>
        </w:tc>
        <w:tc>
          <w:tcPr>
            <w:tcW w:w="611" w:type="pct"/>
            <w:shd w:val="clear" w:color="auto" w:fill="auto"/>
            <w:noWrap/>
            <w:vAlign w:val="center"/>
            <w:hideMark/>
          </w:tcPr>
          <w:p w14:paraId="174844E8" w14:textId="58A237B8" w:rsidR="003A70F1" w:rsidRPr="00552BC7" w:rsidRDefault="003A70F1" w:rsidP="003A70F1">
            <w:pPr>
              <w:jc w:val="center"/>
              <w:rPr>
                <w:rFonts w:ascii="Arial" w:hAnsi="Arial" w:cs="Arial"/>
                <w:sz w:val="20"/>
                <w:szCs w:val="20"/>
              </w:rPr>
            </w:pPr>
            <w:r w:rsidRPr="00DE0776">
              <w:rPr>
                <w:rFonts w:ascii="Arial" w:hAnsi="Arial" w:cs="Arial"/>
                <w:sz w:val="20"/>
                <w:szCs w:val="20"/>
              </w:rPr>
              <w:t>-11,2</w:t>
            </w:r>
          </w:p>
        </w:tc>
      </w:tr>
      <w:tr w:rsidR="003A70F1" w:rsidRPr="00552BC7" w14:paraId="247B42D0" w14:textId="77777777" w:rsidTr="007657D1">
        <w:trPr>
          <w:trHeight w:val="374"/>
          <w:jc w:val="center"/>
        </w:trPr>
        <w:tc>
          <w:tcPr>
            <w:tcW w:w="2684" w:type="pct"/>
            <w:shd w:val="clear" w:color="auto" w:fill="auto"/>
            <w:vAlign w:val="center"/>
            <w:hideMark/>
          </w:tcPr>
          <w:p w14:paraId="66D24E53" w14:textId="656A9CF9" w:rsidR="003A70F1" w:rsidRPr="00552BC7" w:rsidRDefault="003A70F1" w:rsidP="003A70F1">
            <w:pPr>
              <w:rPr>
                <w:rFonts w:ascii="Arial" w:hAnsi="Arial" w:cs="Arial"/>
                <w:sz w:val="20"/>
                <w:szCs w:val="20"/>
              </w:rPr>
            </w:pPr>
            <w:r>
              <w:rPr>
                <w:rFonts w:ascii="Arial" w:hAnsi="Arial" w:cs="Arial"/>
                <w:sz w:val="20"/>
                <w:szCs w:val="20"/>
              </w:rPr>
              <w:t>M</w:t>
            </w:r>
            <w:r w:rsidRPr="003A70F1">
              <w:rPr>
                <w:rFonts w:ascii="Arial" w:hAnsi="Arial" w:cs="Arial"/>
                <w:sz w:val="20"/>
                <w:szCs w:val="20"/>
              </w:rPr>
              <w:t>ining of metal ores</w:t>
            </w:r>
          </w:p>
        </w:tc>
        <w:tc>
          <w:tcPr>
            <w:tcW w:w="459" w:type="pct"/>
            <w:shd w:val="clear" w:color="auto" w:fill="auto"/>
            <w:noWrap/>
            <w:vAlign w:val="center"/>
            <w:hideMark/>
          </w:tcPr>
          <w:p w14:paraId="2D13BA98" w14:textId="5E885735" w:rsidR="003A70F1" w:rsidRPr="00552BC7" w:rsidRDefault="003A70F1" w:rsidP="003A70F1">
            <w:pPr>
              <w:jc w:val="center"/>
              <w:rPr>
                <w:rFonts w:ascii="Arial" w:hAnsi="Arial" w:cs="Arial"/>
                <w:sz w:val="20"/>
                <w:szCs w:val="20"/>
              </w:rPr>
            </w:pPr>
            <w:r w:rsidRPr="00DE0776">
              <w:rPr>
                <w:rFonts w:ascii="Arial" w:hAnsi="Arial" w:cs="Arial"/>
                <w:sz w:val="20"/>
                <w:szCs w:val="20"/>
              </w:rPr>
              <w:t>13,4</w:t>
            </w:r>
          </w:p>
        </w:tc>
        <w:tc>
          <w:tcPr>
            <w:tcW w:w="469" w:type="pct"/>
            <w:shd w:val="clear" w:color="auto" w:fill="auto"/>
            <w:noWrap/>
            <w:vAlign w:val="center"/>
            <w:hideMark/>
          </w:tcPr>
          <w:p w14:paraId="68EA1708" w14:textId="53382AAE" w:rsidR="003A70F1" w:rsidRPr="00552BC7" w:rsidRDefault="003A70F1" w:rsidP="003A70F1">
            <w:pPr>
              <w:jc w:val="center"/>
              <w:rPr>
                <w:rFonts w:ascii="Arial" w:hAnsi="Arial" w:cs="Arial"/>
                <w:sz w:val="20"/>
                <w:szCs w:val="20"/>
              </w:rPr>
            </w:pPr>
            <w:r w:rsidRPr="00DE0776">
              <w:rPr>
                <w:rFonts w:ascii="Arial" w:hAnsi="Arial" w:cs="Arial"/>
                <w:sz w:val="20"/>
                <w:szCs w:val="20"/>
              </w:rPr>
              <w:t>3,5</w:t>
            </w:r>
          </w:p>
        </w:tc>
        <w:tc>
          <w:tcPr>
            <w:tcW w:w="365" w:type="pct"/>
            <w:shd w:val="clear" w:color="auto" w:fill="auto"/>
            <w:noWrap/>
            <w:vAlign w:val="center"/>
            <w:hideMark/>
          </w:tcPr>
          <w:p w14:paraId="7782887C" w14:textId="66F12F8F" w:rsidR="003A70F1" w:rsidRPr="00552BC7" w:rsidRDefault="003A70F1" w:rsidP="003A70F1">
            <w:pPr>
              <w:jc w:val="center"/>
              <w:rPr>
                <w:rFonts w:ascii="Arial" w:hAnsi="Arial" w:cs="Arial"/>
                <w:sz w:val="20"/>
                <w:szCs w:val="20"/>
              </w:rPr>
            </w:pPr>
            <w:r w:rsidRPr="00DE0776">
              <w:rPr>
                <w:rFonts w:ascii="Arial" w:hAnsi="Arial" w:cs="Arial"/>
                <w:sz w:val="20"/>
                <w:szCs w:val="20"/>
              </w:rPr>
              <w:t>6,4</w:t>
            </w:r>
          </w:p>
        </w:tc>
        <w:tc>
          <w:tcPr>
            <w:tcW w:w="412" w:type="pct"/>
            <w:shd w:val="clear" w:color="auto" w:fill="auto"/>
            <w:noWrap/>
            <w:vAlign w:val="center"/>
            <w:hideMark/>
          </w:tcPr>
          <w:p w14:paraId="65BB038B" w14:textId="0669CD4F" w:rsidR="003A70F1" w:rsidRPr="00552BC7" w:rsidRDefault="003A70F1" w:rsidP="003A70F1">
            <w:pPr>
              <w:jc w:val="center"/>
              <w:rPr>
                <w:rFonts w:ascii="Arial" w:hAnsi="Arial" w:cs="Arial"/>
                <w:sz w:val="20"/>
                <w:szCs w:val="20"/>
              </w:rPr>
            </w:pPr>
            <w:r w:rsidRPr="00DE0776">
              <w:rPr>
                <w:rFonts w:ascii="Arial" w:hAnsi="Arial" w:cs="Arial"/>
                <w:sz w:val="20"/>
                <w:szCs w:val="20"/>
              </w:rPr>
              <w:t>6,2</w:t>
            </w:r>
          </w:p>
        </w:tc>
        <w:tc>
          <w:tcPr>
            <w:tcW w:w="611" w:type="pct"/>
            <w:shd w:val="clear" w:color="auto" w:fill="auto"/>
            <w:noWrap/>
            <w:vAlign w:val="center"/>
            <w:hideMark/>
          </w:tcPr>
          <w:p w14:paraId="5283C722" w14:textId="31F58F3A" w:rsidR="003A70F1" w:rsidRPr="00552BC7" w:rsidRDefault="003A70F1" w:rsidP="003A70F1">
            <w:pPr>
              <w:jc w:val="center"/>
              <w:rPr>
                <w:rFonts w:ascii="Arial" w:hAnsi="Arial" w:cs="Arial"/>
                <w:sz w:val="20"/>
                <w:szCs w:val="20"/>
              </w:rPr>
            </w:pPr>
            <w:r w:rsidRPr="00DE0776">
              <w:rPr>
                <w:rFonts w:ascii="Arial" w:hAnsi="Arial" w:cs="Arial"/>
                <w:sz w:val="20"/>
                <w:szCs w:val="20"/>
              </w:rPr>
              <w:t>19,0</w:t>
            </w:r>
          </w:p>
        </w:tc>
      </w:tr>
      <w:tr w:rsidR="003A70F1" w:rsidRPr="00552BC7" w14:paraId="4F05FAA8" w14:textId="77777777" w:rsidTr="007657D1">
        <w:trPr>
          <w:trHeight w:val="374"/>
          <w:jc w:val="center"/>
        </w:trPr>
        <w:tc>
          <w:tcPr>
            <w:tcW w:w="2684" w:type="pct"/>
            <w:shd w:val="clear" w:color="auto" w:fill="auto"/>
            <w:vAlign w:val="center"/>
            <w:hideMark/>
          </w:tcPr>
          <w:p w14:paraId="27BEE8C6" w14:textId="616BB4ED" w:rsidR="003A70F1" w:rsidRPr="00552BC7" w:rsidRDefault="003A70F1" w:rsidP="003A70F1">
            <w:pPr>
              <w:rPr>
                <w:rFonts w:ascii="Arial" w:hAnsi="Arial" w:cs="Arial"/>
                <w:sz w:val="20"/>
                <w:szCs w:val="20"/>
              </w:rPr>
            </w:pPr>
            <w:r>
              <w:rPr>
                <w:rFonts w:ascii="Arial" w:hAnsi="Arial" w:cs="Arial"/>
                <w:sz w:val="20"/>
                <w:szCs w:val="20"/>
              </w:rPr>
              <w:t>M</w:t>
            </w:r>
            <w:r w:rsidRPr="003A70F1">
              <w:rPr>
                <w:rFonts w:ascii="Arial" w:hAnsi="Arial" w:cs="Arial"/>
                <w:sz w:val="20"/>
                <w:szCs w:val="20"/>
              </w:rPr>
              <w:t>anufacture of food products</w:t>
            </w:r>
          </w:p>
        </w:tc>
        <w:tc>
          <w:tcPr>
            <w:tcW w:w="459" w:type="pct"/>
            <w:shd w:val="clear" w:color="auto" w:fill="auto"/>
            <w:noWrap/>
            <w:vAlign w:val="center"/>
            <w:hideMark/>
          </w:tcPr>
          <w:p w14:paraId="61F4CB25" w14:textId="556718C9" w:rsidR="003A70F1" w:rsidRPr="00552BC7" w:rsidRDefault="003A70F1" w:rsidP="003A70F1">
            <w:pPr>
              <w:jc w:val="center"/>
              <w:rPr>
                <w:rFonts w:ascii="Arial" w:hAnsi="Arial" w:cs="Arial"/>
                <w:sz w:val="20"/>
                <w:szCs w:val="20"/>
              </w:rPr>
            </w:pPr>
            <w:r w:rsidRPr="00DE0776">
              <w:rPr>
                <w:rFonts w:ascii="Arial" w:hAnsi="Arial" w:cs="Arial"/>
                <w:sz w:val="20"/>
                <w:szCs w:val="20"/>
              </w:rPr>
              <w:t>3,6</w:t>
            </w:r>
          </w:p>
        </w:tc>
        <w:tc>
          <w:tcPr>
            <w:tcW w:w="469" w:type="pct"/>
            <w:shd w:val="clear" w:color="auto" w:fill="auto"/>
            <w:noWrap/>
            <w:vAlign w:val="center"/>
            <w:hideMark/>
          </w:tcPr>
          <w:p w14:paraId="072234C5" w14:textId="71880872" w:rsidR="003A70F1" w:rsidRPr="00552BC7" w:rsidRDefault="003A70F1" w:rsidP="003A70F1">
            <w:pPr>
              <w:jc w:val="center"/>
              <w:rPr>
                <w:rFonts w:ascii="Arial" w:hAnsi="Arial" w:cs="Arial"/>
                <w:sz w:val="20"/>
                <w:szCs w:val="20"/>
              </w:rPr>
            </w:pPr>
            <w:r w:rsidRPr="00DE0776">
              <w:rPr>
                <w:rFonts w:ascii="Arial" w:hAnsi="Arial" w:cs="Arial"/>
                <w:sz w:val="20"/>
                <w:szCs w:val="20"/>
              </w:rPr>
              <w:t>1,5</w:t>
            </w:r>
          </w:p>
        </w:tc>
        <w:tc>
          <w:tcPr>
            <w:tcW w:w="365" w:type="pct"/>
            <w:shd w:val="clear" w:color="auto" w:fill="auto"/>
            <w:noWrap/>
            <w:vAlign w:val="center"/>
            <w:hideMark/>
          </w:tcPr>
          <w:p w14:paraId="464F1360" w14:textId="76E35CC3" w:rsidR="003A70F1" w:rsidRPr="00552BC7" w:rsidRDefault="003A70F1" w:rsidP="003A70F1">
            <w:pPr>
              <w:jc w:val="center"/>
              <w:rPr>
                <w:rFonts w:ascii="Arial" w:hAnsi="Arial" w:cs="Arial"/>
                <w:sz w:val="20"/>
                <w:szCs w:val="20"/>
              </w:rPr>
            </w:pPr>
            <w:r w:rsidRPr="00DE0776">
              <w:rPr>
                <w:rFonts w:ascii="Arial" w:hAnsi="Arial" w:cs="Arial"/>
                <w:sz w:val="20"/>
                <w:szCs w:val="20"/>
              </w:rPr>
              <w:t>9,0</w:t>
            </w:r>
          </w:p>
        </w:tc>
        <w:tc>
          <w:tcPr>
            <w:tcW w:w="412" w:type="pct"/>
            <w:shd w:val="clear" w:color="auto" w:fill="auto"/>
            <w:noWrap/>
            <w:vAlign w:val="center"/>
            <w:hideMark/>
          </w:tcPr>
          <w:p w14:paraId="62A73159" w14:textId="13A99B93" w:rsidR="003A70F1" w:rsidRPr="00552BC7" w:rsidRDefault="003A70F1" w:rsidP="003A70F1">
            <w:pPr>
              <w:jc w:val="center"/>
              <w:rPr>
                <w:rFonts w:ascii="Arial" w:hAnsi="Arial" w:cs="Arial"/>
                <w:sz w:val="20"/>
                <w:szCs w:val="20"/>
              </w:rPr>
            </w:pPr>
            <w:r w:rsidRPr="00DE0776">
              <w:rPr>
                <w:rFonts w:ascii="Arial" w:hAnsi="Arial" w:cs="Arial"/>
                <w:sz w:val="20"/>
                <w:szCs w:val="20"/>
              </w:rPr>
              <w:t>4,9</w:t>
            </w:r>
          </w:p>
        </w:tc>
        <w:tc>
          <w:tcPr>
            <w:tcW w:w="611" w:type="pct"/>
            <w:shd w:val="clear" w:color="auto" w:fill="auto"/>
            <w:noWrap/>
            <w:vAlign w:val="center"/>
            <w:hideMark/>
          </w:tcPr>
          <w:p w14:paraId="431D1D9D" w14:textId="6A977331" w:rsidR="003A70F1" w:rsidRPr="00552BC7" w:rsidRDefault="003A70F1" w:rsidP="003A70F1">
            <w:pPr>
              <w:jc w:val="center"/>
              <w:rPr>
                <w:rFonts w:ascii="Arial" w:hAnsi="Arial" w:cs="Arial"/>
                <w:sz w:val="20"/>
                <w:szCs w:val="20"/>
              </w:rPr>
            </w:pPr>
            <w:r w:rsidRPr="00DE0776">
              <w:rPr>
                <w:rFonts w:ascii="Arial" w:hAnsi="Arial" w:cs="Arial"/>
                <w:sz w:val="20"/>
                <w:szCs w:val="20"/>
              </w:rPr>
              <w:t>7,3</w:t>
            </w:r>
          </w:p>
        </w:tc>
      </w:tr>
      <w:tr w:rsidR="003A70F1" w:rsidRPr="00552BC7" w14:paraId="26558B4D" w14:textId="77777777" w:rsidTr="007657D1">
        <w:trPr>
          <w:trHeight w:val="356"/>
          <w:jc w:val="center"/>
        </w:trPr>
        <w:tc>
          <w:tcPr>
            <w:tcW w:w="2684" w:type="pct"/>
            <w:shd w:val="clear" w:color="auto" w:fill="auto"/>
            <w:vAlign w:val="center"/>
            <w:hideMark/>
          </w:tcPr>
          <w:p w14:paraId="336DEB14" w14:textId="77C85D10" w:rsidR="003A70F1" w:rsidRPr="00552BC7" w:rsidRDefault="003A70F1" w:rsidP="003A70F1">
            <w:pPr>
              <w:rPr>
                <w:rFonts w:ascii="Arial" w:hAnsi="Arial" w:cs="Arial"/>
                <w:sz w:val="20"/>
                <w:szCs w:val="20"/>
              </w:rPr>
            </w:pPr>
            <w:r>
              <w:rPr>
                <w:rFonts w:ascii="Arial" w:hAnsi="Arial" w:cs="Arial"/>
                <w:sz w:val="20"/>
                <w:szCs w:val="20"/>
              </w:rPr>
              <w:t>M</w:t>
            </w:r>
            <w:r w:rsidRPr="003A70F1">
              <w:rPr>
                <w:rFonts w:ascii="Arial" w:hAnsi="Arial" w:cs="Arial"/>
                <w:sz w:val="20"/>
                <w:szCs w:val="20"/>
              </w:rPr>
              <w:t>anufacture of beverages</w:t>
            </w:r>
          </w:p>
        </w:tc>
        <w:tc>
          <w:tcPr>
            <w:tcW w:w="459" w:type="pct"/>
            <w:shd w:val="clear" w:color="auto" w:fill="auto"/>
            <w:noWrap/>
            <w:vAlign w:val="center"/>
            <w:hideMark/>
          </w:tcPr>
          <w:p w14:paraId="1AE03543" w14:textId="441D7D5D" w:rsidR="003A70F1" w:rsidRPr="00552BC7" w:rsidRDefault="003A70F1" w:rsidP="003A70F1">
            <w:pPr>
              <w:jc w:val="center"/>
              <w:rPr>
                <w:rFonts w:ascii="Arial" w:hAnsi="Arial" w:cs="Arial"/>
                <w:sz w:val="20"/>
                <w:szCs w:val="20"/>
              </w:rPr>
            </w:pPr>
            <w:r w:rsidRPr="00DE0776">
              <w:rPr>
                <w:rFonts w:ascii="Arial" w:hAnsi="Arial" w:cs="Arial"/>
                <w:sz w:val="20"/>
                <w:szCs w:val="20"/>
              </w:rPr>
              <w:t>-7,0</w:t>
            </w:r>
          </w:p>
        </w:tc>
        <w:tc>
          <w:tcPr>
            <w:tcW w:w="469" w:type="pct"/>
            <w:shd w:val="clear" w:color="auto" w:fill="auto"/>
            <w:noWrap/>
            <w:vAlign w:val="center"/>
            <w:hideMark/>
          </w:tcPr>
          <w:p w14:paraId="2667FA66" w14:textId="70B2FAF8" w:rsidR="003A70F1" w:rsidRPr="00552BC7" w:rsidRDefault="003A70F1" w:rsidP="003A70F1">
            <w:pPr>
              <w:jc w:val="center"/>
              <w:rPr>
                <w:rFonts w:ascii="Arial" w:hAnsi="Arial" w:cs="Arial"/>
                <w:sz w:val="20"/>
                <w:szCs w:val="20"/>
              </w:rPr>
            </w:pPr>
            <w:r w:rsidRPr="00DE0776">
              <w:rPr>
                <w:rFonts w:ascii="Arial" w:hAnsi="Arial" w:cs="Arial"/>
                <w:sz w:val="20"/>
                <w:szCs w:val="20"/>
              </w:rPr>
              <w:t>0,2</w:t>
            </w:r>
          </w:p>
        </w:tc>
        <w:tc>
          <w:tcPr>
            <w:tcW w:w="365" w:type="pct"/>
            <w:shd w:val="clear" w:color="auto" w:fill="auto"/>
            <w:noWrap/>
            <w:vAlign w:val="center"/>
            <w:hideMark/>
          </w:tcPr>
          <w:p w14:paraId="7DFDD139" w14:textId="0F89B0B1" w:rsidR="003A70F1" w:rsidRPr="00552BC7" w:rsidRDefault="003A70F1" w:rsidP="003A70F1">
            <w:pPr>
              <w:jc w:val="center"/>
              <w:rPr>
                <w:rFonts w:ascii="Arial" w:hAnsi="Arial" w:cs="Arial"/>
                <w:sz w:val="20"/>
                <w:szCs w:val="20"/>
              </w:rPr>
            </w:pPr>
            <w:r w:rsidRPr="00DE0776">
              <w:rPr>
                <w:rFonts w:ascii="Arial" w:hAnsi="Arial" w:cs="Arial"/>
                <w:sz w:val="20"/>
                <w:szCs w:val="20"/>
              </w:rPr>
              <w:t>27,3</w:t>
            </w:r>
          </w:p>
        </w:tc>
        <w:tc>
          <w:tcPr>
            <w:tcW w:w="412" w:type="pct"/>
            <w:shd w:val="clear" w:color="auto" w:fill="auto"/>
            <w:noWrap/>
            <w:vAlign w:val="center"/>
            <w:hideMark/>
          </w:tcPr>
          <w:p w14:paraId="0D50846D" w14:textId="77B748C2" w:rsidR="003A70F1" w:rsidRPr="00552BC7" w:rsidRDefault="003A70F1" w:rsidP="003A70F1">
            <w:pPr>
              <w:jc w:val="center"/>
              <w:rPr>
                <w:rFonts w:ascii="Arial" w:hAnsi="Arial" w:cs="Arial"/>
                <w:sz w:val="20"/>
                <w:szCs w:val="20"/>
              </w:rPr>
            </w:pPr>
            <w:r w:rsidRPr="00DE0776">
              <w:rPr>
                <w:rFonts w:ascii="Arial" w:hAnsi="Arial" w:cs="Arial"/>
                <w:sz w:val="20"/>
                <w:szCs w:val="20"/>
              </w:rPr>
              <w:t>4,0</w:t>
            </w:r>
          </w:p>
        </w:tc>
        <w:tc>
          <w:tcPr>
            <w:tcW w:w="611" w:type="pct"/>
            <w:shd w:val="clear" w:color="auto" w:fill="auto"/>
            <w:noWrap/>
            <w:vAlign w:val="center"/>
            <w:hideMark/>
          </w:tcPr>
          <w:p w14:paraId="64F501DE" w14:textId="408C8720" w:rsidR="003A70F1" w:rsidRPr="00552BC7" w:rsidRDefault="003A70F1" w:rsidP="003A70F1">
            <w:pPr>
              <w:jc w:val="center"/>
              <w:rPr>
                <w:rFonts w:ascii="Arial" w:hAnsi="Arial" w:cs="Arial"/>
                <w:sz w:val="20"/>
                <w:szCs w:val="20"/>
              </w:rPr>
            </w:pPr>
            <w:r w:rsidRPr="00DE0776">
              <w:rPr>
                <w:rFonts w:ascii="Arial" w:hAnsi="Arial" w:cs="Arial"/>
                <w:sz w:val="20"/>
                <w:szCs w:val="20"/>
              </w:rPr>
              <w:t>0,5</w:t>
            </w:r>
          </w:p>
        </w:tc>
      </w:tr>
      <w:tr w:rsidR="003A70F1" w:rsidRPr="00552BC7" w14:paraId="3FEB64F2" w14:textId="77777777" w:rsidTr="007657D1">
        <w:trPr>
          <w:trHeight w:val="436"/>
          <w:jc w:val="center"/>
        </w:trPr>
        <w:tc>
          <w:tcPr>
            <w:tcW w:w="2684" w:type="pct"/>
            <w:shd w:val="clear" w:color="auto" w:fill="auto"/>
            <w:vAlign w:val="center"/>
          </w:tcPr>
          <w:p w14:paraId="3ACDC0CB" w14:textId="2B4BB3FF" w:rsidR="003A70F1" w:rsidRPr="00552BC7" w:rsidRDefault="003A70F1" w:rsidP="003A70F1">
            <w:pPr>
              <w:rPr>
                <w:rFonts w:ascii="Arial" w:hAnsi="Arial" w:cs="Arial"/>
                <w:sz w:val="20"/>
                <w:szCs w:val="20"/>
              </w:rPr>
            </w:pPr>
            <w:r>
              <w:rPr>
                <w:rFonts w:ascii="Arial" w:hAnsi="Arial" w:cs="Arial"/>
                <w:sz w:val="20"/>
                <w:szCs w:val="20"/>
              </w:rPr>
              <w:t>M</w:t>
            </w:r>
            <w:r w:rsidRPr="003A70F1">
              <w:rPr>
                <w:rFonts w:ascii="Arial" w:hAnsi="Arial" w:cs="Arial"/>
                <w:sz w:val="20"/>
                <w:szCs w:val="20"/>
              </w:rPr>
              <w:t>anufacture of textiles</w:t>
            </w:r>
          </w:p>
        </w:tc>
        <w:tc>
          <w:tcPr>
            <w:tcW w:w="459" w:type="pct"/>
            <w:shd w:val="clear" w:color="auto" w:fill="auto"/>
            <w:noWrap/>
            <w:vAlign w:val="center"/>
          </w:tcPr>
          <w:p w14:paraId="026A11F4" w14:textId="36D2ADB9" w:rsidR="003A70F1" w:rsidRPr="00552BC7" w:rsidRDefault="003A70F1" w:rsidP="003A70F1">
            <w:pPr>
              <w:jc w:val="center"/>
              <w:rPr>
                <w:rFonts w:ascii="Arial" w:hAnsi="Arial" w:cs="Arial"/>
                <w:sz w:val="20"/>
                <w:szCs w:val="20"/>
              </w:rPr>
            </w:pPr>
            <w:r w:rsidRPr="00DE0776">
              <w:rPr>
                <w:rFonts w:ascii="Arial" w:hAnsi="Arial" w:cs="Arial"/>
                <w:sz w:val="20"/>
                <w:szCs w:val="20"/>
              </w:rPr>
              <w:t>0,6</w:t>
            </w:r>
          </w:p>
        </w:tc>
        <w:tc>
          <w:tcPr>
            <w:tcW w:w="469" w:type="pct"/>
            <w:shd w:val="clear" w:color="auto" w:fill="auto"/>
            <w:noWrap/>
            <w:vAlign w:val="center"/>
          </w:tcPr>
          <w:p w14:paraId="3A3F67D3" w14:textId="2314E453" w:rsidR="003A70F1" w:rsidRPr="00552BC7" w:rsidRDefault="003A70F1" w:rsidP="003A70F1">
            <w:pPr>
              <w:jc w:val="center"/>
              <w:rPr>
                <w:rFonts w:ascii="Arial" w:hAnsi="Arial" w:cs="Arial"/>
                <w:sz w:val="20"/>
                <w:szCs w:val="20"/>
              </w:rPr>
            </w:pPr>
            <w:r w:rsidRPr="00DE0776">
              <w:rPr>
                <w:rFonts w:ascii="Arial" w:hAnsi="Arial" w:cs="Arial"/>
                <w:sz w:val="20"/>
                <w:szCs w:val="20"/>
              </w:rPr>
              <w:t>8,0</w:t>
            </w:r>
          </w:p>
        </w:tc>
        <w:tc>
          <w:tcPr>
            <w:tcW w:w="365" w:type="pct"/>
            <w:shd w:val="clear" w:color="auto" w:fill="auto"/>
            <w:noWrap/>
            <w:vAlign w:val="center"/>
          </w:tcPr>
          <w:p w14:paraId="2D7EED9C" w14:textId="42DD4588" w:rsidR="003A70F1" w:rsidRPr="00552BC7" w:rsidRDefault="003A70F1" w:rsidP="003A70F1">
            <w:pPr>
              <w:jc w:val="center"/>
              <w:rPr>
                <w:rFonts w:ascii="Arial" w:hAnsi="Arial" w:cs="Arial"/>
                <w:sz w:val="20"/>
                <w:szCs w:val="20"/>
              </w:rPr>
            </w:pPr>
            <w:r w:rsidRPr="00DE0776">
              <w:rPr>
                <w:rFonts w:ascii="Arial" w:hAnsi="Arial" w:cs="Arial"/>
                <w:sz w:val="20"/>
                <w:szCs w:val="20"/>
              </w:rPr>
              <w:t>4,4</w:t>
            </w:r>
          </w:p>
        </w:tc>
        <w:tc>
          <w:tcPr>
            <w:tcW w:w="412" w:type="pct"/>
            <w:shd w:val="clear" w:color="auto" w:fill="auto"/>
            <w:noWrap/>
            <w:vAlign w:val="center"/>
          </w:tcPr>
          <w:p w14:paraId="796E4FFC" w14:textId="39973594" w:rsidR="003A70F1" w:rsidRPr="00552BC7" w:rsidRDefault="003A70F1" w:rsidP="003A70F1">
            <w:pPr>
              <w:jc w:val="center"/>
              <w:rPr>
                <w:rFonts w:ascii="Arial" w:hAnsi="Arial" w:cs="Arial"/>
                <w:sz w:val="20"/>
                <w:szCs w:val="20"/>
              </w:rPr>
            </w:pPr>
            <w:r w:rsidRPr="00DE0776">
              <w:rPr>
                <w:rFonts w:ascii="Arial" w:hAnsi="Arial" w:cs="Arial"/>
                <w:sz w:val="20"/>
                <w:szCs w:val="20"/>
              </w:rPr>
              <w:t>1,8</w:t>
            </w:r>
          </w:p>
        </w:tc>
        <w:tc>
          <w:tcPr>
            <w:tcW w:w="611" w:type="pct"/>
            <w:shd w:val="clear" w:color="auto" w:fill="auto"/>
            <w:noWrap/>
            <w:vAlign w:val="center"/>
          </w:tcPr>
          <w:p w14:paraId="17FF8058" w14:textId="0F622CBE" w:rsidR="003A70F1" w:rsidRPr="00552BC7" w:rsidRDefault="003A70F1" w:rsidP="003A70F1">
            <w:pPr>
              <w:jc w:val="center"/>
              <w:rPr>
                <w:rFonts w:ascii="Arial" w:hAnsi="Arial" w:cs="Arial"/>
                <w:sz w:val="20"/>
                <w:szCs w:val="20"/>
              </w:rPr>
            </w:pPr>
            <w:r w:rsidRPr="00DE0776">
              <w:rPr>
                <w:rFonts w:ascii="Arial" w:hAnsi="Arial" w:cs="Arial"/>
                <w:sz w:val="20"/>
                <w:szCs w:val="20"/>
              </w:rPr>
              <w:t>13,4</w:t>
            </w:r>
          </w:p>
        </w:tc>
      </w:tr>
      <w:tr w:rsidR="003A70F1" w:rsidRPr="00552BC7" w14:paraId="14290639" w14:textId="77777777" w:rsidTr="007657D1">
        <w:trPr>
          <w:trHeight w:val="442"/>
          <w:jc w:val="center"/>
        </w:trPr>
        <w:tc>
          <w:tcPr>
            <w:tcW w:w="2684" w:type="pct"/>
            <w:shd w:val="clear" w:color="auto" w:fill="auto"/>
            <w:vAlign w:val="center"/>
          </w:tcPr>
          <w:p w14:paraId="448C5B80" w14:textId="4ADA02FF" w:rsidR="003A70F1" w:rsidRPr="00552BC7" w:rsidRDefault="007657D1" w:rsidP="003A70F1">
            <w:pPr>
              <w:rPr>
                <w:rFonts w:ascii="Arial" w:hAnsi="Arial" w:cs="Arial"/>
                <w:sz w:val="20"/>
                <w:szCs w:val="20"/>
              </w:rPr>
            </w:pPr>
            <w:r>
              <w:rPr>
                <w:rFonts w:ascii="Arial" w:hAnsi="Arial" w:cs="Arial"/>
                <w:sz w:val="20"/>
                <w:szCs w:val="20"/>
              </w:rPr>
              <w:t>M</w:t>
            </w:r>
            <w:r w:rsidRPr="007657D1">
              <w:rPr>
                <w:rFonts w:ascii="Arial" w:hAnsi="Arial" w:cs="Arial"/>
                <w:sz w:val="20"/>
                <w:szCs w:val="20"/>
              </w:rPr>
              <w:t>anufacture of chemicals and chemical products</w:t>
            </w:r>
          </w:p>
        </w:tc>
        <w:tc>
          <w:tcPr>
            <w:tcW w:w="459" w:type="pct"/>
            <w:shd w:val="clear" w:color="auto" w:fill="auto"/>
            <w:noWrap/>
            <w:vAlign w:val="center"/>
          </w:tcPr>
          <w:p w14:paraId="579F1132" w14:textId="780B09B8" w:rsidR="003A70F1" w:rsidRPr="00552BC7" w:rsidRDefault="003A70F1" w:rsidP="003A70F1">
            <w:pPr>
              <w:jc w:val="center"/>
              <w:rPr>
                <w:rFonts w:ascii="Arial" w:hAnsi="Arial" w:cs="Arial"/>
                <w:sz w:val="20"/>
                <w:szCs w:val="20"/>
              </w:rPr>
            </w:pPr>
            <w:r w:rsidRPr="00DE0776">
              <w:rPr>
                <w:rFonts w:ascii="Arial" w:hAnsi="Arial" w:cs="Arial"/>
                <w:sz w:val="20"/>
                <w:szCs w:val="20"/>
              </w:rPr>
              <w:t>7,4</w:t>
            </w:r>
          </w:p>
        </w:tc>
        <w:tc>
          <w:tcPr>
            <w:tcW w:w="469" w:type="pct"/>
            <w:shd w:val="clear" w:color="auto" w:fill="auto"/>
            <w:noWrap/>
            <w:vAlign w:val="center"/>
          </w:tcPr>
          <w:p w14:paraId="0C6380E3" w14:textId="1D8543BF" w:rsidR="003A70F1" w:rsidRPr="00552BC7" w:rsidRDefault="003A70F1" w:rsidP="003A70F1">
            <w:pPr>
              <w:jc w:val="center"/>
              <w:rPr>
                <w:rFonts w:ascii="Arial" w:hAnsi="Arial" w:cs="Arial"/>
                <w:sz w:val="20"/>
                <w:szCs w:val="20"/>
              </w:rPr>
            </w:pPr>
            <w:r w:rsidRPr="00DE0776">
              <w:rPr>
                <w:rFonts w:ascii="Arial" w:hAnsi="Arial" w:cs="Arial"/>
                <w:sz w:val="20"/>
                <w:szCs w:val="20"/>
              </w:rPr>
              <w:t>0,1</w:t>
            </w:r>
          </w:p>
        </w:tc>
        <w:tc>
          <w:tcPr>
            <w:tcW w:w="365" w:type="pct"/>
            <w:shd w:val="clear" w:color="auto" w:fill="auto"/>
            <w:noWrap/>
            <w:vAlign w:val="center"/>
          </w:tcPr>
          <w:p w14:paraId="60543025" w14:textId="27F9BA85" w:rsidR="003A70F1" w:rsidRPr="00552BC7" w:rsidRDefault="003A70F1" w:rsidP="003A70F1">
            <w:pPr>
              <w:jc w:val="center"/>
              <w:rPr>
                <w:rFonts w:ascii="Arial" w:hAnsi="Arial" w:cs="Arial"/>
                <w:sz w:val="20"/>
                <w:szCs w:val="20"/>
              </w:rPr>
            </w:pPr>
            <w:r w:rsidRPr="00DE0776">
              <w:rPr>
                <w:rFonts w:ascii="Arial" w:hAnsi="Arial" w:cs="Arial"/>
                <w:sz w:val="20"/>
                <w:szCs w:val="20"/>
              </w:rPr>
              <w:t>4,8</w:t>
            </w:r>
          </w:p>
        </w:tc>
        <w:tc>
          <w:tcPr>
            <w:tcW w:w="412" w:type="pct"/>
            <w:shd w:val="clear" w:color="auto" w:fill="auto"/>
            <w:noWrap/>
            <w:vAlign w:val="center"/>
          </w:tcPr>
          <w:p w14:paraId="18C7F7AD" w14:textId="58CEBC32" w:rsidR="003A70F1" w:rsidRPr="00552BC7" w:rsidRDefault="003A70F1" w:rsidP="003A70F1">
            <w:pPr>
              <w:jc w:val="center"/>
              <w:rPr>
                <w:rFonts w:ascii="Arial" w:hAnsi="Arial" w:cs="Arial"/>
                <w:sz w:val="20"/>
                <w:szCs w:val="20"/>
              </w:rPr>
            </w:pPr>
            <w:r w:rsidRPr="00DE0776">
              <w:rPr>
                <w:rFonts w:ascii="Arial" w:hAnsi="Arial" w:cs="Arial"/>
                <w:sz w:val="20"/>
                <w:szCs w:val="20"/>
              </w:rPr>
              <w:t>5,2</w:t>
            </w:r>
          </w:p>
        </w:tc>
        <w:tc>
          <w:tcPr>
            <w:tcW w:w="611" w:type="pct"/>
            <w:shd w:val="clear" w:color="auto" w:fill="auto"/>
            <w:noWrap/>
            <w:vAlign w:val="center"/>
          </w:tcPr>
          <w:p w14:paraId="4A756178" w14:textId="18F445A1" w:rsidR="003A70F1" w:rsidRPr="00552BC7" w:rsidRDefault="003A70F1" w:rsidP="003A70F1">
            <w:pPr>
              <w:jc w:val="center"/>
              <w:rPr>
                <w:rFonts w:ascii="Arial" w:hAnsi="Arial" w:cs="Arial"/>
                <w:sz w:val="20"/>
                <w:szCs w:val="20"/>
              </w:rPr>
            </w:pPr>
            <w:r w:rsidRPr="00DE0776">
              <w:rPr>
                <w:rFonts w:ascii="Arial" w:hAnsi="Arial" w:cs="Arial"/>
                <w:sz w:val="20"/>
                <w:szCs w:val="20"/>
              </w:rPr>
              <w:t>17,8</w:t>
            </w:r>
          </w:p>
        </w:tc>
      </w:tr>
      <w:tr w:rsidR="003A70F1" w:rsidRPr="00552BC7" w14:paraId="6183D70B" w14:textId="77777777" w:rsidTr="007657D1">
        <w:trPr>
          <w:trHeight w:val="442"/>
          <w:jc w:val="center"/>
        </w:trPr>
        <w:tc>
          <w:tcPr>
            <w:tcW w:w="2684" w:type="pct"/>
            <w:shd w:val="clear" w:color="auto" w:fill="auto"/>
            <w:vAlign w:val="center"/>
          </w:tcPr>
          <w:p w14:paraId="04E07315" w14:textId="6D4B9C46" w:rsidR="003A70F1" w:rsidRPr="00552BC7" w:rsidRDefault="007657D1" w:rsidP="003A70F1">
            <w:pPr>
              <w:rPr>
                <w:rFonts w:ascii="Arial" w:hAnsi="Arial" w:cs="Arial"/>
                <w:sz w:val="20"/>
                <w:szCs w:val="20"/>
              </w:rPr>
            </w:pPr>
            <w:r w:rsidRPr="007657D1">
              <w:rPr>
                <w:rFonts w:ascii="Arial" w:hAnsi="Arial" w:cs="Arial"/>
                <w:sz w:val="20"/>
                <w:szCs w:val="20"/>
              </w:rPr>
              <w:t>Manufacture of rubber and plastics products</w:t>
            </w:r>
          </w:p>
        </w:tc>
        <w:tc>
          <w:tcPr>
            <w:tcW w:w="459" w:type="pct"/>
            <w:shd w:val="clear" w:color="auto" w:fill="auto"/>
            <w:noWrap/>
            <w:vAlign w:val="center"/>
          </w:tcPr>
          <w:p w14:paraId="31AB8CD9" w14:textId="591B43D7" w:rsidR="003A70F1" w:rsidRPr="00552BC7" w:rsidRDefault="003A70F1" w:rsidP="003A70F1">
            <w:pPr>
              <w:jc w:val="center"/>
              <w:rPr>
                <w:rFonts w:ascii="Arial" w:hAnsi="Arial" w:cs="Arial"/>
                <w:sz w:val="20"/>
                <w:szCs w:val="20"/>
              </w:rPr>
            </w:pPr>
            <w:r w:rsidRPr="00DE0776">
              <w:rPr>
                <w:rFonts w:ascii="Arial" w:hAnsi="Arial" w:cs="Arial"/>
                <w:sz w:val="20"/>
                <w:szCs w:val="20"/>
              </w:rPr>
              <w:t>3,3</w:t>
            </w:r>
          </w:p>
        </w:tc>
        <w:tc>
          <w:tcPr>
            <w:tcW w:w="469" w:type="pct"/>
            <w:shd w:val="clear" w:color="auto" w:fill="auto"/>
            <w:noWrap/>
            <w:vAlign w:val="center"/>
          </w:tcPr>
          <w:p w14:paraId="1D473EB8" w14:textId="41170504" w:rsidR="003A70F1" w:rsidRPr="00552BC7" w:rsidRDefault="003A70F1" w:rsidP="003A70F1">
            <w:pPr>
              <w:jc w:val="center"/>
              <w:rPr>
                <w:rFonts w:ascii="Arial" w:hAnsi="Arial" w:cs="Arial"/>
                <w:sz w:val="20"/>
                <w:szCs w:val="20"/>
              </w:rPr>
            </w:pPr>
            <w:r w:rsidRPr="00DE0776">
              <w:rPr>
                <w:rFonts w:ascii="Arial" w:hAnsi="Arial" w:cs="Arial"/>
                <w:sz w:val="20"/>
                <w:szCs w:val="20"/>
              </w:rPr>
              <w:t>-0,1</w:t>
            </w:r>
          </w:p>
        </w:tc>
        <w:tc>
          <w:tcPr>
            <w:tcW w:w="365" w:type="pct"/>
            <w:shd w:val="clear" w:color="auto" w:fill="auto"/>
            <w:noWrap/>
            <w:vAlign w:val="center"/>
          </w:tcPr>
          <w:p w14:paraId="513DE32C" w14:textId="4063DEDA" w:rsidR="003A70F1" w:rsidRPr="00552BC7" w:rsidRDefault="003A70F1" w:rsidP="003A70F1">
            <w:pPr>
              <w:jc w:val="center"/>
              <w:rPr>
                <w:rFonts w:ascii="Arial" w:hAnsi="Arial" w:cs="Arial"/>
                <w:sz w:val="20"/>
                <w:szCs w:val="20"/>
              </w:rPr>
            </w:pPr>
            <w:r w:rsidRPr="00DE0776">
              <w:rPr>
                <w:rFonts w:ascii="Arial" w:hAnsi="Arial" w:cs="Arial"/>
                <w:sz w:val="20"/>
                <w:szCs w:val="20"/>
              </w:rPr>
              <w:t>-6,6</w:t>
            </w:r>
          </w:p>
        </w:tc>
        <w:tc>
          <w:tcPr>
            <w:tcW w:w="412" w:type="pct"/>
            <w:shd w:val="clear" w:color="auto" w:fill="auto"/>
            <w:noWrap/>
            <w:vAlign w:val="center"/>
          </w:tcPr>
          <w:p w14:paraId="4E40F004" w14:textId="28BE7D45" w:rsidR="003A70F1" w:rsidRPr="00552BC7" w:rsidRDefault="003A70F1" w:rsidP="003A70F1">
            <w:pPr>
              <w:jc w:val="center"/>
              <w:rPr>
                <w:rFonts w:ascii="Arial" w:hAnsi="Arial" w:cs="Arial"/>
                <w:sz w:val="20"/>
                <w:szCs w:val="20"/>
              </w:rPr>
            </w:pPr>
            <w:r w:rsidRPr="00DE0776">
              <w:rPr>
                <w:rFonts w:ascii="Arial" w:hAnsi="Arial" w:cs="Arial"/>
                <w:sz w:val="20"/>
                <w:szCs w:val="20"/>
              </w:rPr>
              <w:t>8,5</w:t>
            </w:r>
          </w:p>
        </w:tc>
        <w:tc>
          <w:tcPr>
            <w:tcW w:w="611" w:type="pct"/>
            <w:shd w:val="clear" w:color="auto" w:fill="auto"/>
            <w:noWrap/>
            <w:vAlign w:val="center"/>
          </w:tcPr>
          <w:p w14:paraId="2C44ABE9" w14:textId="437BCEA6" w:rsidR="003A70F1" w:rsidRPr="00552BC7" w:rsidRDefault="003A70F1" w:rsidP="003A70F1">
            <w:pPr>
              <w:jc w:val="center"/>
              <w:rPr>
                <w:rFonts w:ascii="Arial" w:hAnsi="Arial" w:cs="Arial"/>
                <w:sz w:val="20"/>
                <w:szCs w:val="20"/>
              </w:rPr>
            </w:pPr>
            <w:r w:rsidRPr="00DE0776">
              <w:rPr>
                <w:rFonts w:ascii="Arial" w:hAnsi="Arial" w:cs="Arial"/>
                <w:sz w:val="20"/>
                <w:szCs w:val="20"/>
              </w:rPr>
              <w:t>29,5</w:t>
            </w:r>
          </w:p>
        </w:tc>
      </w:tr>
      <w:tr w:rsidR="003A70F1" w:rsidRPr="00552BC7" w14:paraId="6911633B" w14:textId="77777777" w:rsidTr="007657D1">
        <w:trPr>
          <w:trHeight w:val="374"/>
          <w:jc w:val="center"/>
        </w:trPr>
        <w:tc>
          <w:tcPr>
            <w:tcW w:w="2684" w:type="pct"/>
            <w:shd w:val="clear" w:color="auto" w:fill="auto"/>
            <w:vAlign w:val="center"/>
            <w:hideMark/>
          </w:tcPr>
          <w:p w14:paraId="19DDB331" w14:textId="48BE531A" w:rsidR="003A70F1" w:rsidRPr="00552BC7" w:rsidRDefault="007657D1" w:rsidP="003A70F1">
            <w:pPr>
              <w:rPr>
                <w:rFonts w:ascii="Arial" w:hAnsi="Arial" w:cs="Arial"/>
                <w:spacing w:val="-4"/>
                <w:sz w:val="20"/>
                <w:szCs w:val="20"/>
              </w:rPr>
            </w:pPr>
            <w:r>
              <w:rPr>
                <w:rFonts w:ascii="Arial" w:hAnsi="Arial" w:cs="Arial"/>
                <w:spacing w:val="-4"/>
                <w:sz w:val="20"/>
                <w:szCs w:val="20"/>
              </w:rPr>
              <w:t>M</w:t>
            </w:r>
            <w:r w:rsidRPr="007657D1">
              <w:rPr>
                <w:rFonts w:ascii="Arial" w:hAnsi="Arial" w:cs="Arial"/>
                <w:spacing w:val="-4"/>
                <w:sz w:val="20"/>
                <w:szCs w:val="20"/>
              </w:rPr>
              <w:t>anufacture of other non-metallic mineral products</w:t>
            </w:r>
          </w:p>
        </w:tc>
        <w:tc>
          <w:tcPr>
            <w:tcW w:w="459" w:type="pct"/>
            <w:shd w:val="clear" w:color="auto" w:fill="auto"/>
            <w:noWrap/>
            <w:vAlign w:val="center"/>
            <w:hideMark/>
          </w:tcPr>
          <w:p w14:paraId="69300B62" w14:textId="2497052B" w:rsidR="003A70F1" w:rsidRPr="00552BC7" w:rsidRDefault="003A70F1" w:rsidP="003A70F1">
            <w:pPr>
              <w:jc w:val="center"/>
              <w:rPr>
                <w:rFonts w:ascii="Arial" w:hAnsi="Arial" w:cs="Arial"/>
                <w:sz w:val="20"/>
                <w:szCs w:val="20"/>
              </w:rPr>
            </w:pPr>
            <w:r w:rsidRPr="00DE0776">
              <w:rPr>
                <w:rFonts w:ascii="Arial" w:hAnsi="Arial" w:cs="Arial"/>
                <w:sz w:val="20"/>
                <w:szCs w:val="20"/>
              </w:rPr>
              <w:t>1,1</w:t>
            </w:r>
          </w:p>
        </w:tc>
        <w:tc>
          <w:tcPr>
            <w:tcW w:w="469" w:type="pct"/>
            <w:shd w:val="clear" w:color="auto" w:fill="auto"/>
            <w:noWrap/>
            <w:vAlign w:val="center"/>
            <w:hideMark/>
          </w:tcPr>
          <w:p w14:paraId="73318B5C" w14:textId="4258AE9C" w:rsidR="003A70F1" w:rsidRPr="00552BC7" w:rsidRDefault="003A70F1" w:rsidP="003A70F1">
            <w:pPr>
              <w:jc w:val="center"/>
              <w:rPr>
                <w:rFonts w:ascii="Arial" w:hAnsi="Arial" w:cs="Arial"/>
                <w:sz w:val="20"/>
                <w:szCs w:val="20"/>
              </w:rPr>
            </w:pPr>
            <w:r w:rsidRPr="00DE0776">
              <w:rPr>
                <w:rFonts w:ascii="Arial" w:hAnsi="Arial" w:cs="Arial"/>
                <w:sz w:val="20"/>
                <w:szCs w:val="20"/>
              </w:rPr>
              <w:t>3,3</w:t>
            </w:r>
          </w:p>
        </w:tc>
        <w:tc>
          <w:tcPr>
            <w:tcW w:w="365" w:type="pct"/>
            <w:shd w:val="clear" w:color="auto" w:fill="auto"/>
            <w:noWrap/>
            <w:vAlign w:val="center"/>
            <w:hideMark/>
          </w:tcPr>
          <w:p w14:paraId="4EBC43AE" w14:textId="384CF6A9" w:rsidR="003A70F1" w:rsidRPr="00552BC7" w:rsidRDefault="003A70F1" w:rsidP="003A70F1">
            <w:pPr>
              <w:jc w:val="center"/>
              <w:rPr>
                <w:rFonts w:ascii="Arial" w:hAnsi="Arial" w:cs="Arial"/>
                <w:sz w:val="20"/>
                <w:szCs w:val="20"/>
              </w:rPr>
            </w:pPr>
            <w:r w:rsidRPr="00DE0776">
              <w:rPr>
                <w:rFonts w:ascii="Arial" w:hAnsi="Arial" w:cs="Arial"/>
                <w:sz w:val="20"/>
                <w:szCs w:val="20"/>
              </w:rPr>
              <w:t>7,2</w:t>
            </w:r>
          </w:p>
        </w:tc>
        <w:tc>
          <w:tcPr>
            <w:tcW w:w="412" w:type="pct"/>
            <w:shd w:val="clear" w:color="auto" w:fill="auto"/>
            <w:noWrap/>
            <w:vAlign w:val="center"/>
            <w:hideMark/>
          </w:tcPr>
          <w:p w14:paraId="277D3C69" w14:textId="3342C7BF" w:rsidR="003A70F1" w:rsidRPr="00552BC7" w:rsidRDefault="003A70F1" w:rsidP="003A70F1">
            <w:pPr>
              <w:jc w:val="center"/>
              <w:rPr>
                <w:rFonts w:ascii="Arial" w:hAnsi="Arial" w:cs="Arial"/>
                <w:sz w:val="20"/>
                <w:szCs w:val="20"/>
              </w:rPr>
            </w:pPr>
            <w:r w:rsidRPr="00DE0776">
              <w:rPr>
                <w:rFonts w:ascii="Arial" w:hAnsi="Arial" w:cs="Arial"/>
                <w:sz w:val="20"/>
                <w:szCs w:val="20"/>
              </w:rPr>
              <w:t>-4,2</w:t>
            </w:r>
          </w:p>
        </w:tc>
        <w:tc>
          <w:tcPr>
            <w:tcW w:w="611" w:type="pct"/>
            <w:shd w:val="clear" w:color="auto" w:fill="auto"/>
            <w:noWrap/>
            <w:vAlign w:val="center"/>
            <w:hideMark/>
          </w:tcPr>
          <w:p w14:paraId="0A834597" w14:textId="230BDE0F" w:rsidR="003A70F1" w:rsidRPr="00552BC7" w:rsidRDefault="003A70F1" w:rsidP="003A70F1">
            <w:pPr>
              <w:jc w:val="center"/>
              <w:rPr>
                <w:rFonts w:ascii="Arial" w:hAnsi="Arial" w:cs="Arial"/>
                <w:sz w:val="20"/>
                <w:szCs w:val="20"/>
              </w:rPr>
            </w:pPr>
            <w:r w:rsidRPr="00DE0776">
              <w:rPr>
                <w:rFonts w:ascii="Arial" w:hAnsi="Arial" w:cs="Arial"/>
                <w:sz w:val="20"/>
                <w:szCs w:val="20"/>
              </w:rPr>
              <w:t>-0,6</w:t>
            </w:r>
          </w:p>
        </w:tc>
      </w:tr>
      <w:tr w:rsidR="003A70F1" w:rsidRPr="00552BC7" w14:paraId="68718E59" w14:textId="77777777" w:rsidTr="007657D1">
        <w:trPr>
          <w:trHeight w:val="374"/>
          <w:jc w:val="center"/>
        </w:trPr>
        <w:tc>
          <w:tcPr>
            <w:tcW w:w="2684" w:type="pct"/>
            <w:shd w:val="clear" w:color="auto" w:fill="auto"/>
            <w:vAlign w:val="center"/>
            <w:hideMark/>
          </w:tcPr>
          <w:p w14:paraId="5B18C32C" w14:textId="0F4EA58D" w:rsidR="003A70F1" w:rsidRPr="00552BC7" w:rsidRDefault="007657D1" w:rsidP="003A70F1">
            <w:pPr>
              <w:rPr>
                <w:rFonts w:ascii="Arial" w:hAnsi="Arial" w:cs="Arial"/>
                <w:sz w:val="20"/>
                <w:szCs w:val="20"/>
              </w:rPr>
            </w:pPr>
            <w:r>
              <w:rPr>
                <w:rFonts w:ascii="Arial" w:hAnsi="Arial" w:cs="Arial"/>
                <w:sz w:val="20"/>
                <w:szCs w:val="20"/>
              </w:rPr>
              <w:t>M</w:t>
            </w:r>
            <w:r w:rsidRPr="007657D1">
              <w:rPr>
                <w:rFonts w:ascii="Arial" w:hAnsi="Arial" w:cs="Arial"/>
                <w:sz w:val="20"/>
                <w:szCs w:val="20"/>
              </w:rPr>
              <w:t>anufacture of basic metals</w:t>
            </w:r>
          </w:p>
        </w:tc>
        <w:tc>
          <w:tcPr>
            <w:tcW w:w="459" w:type="pct"/>
            <w:shd w:val="clear" w:color="auto" w:fill="auto"/>
            <w:noWrap/>
            <w:vAlign w:val="center"/>
            <w:hideMark/>
          </w:tcPr>
          <w:p w14:paraId="600448AC" w14:textId="14762318" w:rsidR="003A70F1" w:rsidRPr="00552BC7" w:rsidRDefault="003A70F1" w:rsidP="003A70F1">
            <w:pPr>
              <w:jc w:val="center"/>
              <w:rPr>
                <w:rFonts w:ascii="Arial" w:hAnsi="Arial" w:cs="Arial"/>
                <w:sz w:val="20"/>
                <w:szCs w:val="20"/>
              </w:rPr>
            </w:pPr>
            <w:r w:rsidRPr="00DE0776">
              <w:rPr>
                <w:rFonts w:ascii="Arial" w:hAnsi="Arial" w:cs="Arial"/>
                <w:sz w:val="20"/>
                <w:szCs w:val="20"/>
              </w:rPr>
              <w:t>-1,9</w:t>
            </w:r>
          </w:p>
        </w:tc>
        <w:tc>
          <w:tcPr>
            <w:tcW w:w="469" w:type="pct"/>
            <w:shd w:val="clear" w:color="auto" w:fill="auto"/>
            <w:noWrap/>
            <w:vAlign w:val="center"/>
            <w:hideMark/>
          </w:tcPr>
          <w:p w14:paraId="1F64D896" w14:textId="43F9C324" w:rsidR="003A70F1" w:rsidRPr="00552BC7" w:rsidRDefault="003A70F1" w:rsidP="003A70F1">
            <w:pPr>
              <w:jc w:val="center"/>
              <w:rPr>
                <w:rFonts w:ascii="Arial" w:hAnsi="Arial" w:cs="Arial"/>
                <w:sz w:val="20"/>
                <w:szCs w:val="20"/>
              </w:rPr>
            </w:pPr>
            <w:r w:rsidRPr="00DE0776">
              <w:rPr>
                <w:rFonts w:ascii="Arial" w:hAnsi="Arial" w:cs="Arial"/>
                <w:sz w:val="20"/>
                <w:szCs w:val="20"/>
              </w:rPr>
              <w:t>30,6</w:t>
            </w:r>
          </w:p>
        </w:tc>
        <w:tc>
          <w:tcPr>
            <w:tcW w:w="365" w:type="pct"/>
            <w:shd w:val="clear" w:color="auto" w:fill="auto"/>
            <w:noWrap/>
            <w:vAlign w:val="center"/>
            <w:hideMark/>
          </w:tcPr>
          <w:p w14:paraId="7AD5ADC2" w14:textId="6909D38A" w:rsidR="003A70F1" w:rsidRPr="00552BC7" w:rsidRDefault="003A70F1" w:rsidP="003A70F1">
            <w:pPr>
              <w:jc w:val="center"/>
              <w:rPr>
                <w:rFonts w:ascii="Arial" w:hAnsi="Arial" w:cs="Arial"/>
                <w:sz w:val="20"/>
                <w:szCs w:val="20"/>
              </w:rPr>
            </w:pPr>
            <w:r w:rsidRPr="00DE0776">
              <w:rPr>
                <w:rFonts w:ascii="Arial" w:hAnsi="Arial" w:cs="Arial"/>
                <w:sz w:val="20"/>
                <w:szCs w:val="20"/>
              </w:rPr>
              <w:t>-1,2</w:t>
            </w:r>
          </w:p>
        </w:tc>
        <w:tc>
          <w:tcPr>
            <w:tcW w:w="412" w:type="pct"/>
            <w:shd w:val="clear" w:color="auto" w:fill="auto"/>
            <w:noWrap/>
            <w:vAlign w:val="center"/>
            <w:hideMark/>
          </w:tcPr>
          <w:p w14:paraId="7277DF50" w14:textId="189CC479" w:rsidR="003A70F1" w:rsidRPr="00552BC7" w:rsidRDefault="003A70F1" w:rsidP="003A70F1">
            <w:pPr>
              <w:jc w:val="center"/>
              <w:rPr>
                <w:rFonts w:ascii="Arial" w:hAnsi="Arial" w:cs="Arial"/>
                <w:sz w:val="20"/>
                <w:szCs w:val="20"/>
              </w:rPr>
            </w:pPr>
            <w:r w:rsidRPr="00DE0776">
              <w:rPr>
                <w:rFonts w:ascii="Arial" w:hAnsi="Arial" w:cs="Arial"/>
                <w:sz w:val="20"/>
                <w:szCs w:val="20"/>
              </w:rPr>
              <w:t>0,6</w:t>
            </w:r>
          </w:p>
        </w:tc>
        <w:tc>
          <w:tcPr>
            <w:tcW w:w="611" w:type="pct"/>
            <w:shd w:val="clear" w:color="auto" w:fill="auto"/>
            <w:noWrap/>
            <w:vAlign w:val="center"/>
            <w:hideMark/>
          </w:tcPr>
          <w:p w14:paraId="7BBEF95E" w14:textId="58844D48" w:rsidR="003A70F1" w:rsidRPr="00552BC7" w:rsidRDefault="003A70F1" w:rsidP="003A70F1">
            <w:pPr>
              <w:jc w:val="center"/>
              <w:rPr>
                <w:rFonts w:ascii="Arial" w:hAnsi="Arial" w:cs="Arial"/>
                <w:sz w:val="20"/>
                <w:szCs w:val="20"/>
              </w:rPr>
            </w:pPr>
            <w:r w:rsidRPr="00DE0776">
              <w:rPr>
                <w:rFonts w:ascii="Arial" w:hAnsi="Arial" w:cs="Arial"/>
                <w:sz w:val="20"/>
                <w:szCs w:val="20"/>
              </w:rPr>
              <w:t>13,2</w:t>
            </w:r>
          </w:p>
        </w:tc>
      </w:tr>
      <w:tr w:rsidR="003A70F1" w:rsidRPr="00552BC7" w14:paraId="41C926DE" w14:textId="77777777" w:rsidTr="007657D1">
        <w:trPr>
          <w:trHeight w:val="374"/>
          <w:jc w:val="center"/>
        </w:trPr>
        <w:tc>
          <w:tcPr>
            <w:tcW w:w="2684" w:type="pct"/>
            <w:shd w:val="clear" w:color="auto" w:fill="auto"/>
            <w:vAlign w:val="center"/>
          </w:tcPr>
          <w:p w14:paraId="676EC844" w14:textId="75744F16" w:rsidR="003A70F1" w:rsidRPr="00552BC7" w:rsidRDefault="007657D1" w:rsidP="003A70F1">
            <w:pPr>
              <w:rPr>
                <w:rFonts w:ascii="Arial" w:hAnsi="Arial" w:cs="Arial"/>
                <w:sz w:val="20"/>
                <w:szCs w:val="20"/>
              </w:rPr>
            </w:pPr>
            <w:r>
              <w:rPr>
                <w:rFonts w:ascii="Arial" w:hAnsi="Arial" w:cs="Arial"/>
                <w:sz w:val="20"/>
                <w:szCs w:val="20"/>
              </w:rPr>
              <w:t>M</w:t>
            </w:r>
            <w:r w:rsidRPr="007657D1">
              <w:rPr>
                <w:rFonts w:ascii="Arial" w:hAnsi="Arial" w:cs="Arial"/>
                <w:sz w:val="20"/>
                <w:szCs w:val="20"/>
              </w:rPr>
              <w:t>anufacture of fabricated metal products, except machinery and equipment</w:t>
            </w:r>
          </w:p>
        </w:tc>
        <w:tc>
          <w:tcPr>
            <w:tcW w:w="459" w:type="pct"/>
            <w:shd w:val="clear" w:color="auto" w:fill="auto"/>
            <w:noWrap/>
            <w:vAlign w:val="center"/>
          </w:tcPr>
          <w:p w14:paraId="2005D40A" w14:textId="189D074E" w:rsidR="003A70F1" w:rsidRPr="00552BC7" w:rsidRDefault="003A70F1" w:rsidP="003A70F1">
            <w:pPr>
              <w:jc w:val="center"/>
              <w:rPr>
                <w:rFonts w:ascii="Arial" w:hAnsi="Arial" w:cs="Arial"/>
                <w:sz w:val="20"/>
                <w:szCs w:val="20"/>
              </w:rPr>
            </w:pPr>
            <w:r w:rsidRPr="00DE0776">
              <w:rPr>
                <w:rFonts w:ascii="Arial" w:hAnsi="Arial" w:cs="Arial"/>
                <w:sz w:val="20"/>
                <w:szCs w:val="20"/>
              </w:rPr>
              <w:t>2,9</w:t>
            </w:r>
          </w:p>
        </w:tc>
        <w:tc>
          <w:tcPr>
            <w:tcW w:w="469" w:type="pct"/>
            <w:shd w:val="clear" w:color="auto" w:fill="auto"/>
            <w:noWrap/>
            <w:vAlign w:val="center"/>
          </w:tcPr>
          <w:p w14:paraId="1AA4365D" w14:textId="0FAA8B26" w:rsidR="003A70F1" w:rsidRPr="00552BC7" w:rsidRDefault="003A70F1" w:rsidP="003A70F1">
            <w:pPr>
              <w:jc w:val="center"/>
              <w:rPr>
                <w:rFonts w:ascii="Arial" w:hAnsi="Arial" w:cs="Arial"/>
                <w:sz w:val="20"/>
                <w:szCs w:val="20"/>
              </w:rPr>
            </w:pPr>
            <w:r w:rsidRPr="00DE0776">
              <w:rPr>
                <w:rFonts w:ascii="Arial" w:hAnsi="Arial" w:cs="Arial"/>
                <w:sz w:val="20"/>
                <w:szCs w:val="20"/>
              </w:rPr>
              <w:t>5,7</w:t>
            </w:r>
          </w:p>
        </w:tc>
        <w:tc>
          <w:tcPr>
            <w:tcW w:w="365" w:type="pct"/>
            <w:shd w:val="clear" w:color="auto" w:fill="auto"/>
            <w:noWrap/>
            <w:vAlign w:val="center"/>
          </w:tcPr>
          <w:p w14:paraId="28C64024" w14:textId="147E8486" w:rsidR="003A70F1" w:rsidRPr="00552BC7" w:rsidRDefault="003A70F1" w:rsidP="003A70F1">
            <w:pPr>
              <w:jc w:val="center"/>
              <w:rPr>
                <w:rFonts w:ascii="Arial" w:hAnsi="Arial" w:cs="Arial"/>
                <w:sz w:val="20"/>
                <w:szCs w:val="20"/>
              </w:rPr>
            </w:pPr>
            <w:r w:rsidRPr="00DE0776">
              <w:rPr>
                <w:rFonts w:ascii="Arial" w:hAnsi="Arial" w:cs="Arial"/>
                <w:sz w:val="20"/>
                <w:szCs w:val="20"/>
              </w:rPr>
              <w:t>9,8</w:t>
            </w:r>
          </w:p>
        </w:tc>
        <w:tc>
          <w:tcPr>
            <w:tcW w:w="412" w:type="pct"/>
            <w:shd w:val="clear" w:color="auto" w:fill="auto"/>
            <w:noWrap/>
            <w:vAlign w:val="center"/>
          </w:tcPr>
          <w:p w14:paraId="58975AF3" w14:textId="4F77D090" w:rsidR="003A70F1" w:rsidRPr="00552BC7" w:rsidRDefault="003A70F1" w:rsidP="003A70F1">
            <w:pPr>
              <w:jc w:val="center"/>
              <w:rPr>
                <w:rFonts w:ascii="Arial" w:hAnsi="Arial" w:cs="Arial"/>
                <w:sz w:val="20"/>
                <w:szCs w:val="20"/>
              </w:rPr>
            </w:pPr>
            <w:r w:rsidRPr="00DE0776">
              <w:rPr>
                <w:rFonts w:ascii="Arial" w:hAnsi="Arial" w:cs="Arial"/>
                <w:sz w:val="20"/>
                <w:szCs w:val="20"/>
              </w:rPr>
              <w:t>6,7</w:t>
            </w:r>
          </w:p>
        </w:tc>
        <w:tc>
          <w:tcPr>
            <w:tcW w:w="611" w:type="pct"/>
            <w:shd w:val="clear" w:color="auto" w:fill="auto"/>
            <w:noWrap/>
            <w:vAlign w:val="center"/>
          </w:tcPr>
          <w:p w14:paraId="41890D1F" w14:textId="1E625AA2" w:rsidR="003A70F1" w:rsidRPr="00552BC7" w:rsidRDefault="003A70F1" w:rsidP="003A70F1">
            <w:pPr>
              <w:jc w:val="center"/>
              <w:rPr>
                <w:rFonts w:ascii="Arial" w:hAnsi="Arial" w:cs="Arial"/>
                <w:sz w:val="20"/>
                <w:szCs w:val="20"/>
              </w:rPr>
            </w:pPr>
            <w:r w:rsidRPr="00DE0776">
              <w:rPr>
                <w:rFonts w:ascii="Arial" w:hAnsi="Arial" w:cs="Arial"/>
                <w:sz w:val="20"/>
                <w:szCs w:val="20"/>
              </w:rPr>
              <w:t>12,6</w:t>
            </w:r>
          </w:p>
        </w:tc>
      </w:tr>
      <w:tr w:rsidR="003A70F1" w:rsidRPr="00552BC7" w14:paraId="1EAC713A" w14:textId="77777777" w:rsidTr="007657D1">
        <w:trPr>
          <w:trHeight w:val="374"/>
          <w:jc w:val="center"/>
        </w:trPr>
        <w:tc>
          <w:tcPr>
            <w:tcW w:w="2684" w:type="pct"/>
            <w:shd w:val="clear" w:color="auto" w:fill="auto"/>
            <w:vAlign w:val="center"/>
            <w:hideMark/>
          </w:tcPr>
          <w:p w14:paraId="5CE4ECDC" w14:textId="2C27475A" w:rsidR="003A70F1" w:rsidRPr="00552BC7" w:rsidRDefault="007657D1" w:rsidP="003A70F1">
            <w:pPr>
              <w:rPr>
                <w:rFonts w:ascii="Arial" w:hAnsi="Arial" w:cs="Arial"/>
                <w:sz w:val="20"/>
                <w:szCs w:val="20"/>
              </w:rPr>
            </w:pPr>
            <w:r>
              <w:rPr>
                <w:rFonts w:ascii="Arial" w:hAnsi="Arial" w:cs="Arial"/>
                <w:sz w:val="20"/>
                <w:szCs w:val="20"/>
              </w:rPr>
              <w:t>M</w:t>
            </w:r>
            <w:r w:rsidRPr="007657D1">
              <w:rPr>
                <w:rFonts w:ascii="Arial" w:hAnsi="Arial" w:cs="Arial"/>
                <w:sz w:val="20"/>
                <w:szCs w:val="20"/>
              </w:rPr>
              <w:t>anufacture of computer, electronic and optical products</w:t>
            </w:r>
          </w:p>
        </w:tc>
        <w:tc>
          <w:tcPr>
            <w:tcW w:w="459" w:type="pct"/>
            <w:shd w:val="clear" w:color="auto" w:fill="auto"/>
            <w:noWrap/>
            <w:vAlign w:val="center"/>
            <w:hideMark/>
          </w:tcPr>
          <w:p w14:paraId="555FA86F" w14:textId="14710B9E" w:rsidR="003A70F1" w:rsidRPr="00552BC7" w:rsidRDefault="003A70F1" w:rsidP="003A70F1">
            <w:pPr>
              <w:jc w:val="center"/>
              <w:rPr>
                <w:rFonts w:ascii="Arial" w:hAnsi="Arial" w:cs="Arial"/>
                <w:sz w:val="20"/>
                <w:szCs w:val="20"/>
              </w:rPr>
            </w:pPr>
            <w:r w:rsidRPr="00DE0776">
              <w:rPr>
                <w:rFonts w:ascii="Arial" w:hAnsi="Arial" w:cs="Arial"/>
                <w:sz w:val="20"/>
                <w:szCs w:val="20"/>
              </w:rPr>
              <w:t>8,7</w:t>
            </w:r>
          </w:p>
        </w:tc>
        <w:tc>
          <w:tcPr>
            <w:tcW w:w="469" w:type="pct"/>
            <w:shd w:val="clear" w:color="auto" w:fill="auto"/>
            <w:noWrap/>
            <w:vAlign w:val="center"/>
            <w:hideMark/>
          </w:tcPr>
          <w:p w14:paraId="51CD9579" w14:textId="17D8BFC5" w:rsidR="003A70F1" w:rsidRPr="00552BC7" w:rsidRDefault="003A70F1" w:rsidP="003A70F1">
            <w:pPr>
              <w:jc w:val="center"/>
              <w:rPr>
                <w:rFonts w:ascii="Arial" w:hAnsi="Arial" w:cs="Arial"/>
                <w:sz w:val="20"/>
                <w:szCs w:val="20"/>
              </w:rPr>
            </w:pPr>
            <w:r w:rsidRPr="00DE0776">
              <w:rPr>
                <w:rFonts w:ascii="Arial" w:hAnsi="Arial" w:cs="Arial"/>
                <w:sz w:val="20"/>
                <w:szCs w:val="20"/>
              </w:rPr>
              <w:t>8,5</w:t>
            </w:r>
          </w:p>
        </w:tc>
        <w:tc>
          <w:tcPr>
            <w:tcW w:w="365" w:type="pct"/>
            <w:shd w:val="clear" w:color="auto" w:fill="auto"/>
            <w:noWrap/>
            <w:vAlign w:val="center"/>
            <w:hideMark/>
          </w:tcPr>
          <w:p w14:paraId="56EC130E" w14:textId="7E25D6FE" w:rsidR="003A70F1" w:rsidRPr="00552BC7" w:rsidRDefault="003A70F1" w:rsidP="003A70F1">
            <w:pPr>
              <w:jc w:val="center"/>
              <w:rPr>
                <w:rFonts w:ascii="Arial" w:hAnsi="Arial" w:cs="Arial"/>
                <w:sz w:val="20"/>
                <w:szCs w:val="20"/>
              </w:rPr>
            </w:pPr>
            <w:r w:rsidRPr="00DE0776">
              <w:rPr>
                <w:rFonts w:ascii="Arial" w:hAnsi="Arial" w:cs="Arial"/>
                <w:sz w:val="20"/>
                <w:szCs w:val="20"/>
              </w:rPr>
              <w:t>11,0</w:t>
            </w:r>
          </w:p>
        </w:tc>
        <w:tc>
          <w:tcPr>
            <w:tcW w:w="412" w:type="pct"/>
            <w:shd w:val="clear" w:color="auto" w:fill="auto"/>
            <w:noWrap/>
            <w:vAlign w:val="center"/>
            <w:hideMark/>
          </w:tcPr>
          <w:p w14:paraId="39A3E098" w14:textId="32A593C3" w:rsidR="003A70F1" w:rsidRPr="00552BC7" w:rsidRDefault="003A70F1" w:rsidP="003A70F1">
            <w:pPr>
              <w:jc w:val="center"/>
              <w:rPr>
                <w:rFonts w:ascii="Arial" w:hAnsi="Arial" w:cs="Arial"/>
                <w:sz w:val="20"/>
                <w:szCs w:val="20"/>
              </w:rPr>
            </w:pPr>
            <w:r w:rsidRPr="00DE0776">
              <w:rPr>
                <w:rFonts w:ascii="Arial" w:hAnsi="Arial" w:cs="Arial"/>
                <w:sz w:val="20"/>
                <w:szCs w:val="20"/>
              </w:rPr>
              <w:t>-3,2</w:t>
            </w:r>
          </w:p>
        </w:tc>
        <w:tc>
          <w:tcPr>
            <w:tcW w:w="611" w:type="pct"/>
            <w:shd w:val="clear" w:color="auto" w:fill="auto"/>
            <w:noWrap/>
            <w:vAlign w:val="center"/>
            <w:hideMark/>
          </w:tcPr>
          <w:p w14:paraId="5EEBFF42" w14:textId="659785E8" w:rsidR="003A70F1" w:rsidRPr="00552BC7" w:rsidRDefault="003A70F1" w:rsidP="003A70F1">
            <w:pPr>
              <w:jc w:val="center"/>
              <w:rPr>
                <w:rFonts w:ascii="Arial" w:hAnsi="Arial" w:cs="Arial"/>
                <w:sz w:val="20"/>
                <w:szCs w:val="20"/>
              </w:rPr>
            </w:pPr>
            <w:r w:rsidRPr="00DE0776">
              <w:rPr>
                <w:rFonts w:ascii="Arial" w:hAnsi="Arial" w:cs="Arial"/>
                <w:sz w:val="20"/>
                <w:szCs w:val="20"/>
              </w:rPr>
              <w:t>9,8</w:t>
            </w:r>
          </w:p>
        </w:tc>
      </w:tr>
      <w:tr w:rsidR="003A70F1" w:rsidRPr="00552BC7" w14:paraId="27DD8BB6" w14:textId="77777777" w:rsidTr="007657D1">
        <w:trPr>
          <w:trHeight w:val="374"/>
          <w:jc w:val="center"/>
        </w:trPr>
        <w:tc>
          <w:tcPr>
            <w:tcW w:w="2684" w:type="pct"/>
            <w:shd w:val="clear" w:color="auto" w:fill="auto"/>
            <w:noWrap/>
            <w:vAlign w:val="center"/>
            <w:hideMark/>
          </w:tcPr>
          <w:p w14:paraId="58808746" w14:textId="25076564" w:rsidR="003A70F1" w:rsidRPr="00552BC7" w:rsidRDefault="007657D1" w:rsidP="003A70F1">
            <w:pPr>
              <w:rPr>
                <w:rFonts w:ascii="Arial" w:hAnsi="Arial" w:cs="Arial"/>
                <w:sz w:val="20"/>
                <w:szCs w:val="20"/>
              </w:rPr>
            </w:pPr>
            <w:r w:rsidRPr="007657D1">
              <w:rPr>
                <w:rFonts w:ascii="Arial" w:hAnsi="Arial" w:cs="Arial"/>
                <w:sz w:val="20"/>
                <w:szCs w:val="20"/>
              </w:rPr>
              <w:t>Manufacture of other transport equipment</w:t>
            </w:r>
          </w:p>
        </w:tc>
        <w:tc>
          <w:tcPr>
            <w:tcW w:w="459" w:type="pct"/>
            <w:shd w:val="clear" w:color="auto" w:fill="auto"/>
            <w:noWrap/>
            <w:vAlign w:val="center"/>
            <w:hideMark/>
          </w:tcPr>
          <w:p w14:paraId="55D27407" w14:textId="6E9A6924" w:rsidR="003A70F1" w:rsidRPr="00552BC7" w:rsidRDefault="003A70F1" w:rsidP="003A70F1">
            <w:pPr>
              <w:jc w:val="center"/>
              <w:rPr>
                <w:rFonts w:ascii="Arial" w:hAnsi="Arial" w:cs="Arial"/>
                <w:sz w:val="20"/>
                <w:szCs w:val="20"/>
              </w:rPr>
            </w:pPr>
            <w:r w:rsidRPr="00DE0776">
              <w:rPr>
                <w:rFonts w:ascii="Arial" w:hAnsi="Arial" w:cs="Arial"/>
                <w:sz w:val="20"/>
                <w:szCs w:val="20"/>
              </w:rPr>
              <w:t>-9,5</w:t>
            </w:r>
          </w:p>
        </w:tc>
        <w:tc>
          <w:tcPr>
            <w:tcW w:w="469" w:type="pct"/>
            <w:shd w:val="clear" w:color="auto" w:fill="auto"/>
            <w:noWrap/>
            <w:vAlign w:val="center"/>
            <w:hideMark/>
          </w:tcPr>
          <w:p w14:paraId="05BA0418" w14:textId="54C02054" w:rsidR="003A70F1" w:rsidRPr="00552BC7" w:rsidRDefault="003A70F1" w:rsidP="003A70F1">
            <w:pPr>
              <w:jc w:val="center"/>
              <w:rPr>
                <w:rFonts w:ascii="Arial" w:hAnsi="Arial" w:cs="Arial"/>
                <w:sz w:val="20"/>
                <w:szCs w:val="20"/>
              </w:rPr>
            </w:pPr>
            <w:r w:rsidRPr="00DE0776">
              <w:rPr>
                <w:rFonts w:ascii="Arial" w:hAnsi="Arial" w:cs="Arial"/>
                <w:sz w:val="20"/>
                <w:szCs w:val="20"/>
              </w:rPr>
              <w:t>1,1</w:t>
            </w:r>
          </w:p>
        </w:tc>
        <w:tc>
          <w:tcPr>
            <w:tcW w:w="365" w:type="pct"/>
            <w:shd w:val="clear" w:color="auto" w:fill="auto"/>
            <w:noWrap/>
            <w:vAlign w:val="center"/>
            <w:hideMark/>
          </w:tcPr>
          <w:p w14:paraId="4C3BAE23" w14:textId="7FFABBFD" w:rsidR="003A70F1" w:rsidRPr="00552BC7" w:rsidRDefault="003A70F1" w:rsidP="003A70F1">
            <w:pPr>
              <w:jc w:val="center"/>
              <w:rPr>
                <w:rFonts w:ascii="Arial" w:hAnsi="Arial" w:cs="Arial"/>
                <w:sz w:val="20"/>
                <w:szCs w:val="20"/>
              </w:rPr>
            </w:pPr>
            <w:r w:rsidRPr="00DE0776">
              <w:rPr>
                <w:rFonts w:ascii="Arial" w:hAnsi="Arial" w:cs="Arial"/>
                <w:sz w:val="20"/>
                <w:szCs w:val="20"/>
              </w:rPr>
              <w:t>3,7</w:t>
            </w:r>
          </w:p>
        </w:tc>
        <w:tc>
          <w:tcPr>
            <w:tcW w:w="412" w:type="pct"/>
            <w:shd w:val="clear" w:color="auto" w:fill="auto"/>
            <w:noWrap/>
            <w:vAlign w:val="center"/>
            <w:hideMark/>
          </w:tcPr>
          <w:p w14:paraId="28944F01" w14:textId="29155540" w:rsidR="003A70F1" w:rsidRPr="00552BC7" w:rsidRDefault="003A70F1" w:rsidP="003A70F1">
            <w:pPr>
              <w:jc w:val="center"/>
              <w:rPr>
                <w:rFonts w:ascii="Arial" w:hAnsi="Arial" w:cs="Arial"/>
                <w:sz w:val="20"/>
                <w:szCs w:val="20"/>
              </w:rPr>
            </w:pPr>
            <w:r w:rsidRPr="00DE0776">
              <w:rPr>
                <w:rFonts w:ascii="Arial" w:hAnsi="Arial" w:cs="Arial"/>
                <w:sz w:val="20"/>
                <w:szCs w:val="20"/>
              </w:rPr>
              <w:t>-6,0</w:t>
            </w:r>
          </w:p>
        </w:tc>
        <w:tc>
          <w:tcPr>
            <w:tcW w:w="611" w:type="pct"/>
            <w:shd w:val="clear" w:color="auto" w:fill="auto"/>
            <w:noWrap/>
            <w:vAlign w:val="center"/>
            <w:hideMark/>
          </w:tcPr>
          <w:p w14:paraId="5CA7AE7B" w14:textId="31DD40C8" w:rsidR="003A70F1" w:rsidRPr="00552BC7" w:rsidRDefault="003A70F1" w:rsidP="003A70F1">
            <w:pPr>
              <w:jc w:val="center"/>
              <w:rPr>
                <w:rFonts w:ascii="Arial" w:hAnsi="Arial" w:cs="Arial"/>
                <w:sz w:val="20"/>
                <w:szCs w:val="20"/>
              </w:rPr>
            </w:pPr>
            <w:r w:rsidRPr="00DE0776">
              <w:rPr>
                <w:rFonts w:ascii="Arial" w:hAnsi="Arial" w:cs="Arial"/>
                <w:sz w:val="20"/>
                <w:szCs w:val="20"/>
              </w:rPr>
              <w:t>4,0</w:t>
            </w:r>
          </w:p>
        </w:tc>
      </w:tr>
      <w:tr w:rsidR="003A70F1" w:rsidRPr="00552BC7" w14:paraId="45243C33" w14:textId="77777777" w:rsidTr="007657D1">
        <w:trPr>
          <w:trHeight w:val="457"/>
          <w:jc w:val="center"/>
        </w:trPr>
        <w:tc>
          <w:tcPr>
            <w:tcW w:w="2684" w:type="pct"/>
            <w:tcBorders>
              <w:bottom w:val="nil"/>
            </w:tcBorders>
            <w:shd w:val="clear" w:color="auto" w:fill="auto"/>
            <w:vAlign w:val="center"/>
            <w:hideMark/>
          </w:tcPr>
          <w:p w14:paraId="79459596" w14:textId="34092E9E" w:rsidR="003A70F1" w:rsidRPr="00552BC7" w:rsidRDefault="007657D1" w:rsidP="003A70F1">
            <w:pPr>
              <w:rPr>
                <w:rFonts w:ascii="Arial" w:hAnsi="Arial" w:cs="Arial"/>
                <w:sz w:val="20"/>
                <w:szCs w:val="20"/>
              </w:rPr>
            </w:pPr>
            <w:r>
              <w:rPr>
                <w:rFonts w:ascii="Arial" w:hAnsi="Arial" w:cs="Arial"/>
                <w:sz w:val="20"/>
                <w:szCs w:val="20"/>
              </w:rPr>
              <w:lastRenderedPageBreak/>
              <w:t>M</w:t>
            </w:r>
            <w:r w:rsidRPr="007657D1">
              <w:rPr>
                <w:rFonts w:ascii="Arial" w:hAnsi="Arial" w:cs="Arial"/>
                <w:sz w:val="20"/>
                <w:szCs w:val="20"/>
              </w:rPr>
              <w:t>anufacture of furniture</w:t>
            </w:r>
          </w:p>
        </w:tc>
        <w:tc>
          <w:tcPr>
            <w:tcW w:w="459" w:type="pct"/>
            <w:tcBorders>
              <w:bottom w:val="nil"/>
            </w:tcBorders>
            <w:shd w:val="clear" w:color="auto" w:fill="auto"/>
            <w:noWrap/>
            <w:vAlign w:val="center"/>
            <w:hideMark/>
          </w:tcPr>
          <w:p w14:paraId="7D889ED7" w14:textId="115060A7" w:rsidR="003A70F1" w:rsidRPr="00552BC7" w:rsidRDefault="003A70F1" w:rsidP="003A70F1">
            <w:pPr>
              <w:jc w:val="center"/>
              <w:rPr>
                <w:rFonts w:ascii="Arial" w:hAnsi="Arial" w:cs="Arial"/>
                <w:sz w:val="20"/>
                <w:szCs w:val="20"/>
              </w:rPr>
            </w:pPr>
            <w:r w:rsidRPr="00DE0776">
              <w:rPr>
                <w:rFonts w:ascii="Arial" w:hAnsi="Arial" w:cs="Arial"/>
                <w:sz w:val="20"/>
                <w:szCs w:val="20"/>
              </w:rPr>
              <w:t>4,8</w:t>
            </w:r>
          </w:p>
        </w:tc>
        <w:tc>
          <w:tcPr>
            <w:tcW w:w="469" w:type="pct"/>
            <w:tcBorders>
              <w:bottom w:val="nil"/>
            </w:tcBorders>
            <w:shd w:val="clear" w:color="auto" w:fill="auto"/>
            <w:noWrap/>
            <w:vAlign w:val="center"/>
            <w:hideMark/>
          </w:tcPr>
          <w:p w14:paraId="7D4287FA" w14:textId="200AF2DE" w:rsidR="003A70F1" w:rsidRPr="00552BC7" w:rsidRDefault="003A70F1" w:rsidP="003A70F1">
            <w:pPr>
              <w:jc w:val="center"/>
              <w:rPr>
                <w:rFonts w:ascii="Arial" w:hAnsi="Arial" w:cs="Arial"/>
                <w:sz w:val="20"/>
                <w:szCs w:val="20"/>
              </w:rPr>
            </w:pPr>
            <w:r w:rsidRPr="00DE0776">
              <w:rPr>
                <w:rFonts w:ascii="Arial" w:hAnsi="Arial" w:cs="Arial"/>
                <w:sz w:val="20"/>
                <w:szCs w:val="20"/>
              </w:rPr>
              <w:t>7,8</w:t>
            </w:r>
          </w:p>
        </w:tc>
        <w:tc>
          <w:tcPr>
            <w:tcW w:w="365" w:type="pct"/>
            <w:tcBorders>
              <w:bottom w:val="nil"/>
            </w:tcBorders>
            <w:shd w:val="clear" w:color="auto" w:fill="auto"/>
            <w:noWrap/>
            <w:vAlign w:val="center"/>
            <w:hideMark/>
          </w:tcPr>
          <w:p w14:paraId="7C6774FB" w14:textId="196F1072" w:rsidR="003A70F1" w:rsidRPr="00552BC7" w:rsidRDefault="003A70F1" w:rsidP="003A70F1">
            <w:pPr>
              <w:jc w:val="center"/>
              <w:rPr>
                <w:rFonts w:ascii="Arial" w:hAnsi="Arial" w:cs="Arial"/>
                <w:sz w:val="20"/>
                <w:szCs w:val="20"/>
              </w:rPr>
            </w:pPr>
            <w:r w:rsidRPr="00DE0776">
              <w:rPr>
                <w:rFonts w:ascii="Arial" w:hAnsi="Arial" w:cs="Arial"/>
                <w:sz w:val="20"/>
                <w:szCs w:val="20"/>
              </w:rPr>
              <w:t>5,3</w:t>
            </w:r>
          </w:p>
        </w:tc>
        <w:tc>
          <w:tcPr>
            <w:tcW w:w="412" w:type="pct"/>
            <w:tcBorders>
              <w:bottom w:val="nil"/>
            </w:tcBorders>
            <w:shd w:val="clear" w:color="auto" w:fill="auto"/>
            <w:noWrap/>
            <w:vAlign w:val="center"/>
            <w:hideMark/>
          </w:tcPr>
          <w:p w14:paraId="27FFC86E" w14:textId="496640F9" w:rsidR="003A70F1" w:rsidRPr="00552BC7" w:rsidRDefault="003A70F1" w:rsidP="003A70F1">
            <w:pPr>
              <w:jc w:val="center"/>
              <w:rPr>
                <w:rFonts w:ascii="Arial" w:hAnsi="Arial" w:cs="Arial"/>
                <w:sz w:val="20"/>
                <w:szCs w:val="20"/>
              </w:rPr>
            </w:pPr>
            <w:r w:rsidRPr="00DE0776">
              <w:rPr>
                <w:rFonts w:ascii="Arial" w:hAnsi="Arial" w:cs="Arial"/>
                <w:sz w:val="20"/>
                <w:szCs w:val="20"/>
              </w:rPr>
              <w:t>0,8</w:t>
            </w:r>
          </w:p>
        </w:tc>
        <w:tc>
          <w:tcPr>
            <w:tcW w:w="611" w:type="pct"/>
            <w:tcBorders>
              <w:bottom w:val="nil"/>
            </w:tcBorders>
            <w:shd w:val="clear" w:color="auto" w:fill="auto"/>
            <w:noWrap/>
            <w:vAlign w:val="center"/>
            <w:hideMark/>
          </w:tcPr>
          <w:p w14:paraId="1AB8F88F" w14:textId="4BBFA6AC" w:rsidR="003A70F1" w:rsidRPr="00552BC7" w:rsidRDefault="003A70F1" w:rsidP="003A70F1">
            <w:pPr>
              <w:jc w:val="center"/>
              <w:rPr>
                <w:rFonts w:ascii="Arial" w:hAnsi="Arial" w:cs="Arial"/>
                <w:sz w:val="20"/>
                <w:szCs w:val="20"/>
              </w:rPr>
            </w:pPr>
            <w:r w:rsidRPr="00DE0776">
              <w:rPr>
                <w:rFonts w:ascii="Arial" w:hAnsi="Arial" w:cs="Arial"/>
                <w:sz w:val="20"/>
                <w:szCs w:val="20"/>
              </w:rPr>
              <w:t>21,6</w:t>
            </w:r>
          </w:p>
        </w:tc>
      </w:tr>
      <w:tr w:rsidR="003A70F1" w:rsidRPr="00552BC7" w14:paraId="38658481" w14:textId="77777777" w:rsidTr="007657D1">
        <w:trPr>
          <w:trHeight w:val="374"/>
          <w:jc w:val="center"/>
        </w:trPr>
        <w:tc>
          <w:tcPr>
            <w:tcW w:w="2684" w:type="pct"/>
            <w:tcBorders>
              <w:top w:val="nil"/>
              <w:bottom w:val="single" w:sz="4" w:space="0" w:color="auto"/>
            </w:tcBorders>
            <w:shd w:val="clear" w:color="auto" w:fill="auto"/>
            <w:vAlign w:val="center"/>
            <w:hideMark/>
          </w:tcPr>
          <w:p w14:paraId="1A26377D" w14:textId="00D4B410" w:rsidR="003A70F1" w:rsidRPr="00552BC7" w:rsidRDefault="007657D1" w:rsidP="003A70F1">
            <w:pPr>
              <w:rPr>
                <w:rFonts w:ascii="Arial" w:hAnsi="Arial" w:cs="Arial"/>
                <w:sz w:val="20"/>
                <w:szCs w:val="20"/>
              </w:rPr>
            </w:pPr>
            <w:r>
              <w:rPr>
                <w:rFonts w:ascii="Arial" w:hAnsi="Arial" w:cs="Arial"/>
                <w:sz w:val="20"/>
                <w:szCs w:val="20"/>
              </w:rPr>
              <w:t>R</w:t>
            </w:r>
            <w:r w:rsidRPr="007657D1">
              <w:rPr>
                <w:rFonts w:ascii="Arial" w:hAnsi="Arial" w:cs="Arial"/>
                <w:sz w:val="20"/>
                <w:szCs w:val="20"/>
              </w:rPr>
              <w:t>epair and installation of machinery and equipment</w:t>
            </w:r>
          </w:p>
        </w:tc>
        <w:tc>
          <w:tcPr>
            <w:tcW w:w="459" w:type="pct"/>
            <w:tcBorders>
              <w:top w:val="nil"/>
              <w:bottom w:val="single" w:sz="4" w:space="0" w:color="auto"/>
            </w:tcBorders>
            <w:shd w:val="clear" w:color="auto" w:fill="auto"/>
            <w:noWrap/>
            <w:vAlign w:val="center"/>
            <w:hideMark/>
          </w:tcPr>
          <w:p w14:paraId="472B6A69" w14:textId="039B46D4" w:rsidR="003A70F1" w:rsidRPr="00552BC7" w:rsidRDefault="003A70F1" w:rsidP="003A70F1">
            <w:pPr>
              <w:jc w:val="center"/>
              <w:rPr>
                <w:rFonts w:ascii="Arial" w:hAnsi="Arial" w:cs="Arial"/>
                <w:sz w:val="20"/>
                <w:szCs w:val="20"/>
              </w:rPr>
            </w:pPr>
            <w:r w:rsidRPr="00DE0776">
              <w:rPr>
                <w:rFonts w:ascii="Arial" w:hAnsi="Arial" w:cs="Arial"/>
                <w:sz w:val="20"/>
                <w:szCs w:val="20"/>
              </w:rPr>
              <w:t>-8,0</w:t>
            </w:r>
          </w:p>
        </w:tc>
        <w:tc>
          <w:tcPr>
            <w:tcW w:w="469" w:type="pct"/>
            <w:tcBorders>
              <w:top w:val="nil"/>
              <w:bottom w:val="single" w:sz="4" w:space="0" w:color="auto"/>
            </w:tcBorders>
            <w:shd w:val="clear" w:color="auto" w:fill="auto"/>
            <w:noWrap/>
            <w:vAlign w:val="center"/>
            <w:hideMark/>
          </w:tcPr>
          <w:p w14:paraId="679E1A3B" w14:textId="484463B3" w:rsidR="003A70F1" w:rsidRPr="00552BC7" w:rsidRDefault="003A70F1" w:rsidP="003A70F1">
            <w:pPr>
              <w:jc w:val="center"/>
              <w:rPr>
                <w:rFonts w:ascii="Arial" w:hAnsi="Arial" w:cs="Arial"/>
                <w:sz w:val="20"/>
                <w:szCs w:val="20"/>
              </w:rPr>
            </w:pPr>
            <w:r w:rsidRPr="00DE0776">
              <w:rPr>
                <w:rFonts w:ascii="Arial" w:hAnsi="Arial" w:cs="Arial"/>
                <w:sz w:val="20"/>
                <w:szCs w:val="20"/>
              </w:rPr>
              <w:t>-6,6</w:t>
            </w:r>
          </w:p>
        </w:tc>
        <w:tc>
          <w:tcPr>
            <w:tcW w:w="365" w:type="pct"/>
            <w:tcBorders>
              <w:top w:val="nil"/>
              <w:bottom w:val="single" w:sz="4" w:space="0" w:color="auto"/>
            </w:tcBorders>
            <w:shd w:val="clear" w:color="auto" w:fill="auto"/>
            <w:noWrap/>
            <w:vAlign w:val="center"/>
            <w:hideMark/>
          </w:tcPr>
          <w:p w14:paraId="37612C57" w14:textId="75863AB2" w:rsidR="003A70F1" w:rsidRPr="00552BC7" w:rsidRDefault="003A70F1" w:rsidP="003A70F1">
            <w:pPr>
              <w:jc w:val="center"/>
              <w:rPr>
                <w:rFonts w:ascii="Arial" w:hAnsi="Arial" w:cs="Arial"/>
                <w:sz w:val="20"/>
                <w:szCs w:val="20"/>
              </w:rPr>
            </w:pPr>
            <w:r w:rsidRPr="00DE0776">
              <w:rPr>
                <w:rFonts w:ascii="Arial" w:hAnsi="Arial" w:cs="Arial"/>
                <w:sz w:val="20"/>
                <w:szCs w:val="20"/>
              </w:rPr>
              <w:t>6,8</w:t>
            </w:r>
          </w:p>
        </w:tc>
        <w:tc>
          <w:tcPr>
            <w:tcW w:w="412" w:type="pct"/>
            <w:tcBorders>
              <w:top w:val="nil"/>
              <w:bottom w:val="single" w:sz="4" w:space="0" w:color="auto"/>
            </w:tcBorders>
            <w:shd w:val="clear" w:color="auto" w:fill="auto"/>
            <w:noWrap/>
            <w:vAlign w:val="center"/>
            <w:hideMark/>
          </w:tcPr>
          <w:p w14:paraId="25EED674" w14:textId="7E921322" w:rsidR="003A70F1" w:rsidRPr="00552BC7" w:rsidRDefault="003A70F1" w:rsidP="003A70F1">
            <w:pPr>
              <w:jc w:val="center"/>
              <w:rPr>
                <w:rFonts w:ascii="Arial" w:hAnsi="Arial" w:cs="Arial"/>
                <w:sz w:val="20"/>
                <w:szCs w:val="20"/>
              </w:rPr>
            </w:pPr>
            <w:r w:rsidRPr="00DE0776">
              <w:rPr>
                <w:rFonts w:ascii="Arial" w:hAnsi="Arial" w:cs="Arial"/>
                <w:sz w:val="20"/>
                <w:szCs w:val="20"/>
              </w:rPr>
              <w:t>2,0</w:t>
            </w:r>
          </w:p>
        </w:tc>
        <w:tc>
          <w:tcPr>
            <w:tcW w:w="611" w:type="pct"/>
            <w:tcBorders>
              <w:top w:val="nil"/>
              <w:bottom w:val="single" w:sz="4" w:space="0" w:color="auto"/>
            </w:tcBorders>
            <w:shd w:val="clear" w:color="auto" w:fill="auto"/>
            <w:noWrap/>
            <w:vAlign w:val="center"/>
            <w:hideMark/>
          </w:tcPr>
          <w:p w14:paraId="56A5F99B" w14:textId="070250A5" w:rsidR="003A70F1" w:rsidRPr="00552BC7" w:rsidRDefault="003A70F1" w:rsidP="003A70F1">
            <w:pPr>
              <w:jc w:val="center"/>
              <w:rPr>
                <w:rFonts w:ascii="Arial" w:hAnsi="Arial" w:cs="Arial"/>
                <w:sz w:val="20"/>
                <w:szCs w:val="20"/>
              </w:rPr>
            </w:pPr>
            <w:r w:rsidRPr="00DE0776">
              <w:rPr>
                <w:rFonts w:ascii="Arial" w:hAnsi="Arial" w:cs="Arial"/>
                <w:sz w:val="20"/>
                <w:szCs w:val="20"/>
              </w:rPr>
              <w:t>-3,4</w:t>
            </w:r>
          </w:p>
        </w:tc>
      </w:tr>
    </w:tbl>
    <w:p w14:paraId="2999107F" w14:textId="53C4159F" w:rsidR="00264E47" w:rsidRDefault="007657D1" w:rsidP="00264E47">
      <w:pPr>
        <w:shd w:val="clear" w:color="auto" w:fill="FFFFFF"/>
        <w:spacing w:before="120" w:after="120" w:line="312" w:lineRule="auto"/>
        <w:ind w:firstLine="567"/>
        <w:jc w:val="both"/>
        <w:rPr>
          <w:spacing w:val="-2"/>
        </w:rPr>
      </w:pPr>
      <w:r w:rsidRPr="007657D1">
        <w:rPr>
          <w:i/>
          <w:spacing w:val="-2"/>
          <w:lang w:val="pl-PL"/>
        </w:rPr>
        <w:t xml:space="preserve">The industrial production index in the first eight months of 2024 compared </w:t>
      </w:r>
      <w:r w:rsidRPr="007657D1">
        <w:rPr>
          <w:iCs/>
          <w:spacing w:val="-2"/>
          <w:lang w:val="pl-PL"/>
        </w:rPr>
        <w:t>to the same period last year increased in 61 localities and decreased in 02 localities across the country. Some localities have a fairly high increase in the IIP index due to the processing and manufacturing industry; the electricity production and distribution industry has increased</w:t>
      </w:r>
      <w:r w:rsidR="00845E7A">
        <w:rPr>
          <w:rStyle w:val="FootnoteReference"/>
          <w:iCs/>
          <w:spacing w:val="-2"/>
          <w:lang w:val="pl-PL"/>
        </w:rPr>
        <w:footnoteReference w:id="8"/>
      </w:r>
      <w:r w:rsidRPr="007657D1">
        <w:rPr>
          <w:iCs/>
          <w:spacing w:val="-2"/>
          <w:lang w:val="pl-PL"/>
        </w:rPr>
        <w:t>. In the opposite direction, some localities have a decrease in IIP index due to the processing and manufacturing industry; mining industry and electricity production and distribution industry decreased</w:t>
      </w:r>
      <w:r w:rsidR="00264E47" w:rsidRPr="00552BC7">
        <w:rPr>
          <w:rStyle w:val="FootnoteReference"/>
          <w:rFonts w:eastAsia="Calibri"/>
          <w:spacing w:val="-2"/>
        </w:rPr>
        <w:footnoteReference w:id="9"/>
      </w:r>
      <w:r w:rsidR="00264E47" w:rsidRPr="00552BC7">
        <w:rPr>
          <w:spacing w:val="-2"/>
        </w:rPr>
        <w:t>.</w:t>
      </w:r>
    </w:p>
    <w:p w14:paraId="701AA47C" w14:textId="4011C49A" w:rsidR="00264E47" w:rsidRPr="00552BC7" w:rsidRDefault="00264E47" w:rsidP="00264E47">
      <w:pPr>
        <w:jc w:val="center"/>
        <w:rPr>
          <w:rFonts w:ascii="Arial" w:hAnsi="Arial" w:cs="Arial"/>
          <w:b/>
          <w:bCs/>
          <w:sz w:val="24"/>
          <w:szCs w:val="24"/>
          <w:lang w:val="pl-PL"/>
        </w:rPr>
      </w:pPr>
      <w:r w:rsidRPr="00552BC7">
        <w:rPr>
          <w:rFonts w:ascii="Arial" w:hAnsi="Arial" w:cs="Arial"/>
          <w:b/>
          <w:bCs/>
          <w:sz w:val="24"/>
          <w:szCs w:val="24"/>
          <w:lang w:val="pl-PL"/>
        </w:rPr>
        <w:t xml:space="preserve">Figure 4. IIP growth/decrease rate in 8 </w:t>
      </w:r>
      <w:r w:rsidRPr="00552BC7">
        <w:rPr>
          <w:rFonts w:ascii="Arial" w:hAnsi="Arial" w:cs="Arial"/>
          <w:b/>
          <w:bCs/>
          <w:sz w:val="24"/>
          <w:szCs w:val="24"/>
        </w:rPr>
        <w:t xml:space="preserve">months </w:t>
      </w:r>
      <w:r w:rsidRPr="00552BC7">
        <w:rPr>
          <w:rFonts w:ascii="Arial" w:hAnsi="Arial" w:cs="Arial"/>
          <w:b/>
          <w:bCs/>
          <w:sz w:val="24"/>
          <w:szCs w:val="24"/>
          <w:lang w:val="pl-PL"/>
        </w:rPr>
        <w:t>of 202</w:t>
      </w:r>
      <w:r w:rsidR="007657D1">
        <w:rPr>
          <w:rFonts w:ascii="Arial" w:hAnsi="Arial" w:cs="Arial"/>
          <w:b/>
          <w:bCs/>
          <w:sz w:val="24"/>
          <w:szCs w:val="24"/>
          <w:lang w:val="pl-PL"/>
        </w:rPr>
        <w:t>4</w:t>
      </w:r>
    </w:p>
    <w:p w14:paraId="49252CC5" w14:textId="77777777" w:rsidR="00264E47" w:rsidRPr="00552BC7" w:rsidRDefault="00264E47" w:rsidP="00264E47">
      <w:pPr>
        <w:shd w:val="clear" w:color="auto" w:fill="FFFFFF"/>
        <w:jc w:val="center"/>
        <w:rPr>
          <w:rFonts w:ascii="Arial" w:hAnsi="Arial" w:cs="Arial"/>
          <w:b/>
          <w:bCs/>
          <w:sz w:val="24"/>
          <w:szCs w:val="24"/>
          <w:lang w:val="pl-PL"/>
        </w:rPr>
      </w:pPr>
      <w:r w:rsidRPr="00552BC7">
        <w:rPr>
          <w:rFonts w:ascii="Arial" w:hAnsi="Arial" w:cs="Arial"/>
          <w:b/>
          <w:bCs/>
          <w:sz w:val="24"/>
          <w:szCs w:val="24"/>
          <w:lang w:val="pl-PL"/>
        </w:rPr>
        <w:t>compared to the same period last year</w:t>
      </w:r>
      <w:r w:rsidRPr="00552BC7">
        <w:rPr>
          <w:rFonts w:ascii="Arial" w:hAnsi="Arial" w:cs="Arial"/>
          <w:b/>
          <w:bCs/>
          <w:sz w:val="24"/>
          <w:szCs w:val="24"/>
        </w:rPr>
        <w:t xml:space="preserve"> </w:t>
      </w:r>
      <w:r w:rsidRPr="00552BC7">
        <w:rPr>
          <w:rFonts w:ascii="Arial" w:hAnsi="Arial" w:cs="Arial"/>
          <w:b/>
          <w:bCs/>
          <w:sz w:val="24"/>
          <w:szCs w:val="24"/>
          <w:lang w:val="pl-PL"/>
        </w:rPr>
        <w:t xml:space="preserve">of some </w:t>
      </w:r>
      <w:r w:rsidRPr="00552BC7">
        <w:rPr>
          <w:rFonts w:ascii="Arial" w:hAnsi="Arial" w:cs="Arial"/>
          <w:b/>
          <w:bCs/>
          <w:sz w:val="24"/>
          <w:szCs w:val="24"/>
        </w:rPr>
        <w:t xml:space="preserve">localities </w:t>
      </w:r>
      <w:r w:rsidRPr="00552BC7">
        <w:rPr>
          <w:rFonts w:ascii="Arial" w:hAnsi="Arial" w:cs="Arial"/>
          <w:b/>
          <w:bCs/>
          <w:sz w:val="24"/>
          <w:szCs w:val="24"/>
          <w:lang w:val="pl-PL"/>
        </w:rPr>
        <w:t>(%)</w:t>
      </w:r>
    </w:p>
    <w:p w14:paraId="323367FF" w14:textId="77777777" w:rsidR="00264E47" w:rsidRPr="00552BC7" w:rsidRDefault="00264E47" w:rsidP="00264E47">
      <w:pPr>
        <w:shd w:val="clear" w:color="auto" w:fill="FFFFFF"/>
        <w:jc w:val="center"/>
        <w:rPr>
          <w:rFonts w:ascii="Arial" w:hAnsi="Arial" w:cs="Arial"/>
          <w:b/>
          <w:bCs/>
          <w:sz w:val="24"/>
          <w:szCs w:val="24"/>
          <w:lang w:val="pl-PL"/>
        </w:rPr>
      </w:pPr>
    </w:p>
    <w:p w14:paraId="792960B9" w14:textId="77777777" w:rsidR="00264E47" w:rsidRPr="00552BC7" w:rsidRDefault="00264E47" w:rsidP="00264E47">
      <w:pPr>
        <w:shd w:val="clear" w:color="auto" w:fill="FFFFFF"/>
        <w:jc w:val="center"/>
        <w:rPr>
          <w:i/>
          <w:spacing w:val="-2"/>
          <w:sz w:val="2"/>
          <w:szCs w:val="10"/>
          <w:lang w:val="pl-PL"/>
        </w:rPr>
      </w:pPr>
    </w:p>
    <w:tbl>
      <w:tblPr>
        <w:tblStyle w:val="TableGrid"/>
        <w:tblW w:w="9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6"/>
        <w:gridCol w:w="4542"/>
      </w:tblGrid>
      <w:tr w:rsidR="00264E47" w:rsidRPr="00552BC7" w14:paraId="0098FC78" w14:textId="77777777" w:rsidTr="00886F58">
        <w:trPr>
          <w:trHeight w:val="514"/>
          <w:jc w:val="center"/>
        </w:trPr>
        <w:tc>
          <w:tcPr>
            <w:tcW w:w="4626" w:type="dxa"/>
          </w:tcPr>
          <w:p w14:paraId="43709729" w14:textId="77777777" w:rsidR="00264E47" w:rsidRPr="00552BC7" w:rsidRDefault="00264E47" w:rsidP="007657D1">
            <w:pPr>
              <w:spacing w:before="40" w:after="40" w:line="262" w:lineRule="auto"/>
              <w:ind w:right="-163"/>
              <w:jc w:val="center"/>
              <w:rPr>
                <w:rFonts w:ascii="Arial" w:hAnsi="Arial" w:cs="Arial"/>
                <w:b/>
                <w:spacing w:val="-2"/>
                <w:sz w:val="24"/>
                <w:szCs w:val="24"/>
                <w:lang w:val="pl-PL"/>
              </w:rPr>
            </w:pPr>
            <w:r w:rsidRPr="00552BC7">
              <w:rPr>
                <w:rFonts w:ascii="Arial" w:hAnsi="Arial" w:cs="Arial"/>
                <w:b/>
                <w:spacing w:val="-2"/>
                <w:sz w:val="22"/>
                <w:szCs w:val="24"/>
                <w:lang w:val="pl-PL"/>
              </w:rPr>
              <w:t>10 localities with the highest IIP growth rate</w:t>
            </w:r>
          </w:p>
        </w:tc>
        <w:tc>
          <w:tcPr>
            <w:tcW w:w="4542" w:type="dxa"/>
          </w:tcPr>
          <w:p w14:paraId="5163E6C5" w14:textId="77777777" w:rsidR="00264E47" w:rsidRPr="00552BC7" w:rsidRDefault="00264E47" w:rsidP="00886F58">
            <w:pPr>
              <w:spacing w:before="40" w:after="40" w:line="262" w:lineRule="auto"/>
              <w:jc w:val="center"/>
              <w:rPr>
                <w:rFonts w:ascii="Arial" w:hAnsi="Arial" w:cs="Arial"/>
                <w:i/>
                <w:spacing w:val="-2"/>
                <w:sz w:val="20"/>
                <w:szCs w:val="20"/>
                <w:lang w:val="pl-PL"/>
              </w:rPr>
            </w:pPr>
            <w:r w:rsidRPr="00552BC7">
              <w:rPr>
                <w:rFonts w:ascii="Arial" w:hAnsi="Arial" w:cs="Arial"/>
                <w:b/>
                <w:spacing w:val="-2"/>
                <w:sz w:val="22"/>
                <w:szCs w:val="24"/>
                <w:lang w:val="pl-PL"/>
              </w:rPr>
              <w:t>10 localities with the most reduction in IIP</w:t>
            </w:r>
          </w:p>
        </w:tc>
      </w:tr>
      <w:tr w:rsidR="00264E47" w:rsidRPr="00552BC7" w14:paraId="764622E3" w14:textId="77777777" w:rsidTr="00886F58">
        <w:trPr>
          <w:trHeight w:val="2981"/>
          <w:jc w:val="center"/>
        </w:trPr>
        <w:tc>
          <w:tcPr>
            <w:tcW w:w="4626" w:type="dxa"/>
          </w:tcPr>
          <w:p w14:paraId="081A4676" w14:textId="0CE872AF" w:rsidR="00264E47" w:rsidRPr="00552BC7" w:rsidRDefault="00475ABB" w:rsidP="00886F58">
            <w:pPr>
              <w:spacing w:before="40" w:after="40" w:line="262" w:lineRule="auto"/>
              <w:jc w:val="both"/>
              <w:rPr>
                <w:i/>
                <w:spacing w:val="-2"/>
                <w:highlight w:val="yellow"/>
                <w:lang w:val="pl-PL"/>
              </w:rPr>
            </w:pPr>
            <w:r>
              <w:rPr>
                <w:i/>
                <w:noProof/>
                <w:spacing w:val="-2"/>
                <w:lang w:val="pl-PL"/>
              </w:rPr>
              <w:drawing>
                <wp:inline distT="0" distB="0" distL="0" distR="0" wp14:anchorId="4C845FF7" wp14:editId="305AD2D6">
                  <wp:extent cx="2800350" cy="2000250"/>
                  <wp:effectExtent l="0" t="0" r="0" b="0"/>
                  <wp:docPr id="590197058" name="Picture 8"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97058" name="Picture 8" descr="A graph of numbers and a number of people&#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800350" cy="2000250"/>
                          </a:xfrm>
                          <a:prstGeom prst="rect">
                            <a:avLst/>
                          </a:prstGeom>
                        </pic:spPr>
                      </pic:pic>
                    </a:graphicData>
                  </a:graphic>
                </wp:inline>
              </w:drawing>
            </w:r>
          </w:p>
        </w:tc>
        <w:tc>
          <w:tcPr>
            <w:tcW w:w="4542" w:type="dxa"/>
          </w:tcPr>
          <w:p w14:paraId="730DDF8D" w14:textId="3C0E2CA9" w:rsidR="00264E47" w:rsidRPr="00552BC7" w:rsidRDefault="00475ABB" w:rsidP="00886F58">
            <w:pPr>
              <w:spacing w:before="40" w:after="40" w:line="262" w:lineRule="auto"/>
              <w:jc w:val="both"/>
              <w:rPr>
                <w:i/>
                <w:spacing w:val="-2"/>
                <w:lang w:val="pl-PL"/>
              </w:rPr>
            </w:pPr>
            <w:r>
              <w:rPr>
                <w:i/>
                <w:noProof/>
                <w:spacing w:val="-2"/>
                <w:lang w:val="pl-PL"/>
              </w:rPr>
              <w:drawing>
                <wp:inline distT="0" distB="0" distL="0" distR="0" wp14:anchorId="06D421BF" wp14:editId="4CFB42AE">
                  <wp:extent cx="2747010" cy="1933575"/>
                  <wp:effectExtent l="0" t="0" r="0" b="9525"/>
                  <wp:docPr id="503442422" name="Picture 9" descr="A graph with 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42422" name="Picture 9" descr="A graph with red bar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47010" cy="1933575"/>
                          </a:xfrm>
                          <a:prstGeom prst="rect">
                            <a:avLst/>
                          </a:prstGeom>
                        </pic:spPr>
                      </pic:pic>
                    </a:graphicData>
                  </a:graphic>
                </wp:inline>
              </w:drawing>
            </w:r>
          </w:p>
        </w:tc>
      </w:tr>
    </w:tbl>
    <w:p w14:paraId="5605823A" w14:textId="3D961BB3" w:rsidR="00475ABB" w:rsidRDefault="00264E47" w:rsidP="00475ABB">
      <w:pPr>
        <w:shd w:val="clear" w:color="auto" w:fill="FFFFFF"/>
        <w:spacing w:after="120" w:line="288" w:lineRule="auto"/>
        <w:ind w:firstLine="567"/>
        <w:jc w:val="both"/>
        <w:rPr>
          <w:lang w:val="pl-PL"/>
        </w:rPr>
      </w:pPr>
      <w:r w:rsidRPr="00552BC7">
        <w:rPr>
          <w:i/>
          <w:lang w:val="pl-PL"/>
        </w:rPr>
        <w:t>Some key industrial products</w:t>
      </w:r>
      <w:r w:rsidRPr="00552BC7">
        <w:rPr>
          <w:lang w:val="pl-PL"/>
        </w:rPr>
        <w:t xml:space="preserve"> </w:t>
      </w:r>
      <w:r w:rsidRPr="00552BC7">
        <w:rPr>
          <w:i/>
          <w:lang w:val="pl-PL"/>
        </w:rPr>
        <w:t xml:space="preserve">in </w:t>
      </w:r>
      <w:r w:rsidRPr="00552BC7">
        <w:rPr>
          <w:i/>
        </w:rPr>
        <w:t xml:space="preserve">the 8 months of </w:t>
      </w:r>
      <w:r w:rsidRPr="00552BC7">
        <w:rPr>
          <w:i/>
          <w:lang w:val="pl-PL"/>
        </w:rPr>
        <w:t>202</w:t>
      </w:r>
      <w:r w:rsidR="00475ABB">
        <w:rPr>
          <w:i/>
          <w:lang w:val="pl-PL"/>
        </w:rPr>
        <w:t>4</w:t>
      </w:r>
      <w:r>
        <w:rPr>
          <w:i/>
          <w:lang w:val="pl-PL"/>
        </w:rPr>
        <w:t xml:space="preserve"> </w:t>
      </w:r>
      <w:r w:rsidRPr="00552BC7">
        <w:rPr>
          <w:i/>
          <w:lang w:val="pl-PL"/>
        </w:rPr>
        <w:t>increased sharply compa</w:t>
      </w:r>
      <w:r>
        <w:rPr>
          <w:i/>
          <w:lang w:val="pl-PL"/>
        </w:rPr>
        <w:t>red to the same period last year</w:t>
      </w:r>
      <w:r w:rsidR="00475ABB">
        <w:rPr>
          <w:i/>
          <w:lang w:val="pl-PL"/>
        </w:rPr>
        <w:t>:</w:t>
      </w:r>
      <w:r w:rsidR="00475ABB" w:rsidRPr="00475ABB">
        <w:t xml:space="preserve"> </w:t>
      </w:r>
      <w:r w:rsidR="00475ABB" w:rsidRPr="00475ABB">
        <w:rPr>
          <w:lang w:val="pl-PL"/>
        </w:rPr>
        <w:t>Steel bars and corners</w:t>
      </w:r>
      <w:r w:rsidR="00475ABB">
        <w:rPr>
          <w:lang w:val="pl-PL"/>
        </w:rPr>
        <w:t xml:space="preserve"> </w:t>
      </w:r>
      <w:r w:rsidR="00475ABB" w:rsidRPr="00475ABB">
        <w:rPr>
          <w:lang w:val="pl-PL"/>
        </w:rPr>
        <w:t xml:space="preserve">increased by 31%; </w:t>
      </w:r>
      <w:r w:rsidR="00475ABB">
        <w:rPr>
          <w:lang w:val="pl-PL"/>
        </w:rPr>
        <w:t>l</w:t>
      </w:r>
      <w:r w:rsidR="00475ABB" w:rsidRPr="00475ABB">
        <w:rPr>
          <w:lang w:val="pl-PL"/>
        </w:rPr>
        <w:t>aminated steel</w:t>
      </w:r>
      <w:r w:rsidR="00475ABB">
        <w:rPr>
          <w:lang w:val="pl-PL"/>
        </w:rPr>
        <w:t xml:space="preserve"> </w:t>
      </w:r>
      <w:r w:rsidR="00475ABB" w:rsidRPr="00475ABB">
        <w:rPr>
          <w:lang w:val="pl-PL"/>
        </w:rPr>
        <w:t xml:space="preserve">increased by 17.1%; </w:t>
      </w:r>
      <w:r w:rsidR="00475ABB">
        <w:rPr>
          <w:lang w:val="pl-PL"/>
        </w:rPr>
        <w:t>t</w:t>
      </w:r>
      <w:r w:rsidR="00475ABB" w:rsidRPr="00475ABB">
        <w:rPr>
          <w:lang w:val="pl-PL"/>
        </w:rPr>
        <w:t xml:space="preserve">extile fabric from natural yarnincreased by 15.6%; </w:t>
      </w:r>
      <w:r w:rsidR="00475ABB">
        <w:rPr>
          <w:lang w:val="pl-PL"/>
        </w:rPr>
        <w:t>r</w:t>
      </w:r>
      <w:r w:rsidR="00475ABB" w:rsidRPr="00475ABB">
        <w:rPr>
          <w:lang w:val="pl-PL"/>
        </w:rPr>
        <w:t xml:space="preserve">efined sugar increased by 14.2%; </w:t>
      </w:r>
      <w:r w:rsidR="00475ABB">
        <w:rPr>
          <w:lang w:val="pl-PL"/>
        </w:rPr>
        <w:t>p</w:t>
      </w:r>
      <w:r w:rsidR="00475ABB" w:rsidRPr="00475ABB">
        <w:rPr>
          <w:lang w:val="pl-PL"/>
        </w:rPr>
        <w:t xml:space="preserve">etroleum increased by 12.6%; NPK </w:t>
      </w:r>
      <w:r w:rsidR="00475ABB" w:rsidRPr="00475ABB">
        <w:rPr>
          <w:lang w:val="pl-PL"/>
        </w:rPr>
        <w:lastRenderedPageBreak/>
        <w:t xml:space="preserve">mixed fertilizer increased by 12.3%; </w:t>
      </w:r>
      <w:r w:rsidR="00475ABB">
        <w:rPr>
          <w:lang w:val="pl-PL"/>
        </w:rPr>
        <w:t>p</w:t>
      </w:r>
      <w:r w:rsidR="00475ABB" w:rsidRPr="00475ABB">
        <w:rPr>
          <w:lang w:val="pl-PL"/>
        </w:rPr>
        <w:t>owder milk</w:t>
      </w:r>
      <w:r w:rsidR="00475ABB">
        <w:rPr>
          <w:lang w:val="pl-PL"/>
        </w:rPr>
        <w:t xml:space="preserve"> </w:t>
      </w:r>
      <w:r w:rsidR="00475ABB" w:rsidRPr="00475ABB">
        <w:rPr>
          <w:lang w:val="pl-PL"/>
        </w:rPr>
        <w:t xml:space="preserve">increased by 11.2%; </w:t>
      </w:r>
      <w:r w:rsidR="00475ABB">
        <w:rPr>
          <w:lang w:val="pl-PL"/>
        </w:rPr>
        <w:t>g</w:t>
      </w:r>
      <w:r w:rsidR="00475ABB" w:rsidRPr="00475ABB">
        <w:rPr>
          <w:lang w:val="pl-PL"/>
        </w:rPr>
        <w:t xml:space="preserve">enerated electricity increased by 10.9%; </w:t>
      </w:r>
      <w:r w:rsidR="00845E7A">
        <w:rPr>
          <w:lang w:val="pl-PL"/>
        </w:rPr>
        <w:t>p</w:t>
      </w:r>
      <w:r w:rsidR="00845E7A" w:rsidRPr="00845E7A">
        <w:rPr>
          <w:lang w:val="pl-PL"/>
        </w:rPr>
        <w:t>rocessed fishery products</w:t>
      </w:r>
      <w:r w:rsidR="00475ABB" w:rsidRPr="00475ABB">
        <w:rPr>
          <w:lang w:val="pl-PL"/>
        </w:rPr>
        <w:t xml:space="preserve"> increased by 10.7%. In the opposite direction, some products decreased compared to the same period last year: </w:t>
      </w:r>
      <w:r w:rsidR="00845E7A" w:rsidRPr="00845E7A">
        <w:rPr>
          <w:lang w:val="pl-PL"/>
        </w:rPr>
        <w:t>Liquidized gas (LPG)</w:t>
      </w:r>
      <w:r w:rsidR="00475ABB" w:rsidRPr="00475ABB">
        <w:rPr>
          <w:lang w:val="pl-PL"/>
        </w:rPr>
        <w:t xml:space="preserve"> decreased by 15.3%; </w:t>
      </w:r>
      <w:r w:rsidR="00845E7A">
        <w:rPr>
          <w:lang w:val="pl-PL"/>
        </w:rPr>
        <w:t>n</w:t>
      </w:r>
      <w:r w:rsidR="00845E7A" w:rsidRPr="00845E7A">
        <w:rPr>
          <w:lang w:val="pl-PL"/>
        </w:rPr>
        <w:t>atural gas (in the form of air)</w:t>
      </w:r>
      <w:r w:rsidR="00475ABB" w:rsidRPr="00475ABB">
        <w:rPr>
          <w:lang w:val="pl-PL"/>
        </w:rPr>
        <w:t xml:space="preserve"> decreased by 14.9%; </w:t>
      </w:r>
      <w:r w:rsidR="00845E7A">
        <w:rPr>
          <w:lang w:val="pl-PL"/>
        </w:rPr>
        <w:t>e</w:t>
      </w:r>
      <w:r w:rsidR="00845E7A" w:rsidRPr="00845E7A">
        <w:rPr>
          <w:lang w:val="pl-PL"/>
        </w:rPr>
        <w:t>xtracted crude oil</w:t>
      </w:r>
      <w:r w:rsidR="00475ABB" w:rsidRPr="00475ABB">
        <w:rPr>
          <w:lang w:val="pl-PL"/>
        </w:rPr>
        <w:t xml:space="preserve"> decreased by 7.1%; mobile phones decreased by 5.2%; beer decreased by 3.7%; </w:t>
      </w:r>
      <w:r w:rsidR="00845E7A">
        <w:rPr>
          <w:lang w:val="pl-PL"/>
        </w:rPr>
        <w:t>c</w:t>
      </w:r>
      <w:r w:rsidR="00845E7A" w:rsidRPr="00845E7A">
        <w:rPr>
          <w:lang w:val="pl-PL"/>
        </w:rPr>
        <w:t>oal (pure)</w:t>
      </w:r>
      <w:r w:rsidR="00845E7A">
        <w:rPr>
          <w:lang w:val="pl-PL"/>
        </w:rPr>
        <w:t xml:space="preserve"> </w:t>
      </w:r>
      <w:r w:rsidR="00475ABB" w:rsidRPr="00475ABB">
        <w:rPr>
          <w:lang w:val="pl-PL"/>
        </w:rPr>
        <w:t>decreased by 3.4%; alumina decreased by 2.7%.</w:t>
      </w:r>
    </w:p>
    <w:p w14:paraId="3F01D246" w14:textId="0679EC4B" w:rsidR="00845E7A" w:rsidRDefault="00845E7A" w:rsidP="0014448B">
      <w:pPr>
        <w:spacing w:after="120" w:line="276" w:lineRule="auto"/>
        <w:ind w:firstLine="567"/>
        <w:jc w:val="both"/>
        <w:rPr>
          <w:i/>
          <w:lang w:val="pl-PL"/>
        </w:rPr>
      </w:pPr>
      <w:r w:rsidRPr="00845E7A">
        <w:rPr>
          <w:i/>
          <w:lang w:val="pl-PL"/>
        </w:rPr>
        <w:t xml:space="preserve">The number of employees working in industrial enterprises as of August 1, 2024 </w:t>
      </w:r>
      <w:r w:rsidRPr="00845E7A">
        <w:rPr>
          <w:iCs/>
          <w:lang w:val="pl-PL"/>
        </w:rPr>
        <w:t>increased by 0.9% over the same period last month and increased by 4.5% over the same period last year. In which, labor in the state-owned enterprise sector increased by 0.1% and increased by 1.5%; non-state enterprises increased by 0.6% and increased by 1.8%; foreign-invested enterprises increased by 1.1% and increased by 5.7%. By industry, the number of employees working in mining enterprises remained unchanged compared to the same time last month and increased by 0.1% compared to the same time last year; the processing and manufacturing industry increased by 1.0% and increased by 4.8%</w:t>
      </w:r>
      <w:r>
        <w:rPr>
          <w:iCs/>
          <w:lang w:val="pl-PL"/>
        </w:rPr>
        <w:t xml:space="preserve">; </w:t>
      </w:r>
      <w:r w:rsidRPr="00845E7A">
        <w:rPr>
          <w:iCs/>
          <w:lang w:val="pl-PL"/>
        </w:rPr>
        <w:t>the production and distribution of electricity, gas, hot water, steam and air conditioning remained unchanged compared to the same time last month and increased by 1.6% over the same period last year; the water supply industry, waste and wastewater management and treatment activities increased by 0.1% and increased by 0.8%.</w:t>
      </w:r>
    </w:p>
    <w:p w14:paraId="4F60F43B" w14:textId="07CC467B" w:rsidR="00195090" w:rsidRPr="00227BB5" w:rsidRDefault="00195090" w:rsidP="00195090">
      <w:pPr>
        <w:spacing w:after="40" w:line="300" w:lineRule="auto"/>
        <w:ind w:firstLine="567"/>
        <w:jc w:val="both"/>
        <w:rPr>
          <w:lang w:val="it-IT"/>
        </w:rPr>
      </w:pPr>
      <w:bookmarkStart w:id="5" w:name="_Hlk54593811"/>
      <w:r>
        <w:rPr>
          <w:b/>
          <w:bCs/>
          <w:lang w:val="pl-PL"/>
        </w:rPr>
        <w:t>3</w:t>
      </w:r>
      <w:r w:rsidRPr="00227BB5">
        <w:rPr>
          <w:b/>
          <w:bCs/>
          <w:lang w:val="pl-PL"/>
        </w:rPr>
        <w:t>. Enterprise activities</w:t>
      </w:r>
    </w:p>
    <w:p w14:paraId="558648AF" w14:textId="77777777" w:rsidR="00195090" w:rsidRPr="00227BB5" w:rsidRDefault="00195090" w:rsidP="00195090">
      <w:pPr>
        <w:spacing w:after="40" w:line="300" w:lineRule="auto"/>
        <w:ind w:firstLine="567"/>
        <w:jc w:val="both"/>
        <w:rPr>
          <w:i/>
          <w:lang w:val="it-IT"/>
        </w:rPr>
      </w:pPr>
      <w:r w:rsidRPr="00227BB5">
        <w:rPr>
          <w:b/>
          <w:bCs/>
          <w:i/>
          <w:lang w:val="pl-PL"/>
        </w:rPr>
        <w:t>a)</w:t>
      </w:r>
      <w:r w:rsidRPr="00227BB5">
        <w:rPr>
          <w:b/>
          <w:bCs/>
          <w:i/>
          <w:lang w:val="it-IT"/>
        </w:rPr>
        <w:t xml:space="preserve"> </w:t>
      </w:r>
      <w:r w:rsidRPr="00227BB5">
        <w:rPr>
          <w:b/>
          <w:i/>
          <w:lang w:val="it-IT"/>
        </w:rPr>
        <w:t xml:space="preserve">Enterprise registration status </w:t>
      </w:r>
      <w:r w:rsidRPr="00227BB5">
        <w:rPr>
          <w:bCs/>
          <w:i/>
          <w:vertAlign w:val="superscript"/>
        </w:rPr>
        <w:footnoteReference w:id="10"/>
      </w:r>
    </w:p>
    <w:p w14:paraId="1B9F45D5" w14:textId="77777777" w:rsidR="00195090" w:rsidRPr="00227BB5" w:rsidRDefault="00195090" w:rsidP="00195090">
      <w:pPr>
        <w:spacing w:after="40" w:line="300" w:lineRule="auto"/>
        <w:ind w:firstLine="567"/>
        <w:jc w:val="both"/>
        <w:rPr>
          <w:lang w:val="it-IT"/>
        </w:rPr>
      </w:pPr>
      <w:r w:rsidRPr="00227BB5">
        <w:rPr>
          <w:lang w:val="it-IT"/>
        </w:rPr>
        <w:t xml:space="preserve">In </w:t>
      </w:r>
      <w:r>
        <w:rPr>
          <w:lang w:val="it-IT"/>
        </w:rPr>
        <w:t>July</w:t>
      </w:r>
      <w:r w:rsidRPr="00227BB5">
        <w:rPr>
          <w:lang w:val="it-IT"/>
        </w:rPr>
        <w:t xml:space="preserve">, the whole country had </w:t>
      </w:r>
      <w:r>
        <w:rPr>
          <w:lang w:val="it-IT"/>
        </w:rPr>
        <w:t>13.4</w:t>
      </w:r>
      <w:r w:rsidRPr="00227BB5">
        <w:rPr>
          <w:lang w:val="it-IT"/>
        </w:rPr>
        <w:t xml:space="preserve"> thousand newly established enterprises with registered capital </w:t>
      </w:r>
      <w:r>
        <w:rPr>
          <w:lang w:val="it-IT"/>
        </w:rPr>
        <w:t>over</w:t>
      </w:r>
      <w:r w:rsidRPr="00227BB5">
        <w:rPr>
          <w:lang w:val="it-IT"/>
        </w:rPr>
        <w:t xml:space="preserve"> </w:t>
      </w:r>
      <w:r>
        <w:rPr>
          <w:lang w:val="it-IT"/>
        </w:rPr>
        <w:t>124.6</w:t>
      </w:r>
      <w:r w:rsidRPr="00227BB5">
        <w:rPr>
          <w:lang w:val="it-IT"/>
        </w:rPr>
        <w:t xml:space="preserve"> trillion VND and a total number of registered employees of </w:t>
      </w:r>
      <w:r>
        <w:rPr>
          <w:lang w:val="it-IT"/>
        </w:rPr>
        <w:t>nearly 71.8</w:t>
      </w:r>
      <w:r w:rsidRPr="00227BB5">
        <w:rPr>
          <w:lang w:val="it-IT"/>
        </w:rPr>
        <w:t xml:space="preserve"> thousand employees, a </w:t>
      </w:r>
      <w:r>
        <w:rPr>
          <w:lang w:val="it-IT"/>
        </w:rPr>
        <w:t>de</w:t>
      </w:r>
      <w:r w:rsidRPr="00227BB5">
        <w:rPr>
          <w:lang w:val="it-IT"/>
        </w:rPr>
        <w:t xml:space="preserve">crease of </w:t>
      </w:r>
      <w:r>
        <w:rPr>
          <w:lang w:val="it-IT"/>
        </w:rPr>
        <w:t>15.2</w:t>
      </w:r>
      <w:r w:rsidRPr="00227BB5">
        <w:rPr>
          <w:lang w:val="it-IT"/>
        </w:rPr>
        <w:t xml:space="preserve">% in the number of enterprises, a </w:t>
      </w:r>
      <w:r>
        <w:rPr>
          <w:lang w:val="it-IT"/>
        </w:rPr>
        <w:t>de</w:t>
      </w:r>
      <w:r w:rsidRPr="00227BB5">
        <w:rPr>
          <w:lang w:val="it-IT"/>
        </w:rPr>
        <w:t xml:space="preserve">crease of </w:t>
      </w:r>
      <w:r>
        <w:rPr>
          <w:lang w:val="it-IT"/>
        </w:rPr>
        <w:t>6.2</w:t>
      </w:r>
      <w:r w:rsidRPr="00227BB5">
        <w:rPr>
          <w:lang w:val="it-IT"/>
        </w:rPr>
        <w:t xml:space="preserve">% </w:t>
      </w:r>
      <w:r>
        <w:rPr>
          <w:lang w:val="it-IT"/>
        </w:rPr>
        <w:t>in registered capital and a de</w:t>
      </w:r>
      <w:r w:rsidRPr="00227BB5">
        <w:rPr>
          <w:lang w:val="it-IT"/>
        </w:rPr>
        <w:t xml:space="preserve">crease of </w:t>
      </w:r>
      <w:r>
        <w:rPr>
          <w:lang w:val="it-IT"/>
        </w:rPr>
        <w:t>12.1</w:t>
      </w:r>
      <w:r w:rsidRPr="00227BB5">
        <w:rPr>
          <w:lang w:val="it-IT"/>
        </w:rPr>
        <w:t xml:space="preserve">% in the number of employees compared to </w:t>
      </w:r>
      <w:r>
        <w:rPr>
          <w:lang w:val="it-IT"/>
        </w:rPr>
        <w:t>July</w:t>
      </w:r>
      <w:r w:rsidRPr="00227BB5">
        <w:rPr>
          <w:lang w:val="it-IT"/>
        </w:rPr>
        <w:t xml:space="preserve"> 2024. Compared to the same period last year, </w:t>
      </w:r>
      <w:r>
        <w:rPr>
          <w:lang w:val="it-IT"/>
        </w:rPr>
        <w:t>down 12.8</w:t>
      </w:r>
      <w:r w:rsidRPr="00227BB5">
        <w:rPr>
          <w:lang w:val="it-IT"/>
        </w:rPr>
        <w:t xml:space="preserve">% in the number of enterprises, </w:t>
      </w:r>
      <w:r>
        <w:rPr>
          <w:lang w:val="it-IT"/>
        </w:rPr>
        <w:t>down 16.2</w:t>
      </w:r>
      <w:r w:rsidRPr="00227BB5">
        <w:rPr>
          <w:lang w:val="it-IT"/>
        </w:rPr>
        <w:t xml:space="preserve">% in registered capital and </w:t>
      </w:r>
      <w:r>
        <w:rPr>
          <w:lang w:val="it-IT"/>
        </w:rPr>
        <w:t>down 22.6</w:t>
      </w:r>
      <w:r w:rsidRPr="00227BB5">
        <w:rPr>
          <w:lang w:val="it-IT"/>
        </w:rPr>
        <w:t xml:space="preserve">% in the number of employees. The average registered capital of a newly established enterprise in the month reached </w:t>
      </w:r>
      <w:r>
        <w:rPr>
          <w:lang w:val="it-IT"/>
        </w:rPr>
        <w:t>9.3</w:t>
      </w:r>
      <w:r w:rsidRPr="00227BB5">
        <w:rPr>
          <w:lang w:val="it-IT"/>
        </w:rPr>
        <w:t xml:space="preserve"> billion VND, </w:t>
      </w:r>
      <w:r>
        <w:rPr>
          <w:lang w:val="it-IT"/>
        </w:rPr>
        <w:t>an increase</w:t>
      </w:r>
      <w:r w:rsidRPr="00227BB5">
        <w:rPr>
          <w:lang w:val="it-IT"/>
        </w:rPr>
        <w:t xml:space="preserve"> of </w:t>
      </w:r>
      <w:r>
        <w:rPr>
          <w:lang w:val="it-IT"/>
        </w:rPr>
        <w:t>24.4</w:t>
      </w:r>
      <w:r w:rsidRPr="00227BB5">
        <w:rPr>
          <w:lang w:val="it-IT"/>
        </w:rPr>
        <w:t xml:space="preserve">% compared to the </w:t>
      </w:r>
      <w:r>
        <w:rPr>
          <w:lang w:val="it-IT"/>
        </w:rPr>
        <w:t>last</w:t>
      </w:r>
      <w:r w:rsidRPr="00227BB5">
        <w:rPr>
          <w:lang w:val="it-IT"/>
        </w:rPr>
        <w:t xml:space="preserve"> month and </w:t>
      </w:r>
      <w:r>
        <w:rPr>
          <w:lang w:val="it-IT"/>
        </w:rPr>
        <w:t>down</w:t>
      </w:r>
      <w:r w:rsidRPr="00227BB5">
        <w:rPr>
          <w:lang w:val="it-IT"/>
        </w:rPr>
        <w:t xml:space="preserve"> </w:t>
      </w:r>
      <w:r>
        <w:rPr>
          <w:lang w:val="it-IT"/>
        </w:rPr>
        <w:t>3.9</w:t>
      </w:r>
      <w:r w:rsidRPr="00227BB5">
        <w:rPr>
          <w:lang w:val="it-IT"/>
        </w:rPr>
        <w:t xml:space="preserve">% </w:t>
      </w:r>
      <w:r>
        <w:rPr>
          <w:lang w:val="it-IT"/>
        </w:rPr>
        <w:t>compared to</w:t>
      </w:r>
      <w:r w:rsidRPr="00227BB5">
        <w:rPr>
          <w:lang w:val="it-IT"/>
        </w:rPr>
        <w:t xml:space="preserve"> the </w:t>
      </w:r>
      <w:r w:rsidRPr="00227BB5">
        <w:rPr>
          <w:lang w:val="it-IT"/>
        </w:rPr>
        <w:lastRenderedPageBreak/>
        <w:t xml:space="preserve">same period </w:t>
      </w:r>
      <w:r>
        <w:rPr>
          <w:lang w:val="it-IT"/>
        </w:rPr>
        <w:t>of 2023</w:t>
      </w:r>
      <w:r w:rsidRPr="00227BB5">
        <w:rPr>
          <w:lang w:val="it-IT"/>
        </w:rPr>
        <w:t xml:space="preserve">. </w:t>
      </w:r>
      <w:r>
        <w:rPr>
          <w:lang w:val="it-IT"/>
        </w:rPr>
        <w:t>Besides</w:t>
      </w:r>
      <w:r w:rsidRPr="00227BB5">
        <w:rPr>
          <w:lang w:val="it-IT"/>
        </w:rPr>
        <w:t xml:space="preserve">, </w:t>
      </w:r>
      <w:r>
        <w:rPr>
          <w:lang w:val="it-IT"/>
        </w:rPr>
        <w:t>there were</w:t>
      </w:r>
      <w:r w:rsidRPr="00227BB5">
        <w:rPr>
          <w:lang w:val="it-IT"/>
        </w:rPr>
        <w:t xml:space="preserve"> </w:t>
      </w:r>
      <w:r>
        <w:rPr>
          <w:lang w:val="it-IT"/>
        </w:rPr>
        <w:t>nearly</w:t>
      </w:r>
      <w:r w:rsidRPr="00227BB5">
        <w:rPr>
          <w:lang w:val="it-IT"/>
        </w:rPr>
        <w:t xml:space="preserve"> </w:t>
      </w:r>
      <w:r>
        <w:rPr>
          <w:lang w:val="it-IT"/>
        </w:rPr>
        <w:t>8.5</w:t>
      </w:r>
      <w:r w:rsidRPr="00227BB5">
        <w:rPr>
          <w:lang w:val="it-IT"/>
        </w:rPr>
        <w:t xml:space="preserve"> thousand enterprises</w:t>
      </w:r>
      <w:r>
        <w:rPr>
          <w:lang w:val="it-IT"/>
        </w:rPr>
        <w:t xml:space="preserve"> resumed in the whole country</w:t>
      </w:r>
      <w:r w:rsidRPr="00227BB5">
        <w:rPr>
          <w:lang w:val="it-IT"/>
        </w:rPr>
        <w:t xml:space="preserve">, </w:t>
      </w:r>
      <w:r>
        <w:rPr>
          <w:lang w:val="it-IT"/>
        </w:rPr>
        <w:t>up 12.7</w:t>
      </w:r>
      <w:r w:rsidRPr="00227BB5">
        <w:rPr>
          <w:lang w:val="it-IT"/>
        </w:rPr>
        <w:t xml:space="preserve">% compared to the previous month and </w:t>
      </w:r>
      <w:r>
        <w:rPr>
          <w:lang w:val="it-IT"/>
        </w:rPr>
        <w:t>up 35.6</w:t>
      </w:r>
      <w:r w:rsidRPr="00227BB5">
        <w:rPr>
          <w:lang w:val="it-IT"/>
        </w:rPr>
        <w:t xml:space="preserve">% compared to the same period </w:t>
      </w:r>
      <w:r>
        <w:rPr>
          <w:lang w:val="it-IT"/>
        </w:rPr>
        <w:t>of</w:t>
      </w:r>
      <w:r w:rsidRPr="00227BB5">
        <w:rPr>
          <w:lang w:val="it-IT"/>
        </w:rPr>
        <w:t xml:space="preserve"> 2023.</w:t>
      </w:r>
    </w:p>
    <w:p w14:paraId="4846B134" w14:textId="77777777" w:rsidR="00195090" w:rsidRPr="00227BB5" w:rsidRDefault="00195090" w:rsidP="00195090">
      <w:pPr>
        <w:spacing w:after="40" w:line="300" w:lineRule="auto"/>
        <w:ind w:firstLine="567"/>
        <w:jc w:val="both"/>
      </w:pPr>
      <w:r>
        <w:t>Generally, i</w:t>
      </w:r>
      <w:r w:rsidRPr="00227BB5">
        <w:t xml:space="preserve">n the </w:t>
      </w:r>
      <w:r>
        <w:t>eight months</w:t>
      </w:r>
      <w:r w:rsidRPr="00227BB5">
        <w:t xml:space="preserve"> of 2024, the</w:t>
      </w:r>
      <w:r>
        <w:t xml:space="preserve"> whole</w:t>
      </w:r>
      <w:r w:rsidRPr="00227BB5">
        <w:t xml:space="preserve"> country had </w:t>
      </w:r>
      <w:r>
        <w:t>neaaly 110.8</w:t>
      </w:r>
      <w:r w:rsidRPr="00227BB5">
        <w:rPr>
          <w:lang w:val="it-IT"/>
        </w:rPr>
        <w:t xml:space="preserve"> </w:t>
      </w:r>
      <w:r w:rsidRPr="00227BB5">
        <w:t>thousand newly registered enterprises with a total registered capital of</w:t>
      </w:r>
      <w:r w:rsidRPr="00227BB5">
        <w:rPr>
          <w:lang w:val="it-IT"/>
        </w:rPr>
        <w:t xml:space="preserve"> </w:t>
      </w:r>
      <w:r>
        <w:rPr>
          <w:lang w:val="it-IT"/>
        </w:rPr>
        <w:t>994.7</w:t>
      </w:r>
      <w:r w:rsidRPr="00227BB5">
        <w:rPr>
          <w:lang w:val="it-IT"/>
        </w:rPr>
        <w:t xml:space="preserve"> </w:t>
      </w:r>
      <w:r w:rsidRPr="00227BB5">
        <w:t xml:space="preserve">trillion VND and </w:t>
      </w:r>
      <w:r>
        <w:t>a</w:t>
      </w:r>
      <w:r w:rsidRPr="00227BB5">
        <w:t xml:space="preserve"> total number of registered employees was </w:t>
      </w:r>
      <w:r>
        <w:t>over 672.4</w:t>
      </w:r>
      <w:r w:rsidRPr="00227BB5">
        <w:rPr>
          <w:lang w:val="it-IT"/>
        </w:rPr>
        <w:t xml:space="preserve"> </w:t>
      </w:r>
      <w:r w:rsidRPr="00227BB5">
        <w:t xml:space="preserve">thousand employees, </w:t>
      </w:r>
      <w:r>
        <w:t>up</w:t>
      </w:r>
      <w:r>
        <w:rPr>
          <w:lang w:val="it-IT"/>
        </w:rPr>
        <w:t xml:space="preserve"> 4.4</w:t>
      </w:r>
      <w:r w:rsidRPr="00227BB5">
        <w:rPr>
          <w:lang w:val="it-IT"/>
        </w:rPr>
        <w:t xml:space="preserve">% </w:t>
      </w:r>
      <w:r w:rsidRPr="00227BB5">
        <w:t xml:space="preserve">in the number of enterprises, </w:t>
      </w:r>
      <w:r>
        <w:t>up 0.7</w:t>
      </w:r>
      <w:r w:rsidRPr="00227BB5">
        <w:rPr>
          <w:lang w:val="it-IT"/>
        </w:rPr>
        <w:t xml:space="preserve">% </w:t>
      </w:r>
      <w:r w:rsidRPr="00227BB5">
        <w:t xml:space="preserve">in registered capital and </w:t>
      </w:r>
      <w:r>
        <w:t>down 1.9</w:t>
      </w:r>
      <w:r w:rsidRPr="00227BB5">
        <w:rPr>
          <w:lang w:val="it-IT"/>
        </w:rPr>
        <w:t xml:space="preserve">% </w:t>
      </w:r>
      <w:r w:rsidRPr="00227BB5">
        <w:t xml:space="preserve">in the number of employees compared to the same period last year. The average registered capital of a newly established enterprise in the </w:t>
      </w:r>
      <w:r>
        <w:t>eight</w:t>
      </w:r>
      <w:r w:rsidRPr="00227BB5">
        <w:t xml:space="preserve"> months of 2024 </w:t>
      </w:r>
      <w:r>
        <w:t>achieved</w:t>
      </w:r>
      <w:r w:rsidRPr="00227BB5">
        <w:rPr>
          <w:lang w:val="it-IT"/>
        </w:rPr>
        <w:t xml:space="preserve"> 9.</w:t>
      </w:r>
      <w:r>
        <w:rPr>
          <w:lang w:val="it-IT"/>
        </w:rPr>
        <w:t>0</w:t>
      </w:r>
      <w:r w:rsidRPr="00227BB5">
        <w:rPr>
          <w:lang w:val="it-IT"/>
        </w:rPr>
        <w:t xml:space="preserve"> </w:t>
      </w:r>
      <w:r w:rsidRPr="00227BB5">
        <w:t xml:space="preserve">billion VND, </w:t>
      </w:r>
      <w:r>
        <w:t>a year-on-year reduction of 3.6</w:t>
      </w:r>
      <w:r w:rsidRPr="00227BB5">
        <w:rPr>
          <w:lang w:val="it-IT"/>
        </w:rPr>
        <w:t xml:space="preserve">%. </w:t>
      </w:r>
      <w:r>
        <w:rPr>
          <w:lang w:val="it-IT"/>
        </w:rPr>
        <w:t>T</w:t>
      </w:r>
      <w:r w:rsidRPr="007E7AD3">
        <w:t xml:space="preserve">he total number </w:t>
      </w:r>
      <w:r>
        <w:t xml:space="preserve">additional registered </w:t>
      </w:r>
      <w:r w:rsidRPr="007E7AD3">
        <w:t xml:space="preserve">captial </w:t>
      </w:r>
      <w:r>
        <w:t>into</w:t>
      </w:r>
      <w:r w:rsidRPr="007E7AD3">
        <w:t xml:space="preserve"> the economy</w:t>
      </w:r>
      <w:r w:rsidRPr="00227BB5">
        <w:t xml:space="preserve"> in the </w:t>
      </w:r>
      <w:r>
        <w:t>eight months</w:t>
      </w:r>
      <w:r w:rsidRPr="00227BB5">
        <w:t xml:space="preserve"> of 2024 was</w:t>
      </w:r>
      <w:r w:rsidRPr="007E7AD3">
        <w:t xml:space="preserve"> </w:t>
      </w:r>
      <w:r>
        <w:t>more than 2,041.0</w:t>
      </w:r>
      <w:r w:rsidRPr="007E7AD3">
        <w:t xml:space="preserve"> </w:t>
      </w:r>
      <w:r w:rsidRPr="00227BB5">
        <w:t xml:space="preserve">trillion VND, a </w:t>
      </w:r>
      <w:r>
        <w:t>year-on-year reduction</w:t>
      </w:r>
      <w:r w:rsidRPr="00227BB5">
        <w:t xml:space="preserve"> of </w:t>
      </w:r>
      <w:r>
        <w:rPr>
          <w:lang w:val="it-IT"/>
        </w:rPr>
        <w:t>5.1</w:t>
      </w:r>
      <w:r w:rsidRPr="00227BB5">
        <w:rPr>
          <w:lang w:val="it-IT"/>
        </w:rPr>
        <w:t>%</w:t>
      </w:r>
      <w:r w:rsidRPr="00227BB5">
        <w:t xml:space="preserve">. </w:t>
      </w:r>
      <w:r>
        <w:t>Besides</w:t>
      </w:r>
      <w:r w:rsidRPr="00227BB5">
        <w:t>,</w:t>
      </w:r>
      <w:r>
        <w:t xml:space="preserve"> there we</w:t>
      </w:r>
      <w:r w:rsidRPr="00227BB5">
        <w:t xml:space="preserve">re </w:t>
      </w:r>
      <w:r>
        <w:t>over 57.3</w:t>
      </w:r>
      <w:r w:rsidRPr="00227BB5">
        <w:rPr>
          <w:lang w:val="it-IT"/>
        </w:rPr>
        <w:t xml:space="preserve"> </w:t>
      </w:r>
      <w:r w:rsidRPr="00227BB5">
        <w:t>thousand enterprises</w:t>
      </w:r>
      <w:r>
        <w:t xml:space="preserve"> resumed</w:t>
      </w:r>
      <w:r w:rsidRPr="00227BB5">
        <w:t xml:space="preserve"> (</w:t>
      </w:r>
      <w:r>
        <w:t>a year-on-year increase of</w:t>
      </w:r>
      <w:r w:rsidRPr="00227BB5">
        <w:t xml:space="preserve"> </w:t>
      </w:r>
      <w:r>
        <w:t>25.3</w:t>
      </w:r>
      <w:r w:rsidRPr="00227BB5">
        <w:rPr>
          <w:lang w:val="it-IT"/>
        </w:rPr>
        <w:t xml:space="preserve">%), </w:t>
      </w:r>
      <w:r>
        <w:t>levering</w:t>
      </w:r>
      <w:r w:rsidRPr="00227BB5">
        <w:t xml:space="preserve"> the total number of newly</w:t>
      </w:r>
      <w:r>
        <w:t xml:space="preserve"> </w:t>
      </w:r>
      <w:r w:rsidRPr="00227BB5">
        <w:t xml:space="preserve">established enterprises and </w:t>
      </w:r>
      <w:r>
        <w:t>resumed</w:t>
      </w:r>
      <w:r w:rsidRPr="00227BB5">
        <w:t xml:space="preserve"> enterprises in the </w:t>
      </w:r>
      <w:r>
        <w:t>eight</w:t>
      </w:r>
      <w:r w:rsidRPr="00227BB5">
        <w:t xml:space="preserve"> months of 2024 to nearly</w:t>
      </w:r>
      <w:r w:rsidRPr="00227BB5">
        <w:rPr>
          <w:lang w:val="it-IT"/>
        </w:rPr>
        <w:t xml:space="preserve"> </w:t>
      </w:r>
      <w:r>
        <w:rPr>
          <w:lang w:val="it-IT"/>
        </w:rPr>
        <w:t>168.1</w:t>
      </w:r>
      <w:r w:rsidRPr="00227BB5">
        <w:rPr>
          <w:lang w:val="it-IT"/>
        </w:rPr>
        <w:t xml:space="preserve"> </w:t>
      </w:r>
      <w:r w:rsidRPr="00227BB5">
        <w:t xml:space="preserve">thousand enterprises, </w:t>
      </w:r>
      <w:r>
        <w:t>a year-on-year increase of</w:t>
      </w:r>
      <w:r w:rsidRPr="00227BB5">
        <w:t xml:space="preserve"> </w:t>
      </w:r>
      <w:r>
        <w:t>12.5</w:t>
      </w:r>
      <w:r w:rsidRPr="00227BB5">
        <w:rPr>
          <w:lang w:val="it-IT"/>
        </w:rPr>
        <w:t>%</w:t>
      </w:r>
      <w:r w:rsidRPr="00227BB5">
        <w:t xml:space="preserve">. </w:t>
      </w:r>
      <w:r>
        <w:t xml:space="preserve">On </w:t>
      </w:r>
      <w:r w:rsidRPr="00227BB5">
        <w:t>average</w:t>
      </w:r>
      <w:r>
        <w:t>, there were over 21</w:t>
      </w:r>
      <w:r w:rsidRPr="00227BB5">
        <w:rPr>
          <w:lang w:val="it-IT"/>
        </w:rPr>
        <w:t xml:space="preserve"> </w:t>
      </w:r>
      <w:r w:rsidRPr="00227BB5">
        <w:t xml:space="preserve">thousand newly established and </w:t>
      </w:r>
      <w:r>
        <w:t>resumed</w:t>
      </w:r>
      <w:r w:rsidRPr="00227BB5">
        <w:t xml:space="preserve"> enterprises</w:t>
      </w:r>
      <w:r>
        <w:t xml:space="preserve"> per month</w:t>
      </w:r>
      <w:r w:rsidRPr="00227BB5">
        <w:rPr>
          <w:lang w:val="it-IT"/>
        </w:rPr>
        <w:t>.</w:t>
      </w:r>
    </w:p>
    <w:p w14:paraId="5B08F3E7" w14:textId="77777777" w:rsidR="00195090" w:rsidRPr="00227BB5" w:rsidRDefault="00195090" w:rsidP="00195090">
      <w:pPr>
        <w:spacing w:after="40" w:line="300" w:lineRule="auto"/>
        <w:ind w:firstLine="567"/>
        <w:jc w:val="both"/>
        <w:rPr>
          <w:lang w:val="it-IT"/>
        </w:rPr>
      </w:pPr>
      <w:r w:rsidRPr="00227BB5">
        <w:t xml:space="preserve">By economic sector in </w:t>
      </w:r>
      <w:r>
        <w:t>the eight</w:t>
      </w:r>
      <w:r w:rsidRPr="00227BB5">
        <w:t xml:space="preserve"> months</w:t>
      </w:r>
      <w:r>
        <w:t xml:space="preserve"> of 2024</w:t>
      </w:r>
      <w:r w:rsidRPr="00227BB5">
        <w:t xml:space="preserve">, there were </w:t>
      </w:r>
      <w:r>
        <w:rPr>
          <w:lang w:val="it-IT"/>
        </w:rPr>
        <w:t>1,090</w:t>
      </w:r>
      <w:r w:rsidRPr="00227BB5">
        <w:rPr>
          <w:lang w:val="it-IT"/>
        </w:rPr>
        <w:t xml:space="preserve"> </w:t>
      </w:r>
      <w:r w:rsidRPr="00227BB5">
        <w:t>newly</w:t>
      </w:r>
      <w:r>
        <w:t xml:space="preserve"> </w:t>
      </w:r>
      <w:r w:rsidRPr="00227BB5">
        <w:t>established enterprises in the agricultural, forestry, and fishery sectors, a</w:t>
      </w:r>
      <w:r>
        <w:t xml:space="preserve"> year-on-year</w:t>
      </w:r>
      <w:r w:rsidRPr="00227BB5">
        <w:t xml:space="preserve"> </w:t>
      </w:r>
      <w:r>
        <w:t>decrease</w:t>
      </w:r>
      <w:r w:rsidRPr="00227BB5">
        <w:t xml:space="preserve"> of</w:t>
      </w:r>
      <w:r w:rsidRPr="00227BB5">
        <w:rPr>
          <w:lang w:val="it-IT"/>
        </w:rPr>
        <w:t xml:space="preserve"> </w:t>
      </w:r>
      <w:r>
        <w:rPr>
          <w:lang w:val="it-IT"/>
        </w:rPr>
        <w:t>3.7</w:t>
      </w:r>
      <w:r w:rsidRPr="00227BB5">
        <w:rPr>
          <w:lang w:val="it-IT"/>
        </w:rPr>
        <w:t>%</w:t>
      </w:r>
      <w:r w:rsidRPr="00227BB5">
        <w:t xml:space="preserve">; </w:t>
      </w:r>
      <w:r>
        <w:rPr>
          <w:lang w:val="it-IT"/>
        </w:rPr>
        <w:t>25.7</w:t>
      </w:r>
      <w:r w:rsidRPr="00227BB5">
        <w:rPr>
          <w:lang w:val="it-IT"/>
        </w:rPr>
        <w:t xml:space="preserve"> </w:t>
      </w:r>
      <w:r w:rsidRPr="00227BB5">
        <w:t xml:space="preserve">thousand enterprises in the industrial and construction sectors, </w:t>
      </w:r>
      <w:r>
        <w:t xml:space="preserve">an </w:t>
      </w:r>
      <w:r w:rsidRPr="00227BB5">
        <w:t>increase of</w:t>
      </w:r>
      <w:r w:rsidRPr="00227BB5">
        <w:rPr>
          <w:lang w:val="it-IT"/>
        </w:rPr>
        <w:t xml:space="preserve"> </w:t>
      </w:r>
      <w:r>
        <w:rPr>
          <w:lang w:val="it-IT"/>
        </w:rPr>
        <w:t>1.4</w:t>
      </w:r>
      <w:r w:rsidRPr="00227BB5">
        <w:rPr>
          <w:lang w:val="it-IT"/>
        </w:rPr>
        <w:t xml:space="preserve">%; </w:t>
      </w:r>
      <w:r>
        <w:rPr>
          <w:lang w:val="it-IT"/>
        </w:rPr>
        <w:t>nearly 84</w:t>
      </w:r>
      <w:r w:rsidRPr="00227BB5">
        <w:rPr>
          <w:lang w:val="it-IT"/>
        </w:rPr>
        <w:t xml:space="preserve"> </w:t>
      </w:r>
      <w:r w:rsidRPr="00227BB5">
        <w:t xml:space="preserve">thousand enterprises in the service sector, an increase of </w:t>
      </w:r>
      <w:r>
        <w:rPr>
          <w:lang w:val="it-IT"/>
        </w:rPr>
        <w:t>5.5</w:t>
      </w:r>
      <w:r w:rsidRPr="00227BB5">
        <w:rPr>
          <w:lang w:val="it-IT"/>
        </w:rPr>
        <w:t>%.</w:t>
      </w:r>
    </w:p>
    <w:p w14:paraId="0181C0DC" w14:textId="77777777" w:rsidR="00195090" w:rsidRPr="00227BB5" w:rsidRDefault="00195090" w:rsidP="00195090">
      <w:pPr>
        <w:spacing w:before="120" w:after="40" w:line="288" w:lineRule="auto"/>
        <w:jc w:val="center"/>
        <w:rPr>
          <w:noProof/>
          <w:lang w:val="it-IT" w:eastAsia="en-GB"/>
        </w:rPr>
      </w:pPr>
      <w:r w:rsidRPr="00227BB5">
        <w:rPr>
          <w:rFonts w:ascii="Arial" w:hAnsi="Arial" w:cs="Arial"/>
          <w:b/>
          <w:lang w:val="it-IT"/>
        </w:rPr>
        <w:t>Figure</w:t>
      </w:r>
      <w:r w:rsidRPr="00227BB5">
        <w:rPr>
          <w:rFonts w:ascii="Arial" w:hAnsi="Arial" w:cs="Arial"/>
          <w:b/>
          <w:sz w:val="24"/>
          <w:szCs w:val="24"/>
          <w:lang w:val="it-IT"/>
        </w:rPr>
        <w:t xml:space="preserve"> 6. </w:t>
      </w:r>
      <w:r w:rsidRPr="00227BB5">
        <w:rPr>
          <w:rFonts w:ascii="Arial" w:hAnsi="Arial" w:cs="Arial"/>
          <w:b/>
          <w:lang w:val="it-IT"/>
        </w:rPr>
        <w:t>Enterprise registration situation</w:t>
      </w:r>
    </w:p>
    <w:p w14:paraId="69D06686" w14:textId="77777777" w:rsidR="00195090" w:rsidRPr="00227BB5" w:rsidRDefault="00195090" w:rsidP="00195090">
      <w:pPr>
        <w:spacing w:before="120" w:after="40" w:line="288" w:lineRule="auto"/>
        <w:jc w:val="center"/>
        <w:rPr>
          <w:rFonts w:ascii="Arial" w:hAnsi="Arial" w:cs="Arial"/>
          <w:b/>
          <w:sz w:val="24"/>
          <w:szCs w:val="24"/>
          <w:lang w:val="it-IT"/>
        </w:rPr>
      </w:pPr>
      <w:r>
        <w:rPr>
          <w:rFonts w:ascii="Arial" w:hAnsi="Arial" w:cs="Arial"/>
          <w:b/>
          <w:noProof/>
          <w:sz w:val="24"/>
          <w:szCs w:val="24"/>
          <w:lang w:eastAsia="en-GB"/>
        </w:rPr>
        <w:drawing>
          <wp:inline distT="0" distB="0" distL="0" distR="0" wp14:anchorId="7A50AD78" wp14:editId="35C3E3D4">
            <wp:extent cx="5760085" cy="3018155"/>
            <wp:effectExtent l="0" t="0" r="0" b="0"/>
            <wp:docPr id="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3018155"/>
                    </a:xfrm>
                    <a:prstGeom prst="rect">
                      <a:avLst/>
                    </a:prstGeom>
                  </pic:spPr>
                </pic:pic>
              </a:graphicData>
            </a:graphic>
          </wp:inline>
        </w:drawing>
      </w:r>
    </w:p>
    <w:p w14:paraId="7AFA2221" w14:textId="77777777" w:rsidR="00195090" w:rsidRPr="00227BB5" w:rsidRDefault="00195090" w:rsidP="00195090">
      <w:pPr>
        <w:spacing w:before="40" w:after="40" w:line="283" w:lineRule="auto"/>
        <w:ind w:firstLine="567"/>
        <w:jc w:val="both"/>
        <w:rPr>
          <w:lang w:val="it-IT"/>
        </w:rPr>
      </w:pPr>
      <w:r w:rsidRPr="00227BB5">
        <w:lastRenderedPageBreak/>
        <w:t xml:space="preserve">Also in </w:t>
      </w:r>
      <w:r>
        <w:t>August</w:t>
      </w:r>
      <w:r w:rsidRPr="00227BB5">
        <w:t xml:space="preserve">, </w:t>
      </w:r>
      <w:r>
        <w:rPr>
          <w:lang w:val="it-IT"/>
        </w:rPr>
        <w:t>5,334</w:t>
      </w:r>
      <w:r w:rsidRPr="00227BB5">
        <w:rPr>
          <w:lang w:val="it-IT"/>
        </w:rPr>
        <w:t xml:space="preserve"> </w:t>
      </w:r>
      <w:r>
        <w:rPr>
          <w:lang w:val="it-IT"/>
        </w:rPr>
        <w:t xml:space="preserve">teamporarily inactive </w:t>
      </w:r>
      <w:r w:rsidRPr="00227BB5">
        <w:t xml:space="preserve">enterprises, </w:t>
      </w:r>
      <w:r>
        <w:t>down 1.6</w:t>
      </w:r>
      <w:r w:rsidRPr="00227BB5">
        <w:rPr>
          <w:lang w:val="it-IT"/>
        </w:rPr>
        <w:t xml:space="preserve">% </w:t>
      </w:r>
      <w:r w:rsidRPr="00227BB5">
        <w:t xml:space="preserve">compared to the previous month and </w:t>
      </w:r>
      <w:r>
        <w:t>up 3.0</w:t>
      </w:r>
      <w:r w:rsidRPr="00227BB5">
        <w:rPr>
          <w:lang w:val="it-IT"/>
        </w:rPr>
        <w:t xml:space="preserve">% </w:t>
      </w:r>
      <w:r w:rsidRPr="00227BB5">
        <w:t>over the same period in 2023</w:t>
      </w:r>
      <w:r w:rsidRPr="00227BB5">
        <w:rPr>
          <w:lang w:val="it-IT"/>
        </w:rPr>
        <w:t xml:space="preserve">; </w:t>
      </w:r>
      <w:r>
        <w:rPr>
          <w:lang w:val="it-IT"/>
        </w:rPr>
        <w:t>5,160</w:t>
      </w:r>
      <w:r w:rsidRPr="00227BB5">
        <w:rPr>
          <w:lang w:val="it-IT"/>
        </w:rPr>
        <w:t xml:space="preserve"> </w:t>
      </w:r>
      <w:r w:rsidRPr="00227BB5">
        <w:t xml:space="preserve">enterprises ceased and awaited dissolution procedures, </w:t>
      </w:r>
      <w:r>
        <w:t>down 4.5</w:t>
      </w:r>
      <w:r w:rsidRPr="00227BB5">
        <w:rPr>
          <w:lang w:val="it-IT"/>
        </w:rPr>
        <w:t xml:space="preserve">% </w:t>
      </w:r>
      <w:r w:rsidRPr="00227BB5">
        <w:t xml:space="preserve">and </w:t>
      </w:r>
      <w:r>
        <w:t>down 1.1</w:t>
      </w:r>
      <w:r w:rsidRPr="00227BB5">
        <w:rPr>
          <w:lang w:val="it-IT"/>
        </w:rPr>
        <w:t xml:space="preserve">%; </w:t>
      </w:r>
      <w:r>
        <w:rPr>
          <w:lang w:val="it-IT"/>
        </w:rPr>
        <w:t>1,927</w:t>
      </w:r>
      <w:r w:rsidRPr="00227BB5">
        <w:rPr>
          <w:lang w:val="it-IT"/>
        </w:rPr>
        <w:t xml:space="preserve"> </w:t>
      </w:r>
      <w:r w:rsidRPr="00227BB5">
        <w:t xml:space="preserve">enterprises completed dissolution procedures, </w:t>
      </w:r>
      <w:r>
        <w:t>up</w:t>
      </w:r>
      <w:r w:rsidRPr="00227BB5">
        <w:t xml:space="preserve"> </w:t>
      </w:r>
      <w:r>
        <w:t>11.4</w:t>
      </w:r>
      <w:r w:rsidRPr="00227BB5">
        <w:rPr>
          <w:lang w:val="it-IT"/>
        </w:rPr>
        <w:t xml:space="preserve">% </w:t>
      </w:r>
      <w:r>
        <w:rPr>
          <w:lang w:val="it-IT"/>
        </w:rPr>
        <w:t>and up 26.0%</w:t>
      </w:r>
      <w:r w:rsidRPr="00227BB5">
        <w:rPr>
          <w:lang w:val="it-IT"/>
        </w:rPr>
        <w:t xml:space="preserve">. </w:t>
      </w:r>
    </w:p>
    <w:p w14:paraId="68FC5687" w14:textId="77777777" w:rsidR="00195090" w:rsidRDefault="00195090" w:rsidP="00195090">
      <w:pPr>
        <w:spacing w:before="40" w:after="40" w:line="283" w:lineRule="auto"/>
        <w:ind w:firstLine="567"/>
        <w:jc w:val="both"/>
        <w:rPr>
          <w:lang w:val="it-IT"/>
        </w:rPr>
      </w:pPr>
      <w:r w:rsidRPr="00227BB5">
        <w:t xml:space="preserve">In the </w:t>
      </w:r>
      <w:r>
        <w:t>eight</w:t>
      </w:r>
      <w:r w:rsidRPr="00227BB5">
        <w:t xml:space="preserve"> months of 202</w:t>
      </w:r>
      <w:r>
        <w:t>4</w:t>
      </w:r>
      <w:r w:rsidRPr="00227BB5">
        <w:t>, the</w:t>
      </w:r>
      <w:r>
        <w:t xml:space="preserve"> number of </w:t>
      </w:r>
      <w:r>
        <w:rPr>
          <w:lang w:val="it-IT"/>
        </w:rPr>
        <w:t xml:space="preserve">teamporarily inactive </w:t>
      </w:r>
      <w:r w:rsidRPr="00227BB5">
        <w:t>enterprises w</w:t>
      </w:r>
      <w:r>
        <w:t>as</w:t>
      </w:r>
      <w:r w:rsidRPr="00227BB5">
        <w:rPr>
          <w:lang w:val="it-IT"/>
        </w:rPr>
        <w:t xml:space="preserve"> </w:t>
      </w:r>
      <w:r>
        <w:rPr>
          <w:lang w:val="it-IT"/>
        </w:rPr>
        <w:t>more than 82.8</w:t>
      </w:r>
      <w:r w:rsidRPr="00227BB5">
        <w:rPr>
          <w:lang w:val="it-IT"/>
        </w:rPr>
        <w:t xml:space="preserve"> </w:t>
      </w:r>
      <w:r w:rsidRPr="00227BB5">
        <w:t>thousand</w:t>
      </w:r>
      <w:r>
        <w:t xml:space="preserve"> ones</w:t>
      </w:r>
      <w:r w:rsidRPr="00227BB5">
        <w:t xml:space="preserve">, a </w:t>
      </w:r>
      <w:r>
        <w:t xml:space="preserve">year-on-year </w:t>
      </w:r>
      <w:r w:rsidRPr="00227BB5">
        <w:t xml:space="preserve">increase of </w:t>
      </w:r>
      <w:r>
        <w:rPr>
          <w:lang w:val="it-IT"/>
        </w:rPr>
        <w:t>15.3</w:t>
      </w:r>
      <w:r w:rsidRPr="00227BB5">
        <w:rPr>
          <w:lang w:val="it-IT"/>
        </w:rPr>
        <w:t>%</w:t>
      </w:r>
      <w:r w:rsidRPr="00227BB5">
        <w:t xml:space="preserve">; </w:t>
      </w:r>
      <w:r>
        <w:t>nearly 38.7</w:t>
      </w:r>
      <w:r w:rsidRPr="00227BB5">
        <w:rPr>
          <w:lang w:val="it-IT"/>
        </w:rPr>
        <w:t xml:space="preserve"> </w:t>
      </w:r>
      <w:r w:rsidRPr="00227BB5">
        <w:t xml:space="preserve">thousand enterprises ceased and awaited dissolution procedures, a </w:t>
      </w:r>
      <w:r>
        <w:t>reduction</w:t>
      </w:r>
      <w:r w:rsidRPr="00227BB5">
        <w:t xml:space="preserve"> of</w:t>
      </w:r>
      <w:r w:rsidRPr="00227BB5">
        <w:rPr>
          <w:lang w:val="it-IT"/>
        </w:rPr>
        <w:t xml:space="preserve"> </w:t>
      </w:r>
      <w:r>
        <w:rPr>
          <w:lang w:val="it-IT"/>
        </w:rPr>
        <w:t>5.8</w:t>
      </w:r>
      <w:r w:rsidRPr="00227BB5">
        <w:rPr>
          <w:lang w:val="it-IT"/>
        </w:rPr>
        <w:t xml:space="preserve">%; </w:t>
      </w:r>
      <w:r>
        <w:rPr>
          <w:lang w:val="it-IT"/>
        </w:rPr>
        <w:t>13.8</w:t>
      </w:r>
      <w:r w:rsidRPr="00227BB5">
        <w:rPr>
          <w:lang w:val="it-IT"/>
        </w:rPr>
        <w:t xml:space="preserve"> </w:t>
      </w:r>
      <w:r w:rsidRPr="00227BB5">
        <w:t xml:space="preserve">thousand enterprises completed dissolution procedures, up </w:t>
      </w:r>
      <w:r>
        <w:rPr>
          <w:lang w:val="it-IT"/>
        </w:rPr>
        <w:t>18.0</w:t>
      </w:r>
      <w:r w:rsidRPr="00227BB5">
        <w:rPr>
          <w:lang w:val="it-IT"/>
        </w:rPr>
        <w:t xml:space="preserve">%. </w:t>
      </w:r>
      <w:r w:rsidRPr="00227BB5">
        <w:t xml:space="preserve">On average, </w:t>
      </w:r>
      <w:r>
        <w:rPr>
          <w:lang w:val="it-IT"/>
        </w:rPr>
        <w:t>more than 16.9</w:t>
      </w:r>
      <w:r w:rsidRPr="00227BB5">
        <w:rPr>
          <w:lang w:val="it-IT"/>
        </w:rPr>
        <w:t xml:space="preserve"> </w:t>
      </w:r>
      <w:r w:rsidRPr="00227BB5">
        <w:t xml:space="preserve">thousand enterprises </w:t>
      </w:r>
      <w:proofErr w:type="gramStart"/>
      <w:r w:rsidRPr="00227BB5">
        <w:t>withdraw</w:t>
      </w:r>
      <w:r>
        <w:t>ing</w:t>
      </w:r>
      <w:proofErr w:type="gramEnd"/>
      <w:r w:rsidRPr="00227BB5">
        <w:t xml:space="preserve"> from the market </w:t>
      </w:r>
      <w:r>
        <w:t>per</w:t>
      </w:r>
      <w:r w:rsidRPr="00227BB5">
        <w:t xml:space="preserve"> month</w:t>
      </w:r>
      <w:r w:rsidRPr="00227BB5">
        <w:rPr>
          <w:lang w:val="it-IT"/>
        </w:rPr>
        <w:t>.</w:t>
      </w:r>
    </w:p>
    <w:p w14:paraId="339073B4" w14:textId="42B89554" w:rsidR="00195090" w:rsidRPr="00227BB5" w:rsidRDefault="00195090" w:rsidP="00195090">
      <w:pPr>
        <w:tabs>
          <w:tab w:val="left" w:pos="6810"/>
        </w:tabs>
        <w:spacing w:before="40" w:after="40" w:line="278" w:lineRule="auto"/>
        <w:jc w:val="center"/>
        <w:rPr>
          <w:rFonts w:ascii="Arial" w:hAnsi="Arial" w:cs="Arial"/>
          <w:b/>
          <w:sz w:val="24"/>
          <w:szCs w:val="20"/>
          <w:lang w:val="it-IT"/>
        </w:rPr>
      </w:pPr>
      <w:r w:rsidRPr="00227BB5">
        <w:rPr>
          <w:rFonts w:ascii="Arial" w:hAnsi="Arial" w:cs="Arial"/>
          <w:b/>
          <w:sz w:val="24"/>
          <w:szCs w:val="20"/>
          <w:lang w:val="it-IT"/>
        </w:rPr>
        <w:t>Table 3: Number of newl</w:t>
      </w:r>
      <w:r>
        <w:rPr>
          <w:rFonts w:ascii="Arial" w:hAnsi="Arial" w:cs="Arial"/>
          <w:b/>
          <w:sz w:val="24"/>
          <w:szCs w:val="20"/>
          <w:lang w:val="it-IT"/>
        </w:rPr>
        <w:t xml:space="preserve">y registered enterprises and </w:t>
      </w:r>
      <w:r w:rsidRPr="00227BB5">
        <w:rPr>
          <w:rFonts w:ascii="Arial" w:hAnsi="Arial" w:cs="Arial"/>
          <w:b/>
          <w:sz w:val="24"/>
          <w:szCs w:val="20"/>
          <w:lang w:val="it-IT"/>
        </w:rPr>
        <w:t xml:space="preserve">completed </w:t>
      </w:r>
      <w:r>
        <w:rPr>
          <w:rFonts w:ascii="Arial" w:hAnsi="Arial" w:cs="Arial"/>
          <w:b/>
          <w:sz w:val="24"/>
          <w:szCs w:val="20"/>
          <w:lang w:val="it-IT"/>
        </w:rPr>
        <w:t xml:space="preserve">                  </w:t>
      </w:r>
      <w:r w:rsidRPr="00227BB5">
        <w:rPr>
          <w:rFonts w:ascii="Arial" w:hAnsi="Arial" w:cs="Arial"/>
          <w:b/>
          <w:sz w:val="24"/>
          <w:szCs w:val="20"/>
          <w:lang w:val="it-IT"/>
        </w:rPr>
        <w:t xml:space="preserve">dissolution procedures in </w:t>
      </w:r>
      <w:r>
        <w:rPr>
          <w:rFonts w:ascii="Arial" w:hAnsi="Arial" w:cs="Arial"/>
          <w:b/>
          <w:sz w:val="24"/>
          <w:szCs w:val="20"/>
          <w:lang w:val="it-IT"/>
        </w:rPr>
        <w:t xml:space="preserve">the eight </w:t>
      </w:r>
      <w:r w:rsidRPr="00227BB5">
        <w:rPr>
          <w:rFonts w:ascii="Arial" w:hAnsi="Arial" w:cs="Arial"/>
          <w:b/>
          <w:sz w:val="24"/>
          <w:szCs w:val="20"/>
          <w:lang w:val="it-IT"/>
        </w:rPr>
        <w:t>months</w:t>
      </w:r>
      <w:r>
        <w:rPr>
          <w:rFonts w:ascii="Arial" w:hAnsi="Arial" w:cs="Arial"/>
          <w:b/>
          <w:sz w:val="24"/>
          <w:szCs w:val="20"/>
          <w:lang w:val="it-IT"/>
        </w:rPr>
        <w:t xml:space="preserve"> of</w:t>
      </w:r>
      <w:r w:rsidRPr="00227BB5">
        <w:rPr>
          <w:rFonts w:ascii="Arial" w:hAnsi="Arial" w:cs="Arial"/>
          <w:b/>
          <w:sz w:val="24"/>
          <w:szCs w:val="20"/>
          <w:lang w:val="it-IT"/>
        </w:rPr>
        <w:t xml:space="preserve"> 202</w:t>
      </w:r>
      <w:r>
        <w:rPr>
          <w:rFonts w:ascii="Arial" w:hAnsi="Arial" w:cs="Arial"/>
          <w:b/>
          <w:sz w:val="24"/>
          <w:szCs w:val="20"/>
          <w:lang w:val="it-IT"/>
        </w:rPr>
        <w:t>4</w:t>
      </w:r>
      <w:r w:rsidRPr="00227BB5">
        <w:rPr>
          <w:rFonts w:ascii="Arial" w:hAnsi="Arial" w:cs="Arial"/>
          <w:b/>
          <w:sz w:val="24"/>
          <w:szCs w:val="20"/>
          <w:lang w:val="it-IT"/>
        </w:rPr>
        <w:t xml:space="preserve"> by kinds of activity</w:t>
      </w:r>
    </w:p>
    <w:p w14:paraId="47B38121" w14:textId="77777777" w:rsidR="00195090" w:rsidRPr="00227BB5" w:rsidRDefault="00195090" w:rsidP="00195090">
      <w:pPr>
        <w:tabs>
          <w:tab w:val="left" w:pos="6810"/>
        </w:tabs>
        <w:spacing w:before="40" w:after="40" w:line="278" w:lineRule="auto"/>
        <w:ind w:firstLine="567"/>
        <w:jc w:val="center"/>
        <w:rPr>
          <w:rFonts w:ascii="Arial" w:hAnsi="Arial" w:cs="Arial"/>
          <w:b/>
          <w:sz w:val="4"/>
          <w:szCs w:val="20"/>
          <w:lang w:val="it-IT"/>
        </w:rPr>
      </w:pPr>
    </w:p>
    <w:tbl>
      <w:tblPr>
        <w:tblW w:w="9198" w:type="dxa"/>
        <w:jc w:val="center"/>
        <w:tblLayout w:type="fixed"/>
        <w:tblLook w:val="04A0" w:firstRow="1" w:lastRow="0" w:firstColumn="1" w:lastColumn="0" w:noHBand="0" w:noVBand="1"/>
      </w:tblPr>
      <w:tblGrid>
        <w:gridCol w:w="3670"/>
        <w:gridCol w:w="1566"/>
        <w:gridCol w:w="1178"/>
        <w:gridCol w:w="1655"/>
        <w:gridCol w:w="1129"/>
      </w:tblGrid>
      <w:tr w:rsidR="00195090" w:rsidRPr="00227BB5" w14:paraId="352D83F8" w14:textId="77777777" w:rsidTr="00E445BD">
        <w:trPr>
          <w:cantSplit/>
          <w:trHeight w:val="576"/>
          <w:jc w:val="center"/>
        </w:trPr>
        <w:tc>
          <w:tcPr>
            <w:tcW w:w="3670" w:type="dxa"/>
            <w:vMerge w:val="restart"/>
            <w:tcBorders>
              <w:top w:val="single" w:sz="4" w:space="0" w:color="auto"/>
            </w:tcBorders>
            <w:shd w:val="clear" w:color="auto" w:fill="auto"/>
            <w:noWrap/>
            <w:vAlign w:val="bottom"/>
            <w:hideMark/>
          </w:tcPr>
          <w:p w14:paraId="4C6DA66E" w14:textId="77777777" w:rsidR="00195090" w:rsidRPr="00227BB5" w:rsidRDefault="00195090" w:rsidP="00E445BD">
            <w:pPr>
              <w:jc w:val="center"/>
              <w:rPr>
                <w:rFonts w:ascii="Arial" w:hAnsi="Arial" w:cs="Arial"/>
                <w:sz w:val="20"/>
                <w:szCs w:val="20"/>
                <w:lang w:val="it-IT"/>
              </w:rPr>
            </w:pPr>
            <w:r w:rsidRPr="00227BB5">
              <w:rPr>
                <w:rFonts w:ascii="Arial" w:hAnsi="Arial" w:cs="Arial"/>
                <w:sz w:val="20"/>
                <w:szCs w:val="20"/>
                <w:lang w:val="it-IT"/>
              </w:rPr>
              <w:t> </w:t>
            </w:r>
          </w:p>
        </w:tc>
        <w:tc>
          <w:tcPr>
            <w:tcW w:w="2744" w:type="dxa"/>
            <w:gridSpan w:val="2"/>
            <w:tcBorders>
              <w:top w:val="single" w:sz="4" w:space="0" w:color="auto"/>
              <w:bottom w:val="single" w:sz="4" w:space="0" w:color="auto"/>
            </w:tcBorders>
            <w:shd w:val="clear" w:color="auto" w:fill="auto"/>
            <w:vAlign w:val="center"/>
            <w:hideMark/>
          </w:tcPr>
          <w:p w14:paraId="2596A2D4" w14:textId="77777777" w:rsidR="00195090" w:rsidRPr="00227BB5" w:rsidRDefault="00195090" w:rsidP="00E445BD">
            <w:pPr>
              <w:spacing w:before="40" w:after="40"/>
              <w:jc w:val="center"/>
              <w:rPr>
                <w:rFonts w:ascii="Arial" w:hAnsi="Arial" w:cs="Arial"/>
                <w:bCs/>
                <w:sz w:val="18"/>
                <w:szCs w:val="18"/>
                <w:lang w:val="it-IT"/>
              </w:rPr>
            </w:pPr>
            <w:r w:rsidRPr="00227BB5">
              <w:rPr>
                <w:rFonts w:ascii="Arial" w:hAnsi="Arial" w:cs="Arial"/>
                <w:bCs/>
                <w:color w:val="000000"/>
                <w:sz w:val="18"/>
                <w:szCs w:val="18"/>
              </w:rPr>
              <w:t>Number of enterprises (Enterprise)</w:t>
            </w:r>
          </w:p>
        </w:tc>
        <w:tc>
          <w:tcPr>
            <w:tcW w:w="2784" w:type="dxa"/>
            <w:gridSpan w:val="2"/>
            <w:tcBorders>
              <w:top w:val="single" w:sz="4" w:space="0" w:color="auto"/>
              <w:bottom w:val="single" w:sz="4" w:space="0" w:color="auto"/>
            </w:tcBorders>
            <w:shd w:val="clear" w:color="auto" w:fill="auto"/>
            <w:vAlign w:val="center"/>
            <w:hideMark/>
          </w:tcPr>
          <w:p w14:paraId="1EF162D4" w14:textId="77777777" w:rsidR="00195090" w:rsidRDefault="00195090" w:rsidP="00E445BD">
            <w:pPr>
              <w:spacing w:before="40" w:after="40"/>
              <w:jc w:val="center"/>
              <w:rPr>
                <w:rFonts w:ascii="Arial" w:hAnsi="Arial" w:cs="Arial"/>
                <w:bCs/>
                <w:color w:val="000000"/>
                <w:sz w:val="18"/>
                <w:szCs w:val="18"/>
              </w:rPr>
            </w:pPr>
            <w:r w:rsidRPr="00227BB5">
              <w:rPr>
                <w:rFonts w:ascii="Arial" w:hAnsi="Arial" w:cs="Arial"/>
                <w:bCs/>
                <w:color w:val="000000"/>
                <w:sz w:val="18"/>
                <w:szCs w:val="18"/>
              </w:rPr>
              <w:t xml:space="preserve">Growth rate </w:t>
            </w:r>
            <w:r>
              <w:rPr>
                <w:rFonts w:ascii="Arial" w:hAnsi="Arial" w:cs="Arial"/>
                <w:bCs/>
                <w:color w:val="000000"/>
                <w:sz w:val="18"/>
                <w:szCs w:val="18"/>
              </w:rPr>
              <w:t>over</w:t>
            </w:r>
          </w:p>
          <w:p w14:paraId="2D692141" w14:textId="77777777" w:rsidR="00195090" w:rsidRPr="00227BB5" w:rsidRDefault="00195090" w:rsidP="00E445BD">
            <w:pPr>
              <w:spacing w:before="40" w:after="40"/>
              <w:jc w:val="center"/>
              <w:rPr>
                <w:rFonts w:ascii="Arial" w:hAnsi="Arial" w:cs="Arial"/>
                <w:bCs/>
                <w:sz w:val="18"/>
                <w:szCs w:val="18"/>
                <w:lang w:val="it-IT"/>
              </w:rPr>
            </w:pPr>
            <w:r w:rsidRPr="00227BB5">
              <w:rPr>
                <w:rFonts w:ascii="Arial" w:hAnsi="Arial" w:cs="Arial"/>
                <w:bCs/>
                <w:color w:val="000000"/>
                <w:sz w:val="18"/>
                <w:szCs w:val="18"/>
              </w:rPr>
              <w:t xml:space="preserve">the same period last year </w:t>
            </w:r>
            <w:r>
              <w:rPr>
                <w:rFonts w:ascii="Arial" w:hAnsi="Arial" w:cs="Arial"/>
                <w:bCs/>
                <w:color w:val="000000"/>
                <w:sz w:val="18"/>
                <w:szCs w:val="18"/>
              </w:rPr>
              <w:t>(</w:t>
            </w:r>
            <w:r w:rsidRPr="00227BB5">
              <w:rPr>
                <w:rFonts w:ascii="Arial" w:hAnsi="Arial" w:cs="Arial"/>
                <w:bCs/>
                <w:color w:val="000000"/>
                <w:sz w:val="18"/>
                <w:szCs w:val="18"/>
              </w:rPr>
              <w:t>%)</w:t>
            </w:r>
          </w:p>
        </w:tc>
      </w:tr>
      <w:tr w:rsidR="00195090" w:rsidRPr="00227BB5" w14:paraId="30568577" w14:textId="77777777" w:rsidTr="00E445BD">
        <w:trPr>
          <w:cantSplit/>
          <w:trHeight w:val="570"/>
          <w:jc w:val="center"/>
        </w:trPr>
        <w:tc>
          <w:tcPr>
            <w:tcW w:w="3670" w:type="dxa"/>
            <w:vMerge/>
            <w:vAlign w:val="center"/>
            <w:hideMark/>
          </w:tcPr>
          <w:p w14:paraId="2E2C9444" w14:textId="77777777" w:rsidR="00195090" w:rsidRPr="00227BB5" w:rsidRDefault="00195090" w:rsidP="00E445BD">
            <w:pPr>
              <w:rPr>
                <w:rFonts w:ascii="Arial" w:hAnsi="Arial" w:cs="Arial"/>
                <w:sz w:val="20"/>
                <w:szCs w:val="20"/>
                <w:lang w:val="it-IT"/>
              </w:rPr>
            </w:pPr>
          </w:p>
        </w:tc>
        <w:tc>
          <w:tcPr>
            <w:tcW w:w="1566" w:type="dxa"/>
            <w:tcBorders>
              <w:top w:val="single" w:sz="4" w:space="0" w:color="auto"/>
              <w:bottom w:val="single" w:sz="4" w:space="0" w:color="auto"/>
            </w:tcBorders>
            <w:shd w:val="clear" w:color="auto" w:fill="auto"/>
            <w:vAlign w:val="center"/>
            <w:hideMark/>
          </w:tcPr>
          <w:p w14:paraId="7F40C001" w14:textId="77777777" w:rsidR="00195090" w:rsidRPr="00227BB5" w:rsidRDefault="00195090" w:rsidP="00E445BD">
            <w:pPr>
              <w:spacing w:before="60" w:after="60"/>
              <w:jc w:val="center"/>
              <w:rPr>
                <w:rFonts w:ascii="Arial" w:hAnsi="Arial" w:cs="Arial"/>
                <w:bCs/>
                <w:sz w:val="18"/>
                <w:szCs w:val="18"/>
              </w:rPr>
            </w:pPr>
            <w:r w:rsidRPr="00227BB5">
              <w:rPr>
                <w:rFonts w:ascii="Arial" w:hAnsi="Arial" w:cs="Arial"/>
                <w:bCs/>
                <w:color w:val="000000"/>
                <w:sz w:val="18"/>
                <w:szCs w:val="18"/>
              </w:rPr>
              <w:t>Newly registered</w:t>
            </w:r>
          </w:p>
        </w:tc>
        <w:tc>
          <w:tcPr>
            <w:tcW w:w="1178" w:type="dxa"/>
            <w:tcBorders>
              <w:top w:val="single" w:sz="4" w:space="0" w:color="auto"/>
              <w:bottom w:val="single" w:sz="4" w:space="0" w:color="auto"/>
            </w:tcBorders>
            <w:shd w:val="clear" w:color="auto" w:fill="auto"/>
            <w:vAlign w:val="center"/>
            <w:hideMark/>
          </w:tcPr>
          <w:p w14:paraId="7212D541" w14:textId="77777777" w:rsidR="00195090" w:rsidRPr="00DC5BDA" w:rsidRDefault="00195090" w:rsidP="00E445BD">
            <w:pPr>
              <w:spacing w:before="60" w:after="60"/>
              <w:jc w:val="center"/>
              <w:rPr>
                <w:rFonts w:ascii="Arial" w:hAnsi="Arial" w:cs="Arial"/>
                <w:bCs/>
                <w:color w:val="000000"/>
                <w:sz w:val="18"/>
                <w:szCs w:val="18"/>
              </w:rPr>
            </w:pPr>
            <w:r w:rsidRPr="00227BB5">
              <w:rPr>
                <w:rFonts w:ascii="Arial" w:hAnsi="Arial" w:cs="Arial"/>
                <w:bCs/>
                <w:color w:val="000000"/>
                <w:sz w:val="18"/>
                <w:szCs w:val="18"/>
              </w:rPr>
              <w:t>Dissolution</w:t>
            </w:r>
          </w:p>
        </w:tc>
        <w:tc>
          <w:tcPr>
            <w:tcW w:w="1655" w:type="dxa"/>
            <w:tcBorders>
              <w:top w:val="single" w:sz="4" w:space="0" w:color="auto"/>
              <w:bottom w:val="single" w:sz="4" w:space="0" w:color="auto"/>
            </w:tcBorders>
            <w:shd w:val="clear" w:color="auto" w:fill="auto"/>
            <w:vAlign w:val="center"/>
            <w:hideMark/>
          </w:tcPr>
          <w:p w14:paraId="578C1839" w14:textId="77777777" w:rsidR="00195090" w:rsidRPr="00227BB5" w:rsidRDefault="00195090" w:rsidP="00E445BD">
            <w:pPr>
              <w:spacing w:before="60" w:after="60"/>
              <w:jc w:val="center"/>
              <w:rPr>
                <w:rFonts w:ascii="Arial" w:hAnsi="Arial" w:cs="Arial"/>
                <w:bCs/>
                <w:sz w:val="18"/>
                <w:szCs w:val="18"/>
              </w:rPr>
            </w:pPr>
            <w:r w:rsidRPr="00227BB5">
              <w:rPr>
                <w:rFonts w:ascii="Arial" w:hAnsi="Arial" w:cs="Arial"/>
                <w:bCs/>
                <w:color w:val="000000"/>
                <w:sz w:val="18"/>
                <w:szCs w:val="18"/>
              </w:rPr>
              <w:t>Newly registered</w:t>
            </w:r>
          </w:p>
        </w:tc>
        <w:tc>
          <w:tcPr>
            <w:tcW w:w="1129" w:type="dxa"/>
            <w:tcBorders>
              <w:top w:val="single" w:sz="4" w:space="0" w:color="auto"/>
              <w:bottom w:val="single" w:sz="4" w:space="0" w:color="auto"/>
            </w:tcBorders>
            <w:shd w:val="clear" w:color="auto" w:fill="auto"/>
            <w:vAlign w:val="center"/>
            <w:hideMark/>
          </w:tcPr>
          <w:p w14:paraId="348A150E" w14:textId="77777777" w:rsidR="00195090" w:rsidRPr="00DC5BDA" w:rsidRDefault="00195090" w:rsidP="00E445BD">
            <w:pPr>
              <w:spacing w:before="60" w:after="60"/>
              <w:jc w:val="center"/>
              <w:rPr>
                <w:rFonts w:ascii="Arial" w:hAnsi="Arial" w:cs="Arial"/>
                <w:bCs/>
                <w:color w:val="000000"/>
                <w:sz w:val="18"/>
                <w:szCs w:val="18"/>
              </w:rPr>
            </w:pPr>
            <w:r w:rsidRPr="00227BB5">
              <w:rPr>
                <w:rFonts w:ascii="Arial" w:hAnsi="Arial" w:cs="Arial"/>
                <w:bCs/>
                <w:color w:val="000000"/>
                <w:sz w:val="18"/>
                <w:szCs w:val="18"/>
              </w:rPr>
              <w:t>Dissolution</w:t>
            </w:r>
          </w:p>
        </w:tc>
      </w:tr>
      <w:tr w:rsidR="00195090" w:rsidRPr="00227BB5" w14:paraId="666808E2" w14:textId="77777777" w:rsidTr="00E445BD">
        <w:trPr>
          <w:cantSplit/>
          <w:jc w:val="center"/>
        </w:trPr>
        <w:tc>
          <w:tcPr>
            <w:tcW w:w="3670" w:type="dxa"/>
            <w:shd w:val="clear" w:color="auto" w:fill="auto"/>
            <w:noWrap/>
            <w:vAlign w:val="bottom"/>
            <w:hideMark/>
          </w:tcPr>
          <w:p w14:paraId="024AF5BC" w14:textId="77777777" w:rsidR="00195090" w:rsidRPr="00227BB5" w:rsidRDefault="00195090" w:rsidP="00E445BD">
            <w:pPr>
              <w:spacing w:before="120" w:after="40"/>
              <w:rPr>
                <w:rFonts w:ascii="Arial" w:hAnsi="Arial" w:cs="Arial"/>
                <w:sz w:val="20"/>
                <w:szCs w:val="20"/>
              </w:rPr>
            </w:pPr>
            <w:r w:rsidRPr="00227BB5">
              <w:rPr>
                <w:rFonts w:ascii="Arial" w:hAnsi="Arial" w:cs="Arial"/>
                <w:color w:val="000000"/>
                <w:sz w:val="20"/>
                <w:szCs w:val="20"/>
              </w:rPr>
              <w:t>Wholesale and retail trade; repair of motor vehicles and motorcycles</w:t>
            </w:r>
          </w:p>
        </w:tc>
        <w:tc>
          <w:tcPr>
            <w:tcW w:w="1566" w:type="dxa"/>
            <w:tcBorders>
              <w:top w:val="single" w:sz="4" w:space="0" w:color="auto"/>
            </w:tcBorders>
            <w:shd w:val="clear" w:color="auto" w:fill="auto"/>
            <w:noWrap/>
            <w:vAlign w:val="bottom"/>
          </w:tcPr>
          <w:p w14:paraId="10C1D610"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45,</w:t>
            </w:r>
            <w:r>
              <w:rPr>
                <w:rFonts w:ascii="Arial" w:hAnsi="Arial" w:cs="Arial"/>
                <w:sz w:val="20"/>
                <w:szCs w:val="20"/>
                <w:lang w:val="vi-VN"/>
              </w:rPr>
              <w:t>408</w:t>
            </w:r>
          </w:p>
        </w:tc>
        <w:tc>
          <w:tcPr>
            <w:tcW w:w="1178" w:type="dxa"/>
            <w:tcBorders>
              <w:top w:val="single" w:sz="4" w:space="0" w:color="auto"/>
            </w:tcBorders>
            <w:shd w:val="clear" w:color="auto" w:fill="auto"/>
            <w:noWrap/>
            <w:vAlign w:val="bottom"/>
          </w:tcPr>
          <w:p w14:paraId="773DD018"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5,</w:t>
            </w:r>
            <w:r>
              <w:rPr>
                <w:rFonts w:ascii="Arial" w:hAnsi="Arial" w:cs="Arial"/>
                <w:sz w:val="20"/>
                <w:szCs w:val="20"/>
                <w:lang w:val="vi-VN"/>
              </w:rPr>
              <w:t>560</w:t>
            </w:r>
          </w:p>
        </w:tc>
        <w:tc>
          <w:tcPr>
            <w:tcW w:w="1655" w:type="dxa"/>
            <w:tcBorders>
              <w:top w:val="single" w:sz="4" w:space="0" w:color="auto"/>
            </w:tcBorders>
            <w:shd w:val="clear" w:color="auto" w:fill="auto"/>
            <w:noWrap/>
            <w:vAlign w:val="bottom"/>
          </w:tcPr>
          <w:p w14:paraId="196526FA" w14:textId="77777777" w:rsidR="00195090" w:rsidRPr="00227BB5" w:rsidRDefault="00195090" w:rsidP="00E445BD">
            <w:pPr>
              <w:spacing w:before="120" w:after="40"/>
              <w:ind w:right="316"/>
              <w:jc w:val="right"/>
              <w:rPr>
                <w:rFonts w:ascii="Arial" w:hAnsi="Arial" w:cs="Arial"/>
                <w:sz w:val="20"/>
                <w:szCs w:val="20"/>
              </w:rPr>
            </w:pPr>
            <w:r w:rsidRPr="00EB7EC8">
              <w:rPr>
                <w:rFonts w:ascii="Arial" w:hAnsi="Arial" w:cs="Arial"/>
                <w:sz w:val="20"/>
                <w:szCs w:val="20"/>
              </w:rPr>
              <w:t>12</w:t>
            </w:r>
            <w:r>
              <w:rPr>
                <w:rFonts w:ascii="Arial" w:hAnsi="Arial" w:cs="Arial"/>
                <w:sz w:val="20"/>
                <w:szCs w:val="20"/>
              </w:rPr>
              <w:t>.</w:t>
            </w:r>
            <w:r w:rsidRPr="00EB7EC8">
              <w:rPr>
                <w:rFonts w:ascii="Arial" w:hAnsi="Arial" w:cs="Arial"/>
                <w:sz w:val="20"/>
                <w:szCs w:val="20"/>
              </w:rPr>
              <w:t>1</w:t>
            </w:r>
          </w:p>
        </w:tc>
        <w:tc>
          <w:tcPr>
            <w:tcW w:w="1129" w:type="dxa"/>
            <w:tcBorders>
              <w:top w:val="single" w:sz="4" w:space="0" w:color="auto"/>
            </w:tcBorders>
            <w:shd w:val="clear" w:color="auto" w:fill="auto"/>
            <w:noWrap/>
            <w:vAlign w:val="bottom"/>
          </w:tcPr>
          <w:p w14:paraId="5894FAD8" w14:textId="77777777" w:rsidR="00195090" w:rsidRPr="00227BB5" w:rsidRDefault="00195090" w:rsidP="00E445BD">
            <w:pPr>
              <w:spacing w:before="120" w:after="40"/>
              <w:ind w:right="176"/>
              <w:jc w:val="right"/>
              <w:rPr>
                <w:rFonts w:ascii="Arial" w:hAnsi="Arial" w:cs="Arial"/>
                <w:sz w:val="20"/>
                <w:szCs w:val="20"/>
              </w:rPr>
            </w:pPr>
            <w:r w:rsidRPr="00EB7EC8">
              <w:rPr>
                <w:rFonts w:ascii="Arial" w:hAnsi="Arial" w:cs="Arial"/>
                <w:sz w:val="20"/>
                <w:szCs w:val="20"/>
              </w:rPr>
              <w:t>26</w:t>
            </w:r>
            <w:r>
              <w:rPr>
                <w:rFonts w:ascii="Arial" w:hAnsi="Arial" w:cs="Arial"/>
                <w:sz w:val="20"/>
                <w:szCs w:val="20"/>
              </w:rPr>
              <w:t>.</w:t>
            </w:r>
            <w:r w:rsidRPr="00EB7EC8">
              <w:rPr>
                <w:rFonts w:ascii="Arial" w:hAnsi="Arial" w:cs="Arial"/>
                <w:sz w:val="20"/>
                <w:szCs w:val="20"/>
              </w:rPr>
              <w:t>9</w:t>
            </w:r>
          </w:p>
        </w:tc>
      </w:tr>
      <w:tr w:rsidR="00195090" w:rsidRPr="00227BB5" w14:paraId="60DCF719" w14:textId="77777777" w:rsidTr="00E445BD">
        <w:trPr>
          <w:cantSplit/>
          <w:jc w:val="center"/>
        </w:trPr>
        <w:tc>
          <w:tcPr>
            <w:tcW w:w="3670" w:type="dxa"/>
            <w:shd w:val="clear" w:color="auto" w:fill="auto"/>
            <w:noWrap/>
            <w:vAlign w:val="bottom"/>
            <w:hideMark/>
          </w:tcPr>
          <w:p w14:paraId="4029ACD4" w14:textId="77777777" w:rsidR="00195090" w:rsidRPr="00227BB5" w:rsidRDefault="00195090" w:rsidP="00E445BD">
            <w:pPr>
              <w:spacing w:before="120" w:after="40"/>
              <w:rPr>
                <w:rFonts w:ascii="Arial" w:hAnsi="Arial" w:cs="Arial"/>
                <w:sz w:val="20"/>
                <w:szCs w:val="20"/>
              </w:rPr>
            </w:pPr>
            <w:r w:rsidRPr="00227BB5">
              <w:rPr>
                <w:rFonts w:ascii="Arial" w:hAnsi="Arial" w:cs="Arial"/>
                <w:color w:val="000000"/>
                <w:sz w:val="20"/>
                <w:szCs w:val="20"/>
              </w:rPr>
              <w:t>Manufacturing</w:t>
            </w:r>
          </w:p>
        </w:tc>
        <w:tc>
          <w:tcPr>
            <w:tcW w:w="1566" w:type="dxa"/>
            <w:shd w:val="clear" w:color="auto" w:fill="auto"/>
            <w:noWrap/>
            <w:vAlign w:val="bottom"/>
          </w:tcPr>
          <w:p w14:paraId="19D81BFB"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13,</w:t>
            </w:r>
            <w:r>
              <w:rPr>
                <w:rFonts w:ascii="Arial" w:hAnsi="Arial" w:cs="Arial"/>
                <w:sz w:val="20"/>
                <w:szCs w:val="20"/>
                <w:lang w:val="vi-VN"/>
              </w:rPr>
              <w:t>390</w:t>
            </w:r>
          </w:p>
        </w:tc>
        <w:tc>
          <w:tcPr>
            <w:tcW w:w="1178" w:type="dxa"/>
            <w:shd w:val="clear" w:color="auto" w:fill="auto"/>
            <w:noWrap/>
            <w:vAlign w:val="bottom"/>
          </w:tcPr>
          <w:p w14:paraId="12B6334B"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1,456</w:t>
            </w:r>
          </w:p>
        </w:tc>
        <w:tc>
          <w:tcPr>
            <w:tcW w:w="1655" w:type="dxa"/>
            <w:shd w:val="clear" w:color="auto" w:fill="auto"/>
            <w:noWrap/>
          </w:tcPr>
          <w:p w14:paraId="72DA862E" w14:textId="77777777" w:rsidR="00195090" w:rsidRPr="00227BB5" w:rsidRDefault="00195090" w:rsidP="00E445BD">
            <w:pPr>
              <w:spacing w:before="120" w:after="40"/>
              <w:ind w:right="316"/>
              <w:jc w:val="right"/>
              <w:rPr>
                <w:rFonts w:ascii="Arial" w:hAnsi="Arial" w:cs="Arial"/>
                <w:sz w:val="20"/>
                <w:szCs w:val="20"/>
              </w:rPr>
            </w:pPr>
            <w:r w:rsidRPr="00EB7EC8">
              <w:rPr>
                <w:rFonts w:ascii="Arial" w:hAnsi="Arial" w:cs="Arial"/>
                <w:sz w:val="20"/>
                <w:szCs w:val="20"/>
              </w:rPr>
              <w:t>5</w:t>
            </w:r>
            <w:r>
              <w:rPr>
                <w:rFonts w:ascii="Arial" w:hAnsi="Arial" w:cs="Arial"/>
                <w:sz w:val="20"/>
                <w:szCs w:val="20"/>
              </w:rPr>
              <w:t>.</w:t>
            </w:r>
            <w:r w:rsidRPr="00EB7EC8">
              <w:rPr>
                <w:rFonts w:ascii="Arial" w:hAnsi="Arial" w:cs="Arial"/>
                <w:sz w:val="20"/>
                <w:szCs w:val="20"/>
              </w:rPr>
              <w:t>7</w:t>
            </w:r>
          </w:p>
        </w:tc>
        <w:tc>
          <w:tcPr>
            <w:tcW w:w="1129" w:type="dxa"/>
            <w:shd w:val="clear" w:color="auto" w:fill="auto"/>
            <w:noWrap/>
          </w:tcPr>
          <w:p w14:paraId="445A8CEB" w14:textId="77777777" w:rsidR="00195090" w:rsidRPr="00227BB5" w:rsidRDefault="00195090" w:rsidP="00E445BD">
            <w:pPr>
              <w:spacing w:before="120" w:after="40"/>
              <w:ind w:right="176"/>
              <w:jc w:val="right"/>
              <w:rPr>
                <w:rFonts w:ascii="Arial" w:hAnsi="Arial" w:cs="Arial"/>
                <w:sz w:val="20"/>
                <w:szCs w:val="20"/>
              </w:rPr>
            </w:pPr>
            <w:r w:rsidRPr="00EB7EC8">
              <w:rPr>
                <w:rFonts w:ascii="Arial" w:hAnsi="Arial" w:cs="Arial"/>
                <w:sz w:val="20"/>
                <w:szCs w:val="20"/>
              </w:rPr>
              <w:t>14</w:t>
            </w:r>
            <w:r>
              <w:rPr>
                <w:rFonts w:ascii="Arial" w:hAnsi="Arial" w:cs="Arial"/>
                <w:sz w:val="20"/>
                <w:szCs w:val="20"/>
              </w:rPr>
              <w:t>.</w:t>
            </w:r>
            <w:r w:rsidRPr="00EB7EC8">
              <w:rPr>
                <w:rFonts w:ascii="Arial" w:hAnsi="Arial" w:cs="Arial"/>
                <w:sz w:val="20"/>
                <w:szCs w:val="20"/>
              </w:rPr>
              <w:t>7</w:t>
            </w:r>
          </w:p>
        </w:tc>
      </w:tr>
      <w:tr w:rsidR="00195090" w:rsidRPr="00227BB5" w14:paraId="5DE326E8" w14:textId="77777777" w:rsidTr="00E445BD">
        <w:trPr>
          <w:cantSplit/>
          <w:jc w:val="center"/>
        </w:trPr>
        <w:tc>
          <w:tcPr>
            <w:tcW w:w="3670" w:type="dxa"/>
            <w:shd w:val="clear" w:color="auto" w:fill="auto"/>
            <w:noWrap/>
            <w:vAlign w:val="bottom"/>
            <w:hideMark/>
          </w:tcPr>
          <w:p w14:paraId="18007139" w14:textId="77777777" w:rsidR="00195090" w:rsidRPr="00227BB5" w:rsidRDefault="00195090" w:rsidP="00E445BD">
            <w:pPr>
              <w:spacing w:before="120" w:after="40"/>
              <w:rPr>
                <w:rFonts w:ascii="Arial" w:hAnsi="Arial" w:cs="Arial"/>
                <w:sz w:val="20"/>
                <w:szCs w:val="20"/>
              </w:rPr>
            </w:pPr>
            <w:r w:rsidRPr="00227BB5">
              <w:rPr>
                <w:rFonts w:ascii="Arial" w:hAnsi="Arial" w:cs="Arial"/>
                <w:color w:val="000000"/>
                <w:sz w:val="20"/>
                <w:szCs w:val="20"/>
              </w:rPr>
              <w:t>Construction</w:t>
            </w:r>
          </w:p>
        </w:tc>
        <w:tc>
          <w:tcPr>
            <w:tcW w:w="1566" w:type="dxa"/>
            <w:shd w:val="clear" w:color="auto" w:fill="auto"/>
            <w:noWrap/>
            <w:vAlign w:val="bottom"/>
          </w:tcPr>
          <w:p w14:paraId="640443D7"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11,</w:t>
            </w:r>
            <w:r>
              <w:rPr>
                <w:rFonts w:ascii="Arial" w:hAnsi="Arial" w:cs="Arial"/>
                <w:sz w:val="20"/>
                <w:szCs w:val="20"/>
                <w:lang w:val="vi-VN"/>
              </w:rPr>
              <w:t>059</w:t>
            </w:r>
          </w:p>
        </w:tc>
        <w:tc>
          <w:tcPr>
            <w:tcW w:w="1178" w:type="dxa"/>
            <w:shd w:val="clear" w:color="auto" w:fill="auto"/>
            <w:noWrap/>
            <w:vAlign w:val="bottom"/>
          </w:tcPr>
          <w:p w14:paraId="12AB686C"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980</w:t>
            </w:r>
          </w:p>
        </w:tc>
        <w:tc>
          <w:tcPr>
            <w:tcW w:w="1655" w:type="dxa"/>
            <w:shd w:val="clear" w:color="auto" w:fill="auto"/>
            <w:noWrap/>
          </w:tcPr>
          <w:p w14:paraId="54D1BE7E" w14:textId="77777777" w:rsidR="00195090" w:rsidRPr="00227BB5" w:rsidRDefault="00195090" w:rsidP="00E445BD">
            <w:pPr>
              <w:spacing w:before="120" w:after="40"/>
              <w:ind w:right="316"/>
              <w:jc w:val="right"/>
              <w:rPr>
                <w:rFonts w:ascii="Arial" w:hAnsi="Arial" w:cs="Arial"/>
                <w:sz w:val="20"/>
                <w:szCs w:val="20"/>
              </w:rPr>
            </w:pPr>
            <w:r w:rsidRPr="00EB7EC8">
              <w:rPr>
                <w:rFonts w:ascii="Arial" w:hAnsi="Arial" w:cs="Arial"/>
                <w:sz w:val="20"/>
                <w:szCs w:val="20"/>
              </w:rPr>
              <w:t>-3</w:t>
            </w:r>
            <w:r>
              <w:rPr>
                <w:rFonts w:ascii="Arial" w:hAnsi="Arial" w:cs="Arial"/>
                <w:sz w:val="20"/>
                <w:szCs w:val="20"/>
              </w:rPr>
              <w:t>.</w:t>
            </w:r>
            <w:r w:rsidRPr="00EB7EC8">
              <w:rPr>
                <w:rFonts w:ascii="Arial" w:hAnsi="Arial" w:cs="Arial"/>
                <w:sz w:val="20"/>
                <w:szCs w:val="20"/>
              </w:rPr>
              <w:t>2</w:t>
            </w:r>
          </w:p>
        </w:tc>
        <w:tc>
          <w:tcPr>
            <w:tcW w:w="1129" w:type="dxa"/>
            <w:shd w:val="clear" w:color="auto" w:fill="auto"/>
            <w:noWrap/>
          </w:tcPr>
          <w:p w14:paraId="0D85B7A7" w14:textId="77777777" w:rsidR="00195090" w:rsidRPr="00227BB5" w:rsidRDefault="00195090" w:rsidP="00E445BD">
            <w:pPr>
              <w:spacing w:before="120" w:after="40"/>
              <w:ind w:right="176"/>
              <w:jc w:val="right"/>
              <w:rPr>
                <w:rFonts w:ascii="Arial" w:hAnsi="Arial" w:cs="Arial"/>
                <w:sz w:val="20"/>
                <w:szCs w:val="20"/>
              </w:rPr>
            </w:pPr>
            <w:r w:rsidRPr="00EB7EC8">
              <w:rPr>
                <w:rFonts w:ascii="Arial" w:hAnsi="Arial" w:cs="Arial"/>
                <w:sz w:val="20"/>
                <w:szCs w:val="20"/>
              </w:rPr>
              <w:t>14</w:t>
            </w:r>
            <w:r>
              <w:rPr>
                <w:rFonts w:ascii="Arial" w:hAnsi="Arial" w:cs="Arial"/>
                <w:sz w:val="20"/>
                <w:szCs w:val="20"/>
              </w:rPr>
              <w:t>.</w:t>
            </w:r>
            <w:r w:rsidRPr="00EB7EC8">
              <w:rPr>
                <w:rFonts w:ascii="Arial" w:hAnsi="Arial" w:cs="Arial"/>
                <w:sz w:val="20"/>
                <w:szCs w:val="20"/>
              </w:rPr>
              <w:t>2</w:t>
            </w:r>
          </w:p>
        </w:tc>
      </w:tr>
      <w:tr w:rsidR="00195090" w:rsidRPr="00227BB5" w14:paraId="344FFBCA" w14:textId="77777777" w:rsidTr="00E445BD">
        <w:trPr>
          <w:cantSplit/>
          <w:jc w:val="center"/>
        </w:trPr>
        <w:tc>
          <w:tcPr>
            <w:tcW w:w="3670" w:type="dxa"/>
            <w:shd w:val="clear" w:color="auto" w:fill="auto"/>
            <w:noWrap/>
            <w:vAlign w:val="bottom"/>
            <w:hideMark/>
          </w:tcPr>
          <w:p w14:paraId="6E5876AF" w14:textId="77777777" w:rsidR="00195090" w:rsidRPr="00227BB5" w:rsidRDefault="00195090" w:rsidP="00E445BD">
            <w:pPr>
              <w:spacing w:before="120" w:after="40"/>
              <w:rPr>
                <w:rFonts w:ascii="Arial" w:hAnsi="Arial" w:cs="Arial"/>
                <w:sz w:val="20"/>
                <w:szCs w:val="20"/>
              </w:rPr>
            </w:pPr>
            <w:r w:rsidRPr="00227BB5">
              <w:rPr>
                <w:rFonts w:ascii="Arial" w:hAnsi="Arial" w:cs="Arial"/>
                <w:color w:val="000000"/>
                <w:sz w:val="20"/>
                <w:szCs w:val="20"/>
              </w:rPr>
              <w:t>Real estate business</w:t>
            </w:r>
          </w:p>
        </w:tc>
        <w:tc>
          <w:tcPr>
            <w:tcW w:w="1566" w:type="dxa"/>
            <w:shd w:val="clear" w:color="auto" w:fill="auto"/>
            <w:noWrap/>
            <w:vAlign w:val="bottom"/>
          </w:tcPr>
          <w:p w14:paraId="52CE00B3"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3,</w:t>
            </w:r>
            <w:r>
              <w:rPr>
                <w:rFonts w:ascii="Arial" w:hAnsi="Arial" w:cs="Arial"/>
                <w:sz w:val="20"/>
                <w:szCs w:val="20"/>
                <w:lang w:val="vi-VN"/>
              </w:rPr>
              <w:t>155</w:t>
            </w:r>
          </w:p>
        </w:tc>
        <w:tc>
          <w:tcPr>
            <w:tcW w:w="1178" w:type="dxa"/>
            <w:shd w:val="clear" w:color="auto" w:fill="auto"/>
            <w:noWrap/>
            <w:vAlign w:val="bottom"/>
          </w:tcPr>
          <w:p w14:paraId="43FDA6DF"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814</w:t>
            </w:r>
          </w:p>
        </w:tc>
        <w:tc>
          <w:tcPr>
            <w:tcW w:w="1655" w:type="dxa"/>
            <w:shd w:val="clear" w:color="auto" w:fill="auto"/>
            <w:noWrap/>
          </w:tcPr>
          <w:p w14:paraId="74F79CAA" w14:textId="77777777" w:rsidR="00195090" w:rsidRPr="00227BB5" w:rsidRDefault="00195090" w:rsidP="00E445BD">
            <w:pPr>
              <w:spacing w:before="120" w:after="40"/>
              <w:ind w:right="316"/>
              <w:jc w:val="right"/>
              <w:rPr>
                <w:rFonts w:ascii="Arial" w:hAnsi="Arial" w:cs="Arial"/>
                <w:sz w:val="20"/>
                <w:szCs w:val="20"/>
              </w:rPr>
            </w:pPr>
            <w:r w:rsidRPr="00EB7EC8">
              <w:rPr>
                <w:rFonts w:ascii="Arial" w:hAnsi="Arial" w:cs="Arial"/>
                <w:sz w:val="20"/>
                <w:szCs w:val="20"/>
              </w:rPr>
              <w:t>2</w:t>
            </w:r>
            <w:r>
              <w:rPr>
                <w:rFonts w:ascii="Arial" w:hAnsi="Arial" w:cs="Arial"/>
                <w:sz w:val="20"/>
                <w:szCs w:val="20"/>
              </w:rPr>
              <w:t>.</w:t>
            </w:r>
            <w:r w:rsidRPr="00EB7EC8">
              <w:rPr>
                <w:rFonts w:ascii="Arial" w:hAnsi="Arial" w:cs="Arial"/>
                <w:sz w:val="20"/>
                <w:szCs w:val="20"/>
              </w:rPr>
              <w:t>2</w:t>
            </w:r>
          </w:p>
        </w:tc>
        <w:tc>
          <w:tcPr>
            <w:tcW w:w="1129" w:type="dxa"/>
            <w:shd w:val="clear" w:color="auto" w:fill="auto"/>
            <w:noWrap/>
          </w:tcPr>
          <w:p w14:paraId="5A4215ED" w14:textId="77777777" w:rsidR="00195090" w:rsidRPr="00227BB5" w:rsidRDefault="00195090" w:rsidP="00E445BD">
            <w:pPr>
              <w:spacing w:before="120" w:after="40"/>
              <w:ind w:right="176"/>
              <w:jc w:val="right"/>
              <w:rPr>
                <w:rFonts w:ascii="Arial" w:hAnsi="Arial" w:cs="Arial"/>
                <w:sz w:val="20"/>
                <w:szCs w:val="20"/>
              </w:rPr>
            </w:pPr>
            <w:r w:rsidRPr="00EB7EC8">
              <w:rPr>
                <w:rFonts w:ascii="Arial" w:hAnsi="Arial" w:cs="Arial"/>
                <w:sz w:val="20"/>
                <w:szCs w:val="20"/>
              </w:rPr>
              <w:t>-2</w:t>
            </w:r>
            <w:r>
              <w:rPr>
                <w:rFonts w:ascii="Arial" w:hAnsi="Arial" w:cs="Arial"/>
                <w:sz w:val="20"/>
                <w:szCs w:val="20"/>
              </w:rPr>
              <w:t>.</w:t>
            </w:r>
            <w:r w:rsidRPr="00EB7EC8">
              <w:rPr>
                <w:rFonts w:ascii="Arial" w:hAnsi="Arial" w:cs="Arial"/>
                <w:sz w:val="20"/>
                <w:szCs w:val="20"/>
              </w:rPr>
              <w:t>0</w:t>
            </w:r>
          </w:p>
        </w:tc>
      </w:tr>
      <w:tr w:rsidR="00195090" w:rsidRPr="00227BB5" w14:paraId="4B5AB766" w14:textId="77777777" w:rsidTr="00E445BD">
        <w:trPr>
          <w:cantSplit/>
          <w:jc w:val="center"/>
        </w:trPr>
        <w:tc>
          <w:tcPr>
            <w:tcW w:w="3670" w:type="dxa"/>
            <w:shd w:val="clear" w:color="auto" w:fill="auto"/>
            <w:noWrap/>
            <w:vAlign w:val="bottom"/>
            <w:hideMark/>
          </w:tcPr>
          <w:p w14:paraId="7B7B544A" w14:textId="77777777" w:rsidR="00195090" w:rsidRPr="00227BB5" w:rsidRDefault="00195090" w:rsidP="00E445BD">
            <w:pPr>
              <w:spacing w:before="120" w:after="40"/>
              <w:rPr>
                <w:rFonts w:ascii="Arial" w:hAnsi="Arial" w:cs="Arial"/>
                <w:sz w:val="20"/>
                <w:szCs w:val="20"/>
              </w:rPr>
            </w:pPr>
            <w:r w:rsidRPr="00227BB5">
              <w:rPr>
                <w:rFonts w:ascii="Arial" w:hAnsi="Arial" w:cs="Arial"/>
                <w:color w:val="000000"/>
                <w:sz w:val="20"/>
                <w:szCs w:val="20"/>
              </w:rPr>
              <w:t>Transportation and storage</w:t>
            </w:r>
          </w:p>
        </w:tc>
        <w:tc>
          <w:tcPr>
            <w:tcW w:w="1566" w:type="dxa"/>
            <w:shd w:val="clear" w:color="auto" w:fill="auto"/>
            <w:noWrap/>
            <w:vAlign w:val="bottom"/>
          </w:tcPr>
          <w:p w14:paraId="455D87E7"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5,864</w:t>
            </w:r>
          </w:p>
        </w:tc>
        <w:tc>
          <w:tcPr>
            <w:tcW w:w="1178" w:type="dxa"/>
            <w:shd w:val="clear" w:color="auto" w:fill="auto"/>
            <w:noWrap/>
            <w:vAlign w:val="bottom"/>
          </w:tcPr>
          <w:p w14:paraId="30338DD9"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518</w:t>
            </w:r>
          </w:p>
        </w:tc>
        <w:tc>
          <w:tcPr>
            <w:tcW w:w="1655" w:type="dxa"/>
            <w:shd w:val="clear" w:color="auto" w:fill="auto"/>
            <w:noWrap/>
          </w:tcPr>
          <w:p w14:paraId="44D58B02" w14:textId="77777777" w:rsidR="00195090" w:rsidRPr="00227BB5" w:rsidRDefault="00195090" w:rsidP="00E445BD">
            <w:pPr>
              <w:spacing w:before="120" w:after="40"/>
              <w:ind w:right="316"/>
              <w:jc w:val="right"/>
              <w:rPr>
                <w:rFonts w:ascii="Arial" w:hAnsi="Arial" w:cs="Arial"/>
                <w:sz w:val="20"/>
                <w:szCs w:val="20"/>
              </w:rPr>
            </w:pPr>
            <w:r w:rsidRPr="00EB7EC8">
              <w:rPr>
                <w:rFonts w:ascii="Arial" w:hAnsi="Arial" w:cs="Arial"/>
                <w:sz w:val="20"/>
                <w:szCs w:val="20"/>
              </w:rPr>
              <w:t>15</w:t>
            </w:r>
            <w:r>
              <w:rPr>
                <w:rFonts w:ascii="Arial" w:hAnsi="Arial" w:cs="Arial"/>
                <w:sz w:val="20"/>
                <w:szCs w:val="20"/>
              </w:rPr>
              <w:t>.</w:t>
            </w:r>
            <w:r w:rsidRPr="00EB7EC8">
              <w:rPr>
                <w:rFonts w:ascii="Arial" w:hAnsi="Arial" w:cs="Arial"/>
                <w:sz w:val="20"/>
                <w:szCs w:val="20"/>
              </w:rPr>
              <w:t>5</w:t>
            </w:r>
          </w:p>
        </w:tc>
        <w:tc>
          <w:tcPr>
            <w:tcW w:w="1129" w:type="dxa"/>
            <w:shd w:val="clear" w:color="auto" w:fill="auto"/>
            <w:noWrap/>
          </w:tcPr>
          <w:p w14:paraId="4F42A903" w14:textId="77777777" w:rsidR="00195090" w:rsidRPr="00227BB5" w:rsidRDefault="00195090" w:rsidP="00E445BD">
            <w:pPr>
              <w:spacing w:before="120" w:after="40"/>
              <w:ind w:right="176"/>
              <w:jc w:val="right"/>
              <w:rPr>
                <w:rFonts w:ascii="Arial" w:hAnsi="Arial" w:cs="Arial"/>
                <w:sz w:val="20"/>
                <w:szCs w:val="20"/>
              </w:rPr>
            </w:pPr>
            <w:r w:rsidRPr="00EB7EC8">
              <w:rPr>
                <w:rFonts w:ascii="Arial" w:hAnsi="Arial" w:cs="Arial"/>
                <w:sz w:val="20"/>
                <w:szCs w:val="20"/>
              </w:rPr>
              <w:t>16</w:t>
            </w:r>
            <w:r>
              <w:rPr>
                <w:rFonts w:ascii="Arial" w:hAnsi="Arial" w:cs="Arial"/>
                <w:sz w:val="20"/>
                <w:szCs w:val="20"/>
              </w:rPr>
              <w:t>.</w:t>
            </w:r>
            <w:r w:rsidRPr="00EB7EC8">
              <w:rPr>
                <w:rFonts w:ascii="Arial" w:hAnsi="Arial" w:cs="Arial"/>
                <w:sz w:val="20"/>
                <w:szCs w:val="20"/>
              </w:rPr>
              <w:t>9</w:t>
            </w:r>
          </w:p>
        </w:tc>
      </w:tr>
      <w:tr w:rsidR="00195090" w:rsidRPr="00227BB5" w14:paraId="7069342B" w14:textId="77777777" w:rsidTr="00E445BD">
        <w:trPr>
          <w:cantSplit/>
          <w:jc w:val="center"/>
        </w:trPr>
        <w:tc>
          <w:tcPr>
            <w:tcW w:w="3670" w:type="dxa"/>
            <w:shd w:val="clear" w:color="auto" w:fill="auto"/>
            <w:noWrap/>
            <w:vAlign w:val="bottom"/>
            <w:hideMark/>
          </w:tcPr>
          <w:p w14:paraId="723A9FB0" w14:textId="77777777" w:rsidR="00195090" w:rsidRPr="00227BB5" w:rsidRDefault="00195090" w:rsidP="00E445BD">
            <w:pPr>
              <w:spacing w:before="120" w:after="40"/>
              <w:rPr>
                <w:rFonts w:ascii="Arial" w:hAnsi="Arial" w:cs="Arial"/>
                <w:sz w:val="20"/>
                <w:szCs w:val="20"/>
              </w:rPr>
            </w:pPr>
            <w:r w:rsidRPr="00227BB5">
              <w:rPr>
                <w:rFonts w:ascii="Arial" w:hAnsi="Arial" w:cs="Arial"/>
                <w:color w:val="000000"/>
                <w:sz w:val="20"/>
                <w:szCs w:val="20"/>
              </w:rPr>
              <w:t>Accommodation and catering service</w:t>
            </w:r>
          </w:p>
        </w:tc>
        <w:tc>
          <w:tcPr>
            <w:tcW w:w="1566" w:type="dxa"/>
            <w:shd w:val="clear" w:color="auto" w:fill="auto"/>
            <w:noWrap/>
            <w:vAlign w:val="bottom"/>
          </w:tcPr>
          <w:p w14:paraId="4E0D28C2"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4,</w:t>
            </w:r>
            <w:r>
              <w:rPr>
                <w:rFonts w:ascii="Arial" w:hAnsi="Arial" w:cs="Arial"/>
                <w:sz w:val="20"/>
                <w:szCs w:val="20"/>
                <w:lang w:val="vi-VN"/>
              </w:rPr>
              <w:t>152</w:t>
            </w:r>
          </w:p>
        </w:tc>
        <w:tc>
          <w:tcPr>
            <w:tcW w:w="1178" w:type="dxa"/>
            <w:shd w:val="clear" w:color="auto" w:fill="auto"/>
            <w:noWrap/>
            <w:vAlign w:val="bottom"/>
          </w:tcPr>
          <w:p w14:paraId="69E18433" w14:textId="77777777" w:rsidR="00195090" w:rsidRPr="00227BB5" w:rsidRDefault="00195090" w:rsidP="00E445BD">
            <w:pPr>
              <w:spacing w:before="120" w:after="40"/>
              <w:ind w:right="176"/>
              <w:jc w:val="right"/>
              <w:rPr>
                <w:rFonts w:ascii="Arial" w:hAnsi="Arial" w:cs="Arial"/>
                <w:sz w:val="20"/>
                <w:szCs w:val="20"/>
              </w:rPr>
            </w:pPr>
            <w:r>
              <w:rPr>
                <w:rFonts w:ascii="Arial" w:hAnsi="Arial" w:cs="Arial"/>
                <w:sz w:val="20"/>
                <w:szCs w:val="20"/>
              </w:rPr>
              <w:t>631</w:t>
            </w:r>
          </w:p>
        </w:tc>
        <w:tc>
          <w:tcPr>
            <w:tcW w:w="1655" w:type="dxa"/>
            <w:shd w:val="clear" w:color="auto" w:fill="auto"/>
            <w:noWrap/>
          </w:tcPr>
          <w:p w14:paraId="0B997DAF" w14:textId="77777777" w:rsidR="00195090" w:rsidRPr="00227BB5" w:rsidRDefault="00195090" w:rsidP="00E445BD">
            <w:pPr>
              <w:spacing w:before="120" w:after="40"/>
              <w:ind w:right="316"/>
              <w:jc w:val="right"/>
              <w:rPr>
                <w:rFonts w:ascii="Arial" w:hAnsi="Arial" w:cs="Arial"/>
                <w:sz w:val="20"/>
                <w:szCs w:val="20"/>
              </w:rPr>
            </w:pPr>
            <w:r w:rsidRPr="00EB7EC8">
              <w:rPr>
                <w:rFonts w:ascii="Arial" w:hAnsi="Arial" w:cs="Arial"/>
                <w:sz w:val="20"/>
                <w:szCs w:val="20"/>
              </w:rPr>
              <w:t>-10</w:t>
            </w:r>
            <w:r>
              <w:rPr>
                <w:rFonts w:ascii="Arial" w:hAnsi="Arial" w:cs="Arial"/>
                <w:sz w:val="20"/>
                <w:szCs w:val="20"/>
              </w:rPr>
              <w:t>.</w:t>
            </w:r>
            <w:r w:rsidRPr="00EB7EC8">
              <w:rPr>
                <w:rFonts w:ascii="Arial" w:hAnsi="Arial" w:cs="Arial"/>
                <w:sz w:val="20"/>
                <w:szCs w:val="20"/>
              </w:rPr>
              <w:t>0</w:t>
            </w:r>
          </w:p>
        </w:tc>
        <w:tc>
          <w:tcPr>
            <w:tcW w:w="1129" w:type="dxa"/>
            <w:shd w:val="clear" w:color="auto" w:fill="auto"/>
            <w:noWrap/>
          </w:tcPr>
          <w:p w14:paraId="1A775E4B" w14:textId="77777777" w:rsidR="00195090" w:rsidRPr="00227BB5" w:rsidRDefault="00195090" w:rsidP="00E445BD">
            <w:pPr>
              <w:spacing w:before="120" w:after="40"/>
              <w:ind w:right="176"/>
              <w:jc w:val="right"/>
              <w:rPr>
                <w:rFonts w:ascii="Arial" w:hAnsi="Arial" w:cs="Arial"/>
                <w:sz w:val="20"/>
                <w:szCs w:val="20"/>
              </w:rPr>
            </w:pPr>
            <w:r w:rsidRPr="00EB7EC8">
              <w:rPr>
                <w:rFonts w:ascii="Arial" w:hAnsi="Arial" w:cs="Arial"/>
                <w:sz w:val="20"/>
                <w:szCs w:val="20"/>
              </w:rPr>
              <w:t>3</w:t>
            </w:r>
            <w:r>
              <w:rPr>
                <w:rFonts w:ascii="Arial" w:hAnsi="Arial" w:cs="Arial"/>
                <w:sz w:val="20"/>
                <w:szCs w:val="20"/>
              </w:rPr>
              <w:t>.</w:t>
            </w:r>
            <w:r w:rsidRPr="00EB7EC8">
              <w:rPr>
                <w:rFonts w:ascii="Arial" w:hAnsi="Arial" w:cs="Arial"/>
                <w:sz w:val="20"/>
                <w:szCs w:val="20"/>
              </w:rPr>
              <w:t>8</w:t>
            </w:r>
          </w:p>
        </w:tc>
      </w:tr>
      <w:tr w:rsidR="00195090" w:rsidRPr="00227BB5" w14:paraId="3C256462" w14:textId="77777777" w:rsidTr="00E445BD">
        <w:trPr>
          <w:cantSplit/>
          <w:jc w:val="center"/>
        </w:trPr>
        <w:tc>
          <w:tcPr>
            <w:tcW w:w="3670" w:type="dxa"/>
            <w:tcBorders>
              <w:bottom w:val="single" w:sz="4" w:space="0" w:color="auto"/>
            </w:tcBorders>
            <w:shd w:val="clear" w:color="auto" w:fill="auto"/>
            <w:noWrap/>
            <w:vAlign w:val="bottom"/>
          </w:tcPr>
          <w:p w14:paraId="0F03360F" w14:textId="77777777" w:rsidR="00195090" w:rsidRPr="00227BB5" w:rsidRDefault="00195090" w:rsidP="00E445BD">
            <w:pPr>
              <w:spacing w:before="120" w:after="40"/>
              <w:rPr>
                <w:rFonts w:ascii="Arial" w:hAnsi="Arial" w:cs="Arial"/>
                <w:sz w:val="20"/>
                <w:szCs w:val="20"/>
              </w:rPr>
            </w:pPr>
            <w:r w:rsidRPr="00227BB5">
              <w:rPr>
                <w:rFonts w:ascii="Arial" w:hAnsi="Arial" w:cs="Arial"/>
                <w:color w:val="000000"/>
                <w:sz w:val="20"/>
                <w:szCs w:val="20"/>
              </w:rPr>
              <w:t>Production and distribution of electricity, water, gas</w:t>
            </w:r>
          </w:p>
        </w:tc>
        <w:tc>
          <w:tcPr>
            <w:tcW w:w="1566" w:type="dxa"/>
            <w:tcBorders>
              <w:bottom w:val="single" w:sz="4" w:space="0" w:color="auto"/>
            </w:tcBorders>
            <w:shd w:val="clear" w:color="auto" w:fill="auto"/>
            <w:noWrap/>
            <w:vAlign w:val="bottom"/>
          </w:tcPr>
          <w:p w14:paraId="093D883D" w14:textId="77777777" w:rsidR="00195090" w:rsidRPr="00227BB5" w:rsidRDefault="00195090" w:rsidP="00E445BD">
            <w:pPr>
              <w:spacing w:before="120" w:after="40"/>
              <w:ind w:right="176"/>
              <w:jc w:val="right"/>
              <w:rPr>
                <w:rFonts w:ascii="Arial" w:hAnsi="Arial" w:cs="Arial"/>
                <w:sz w:val="20"/>
                <w:szCs w:val="20"/>
              </w:rPr>
            </w:pPr>
            <w:r w:rsidRPr="00FC383C">
              <w:rPr>
                <w:rFonts w:ascii="Arial" w:hAnsi="Arial" w:cs="Arial"/>
                <w:sz w:val="20"/>
                <w:szCs w:val="20"/>
              </w:rPr>
              <w:t>692</w:t>
            </w:r>
          </w:p>
        </w:tc>
        <w:tc>
          <w:tcPr>
            <w:tcW w:w="1178" w:type="dxa"/>
            <w:tcBorders>
              <w:bottom w:val="single" w:sz="4" w:space="0" w:color="auto"/>
            </w:tcBorders>
            <w:shd w:val="clear" w:color="auto" w:fill="auto"/>
            <w:noWrap/>
            <w:vAlign w:val="bottom"/>
          </w:tcPr>
          <w:p w14:paraId="18A034C6" w14:textId="77777777" w:rsidR="00195090" w:rsidRPr="00227BB5" w:rsidRDefault="00195090" w:rsidP="00E445BD">
            <w:pPr>
              <w:spacing w:before="120" w:after="40"/>
              <w:ind w:right="176"/>
              <w:jc w:val="right"/>
              <w:rPr>
                <w:rFonts w:ascii="Arial" w:hAnsi="Arial" w:cs="Arial"/>
                <w:sz w:val="20"/>
                <w:szCs w:val="20"/>
              </w:rPr>
            </w:pPr>
            <w:r w:rsidRPr="00FC383C">
              <w:rPr>
                <w:rFonts w:ascii="Arial" w:hAnsi="Arial" w:cs="Arial"/>
                <w:sz w:val="20"/>
                <w:szCs w:val="20"/>
              </w:rPr>
              <w:t>133</w:t>
            </w:r>
          </w:p>
        </w:tc>
        <w:tc>
          <w:tcPr>
            <w:tcW w:w="1655" w:type="dxa"/>
            <w:tcBorders>
              <w:bottom w:val="single" w:sz="4" w:space="0" w:color="auto"/>
            </w:tcBorders>
            <w:shd w:val="clear" w:color="auto" w:fill="auto"/>
            <w:noWrap/>
            <w:vAlign w:val="bottom"/>
          </w:tcPr>
          <w:p w14:paraId="551554A3" w14:textId="77777777" w:rsidR="00195090" w:rsidRPr="00227BB5" w:rsidRDefault="00195090" w:rsidP="00E445BD">
            <w:pPr>
              <w:spacing w:before="120" w:after="40"/>
              <w:ind w:right="316"/>
              <w:jc w:val="right"/>
              <w:rPr>
                <w:rFonts w:ascii="Arial" w:hAnsi="Arial" w:cs="Arial"/>
                <w:sz w:val="20"/>
                <w:szCs w:val="20"/>
              </w:rPr>
            </w:pPr>
            <w:r w:rsidRPr="00FC383C">
              <w:rPr>
                <w:rFonts w:ascii="Arial" w:hAnsi="Arial" w:cs="Arial"/>
                <w:sz w:val="20"/>
                <w:szCs w:val="20"/>
              </w:rPr>
              <w:t>12</w:t>
            </w:r>
            <w:r>
              <w:rPr>
                <w:rFonts w:ascii="Arial" w:hAnsi="Arial" w:cs="Arial"/>
                <w:sz w:val="20"/>
                <w:szCs w:val="20"/>
              </w:rPr>
              <w:t>.</w:t>
            </w:r>
            <w:r w:rsidRPr="00FC383C">
              <w:rPr>
                <w:rFonts w:ascii="Arial" w:hAnsi="Arial" w:cs="Arial"/>
                <w:sz w:val="20"/>
                <w:szCs w:val="20"/>
              </w:rPr>
              <w:t>5</w:t>
            </w:r>
          </w:p>
        </w:tc>
        <w:tc>
          <w:tcPr>
            <w:tcW w:w="1129" w:type="dxa"/>
            <w:tcBorders>
              <w:bottom w:val="single" w:sz="4" w:space="0" w:color="auto"/>
            </w:tcBorders>
            <w:shd w:val="clear" w:color="auto" w:fill="auto"/>
            <w:noWrap/>
            <w:vAlign w:val="bottom"/>
          </w:tcPr>
          <w:p w14:paraId="2E5CE0B6" w14:textId="77777777" w:rsidR="00195090" w:rsidRPr="00227BB5" w:rsidRDefault="00195090" w:rsidP="00E445BD">
            <w:pPr>
              <w:spacing w:before="120" w:after="40"/>
              <w:ind w:right="176"/>
              <w:jc w:val="right"/>
              <w:rPr>
                <w:rFonts w:ascii="Arial" w:hAnsi="Arial" w:cs="Arial"/>
                <w:sz w:val="20"/>
                <w:szCs w:val="20"/>
              </w:rPr>
            </w:pPr>
            <w:r w:rsidRPr="00FC383C">
              <w:rPr>
                <w:rFonts w:ascii="Arial" w:hAnsi="Arial" w:cs="Arial"/>
                <w:sz w:val="20"/>
                <w:szCs w:val="20"/>
              </w:rPr>
              <w:t>-30</w:t>
            </w:r>
            <w:r>
              <w:rPr>
                <w:rFonts w:ascii="Arial" w:hAnsi="Arial" w:cs="Arial"/>
                <w:sz w:val="20"/>
                <w:szCs w:val="20"/>
              </w:rPr>
              <w:t>.</w:t>
            </w:r>
            <w:r w:rsidRPr="00FC383C">
              <w:rPr>
                <w:rFonts w:ascii="Arial" w:hAnsi="Arial" w:cs="Arial"/>
                <w:sz w:val="20"/>
                <w:szCs w:val="20"/>
              </w:rPr>
              <w:t>0</w:t>
            </w:r>
          </w:p>
        </w:tc>
      </w:tr>
    </w:tbl>
    <w:p w14:paraId="0188DB46" w14:textId="77777777" w:rsidR="00195090" w:rsidRPr="00227BB5" w:rsidRDefault="00195090" w:rsidP="00195090">
      <w:pPr>
        <w:pStyle w:val="NormalWeb"/>
        <w:shd w:val="clear" w:color="auto" w:fill="FFFFFF"/>
        <w:tabs>
          <w:tab w:val="left" w:pos="6540"/>
        </w:tabs>
        <w:spacing w:before="40" w:beforeAutospacing="0" w:after="40" w:afterAutospacing="0" w:line="288" w:lineRule="auto"/>
        <w:rPr>
          <w:b/>
          <w:bCs/>
          <w:sz w:val="28"/>
          <w:szCs w:val="28"/>
        </w:rPr>
      </w:pPr>
    </w:p>
    <w:p w14:paraId="2BC13B86" w14:textId="77777777" w:rsidR="000D286F" w:rsidRPr="000D286F" w:rsidRDefault="000D286F" w:rsidP="000D286F">
      <w:pPr>
        <w:spacing w:before="120" w:after="120" w:line="264" w:lineRule="auto"/>
        <w:ind w:firstLine="720"/>
        <w:jc w:val="both"/>
        <w:rPr>
          <w:b/>
          <w:bCs/>
          <w:lang w:val="af-ZA"/>
        </w:rPr>
      </w:pPr>
      <w:r w:rsidRPr="000D286F">
        <w:rPr>
          <w:b/>
          <w:bCs/>
          <w:lang w:val="af-ZA"/>
        </w:rPr>
        <w:t>4. Investment</w:t>
      </w:r>
    </w:p>
    <w:p w14:paraId="2F153CB4" w14:textId="77777777" w:rsidR="000D286F" w:rsidRPr="000D286F" w:rsidRDefault="000D286F" w:rsidP="000D286F">
      <w:pPr>
        <w:spacing w:after="120" w:line="276" w:lineRule="auto"/>
        <w:ind w:firstLine="720"/>
        <w:jc w:val="both"/>
        <w:rPr>
          <w:bCs/>
          <w:i/>
          <w:lang w:val="it-IT"/>
        </w:rPr>
      </w:pPr>
      <w:r w:rsidRPr="000D286F">
        <w:rPr>
          <w:i/>
          <w:lang w:val="it-IT"/>
        </w:rPr>
        <w:t xml:space="preserve">Investment capital from the State budget is being </w:t>
      </w:r>
      <w:r w:rsidRPr="000D286F">
        <w:rPr>
          <w:i/>
          <w:lang w:val="nl-NL"/>
        </w:rPr>
        <w:t xml:space="preserve">focused on and promoted by </w:t>
      </w:r>
      <w:r w:rsidRPr="000D286F">
        <w:rPr>
          <w:bCs/>
          <w:i/>
          <w:lang w:val="nl-NL"/>
        </w:rPr>
        <w:t xml:space="preserve">the Government, the Prime Minister, ministries, branches and localities . </w:t>
      </w:r>
      <w:r w:rsidRPr="000D286F">
        <w:rPr>
          <w:i/>
          <w:lang w:val="it-IT"/>
        </w:rPr>
        <w:t xml:space="preserve">In the first eight months of 2024, investment capital from the State budget is estimated to reach 47.8% of the annual plan, up 2.0% over the same period last year. Foreign direct investment (FDI) implemented in Vietnam in the first eight months of 2024 is estimated at 14.15 billion USD, up 8.0% over the same period last year </w:t>
      </w:r>
      <w:r w:rsidRPr="000D286F">
        <w:rPr>
          <w:i/>
          <w:iCs/>
          <w:lang w:val="de-DE"/>
        </w:rPr>
        <w:t>.</w:t>
      </w:r>
    </w:p>
    <w:p w14:paraId="5CC681A2" w14:textId="77777777" w:rsidR="000D286F" w:rsidRPr="000D286F" w:rsidRDefault="000D286F" w:rsidP="000D286F">
      <w:pPr>
        <w:spacing w:after="120" w:line="276" w:lineRule="auto"/>
        <w:ind w:firstLine="720"/>
        <w:jc w:val="both"/>
        <w:rPr>
          <w:lang w:val="af-ZA"/>
        </w:rPr>
      </w:pPr>
      <w:r w:rsidRPr="000D286F">
        <w:rPr>
          <w:lang w:val="af-ZA"/>
        </w:rPr>
        <w:t xml:space="preserve">Investment capital implemented from the State budget in August 2024 is estimated at VND 62.1 trillion, up 1.3% over the same period last year, including: Centrally managed capital reached VND 10.9 trillion, down 0.5%; locally </w:t>
      </w:r>
      <w:r w:rsidRPr="000D286F">
        <w:rPr>
          <w:lang w:val="af-ZA"/>
        </w:rPr>
        <w:lastRenderedPageBreak/>
        <w:t>managed capital reached VND 51.2 trillion, up 1.7%. In the first eight months of 2024, investment capital implemented from the State budget is estimated at VND 363.1 trillion, equal to 47.8% of the annual plan and up 2.0% over the same period last year (the same period in 2023 was equal to 48.6% and up 24.5%). Specifically:</w:t>
      </w:r>
    </w:p>
    <w:p w14:paraId="4667FF30" w14:textId="77777777" w:rsidR="000D286F" w:rsidRPr="000D286F" w:rsidRDefault="000D286F" w:rsidP="000D286F">
      <w:pPr>
        <w:spacing w:after="120" w:line="276" w:lineRule="auto"/>
        <w:ind w:firstLine="720"/>
        <w:jc w:val="both"/>
        <w:rPr>
          <w:lang w:val="af-ZA"/>
        </w:rPr>
      </w:pPr>
      <w:r w:rsidRPr="000D286F">
        <w:rPr>
          <w:bCs/>
          <w:iCs/>
          <w:lang w:val="af-ZA"/>
        </w:rPr>
        <w:t xml:space="preserve">- </w:t>
      </w:r>
      <w:r w:rsidRPr="000D286F">
        <w:rPr>
          <w:lang w:val="af-ZA"/>
        </w:rPr>
        <w:t>The investment capital implemented under the central management is estimated at 62.6 trillion VND, equal to 50.4% of the annual plan and down 3.4% compared to the same period last year. Of which, the Ministry of Transport reached 38.2 trillion VND, down 20.8%; the Ministry of Agriculture and Rural Development reached 6.1 trillion VND, up 34.6%; the Ministry of Health reached 642.1 billion VND, up 29.5%; the Ministry of Education and Training reached 625.4 billion VND, up 8.1%; the Ministry of Natural Resources and Environment reached 397.3 billion VND, down 40.8%; the Ministry of Industry and Trade reached 381.3 billion VND, up 16.9%.</w:t>
      </w:r>
    </w:p>
    <w:p w14:paraId="1EB5BE63" w14:textId="77777777" w:rsidR="000D286F" w:rsidRPr="000D286F" w:rsidRDefault="000D286F" w:rsidP="000D286F">
      <w:pPr>
        <w:spacing w:after="120" w:line="276" w:lineRule="auto"/>
        <w:ind w:firstLine="720"/>
        <w:jc w:val="both"/>
        <w:rPr>
          <w:bCs/>
          <w:iCs/>
          <w:lang w:val="af-ZA"/>
        </w:rPr>
      </w:pPr>
      <w:r w:rsidRPr="000D286F">
        <w:rPr>
          <w:bCs/>
          <w:iCs/>
          <w:lang w:val="af-ZA"/>
        </w:rPr>
        <w:t>- Investment capital managed by localities is estimated at 300.5 trillion VND, equal to 47.3% of the annual plan and up 3.2% over the same period last year, of which:</w:t>
      </w:r>
    </w:p>
    <w:p w14:paraId="3D55AFA9" w14:textId="77777777" w:rsidR="000D286F" w:rsidRPr="000D286F" w:rsidRDefault="000D286F" w:rsidP="000D286F">
      <w:pPr>
        <w:spacing w:after="120" w:line="276" w:lineRule="auto"/>
        <w:ind w:firstLine="720"/>
        <w:jc w:val="both"/>
        <w:rPr>
          <w:bCs/>
          <w:iCs/>
          <w:lang w:val="af-ZA"/>
        </w:rPr>
      </w:pPr>
      <w:r w:rsidRPr="000D286F">
        <w:rPr>
          <w:bCs/>
          <w:iCs/>
          <w:lang w:val="af-ZA"/>
        </w:rPr>
        <w:t>Provincial State budget capital reached nearly 201 trillion VND, equal to 44.8% and increased by 1.9% over the same period in 2023;</w:t>
      </w:r>
    </w:p>
    <w:p w14:paraId="1B40BC1D" w14:textId="77777777" w:rsidR="000D286F" w:rsidRPr="000D286F" w:rsidRDefault="000D286F" w:rsidP="000D286F">
      <w:pPr>
        <w:spacing w:after="120" w:line="276" w:lineRule="auto"/>
        <w:ind w:firstLine="720"/>
        <w:jc w:val="both"/>
        <w:rPr>
          <w:rFonts w:eastAsia="Calibri"/>
          <w:bCs/>
          <w:iCs/>
          <w:lang w:val="af-ZA"/>
        </w:rPr>
      </w:pPr>
      <w:r w:rsidRPr="000D286F">
        <w:rPr>
          <w:rFonts w:eastAsia="Calibri"/>
          <w:bCs/>
          <w:iCs/>
          <w:lang w:val="af-ZA"/>
        </w:rPr>
        <w:t>District-level State budget capital reached 85.7 trillion VND, equal to 51.9% and increased by 6.1%;</w:t>
      </w:r>
    </w:p>
    <w:p w14:paraId="1D7D7696" w14:textId="77777777" w:rsidR="000D286F" w:rsidRPr="000D286F" w:rsidRDefault="000D286F" w:rsidP="000D286F">
      <w:pPr>
        <w:spacing w:after="120" w:line="276" w:lineRule="auto"/>
        <w:ind w:firstLine="720"/>
        <w:jc w:val="both"/>
        <w:rPr>
          <w:bCs/>
          <w:iCs/>
          <w:lang w:val="af-ZA"/>
        </w:rPr>
      </w:pPr>
      <w:r w:rsidRPr="000D286F">
        <w:rPr>
          <w:bCs/>
          <w:iCs/>
          <w:lang w:val="af-ZA"/>
        </w:rPr>
        <w:t>State budget capital at commune level reached 13.8 trillion VND, equal to 65.1% and increased by 4.1%.</w:t>
      </w:r>
    </w:p>
    <w:p w14:paraId="713B07FE" w14:textId="77777777" w:rsidR="000D286F" w:rsidRPr="000D286F" w:rsidRDefault="000D286F" w:rsidP="000D286F">
      <w:pPr>
        <w:spacing w:after="120" w:line="276" w:lineRule="auto"/>
        <w:ind w:firstLine="720"/>
        <w:jc w:val="both"/>
        <w:rPr>
          <w:rFonts w:ascii="Arial" w:hAnsi="Arial" w:cs="Arial"/>
          <w:b/>
          <w:bCs/>
          <w:sz w:val="24"/>
          <w:szCs w:val="24"/>
          <w:lang w:val="af-ZA"/>
        </w:rPr>
      </w:pPr>
      <w:r w:rsidRPr="000D286F">
        <w:rPr>
          <w:bCs/>
          <w:iCs/>
          <w:lang w:val="af-ZA"/>
        </w:rPr>
        <w:t>Investment capital implemented from the State budget in the first eight months of 2024 of a number of provinces and centrally run cities is as follows:</w:t>
      </w:r>
    </w:p>
    <w:p w14:paraId="00AEA1A0" w14:textId="77777777" w:rsidR="000D286F" w:rsidRPr="000D286F" w:rsidRDefault="000D286F" w:rsidP="000D286F">
      <w:pPr>
        <w:spacing w:line="276" w:lineRule="auto"/>
        <w:jc w:val="center"/>
        <w:rPr>
          <w:rFonts w:ascii="Arial" w:hAnsi="Arial" w:cs="Arial"/>
          <w:b/>
          <w:bCs/>
          <w:sz w:val="24"/>
          <w:szCs w:val="24"/>
          <w:lang w:val="af-ZA"/>
        </w:rPr>
      </w:pPr>
      <w:r w:rsidRPr="000D286F">
        <w:rPr>
          <w:rFonts w:ascii="Arial" w:hAnsi="Arial" w:cs="Arial"/>
          <w:b/>
          <w:bCs/>
          <w:sz w:val="24"/>
          <w:szCs w:val="24"/>
          <w:lang w:val="af-ZA"/>
        </w:rPr>
        <w:t>Figure 6. Investment capital implemented from the State budget</w:t>
      </w:r>
    </w:p>
    <w:p w14:paraId="467B1E76" w14:textId="77777777" w:rsidR="000D286F" w:rsidRPr="000D286F" w:rsidRDefault="000D286F" w:rsidP="000D286F">
      <w:pPr>
        <w:spacing w:line="276" w:lineRule="auto"/>
        <w:jc w:val="center"/>
        <w:rPr>
          <w:rFonts w:ascii="Arial" w:hAnsi="Arial" w:cs="Arial"/>
          <w:b/>
          <w:bCs/>
          <w:sz w:val="24"/>
          <w:szCs w:val="24"/>
          <w:lang w:val="af-ZA"/>
        </w:rPr>
      </w:pPr>
      <w:r w:rsidRPr="000D286F">
        <w:rPr>
          <w:rFonts w:ascii="Arial" w:hAnsi="Arial" w:cs="Arial"/>
          <w:b/>
          <w:bCs/>
          <w:sz w:val="24"/>
          <w:szCs w:val="24"/>
          <w:lang w:val="af-ZA"/>
        </w:rPr>
        <w:t>of some localities</w:t>
      </w:r>
    </w:p>
    <w:p w14:paraId="7C4C7C91" w14:textId="77777777" w:rsidR="000D286F" w:rsidRPr="000D286F" w:rsidRDefault="000D286F" w:rsidP="000D286F">
      <w:pPr>
        <w:spacing w:line="276" w:lineRule="auto"/>
        <w:jc w:val="center"/>
        <w:rPr>
          <w:rFonts w:ascii="Arial" w:hAnsi="Arial" w:cs="Arial"/>
          <w:b/>
          <w:bCs/>
          <w:sz w:val="24"/>
          <w:szCs w:val="24"/>
          <w:lang w:val="af-ZA"/>
        </w:rPr>
      </w:pPr>
      <w:r w:rsidRPr="000D286F">
        <w:rPr>
          <w:noProof/>
        </w:rPr>
        <w:lastRenderedPageBreak/>
        <w:drawing>
          <wp:inline distT="0" distB="0" distL="0" distR="0" wp14:anchorId="79C5F507" wp14:editId="3A55F83E">
            <wp:extent cx="5943600" cy="3800475"/>
            <wp:effectExtent l="0" t="0" r="0" b="9525"/>
            <wp:docPr id="2" name="Chart 2">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53BAF8" w14:textId="77777777" w:rsidR="000D286F" w:rsidRPr="000D286F" w:rsidRDefault="000D286F" w:rsidP="000D286F">
      <w:pPr>
        <w:spacing w:after="120"/>
        <w:jc w:val="center"/>
        <w:rPr>
          <w:lang w:val="en"/>
        </w:rPr>
      </w:pPr>
    </w:p>
    <w:p w14:paraId="30386BF9" w14:textId="77777777" w:rsidR="000D286F" w:rsidRPr="000D286F" w:rsidRDefault="000D286F" w:rsidP="000D286F">
      <w:pPr>
        <w:spacing w:line="276" w:lineRule="auto"/>
        <w:ind w:firstLine="720"/>
        <w:jc w:val="both"/>
        <w:rPr>
          <w:rFonts w:ascii="Arial" w:hAnsi="Arial" w:cs="Arial"/>
          <w:b/>
          <w:bCs/>
          <w:sz w:val="24"/>
          <w:szCs w:val="24"/>
          <w:lang w:val="de-DE"/>
        </w:rPr>
      </w:pPr>
      <w:r w:rsidRPr="000D286F">
        <w:rPr>
          <w:i/>
          <w:iCs/>
          <w:lang w:val="de-DE"/>
        </w:rPr>
        <w:t>Total foreign investment registered in Vietnam</w:t>
      </w:r>
      <w:r w:rsidRPr="000D286F">
        <w:rPr>
          <w:i/>
          <w:iCs/>
          <w:vertAlign w:val="superscript"/>
          <w:lang w:val="de-DE"/>
        </w:rPr>
        <w:footnoteReference w:id="11"/>
      </w:r>
      <w:r w:rsidRPr="000D286F">
        <w:rPr>
          <w:i/>
          <w:iCs/>
          <w:lang w:val="de-DE"/>
        </w:rPr>
        <w:t xml:space="preserve"> </w:t>
      </w:r>
      <w:r w:rsidRPr="000D286F">
        <w:rPr>
          <w:iCs/>
          <w:lang w:val="de-DE"/>
        </w:rPr>
        <w:t>As of August 31, 2024, including: Newly registered capital, adjusted registered capital and capital contribution and share purchase value of foreign investors reached 20.52 billion USD, up 7% over the same period last year.</w:t>
      </w:r>
    </w:p>
    <w:p w14:paraId="7F930BEA" w14:textId="77777777" w:rsidR="000D286F" w:rsidRPr="000D286F" w:rsidRDefault="000D286F" w:rsidP="000D286F">
      <w:pPr>
        <w:spacing w:before="120" w:after="120"/>
        <w:jc w:val="center"/>
        <w:rPr>
          <w:rFonts w:ascii="Arial" w:hAnsi="Arial" w:cs="Arial"/>
          <w:b/>
          <w:bCs/>
          <w:sz w:val="24"/>
          <w:szCs w:val="24"/>
          <w:lang w:val="de-DE"/>
        </w:rPr>
      </w:pPr>
    </w:p>
    <w:p w14:paraId="473D15C1" w14:textId="77777777" w:rsidR="000D286F" w:rsidRPr="000D286F" w:rsidRDefault="000D286F" w:rsidP="000D286F">
      <w:pPr>
        <w:spacing w:before="120" w:after="120"/>
        <w:jc w:val="center"/>
        <w:rPr>
          <w:rFonts w:ascii="Arial" w:hAnsi="Arial" w:cs="Arial"/>
          <w:b/>
          <w:bCs/>
          <w:sz w:val="24"/>
          <w:szCs w:val="24"/>
          <w:lang w:val="de-DE"/>
        </w:rPr>
      </w:pPr>
    </w:p>
    <w:p w14:paraId="0D786FCC" w14:textId="77777777" w:rsidR="000D286F" w:rsidRPr="000D286F" w:rsidRDefault="000D286F" w:rsidP="000D286F">
      <w:pPr>
        <w:spacing w:before="120" w:after="120"/>
        <w:jc w:val="center"/>
        <w:rPr>
          <w:rFonts w:ascii="Arial" w:hAnsi="Arial" w:cs="Arial"/>
          <w:b/>
          <w:bCs/>
          <w:sz w:val="24"/>
          <w:szCs w:val="24"/>
          <w:lang w:val="de-DE"/>
        </w:rPr>
      </w:pPr>
    </w:p>
    <w:p w14:paraId="6065A10D" w14:textId="77777777" w:rsidR="000D286F" w:rsidRPr="000D286F" w:rsidRDefault="000D286F" w:rsidP="000D286F">
      <w:pPr>
        <w:spacing w:before="120" w:after="120"/>
        <w:jc w:val="center"/>
        <w:rPr>
          <w:rFonts w:ascii="Arial" w:hAnsi="Arial" w:cs="Arial"/>
          <w:b/>
          <w:bCs/>
          <w:sz w:val="24"/>
          <w:szCs w:val="24"/>
          <w:lang w:val="de-DE"/>
        </w:rPr>
      </w:pPr>
      <w:r w:rsidRPr="000D286F">
        <w:rPr>
          <w:rFonts w:ascii="Arial" w:hAnsi="Arial" w:cs="Arial"/>
          <w:b/>
          <w:bCs/>
          <w:sz w:val="24"/>
          <w:szCs w:val="24"/>
          <w:lang w:val="de-DE"/>
        </w:rPr>
        <w:t xml:space="preserve">Figure 7. Foreign investment capital registered in Vietnam in </w:t>
      </w:r>
      <w:r w:rsidRPr="000D286F">
        <w:rPr>
          <w:rFonts w:ascii="Arial" w:hAnsi="Arial" w:cs="Arial"/>
          <w:b/>
          <w:bCs/>
          <w:sz w:val="24"/>
          <w:szCs w:val="24"/>
          <w:lang w:val="de-DE"/>
        </w:rPr>
        <w:br/>
        <w:t>8 months of 2020-2024 (Billion USD)</w:t>
      </w:r>
      <w:r w:rsidRPr="000D286F">
        <w:rPr>
          <w:rFonts w:ascii="Arial" w:hAnsi="Arial" w:cs="Arial"/>
          <w:b/>
          <w:bCs/>
          <w:sz w:val="24"/>
          <w:szCs w:val="24"/>
          <w:vertAlign w:val="superscript"/>
          <w:lang w:val="de-DE"/>
        </w:rPr>
        <w:footnoteReference w:id="12"/>
      </w:r>
    </w:p>
    <w:p w14:paraId="35E0558D" w14:textId="77777777" w:rsidR="000D286F" w:rsidRPr="000D286F" w:rsidRDefault="000D286F" w:rsidP="000D286F">
      <w:pPr>
        <w:spacing w:before="120" w:after="120"/>
        <w:jc w:val="center"/>
        <w:rPr>
          <w:rFonts w:ascii="Arial" w:hAnsi="Arial" w:cs="Arial"/>
          <w:b/>
          <w:bCs/>
          <w:sz w:val="24"/>
          <w:szCs w:val="24"/>
          <w:lang w:val="de-DE"/>
        </w:rPr>
      </w:pPr>
      <w:r w:rsidRPr="000D286F">
        <w:rPr>
          <w:noProof/>
        </w:rPr>
        <w:lastRenderedPageBreak/>
        <w:drawing>
          <wp:inline distT="0" distB="0" distL="0" distR="0" wp14:anchorId="0F212F2E" wp14:editId="071BA439">
            <wp:extent cx="5286376" cy="3429000"/>
            <wp:effectExtent l="0" t="0" r="9525" b="0"/>
            <wp:docPr id="2030848950" name="Chart 2030848950">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3ED64A" w14:textId="77777777" w:rsidR="000D286F" w:rsidRPr="000D286F" w:rsidRDefault="000D286F" w:rsidP="000D286F">
      <w:pPr>
        <w:spacing w:before="120" w:after="120"/>
        <w:jc w:val="center"/>
        <w:rPr>
          <w:rFonts w:ascii="Arial" w:hAnsi="Arial" w:cs="Arial"/>
          <w:b/>
          <w:bCs/>
          <w:sz w:val="24"/>
          <w:szCs w:val="24"/>
          <w:lang w:val="de-DE"/>
        </w:rPr>
      </w:pPr>
    </w:p>
    <w:p w14:paraId="57AFCD71" w14:textId="77777777" w:rsidR="000D286F" w:rsidRPr="000D286F" w:rsidRDefault="000D286F" w:rsidP="000D286F">
      <w:pPr>
        <w:jc w:val="center"/>
        <w:rPr>
          <w:rFonts w:ascii="Arial" w:hAnsi="Arial" w:cs="Arial"/>
          <w:b/>
          <w:bCs/>
          <w:sz w:val="24"/>
          <w:szCs w:val="24"/>
          <w:lang w:val="de-DE"/>
        </w:rPr>
      </w:pPr>
    </w:p>
    <w:p w14:paraId="0E694BEF" w14:textId="77777777" w:rsidR="000D286F" w:rsidRPr="000D286F" w:rsidRDefault="000D286F" w:rsidP="000D286F">
      <w:pPr>
        <w:spacing w:after="120" w:line="276" w:lineRule="auto"/>
        <w:ind w:firstLine="720"/>
        <w:jc w:val="both"/>
        <w:rPr>
          <w:iCs/>
          <w:spacing w:val="-2"/>
          <w:lang w:val="de-DE"/>
        </w:rPr>
      </w:pPr>
      <w:r w:rsidRPr="000D286F">
        <w:rPr>
          <w:b/>
          <w:bCs/>
          <w:noProof/>
          <w:spacing w:val="-2"/>
          <w:lang w:val="de-DE"/>
        </w:rPr>
        <w:softHyphen/>
      </w:r>
      <w:r w:rsidRPr="000D286F">
        <w:rPr>
          <w:b/>
          <w:bCs/>
          <w:noProof/>
          <w:spacing w:val="-2"/>
          <w:lang w:val="de-DE"/>
        </w:rPr>
        <w:softHyphen/>
      </w:r>
      <w:r w:rsidRPr="000D286F">
        <w:rPr>
          <w:b/>
          <w:bCs/>
          <w:noProof/>
          <w:spacing w:val="-2"/>
          <w:lang w:val="de-DE"/>
        </w:rPr>
        <w:softHyphen/>
      </w:r>
      <w:r w:rsidRPr="000D286F">
        <w:rPr>
          <w:iCs/>
          <w:spacing w:val="-2"/>
          <w:lang w:val="de-DE"/>
        </w:rPr>
        <w:t>- Newly registered capital has 2,247 licensed projects with registered capital reaching nearly 12 billion USD, up 8.5% over the same period last year in terms of number of projects and 27% in terms of registered capital. Of which, the processing and manufacturing industry is the one with the largest newly licensed foreign direct investment with registered capital reaching 8.53 billion USD, accounting for 71.1% of the total newly registered capital; real estate business activities reached 2.40 billion USD, accounting for 20%; the remaining industries reached 1.07 billion USD, accounting for 8.9%.</w:t>
      </w:r>
    </w:p>
    <w:p w14:paraId="7892C82B" w14:textId="77777777" w:rsidR="000D286F" w:rsidRPr="000D286F" w:rsidRDefault="000D286F" w:rsidP="000D286F">
      <w:pPr>
        <w:spacing w:after="120" w:line="276" w:lineRule="auto"/>
        <w:ind w:firstLine="720"/>
        <w:jc w:val="both"/>
        <w:rPr>
          <w:iCs/>
          <w:lang w:val="de-DE"/>
        </w:rPr>
      </w:pPr>
      <w:r w:rsidRPr="000D286F">
        <w:rPr>
          <w:iCs/>
          <w:lang w:val="de-DE"/>
        </w:rPr>
        <w:t xml:space="preserve">Among the 66 countries and territories with newly licensed investment projects in Vietnam in the first eight months of 2024, Singapore was the largest investor with 4.66 billion USD, accounting for 38.8% of the total newly registered capital; followed by China with nearly 1.7 billion USD, accounting for 14.2%; Hong Kong Special Administrative Region (China) with 1.41 billion USD, accounting for 11.7 </w:t>
      </w:r>
      <w:r w:rsidRPr="000D286F">
        <w:rPr>
          <w:iCs/>
          <w:lang w:val="en"/>
        </w:rPr>
        <w:t xml:space="preserve">% </w:t>
      </w:r>
      <w:r w:rsidRPr="000D286F">
        <w:rPr>
          <w:iCs/>
          <w:lang w:val="vi-VN"/>
        </w:rPr>
        <w:t xml:space="preserve">; </w:t>
      </w:r>
      <w:r w:rsidRPr="000D286F">
        <w:rPr>
          <w:iCs/>
          <w:lang w:val="de-DE"/>
        </w:rPr>
        <w:t>Japan with 1.24 billion USD, accounting for 10.3%; Turkey with 731.3 million USD, accounting for 6.1%; Taiwan with 660.3 million USD, accounting for 5.5%.</w:t>
      </w:r>
    </w:p>
    <w:p w14:paraId="32160A3D" w14:textId="77777777" w:rsidR="000D286F" w:rsidRPr="000D286F" w:rsidRDefault="000D286F" w:rsidP="000D286F">
      <w:pPr>
        <w:spacing w:after="120" w:line="276" w:lineRule="auto"/>
        <w:ind w:firstLine="720"/>
        <w:jc w:val="both"/>
        <w:rPr>
          <w:iCs/>
          <w:lang w:val="de-DE"/>
        </w:rPr>
      </w:pPr>
      <w:r w:rsidRPr="000D286F">
        <w:rPr>
          <w:iCs/>
          <w:lang w:val="de-DE"/>
        </w:rPr>
        <w:t>- Adjusted registered capital: 926 licensed projects from previous years registered to adjust investment capital by an additional 5.71 billion USD, up 14.8% over the same period last year.</w:t>
      </w:r>
    </w:p>
    <w:p w14:paraId="1293A04D" w14:textId="77777777" w:rsidR="000D286F" w:rsidRPr="000D286F" w:rsidRDefault="000D286F" w:rsidP="000D286F">
      <w:pPr>
        <w:spacing w:after="120" w:line="276" w:lineRule="auto"/>
        <w:ind w:firstLine="720"/>
        <w:jc w:val="both"/>
        <w:rPr>
          <w:iCs/>
          <w:lang w:val="de-DE"/>
        </w:rPr>
      </w:pPr>
      <w:r w:rsidRPr="000D286F">
        <w:rPr>
          <w:iCs/>
          <w:lang w:val="de-DE"/>
        </w:rPr>
        <w:t xml:space="preserve">If including newly registered capital and adjusted registered capital of licensed projects from previous years, foreign direct investment capital registered </w:t>
      </w:r>
      <w:r w:rsidRPr="000D286F">
        <w:rPr>
          <w:iCs/>
          <w:lang w:val="de-DE"/>
        </w:rPr>
        <w:lastRenderedPageBreak/>
        <w:t>in the processing and manufacturing industry reached 13.61 billion USD, accounting for 76.8% of the total newly registered and increased capital; real estate business activities reached 2.55 billion USD, accounting for 14.4%; the remaining industries reached 1.56 billion USD, accounting for 8.8%.</w:t>
      </w:r>
    </w:p>
    <w:p w14:paraId="44797128" w14:textId="77777777" w:rsidR="000D286F" w:rsidRPr="000D286F" w:rsidRDefault="000D286F" w:rsidP="000D286F">
      <w:pPr>
        <w:spacing w:after="120" w:line="288" w:lineRule="auto"/>
        <w:ind w:firstLine="720"/>
        <w:jc w:val="both"/>
        <w:rPr>
          <w:iCs/>
          <w:lang w:val="de-DE"/>
        </w:rPr>
      </w:pPr>
      <w:r w:rsidRPr="000D286F">
        <w:rPr>
          <w:iCs/>
          <w:lang w:val="de-DE"/>
        </w:rPr>
        <w:t>- There were 2,196 registered capital contributions and share purchases by foreign investors with a total capital contribution value of 2.81 billion USD, down 40.9% compared to the same period last year. Of which, 838 capital contributions and share purchases increased the charter capital of enterprises with a capital contribution value of 1.27 billion USD; 1,358 foreign investors bought back domestic shares without increasing the charter capital with a value of 1.54 billion USD. Regarding the form of capital contributions and share purchases by foreign investors, the investment capital in real estate business activities reached 811.8 million USD, accounting for 28.9% of the capital contribution value; professional activities, science and technology reached 588.3 million USD, accounting for 20.9%; the remaining sectors reached 1.41 billion USD, accounting for 50.2%.</w:t>
      </w:r>
    </w:p>
    <w:p w14:paraId="01F6D471" w14:textId="77777777" w:rsidR="000D286F" w:rsidRPr="000D286F" w:rsidRDefault="000D286F" w:rsidP="000D286F">
      <w:pPr>
        <w:spacing w:after="120" w:line="288" w:lineRule="auto"/>
        <w:ind w:firstLine="720"/>
        <w:jc w:val="both"/>
        <w:rPr>
          <w:rFonts w:ascii="Arial" w:hAnsi="Arial" w:cs="Arial"/>
          <w:b/>
          <w:bCs/>
          <w:sz w:val="24"/>
          <w:lang w:val="de-DE"/>
        </w:rPr>
      </w:pPr>
      <w:r w:rsidRPr="000D286F">
        <w:rPr>
          <w:i/>
          <w:iCs/>
          <w:lang w:val="de-DE"/>
        </w:rPr>
        <w:t xml:space="preserve">Foreign direct investment implemented in Vietnam </w:t>
      </w:r>
      <w:r w:rsidRPr="000D286F">
        <w:rPr>
          <w:iCs/>
          <w:lang w:val="de-DE"/>
        </w:rPr>
        <w:t>eight</w:t>
      </w:r>
      <w:r w:rsidRPr="000D286F">
        <w:rPr>
          <w:i/>
          <w:iCs/>
          <w:lang w:val="de-DE"/>
        </w:rPr>
        <w:t xml:space="preserve"> </w:t>
      </w:r>
      <w:r w:rsidRPr="000D286F">
        <w:rPr>
          <w:iCs/>
          <w:lang w:val="de-DE"/>
        </w:rPr>
        <w:t>The estimated FDI in the first month of 2024 was 14.15 billion USD, an increase of 8.0% over the same period last year. Of which: Processing and manufacturing industry reached 11.28 billion USD, accounting for 79.7% of total realized foreign direct investment; real estate business activities reached 1.27 billion USD, accounting for 9.0%; production and distribution of electricity, gas, hot water, steam and air conditioning reached 542.3 million USD, accounting for 3.8%.</w:t>
      </w:r>
    </w:p>
    <w:p w14:paraId="75409C69" w14:textId="77777777" w:rsidR="000D286F" w:rsidRPr="000D286F" w:rsidRDefault="000D286F" w:rsidP="000D286F">
      <w:pPr>
        <w:jc w:val="center"/>
        <w:rPr>
          <w:rFonts w:ascii="Arial" w:hAnsi="Arial" w:cs="Arial"/>
          <w:b/>
          <w:bCs/>
          <w:sz w:val="24"/>
          <w:lang w:val="de-DE"/>
        </w:rPr>
      </w:pPr>
      <w:r w:rsidRPr="000D286F">
        <w:rPr>
          <w:rFonts w:ascii="Arial" w:hAnsi="Arial" w:cs="Arial"/>
          <w:b/>
          <w:bCs/>
          <w:sz w:val="24"/>
          <w:lang w:val="de-DE"/>
        </w:rPr>
        <w:t xml:space="preserve">Figure 8. Foreign direct investment realized in </w:t>
      </w:r>
      <w:r w:rsidRPr="000D286F">
        <w:rPr>
          <w:rFonts w:ascii="Arial" w:hAnsi="Arial" w:cs="Arial"/>
          <w:b/>
          <w:bCs/>
          <w:sz w:val="24"/>
          <w:lang w:val="de-DE"/>
        </w:rPr>
        <w:br/>
        <w:t>8 months of 2020-2024 (Billion USD)</w:t>
      </w:r>
    </w:p>
    <w:p w14:paraId="4ABD4C2D" w14:textId="77777777" w:rsidR="000D286F" w:rsidRPr="000D286F" w:rsidRDefault="000D286F" w:rsidP="000D286F">
      <w:pPr>
        <w:jc w:val="center"/>
        <w:rPr>
          <w:rFonts w:ascii="Arial" w:hAnsi="Arial" w:cs="Arial"/>
          <w:b/>
          <w:bCs/>
          <w:sz w:val="24"/>
          <w:lang w:val="de-DE"/>
        </w:rPr>
      </w:pPr>
      <w:r w:rsidRPr="000D286F">
        <w:rPr>
          <w:noProof/>
        </w:rPr>
        <w:drawing>
          <wp:inline distT="0" distB="0" distL="0" distR="0" wp14:anchorId="4A77CE23" wp14:editId="712BEDBA">
            <wp:extent cx="4572000" cy="19526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2037A2" w14:textId="77777777" w:rsidR="000D286F" w:rsidRPr="000D286F" w:rsidRDefault="000D286F" w:rsidP="000D286F">
      <w:pPr>
        <w:jc w:val="center"/>
        <w:rPr>
          <w:rFonts w:ascii="Arial" w:hAnsi="Arial" w:cs="Arial"/>
          <w:b/>
          <w:bCs/>
          <w:sz w:val="24"/>
          <w:lang w:val="de-DE"/>
        </w:rPr>
      </w:pPr>
    </w:p>
    <w:p w14:paraId="7E032128" w14:textId="77777777" w:rsidR="000D286F" w:rsidRPr="000D286F" w:rsidRDefault="000D286F" w:rsidP="000D286F">
      <w:pPr>
        <w:spacing w:after="120" w:line="276" w:lineRule="auto"/>
        <w:ind w:firstLine="720"/>
        <w:jc w:val="both"/>
        <w:rPr>
          <w:i/>
          <w:iCs/>
          <w:lang w:val="de-DE"/>
        </w:rPr>
      </w:pPr>
      <w:r w:rsidRPr="000D286F">
        <w:rPr>
          <w:i/>
          <w:iCs/>
          <w:lang w:val="de-DE"/>
        </w:rPr>
        <w:t xml:space="preserve">Vietnam's overseas investment </w:t>
      </w:r>
      <w:r w:rsidRPr="000D286F">
        <w:rPr>
          <w:iCs/>
          <w:lang w:val="de-DE"/>
        </w:rPr>
        <w:t>in the first eight months of 2024 had 75 projects newly granted investment certificates with a total capital of Vietnam's side of 148 million USD, down 39.4% over the same period last year; there were 17 projects adjusting capital with the adjusted capital decreasing by 736.7 million USD.</w:t>
      </w:r>
    </w:p>
    <w:p w14:paraId="591BFD88" w14:textId="77777777" w:rsidR="000D286F" w:rsidRPr="000D286F" w:rsidRDefault="000D286F" w:rsidP="000D286F">
      <w:pPr>
        <w:spacing w:after="120" w:line="276" w:lineRule="auto"/>
        <w:ind w:firstLine="720"/>
        <w:jc w:val="both"/>
        <w:rPr>
          <w:iCs/>
          <w:spacing w:val="-4"/>
          <w:lang w:val="de-DE"/>
        </w:rPr>
      </w:pPr>
      <w:r w:rsidRPr="000D286F">
        <w:rPr>
          <w:iCs/>
          <w:spacing w:val="-4"/>
          <w:lang w:val="de-DE"/>
        </w:rPr>
        <w:lastRenderedPageBreak/>
        <w:t>In the first eight months of 2024, Vietnam's total investment capital abroad (newly granted and adjusted capital) reached 147.3 million USD, down 64.6% over the same period last year. Of which: Mining reached 58.6 million USD, accounting for 39.8% of total investment capital; processing and manufacturing industry reached 29.1 million USD, accounting for 19.7%; wholesale and retail, repair of automobiles, motorcycles, motorbikes and other motor vehicles reached 24.7 million USD, accounting for 16.8%; professional scientific and technological activities reached 20 million USD, accounting for 13.6%; other services reached 10.0 million USD, accounting for 6.8%; production and distribution of electricity, gas, hot water and air conditioning reached nearly 8 million USD, accounting for 5.4%.</w:t>
      </w:r>
    </w:p>
    <w:p w14:paraId="423B7D35" w14:textId="685BDAE5" w:rsidR="00DB606A" w:rsidRPr="000D286F" w:rsidRDefault="000D286F" w:rsidP="000D286F">
      <w:pPr>
        <w:spacing w:after="120" w:line="276" w:lineRule="auto"/>
        <w:ind w:firstLine="720"/>
        <w:jc w:val="both"/>
        <w:rPr>
          <w:b/>
          <w:bCs/>
          <w:lang w:val="af-ZA"/>
        </w:rPr>
      </w:pPr>
      <w:r w:rsidRPr="000D286F">
        <w:rPr>
          <w:iCs/>
          <w:lang w:val="de-DE"/>
        </w:rPr>
        <w:t>In the first eight months of 2024, 25 countries and territories received investment from Vietnam, of which: The Netherlands was the leading country with 54.6 million USD, accounting for 37.1% of total investment capital; Laos 37.8 million USD, accounting for 25.7%; the United Kingdom 19.8 million USD, accounting for 13.4%; the United States 18.6 million USD, accounting for 12.7%; Cambodia 16.6 million USD, accounting for 11.3%; New Zealand 5.9 million USD, accounting for 4.0%.</w:t>
      </w:r>
    </w:p>
    <w:p w14:paraId="2D72A51A" w14:textId="77777777" w:rsidR="00CE6F92" w:rsidRPr="00DE0776" w:rsidRDefault="00CE6F92" w:rsidP="00CE6F92">
      <w:pPr>
        <w:spacing w:after="120" w:line="264" w:lineRule="auto"/>
        <w:ind w:firstLine="720"/>
        <w:jc w:val="both"/>
        <w:rPr>
          <w:b/>
          <w:bCs/>
          <w:lang w:val="de-DE"/>
        </w:rPr>
      </w:pPr>
      <w:bookmarkStart w:id="6" w:name="_Hlk89176061"/>
      <w:bookmarkEnd w:id="5"/>
      <w:r w:rsidRPr="00DE0776">
        <w:rPr>
          <w:b/>
          <w:bCs/>
          <w:lang w:val="af-ZA"/>
        </w:rPr>
        <w:t xml:space="preserve">5. </w:t>
      </w:r>
      <w:r w:rsidRPr="00DE0776">
        <w:rPr>
          <w:b/>
          <w:bCs/>
          <w:lang w:val="de-DE"/>
        </w:rPr>
        <w:t>State budget revenue and expenditure</w:t>
      </w:r>
      <w:r w:rsidRPr="00DE0776">
        <w:rPr>
          <w:b/>
          <w:bCs/>
          <w:vertAlign w:val="superscript"/>
          <w:lang w:val="en-GB"/>
        </w:rPr>
        <w:footnoteReference w:id="13"/>
      </w:r>
    </w:p>
    <w:p w14:paraId="2234AD97" w14:textId="77777777" w:rsidR="00CE6F92" w:rsidRPr="00DE0776" w:rsidRDefault="00CE6F92" w:rsidP="00CE6F92">
      <w:pPr>
        <w:spacing w:after="120" w:line="264" w:lineRule="auto"/>
        <w:ind w:firstLine="720"/>
        <w:jc w:val="both"/>
        <w:rPr>
          <w:b/>
          <w:lang w:val="nl-NL"/>
        </w:rPr>
      </w:pPr>
      <w:r w:rsidRPr="00DE0776">
        <w:rPr>
          <w:i/>
          <w:lang w:val="nl-NL"/>
        </w:rPr>
        <w:t>State budget revenue in the eight months of 2024 increase</w:t>
      </w:r>
      <w:r>
        <w:rPr>
          <w:i/>
          <w:lang w:val="nl-NL"/>
        </w:rPr>
        <w:t>d</w:t>
      </w:r>
      <w:r w:rsidRPr="00DE0776">
        <w:rPr>
          <w:i/>
          <w:lang w:val="nl-NL"/>
        </w:rPr>
        <w:t xml:space="preserve"> by 17.8% over the same period last year</w:t>
      </w:r>
      <w:r w:rsidRPr="00DE0776">
        <w:rPr>
          <w:i/>
          <w:lang w:val="vi-VN"/>
        </w:rPr>
        <w:t xml:space="preserve">. </w:t>
      </w:r>
      <w:r w:rsidRPr="00DE0776">
        <w:rPr>
          <w:i/>
          <w:lang w:val="nl-NL"/>
        </w:rPr>
        <w:t>State budget expenditure increase</w:t>
      </w:r>
      <w:r>
        <w:rPr>
          <w:i/>
          <w:lang w:val="nl-NL"/>
        </w:rPr>
        <w:t>d</w:t>
      </w:r>
      <w:r w:rsidRPr="00DE0776">
        <w:rPr>
          <w:i/>
          <w:lang w:val="nl-NL"/>
        </w:rPr>
        <w:t xml:space="preserve"> by 1.9% over the same period in 2023, ensuring the needs of socio-economic development, national defense, security, State management, payment of due debts as well as timely payment to subjects according to regulations.</w:t>
      </w:r>
      <w:r w:rsidRPr="00DE0776">
        <w:rPr>
          <w:b/>
          <w:lang w:val="nl-NL"/>
        </w:rPr>
        <w:t xml:space="preserve"> </w:t>
      </w:r>
    </w:p>
    <w:p w14:paraId="59F436D9" w14:textId="77777777" w:rsidR="00CE6F92" w:rsidRPr="00DE0776" w:rsidRDefault="00CE6F92" w:rsidP="00CE6F92">
      <w:pPr>
        <w:jc w:val="center"/>
        <w:rPr>
          <w:rFonts w:ascii="Arial" w:hAnsi="Arial" w:cs="Arial"/>
          <w:b/>
          <w:sz w:val="24"/>
          <w:szCs w:val="24"/>
          <w:lang w:val="vi-VN"/>
        </w:rPr>
      </w:pPr>
      <w:r w:rsidRPr="00DE0776">
        <w:rPr>
          <w:rFonts w:ascii="Arial" w:hAnsi="Arial" w:cs="Arial"/>
          <w:b/>
          <w:sz w:val="24"/>
          <w:szCs w:val="24"/>
          <w:lang w:val="nl-NL"/>
        </w:rPr>
        <w:t>Figure 9. State budget revenue and expenditure for the first 8 months of 2024</w:t>
      </w:r>
    </w:p>
    <w:p w14:paraId="08E8F721" w14:textId="77777777" w:rsidR="00CE6F92" w:rsidRPr="00DE0776" w:rsidRDefault="00CE6F92" w:rsidP="00CE6F92">
      <w:pPr>
        <w:jc w:val="center"/>
        <w:rPr>
          <w:rFonts w:ascii="Arial" w:hAnsi="Arial" w:cs="Arial"/>
          <w:b/>
          <w:sz w:val="24"/>
          <w:szCs w:val="24"/>
          <w:lang w:val="vi-VN"/>
        </w:rPr>
      </w:pPr>
      <w:r>
        <w:rPr>
          <w:rFonts w:ascii="Arial" w:hAnsi="Arial" w:cs="Arial"/>
          <w:b/>
          <w:noProof/>
          <w:sz w:val="24"/>
          <w:szCs w:val="24"/>
        </w:rPr>
        <w:drawing>
          <wp:inline distT="0" distB="0" distL="0" distR="0" wp14:anchorId="071AA278" wp14:editId="4E01CA8A">
            <wp:extent cx="5699760" cy="2378075"/>
            <wp:effectExtent l="0" t="0" r="0" b="3175"/>
            <wp:docPr id="4" name="Picture 4" descr="A diagram of a balance with money and piggy ba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balance with money and piggy bank&#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99760" cy="2378075"/>
                    </a:xfrm>
                    <a:prstGeom prst="rect">
                      <a:avLst/>
                    </a:prstGeom>
                  </pic:spPr>
                </pic:pic>
              </a:graphicData>
            </a:graphic>
          </wp:inline>
        </w:drawing>
      </w:r>
    </w:p>
    <w:p w14:paraId="6C5D6DB9" w14:textId="77777777" w:rsidR="00CE6F92" w:rsidRPr="00DE0776" w:rsidRDefault="00CE6F92" w:rsidP="00CE6F92">
      <w:pPr>
        <w:spacing w:before="120" w:after="120" w:line="264" w:lineRule="auto"/>
        <w:ind w:firstLine="720"/>
        <w:jc w:val="both"/>
        <w:rPr>
          <w:b/>
          <w:i/>
          <w:lang w:val="it-IT"/>
        </w:rPr>
      </w:pPr>
      <w:r w:rsidRPr="00DE0776">
        <w:rPr>
          <w:b/>
          <w:i/>
          <w:lang w:val="it-IT"/>
        </w:rPr>
        <w:lastRenderedPageBreak/>
        <w:t>State budget revenue</w:t>
      </w:r>
    </w:p>
    <w:p w14:paraId="57475003" w14:textId="77777777" w:rsidR="00CE6F92" w:rsidRPr="00DE0776" w:rsidRDefault="00CE6F92" w:rsidP="00CE6F92">
      <w:pPr>
        <w:spacing w:after="120" w:line="264" w:lineRule="auto"/>
        <w:ind w:firstLine="720"/>
        <w:jc w:val="both"/>
        <w:rPr>
          <w:lang w:val="nl-NL"/>
        </w:rPr>
      </w:pPr>
      <w:r w:rsidRPr="00DE0776">
        <w:rPr>
          <w:lang w:val="it-IT"/>
        </w:rPr>
        <w:t xml:space="preserve">Total state budget revenue in August 2024 </w:t>
      </w:r>
      <w:r>
        <w:rPr>
          <w:lang w:val="it-IT"/>
        </w:rPr>
        <w:t>wa</w:t>
      </w:r>
      <w:r w:rsidRPr="00DE0776">
        <w:rPr>
          <w:lang w:val="it-IT"/>
        </w:rPr>
        <w:t xml:space="preserve">s estimated at </w:t>
      </w:r>
      <w:r w:rsidRPr="00DE0776">
        <w:rPr>
          <w:lang w:val="vi-VN"/>
        </w:rPr>
        <w:t xml:space="preserve">101.3 </w:t>
      </w:r>
      <w:r w:rsidRPr="00DE0776">
        <w:rPr>
          <w:lang w:val="nl-NL"/>
        </w:rPr>
        <w:t>trillion VND</w:t>
      </w:r>
      <w:r w:rsidRPr="00DE0776">
        <w:rPr>
          <w:lang w:val="it-IT"/>
        </w:rPr>
        <w:t xml:space="preserve">. </w:t>
      </w:r>
      <w:r>
        <w:rPr>
          <w:lang w:val="it-IT"/>
        </w:rPr>
        <w:t>The acc</w:t>
      </w:r>
      <w:r w:rsidRPr="00DE0776">
        <w:rPr>
          <w:lang w:val="it-IT"/>
        </w:rPr>
        <w:t>umulat</w:t>
      </w:r>
      <w:r>
        <w:rPr>
          <w:lang w:val="it-IT"/>
        </w:rPr>
        <w:t>ed</w:t>
      </w:r>
      <w:r w:rsidRPr="00DE0776">
        <w:rPr>
          <w:lang w:val="it-IT"/>
        </w:rPr>
        <w:t xml:space="preserve"> total state budget revenue in the eight months of 2024 </w:t>
      </w:r>
      <w:r>
        <w:rPr>
          <w:lang w:val="it-IT"/>
        </w:rPr>
        <w:t>wa</w:t>
      </w:r>
      <w:r w:rsidRPr="00DE0776">
        <w:rPr>
          <w:lang w:val="it-IT"/>
        </w:rPr>
        <w:t xml:space="preserve">s estimated at 1,335.6 trillion VND, equal to 78.5% of the </w:t>
      </w:r>
      <w:r>
        <w:rPr>
          <w:lang w:val="it-IT"/>
        </w:rPr>
        <w:t>yearly</w:t>
      </w:r>
      <w:r w:rsidRPr="00DE0776">
        <w:rPr>
          <w:lang w:val="it-IT"/>
        </w:rPr>
        <w:t xml:space="preserve"> estimate and </w:t>
      </w:r>
      <w:r w:rsidRPr="00610E3C">
        <w:rPr>
          <w:lang w:val="nl-NL"/>
        </w:rPr>
        <w:t>increasing by</w:t>
      </w:r>
      <w:r w:rsidRPr="00DE0776">
        <w:rPr>
          <w:lang w:val="it-IT"/>
        </w:rPr>
        <w:t xml:space="preserve"> 17.8%</w:t>
      </w:r>
      <w:r>
        <w:rPr>
          <w:lang w:val="it-IT"/>
        </w:rPr>
        <w:t xml:space="preserve"> over the same period last year</w:t>
      </w:r>
      <w:r w:rsidRPr="00DE0776">
        <w:rPr>
          <w:lang w:val="nl-NL"/>
        </w:rPr>
        <w:t xml:space="preserve">. </w:t>
      </w:r>
      <w:r>
        <w:rPr>
          <w:lang w:val="nl-NL"/>
        </w:rPr>
        <w:t>S</w:t>
      </w:r>
      <w:r w:rsidRPr="00DE0776">
        <w:rPr>
          <w:lang w:val="nl-NL"/>
        </w:rPr>
        <w:t>ome main revenue items are as follows:</w:t>
      </w:r>
    </w:p>
    <w:p w14:paraId="65D55C07" w14:textId="77777777" w:rsidR="00CE6F92" w:rsidRPr="00DE0776" w:rsidRDefault="00CE6F92" w:rsidP="00CE6F92">
      <w:pPr>
        <w:spacing w:after="120" w:line="264" w:lineRule="auto"/>
        <w:ind w:firstLine="720"/>
        <w:jc w:val="both"/>
        <w:rPr>
          <w:lang w:val="nl-NL"/>
        </w:rPr>
      </w:pPr>
      <w:r w:rsidRPr="00DE0776">
        <w:rPr>
          <w:i/>
          <w:lang w:val="nl-NL"/>
        </w:rPr>
        <w:t xml:space="preserve">- Domestic revenue </w:t>
      </w:r>
      <w:r w:rsidRPr="00DE0776">
        <w:rPr>
          <w:lang w:val="nl-NL"/>
        </w:rPr>
        <w:t xml:space="preserve">in August 2024 </w:t>
      </w:r>
      <w:r>
        <w:rPr>
          <w:lang w:val="nl-NL"/>
        </w:rPr>
        <w:t>wa</w:t>
      </w:r>
      <w:r w:rsidRPr="00DE0776">
        <w:rPr>
          <w:lang w:val="nl-NL"/>
        </w:rPr>
        <w:t xml:space="preserve">s estimated at 81.3 trillion VND; accumulated revenue in the eight months of 2024 </w:t>
      </w:r>
      <w:r>
        <w:rPr>
          <w:lang w:val="nl-NL"/>
        </w:rPr>
        <w:t>wa</w:t>
      </w:r>
      <w:r w:rsidRPr="00DE0776">
        <w:rPr>
          <w:lang w:val="nl-NL"/>
        </w:rPr>
        <w:t xml:space="preserve">s estimated at nearly 1,117.2 trillion VND, equal to 77.3% of the </w:t>
      </w:r>
      <w:r>
        <w:rPr>
          <w:lang w:val="nl-NL"/>
        </w:rPr>
        <w:t>yearly</w:t>
      </w:r>
      <w:r w:rsidRPr="00DE0776">
        <w:rPr>
          <w:lang w:val="nl-NL"/>
        </w:rPr>
        <w:t xml:space="preserve"> estimate and increase</w:t>
      </w:r>
      <w:r>
        <w:rPr>
          <w:lang w:val="nl-NL"/>
        </w:rPr>
        <w:t>ing</w:t>
      </w:r>
      <w:r w:rsidRPr="00DE0776">
        <w:rPr>
          <w:lang w:val="nl-NL"/>
        </w:rPr>
        <w:t xml:space="preserve"> </w:t>
      </w:r>
      <w:r>
        <w:rPr>
          <w:lang w:val="nl-NL"/>
        </w:rPr>
        <w:t>by</w:t>
      </w:r>
      <w:r w:rsidRPr="00DE0776">
        <w:rPr>
          <w:lang w:val="nl-NL"/>
        </w:rPr>
        <w:t xml:space="preserve"> 18.9% </w:t>
      </w:r>
      <w:r w:rsidRPr="00DE0776">
        <w:rPr>
          <w:lang w:val="it-IT"/>
        </w:rPr>
        <w:t>over the same period last year</w:t>
      </w:r>
      <w:r w:rsidRPr="00DE0776">
        <w:rPr>
          <w:lang w:val="nl-NL"/>
        </w:rPr>
        <w:t>.</w:t>
      </w:r>
    </w:p>
    <w:p w14:paraId="453869AF" w14:textId="77777777" w:rsidR="00CE6F92" w:rsidRPr="00DE0776" w:rsidRDefault="00CE6F92" w:rsidP="00CE6F92">
      <w:pPr>
        <w:spacing w:after="120" w:line="259" w:lineRule="auto"/>
        <w:ind w:firstLine="720"/>
        <w:jc w:val="both"/>
        <w:rPr>
          <w:lang w:val="nl-NL"/>
        </w:rPr>
      </w:pPr>
      <w:r w:rsidRPr="00DE0776">
        <w:rPr>
          <w:i/>
          <w:lang w:val="nl-NL"/>
        </w:rPr>
        <w:t xml:space="preserve">- Revenue from crude oil </w:t>
      </w:r>
      <w:r w:rsidRPr="00DE0776">
        <w:rPr>
          <w:lang w:val="nl-NL"/>
        </w:rPr>
        <w:t xml:space="preserve">in August 2024 </w:t>
      </w:r>
      <w:r>
        <w:rPr>
          <w:lang w:val="nl-NL"/>
        </w:rPr>
        <w:t>wa</w:t>
      </w:r>
      <w:r w:rsidRPr="00DE0776">
        <w:rPr>
          <w:lang w:val="nl-NL"/>
        </w:rPr>
        <w:t xml:space="preserve">s estimated at 5.0 trillion VND; accumulated revenue </w:t>
      </w:r>
      <w:r>
        <w:rPr>
          <w:lang w:val="nl-NL"/>
        </w:rPr>
        <w:t>in the</w:t>
      </w:r>
      <w:r w:rsidRPr="00DE0776">
        <w:rPr>
          <w:lang w:val="nl-NL"/>
        </w:rPr>
        <w:t xml:space="preserve"> eight months of 2024 </w:t>
      </w:r>
      <w:r>
        <w:rPr>
          <w:lang w:val="nl-NL"/>
        </w:rPr>
        <w:t>wa</w:t>
      </w:r>
      <w:r w:rsidRPr="00DE0776">
        <w:rPr>
          <w:lang w:val="nl-NL"/>
        </w:rPr>
        <w:t>s estimated at 39.4 trillion VND, equal</w:t>
      </w:r>
      <w:r>
        <w:rPr>
          <w:lang w:val="nl-NL"/>
        </w:rPr>
        <w:t>ing</w:t>
      </w:r>
      <w:r w:rsidRPr="00DE0776">
        <w:rPr>
          <w:lang w:val="vi-VN"/>
        </w:rPr>
        <w:t xml:space="preserve"> </w:t>
      </w:r>
      <w:r w:rsidRPr="00DE0776">
        <w:rPr>
          <w:lang w:val="nl-NL"/>
        </w:rPr>
        <w:t xml:space="preserve">85.6 </w:t>
      </w:r>
      <w:r w:rsidRPr="00DE0776">
        <w:rPr>
          <w:lang w:val="vi-VN"/>
        </w:rPr>
        <w:t xml:space="preserve">% </w:t>
      </w:r>
      <w:r w:rsidRPr="00DE0776">
        <w:rPr>
          <w:lang w:val="nl-NL"/>
        </w:rPr>
        <w:t xml:space="preserve">of the </w:t>
      </w:r>
      <w:r>
        <w:rPr>
          <w:lang w:val="nl-NL"/>
        </w:rPr>
        <w:t>yearly</w:t>
      </w:r>
      <w:r w:rsidRPr="00DE0776">
        <w:rPr>
          <w:lang w:val="nl-NL"/>
        </w:rPr>
        <w:t xml:space="preserve"> estimate and down </w:t>
      </w:r>
      <w:r w:rsidRPr="00DE0776">
        <w:rPr>
          <w:lang w:val="vi-VN"/>
        </w:rPr>
        <w:t xml:space="preserve">2.6 </w:t>
      </w:r>
      <w:r w:rsidRPr="00DE0776">
        <w:rPr>
          <w:lang w:val="nl-NL"/>
        </w:rPr>
        <w:t xml:space="preserve">% </w:t>
      </w:r>
      <w:r>
        <w:rPr>
          <w:lang w:val="it-IT"/>
        </w:rPr>
        <w:t>over the same period last year</w:t>
      </w:r>
      <w:r w:rsidRPr="00DE0776">
        <w:rPr>
          <w:lang w:val="nl-NL"/>
        </w:rPr>
        <w:t>.</w:t>
      </w:r>
    </w:p>
    <w:p w14:paraId="203B430E" w14:textId="77777777" w:rsidR="00CE6F92" w:rsidRPr="00DE0776" w:rsidRDefault="00CE6F92" w:rsidP="00CE6F92">
      <w:pPr>
        <w:spacing w:after="120" w:line="259" w:lineRule="auto"/>
        <w:ind w:firstLine="720"/>
        <w:jc w:val="both"/>
        <w:rPr>
          <w:b/>
          <w:i/>
          <w:lang w:val="nl-NL"/>
        </w:rPr>
      </w:pPr>
      <w:r w:rsidRPr="00DE0776">
        <w:rPr>
          <w:i/>
          <w:lang w:val="nl-NL"/>
        </w:rPr>
        <w:t xml:space="preserve">- </w:t>
      </w:r>
      <w:r w:rsidRPr="00FC383C">
        <w:rPr>
          <w:i/>
          <w:lang w:val="nl-NL"/>
        </w:rPr>
        <w:t>Budget balance revenue from export and import activities</w:t>
      </w:r>
      <w:r w:rsidRPr="00DE0776">
        <w:rPr>
          <w:i/>
          <w:lang w:val="nl-NL"/>
        </w:rPr>
        <w:t xml:space="preserve"> </w:t>
      </w:r>
      <w:r w:rsidRPr="00DE0776">
        <w:rPr>
          <w:lang w:val="nl-NL"/>
        </w:rPr>
        <w:t xml:space="preserve">in August 2024 </w:t>
      </w:r>
      <w:r>
        <w:rPr>
          <w:lang w:val="nl-NL"/>
        </w:rPr>
        <w:t>wa</w:t>
      </w:r>
      <w:r w:rsidRPr="00DE0776">
        <w:rPr>
          <w:lang w:val="nl-NL"/>
        </w:rPr>
        <w:t>s estimated at 15.0 trillion V</w:t>
      </w:r>
      <w:r>
        <w:rPr>
          <w:lang w:val="nl-NL"/>
        </w:rPr>
        <w:t xml:space="preserve">ND; accumulated revenue in the </w:t>
      </w:r>
      <w:r w:rsidRPr="00DE0776">
        <w:rPr>
          <w:lang w:val="nl-NL"/>
        </w:rPr>
        <w:t xml:space="preserve">eight months of 2024 </w:t>
      </w:r>
      <w:r>
        <w:rPr>
          <w:lang w:val="nl-NL"/>
        </w:rPr>
        <w:t>wa</w:t>
      </w:r>
      <w:r w:rsidRPr="00DE0776">
        <w:rPr>
          <w:lang w:val="nl-NL"/>
        </w:rPr>
        <w:t>s estimated at 178.7 trillion VND, equal</w:t>
      </w:r>
      <w:r>
        <w:rPr>
          <w:lang w:val="nl-NL"/>
        </w:rPr>
        <w:t>ing</w:t>
      </w:r>
      <w:r w:rsidRPr="00DE0776">
        <w:rPr>
          <w:lang w:val="nl-NL"/>
        </w:rPr>
        <w:t xml:space="preserve"> to 87.6% of the </w:t>
      </w:r>
      <w:r>
        <w:rPr>
          <w:lang w:val="nl-NL"/>
        </w:rPr>
        <w:t>yearly</w:t>
      </w:r>
      <w:r w:rsidRPr="00DE0776">
        <w:rPr>
          <w:lang w:val="nl-NL"/>
        </w:rPr>
        <w:t xml:space="preserve"> estimate and increas</w:t>
      </w:r>
      <w:r>
        <w:rPr>
          <w:lang w:val="nl-NL"/>
        </w:rPr>
        <w:t>ing</w:t>
      </w:r>
      <w:r w:rsidRPr="00DE0776">
        <w:rPr>
          <w:lang w:val="nl-NL"/>
        </w:rPr>
        <w:t xml:space="preserve"> </w:t>
      </w:r>
      <w:r>
        <w:rPr>
          <w:lang w:val="nl-NL"/>
        </w:rPr>
        <w:t>by</w:t>
      </w:r>
      <w:r w:rsidRPr="00DE0776">
        <w:rPr>
          <w:lang w:val="nl-NL"/>
        </w:rPr>
        <w:t xml:space="preserve"> 16.2% </w:t>
      </w:r>
      <w:r w:rsidRPr="00DE0776">
        <w:rPr>
          <w:lang w:val="it-IT"/>
        </w:rPr>
        <w:t>over the same period last year</w:t>
      </w:r>
      <w:r w:rsidRPr="00DE0776">
        <w:rPr>
          <w:lang w:val="nl-NL"/>
        </w:rPr>
        <w:t>.</w:t>
      </w:r>
    </w:p>
    <w:p w14:paraId="1C8839D1" w14:textId="77777777" w:rsidR="00CE6F92" w:rsidRPr="00DE0776" w:rsidRDefault="00CE6F92" w:rsidP="00CE6F92">
      <w:pPr>
        <w:spacing w:after="120" w:line="259" w:lineRule="auto"/>
        <w:ind w:firstLine="720"/>
        <w:jc w:val="both"/>
        <w:rPr>
          <w:b/>
          <w:i/>
          <w:lang w:val="nl-NL"/>
        </w:rPr>
      </w:pPr>
      <w:r w:rsidRPr="00DE0776">
        <w:rPr>
          <w:b/>
          <w:i/>
          <w:lang w:val="nl-NL"/>
        </w:rPr>
        <w:t>State budget expenditure</w:t>
      </w:r>
    </w:p>
    <w:p w14:paraId="311ED693" w14:textId="77777777" w:rsidR="00CE6F92" w:rsidRPr="00DE0776" w:rsidRDefault="00CE6F92" w:rsidP="00CE6F92">
      <w:pPr>
        <w:spacing w:after="120" w:line="259" w:lineRule="auto"/>
        <w:ind w:firstLine="720"/>
        <w:jc w:val="both"/>
        <w:rPr>
          <w:lang w:val="vi-VN"/>
        </w:rPr>
      </w:pPr>
      <w:r w:rsidRPr="00DE0776">
        <w:rPr>
          <w:spacing w:val="2"/>
          <w:lang w:val="nl-NL"/>
        </w:rPr>
        <w:t xml:space="preserve">Total state budget expenditure in August 2024 </w:t>
      </w:r>
      <w:r>
        <w:rPr>
          <w:spacing w:val="2"/>
          <w:lang w:val="nl-NL"/>
        </w:rPr>
        <w:t>wa</w:t>
      </w:r>
      <w:r w:rsidRPr="00DE0776">
        <w:rPr>
          <w:spacing w:val="2"/>
          <w:lang w:val="nl-NL"/>
        </w:rPr>
        <w:t xml:space="preserve">s estimated at 158.8 trillion VND; accumulated expenditure in the </w:t>
      </w:r>
      <w:r w:rsidRPr="00DE0776">
        <w:rPr>
          <w:lang w:val="nl-NL"/>
        </w:rPr>
        <w:t xml:space="preserve">eight </w:t>
      </w:r>
      <w:r w:rsidRPr="00DE0776">
        <w:rPr>
          <w:spacing w:val="2"/>
          <w:lang w:val="nl-NL"/>
        </w:rPr>
        <w:t xml:space="preserve">months of 2024 </w:t>
      </w:r>
      <w:r>
        <w:rPr>
          <w:spacing w:val="2"/>
          <w:lang w:val="nl-NL"/>
        </w:rPr>
        <w:t>wa</w:t>
      </w:r>
      <w:r w:rsidRPr="00DE0776">
        <w:rPr>
          <w:spacing w:val="2"/>
          <w:lang w:val="nl-NL"/>
        </w:rPr>
        <w:t xml:space="preserve">s estimated at 1,104.2 trillion VND, </w:t>
      </w:r>
      <w:r>
        <w:rPr>
          <w:spacing w:val="2"/>
          <w:lang w:val="nl-NL"/>
        </w:rPr>
        <w:t>equaling</w:t>
      </w:r>
      <w:r w:rsidRPr="00DE0776">
        <w:rPr>
          <w:spacing w:val="2"/>
          <w:lang w:val="nl-NL"/>
        </w:rPr>
        <w:t xml:space="preserve"> 52.1 </w:t>
      </w:r>
      <w:r w:rsidRPr="00DE0776">
        <w:rPr>
          <w:spacing w:val="2"/>
          <w:lang w:val="vi-VN"/>
        </w:rPr>
        <w:t xml:space="preserve">% </w:t>
      </w:r>
      <w:r w:rsidRPr="00DE0776">
        <w:rPr>
          <w:spacing w:val="2"/>
          <w:lang w:val="nl-NL"/>
        </w:rPr>
        <w:t xml:space="preserve">of the </w:t>
      </w:r>
      <w:r>
        <w:rPr>
          <w:spacing w:val="2"/>
          <w:lang w:val="nl-NL"/>
        </w:rPr>
        <w:t>yearly</w:t>
      </w:r>
      <w:r w:rsidRPr="00DE0776">
        <w:rPr>
          <w:spacing w:val="2"/>
          <w:lang w:val="nl-NL"/>
        </w:rPr>
        <w:t xml:space="preserve"> estimate and up 1.9%</w:t>
      </w:r>
      <w:r>
        <w:rPr>
          <w:spacing w:val="2"/>
          <w:lang w:val="nl-NL"/>
        </w:rPr>
        <w:t xml:space="preserve"> over the same period last year</w:t>
      </w:r>
      <w:r w:rsidRPr="00DE0776">
        <w:rPr>
          <w:spacing w:val="2"/>
          <w:lang w:val="vi-VN"/>
        </w:rPr>
        <w:t xml:space="preserve">. </w:t>
      </w:r>
      <w:r>
        <w:rPr>
          <w:spacing w:val="2"/>
          <w:lang w:val="nl-NL"/>
        </w:rPr>
        <w:t>Of which</w:t>
      </w:r>
      <w:r w:rsidRPr="00DE0776">
        <w:rPr>
          <w:spacing w:val="2"/>
          <w:lang w:val="vi-VN"/>
        </w:rPr>
        <w:t xml:space="preserve">, </w:t>
      </w:r>
      <w:r>
        <w:rPr>
          <w:lang w:val="nl-NL"/>
        </w:rPr>
        <w:t>r</w:t>
      </w:r>
      <w:r w:rsidRPr="00610E3C">
        <w:rPr>
          <w:lang w:val="nl-NL"/>
        </w:rPr>
        <w:t>ecurrent</w:t>
      </w:r>
      <w:r w:rsidRPr="00DE0776">
        <w:rPr>
          <w:spacing w:val="2"/>
          <w:lang w:val="nl-NL"/>
        </w:rPr>
        <w:t xml:space="preserve"> expenditure in </w:t>
      </w:r>
      <w:r w:rsidRPr="00DE0776">
        <w:rPr>
          <w:lang w:val="nl-NL"/>
        </w:rPr>
        <w:t xml:space="preserve">the eight </w:t>
      </w:r>
      <w:r w:rsidRPr="00DE0776">
        <w:rPr>
          <w:spacing w:val="2"/>
          <w:lang w:val="nl-NL"/>
        </w:rPr>
        <w:t xml:space="preserve">months of 2024 </w:t>
      </w:r>
      <w:r>
        <w:rPr>
          <w:spacing w:val="2"/>
          <w:lang w:val="nl-NL"/>
        </w:rPr>
        <w:t>wa</w:t>
      </w:r>
      <w:r w:rsidRPr="00DE0776">
        <w:rPr>
          <w:spacing w:val="2"/>
          <w:lang w:val="nl-NL"/>
        </w:rPr>
        <w:t xml:space="preserve">s estimated at 758.7 trillion VND, </w:t>
      </w:r>
      <w:r>
        <w:rPr>
          <w:spacing w:val="2"/>
          <w:lang w:val="nl-NL"/>
        </w:rPr>
        <w:t>equaling</w:t>
      </w:r>
      <w:r w:rsidRPr="00DE0776">
        <w:rPr>
          <w:spacing w:val="2"/>
          <w:lang w:val="nl-NL"/>
        </w:rPr>
        <w:t xml:space="preserve"> </w:t>
      </w:r>
      <w:r w:rsidRPr="00DE0776">
        <w:rPr>
          <w:spacing w:val="2"/>
          <w:lang w:val="vi-VN"/>
        </w:rPr>
        <w:t>60.2</w:t>
      </w:r>
      <w:r w:rsidRPr="00DE0776">
        <w:rPr>
          <w:spacing w:val="2"/>
          <w:lang w:val="nl-NL"/>
        </w:rPr>
        <w:t xml:space="preserve">% of the </w:t>
      </w:r>
      <w:r>
        <w:rPr>
          <w:spacing w:val="2"/>
          <w:lang w:val="nl-NL"/>
        </w:rPr>
        <w:t>yearly</w:t>
      </w:r>
      <w:r w:rsidRPr="00DE0776">
        <w:rPr>
          <w:spacing w:val="2"/>
          <w:lang w:val="nl-NL"/>
        </w:rPr>
        <w:t xml:space="preserve"> estimate and up 6.0% over the same period last year; development investment expenditure </w:t>
      </w:r>
      <w:r>
        <w:rPr>
          <w:spacing w:val="2"/>
          <w:lang w:val="nl-NL"/>
        </w:rPr>
        <w:t>wa</w:t>
      </w:r>
      <w:r w:rsidRPr="00DE0776">
        <w:rPr>
          <w:spacing w:val="2"/>
          <w:lang w:val="nl-NL"/>
        </w:rPr>
        <w:t xml:space="preserve">s estimated at </w:t>
      </w:r>
      <w:r w:rsidRPr="00DE0776">
        <w:rPr>
          <w:spacing w:val="2"/>
          <w:lang w:val="vi-VN"/>
        </w:rPr>
        <w:t xml:space="preserve">273.6 </w:t>
      </w:r>
      <w:r w:rsidRPr="00DE0776">
        <w:rPr>
          <w:spacing w:val="2"/>
          <w:lang w:val="nl-NL"/>
        </w:rPr>
        <w:t xml:space="preserve">trillion VND, </w:t>
      </w:r>
      <w:r>
        <w:rPr>
          <w:spacing w:val="2"/>
          <w:lang w:val="nl-NL"/>
        </w:rPr>
        <w:t>equaling</w:t>
      </w:r>
      <w:r w:rsidRPr="00DE0776">
        <w:rPr>
          <w:spacing w:val="2"/>
          <w:lang w:val="nl-NL"/>
        </w:rPr>
        <w:t xml:space="preserve"> </w:t>
      </w:r>
      <w:r w:rsidRPr="00DE0776">
        <w:rPr>
          <w:spacing w:val="2"/>
          <w:lang w:val="vi-VN"/>
        </w:rPr>
        <w:t xml:space="preserve">40.4 </w:t>
      </w:r>
      <w:r w:rsidRPr="00DE0776">
        <w:rPr>
          <w:spacing w:val="2"/>
          <w:lang w:val="nl-NL"/>
        </w:rPr>
        <w:t xml:space="preserve">% and down 8.9%; interest payment </w:t>
      </w:r>
      <w:r>
        <w:rPr>
          <w:spacing w:val="2"/>
          <w:lang w:val="nl-NL"/>
        </w:rPr>
        <w:t>was</w:t>
      </w:r>
      <w:r w:rsidRPr="00DE0776">
        <w:rPr>
          <w:spacing w:val="2"/>
          <w:lang w:val="nl-NL"/>
        </w:rPr>
        <w:t xml:space="preserve"> </w:t>
      </w:r>
      <w:r w:rsidRPr="00DE0776">
        <w:rPr>
          <w:spacing w:val="2"/>
          <w:lang w:val="vi-VN"/>
        </w:rPr>
        <w:t xml:space="preserve">71.1 </w:t>
      </w:r>
      <w:r w:rsidRPr="00DE0776">
        <w:rPr>
          <w:spacing w:val="2"/>
          <w:lang w:val="nl-NL"/>
        </w:rPr>
        <w:t xml:space="preserve">trillion VND, </w:t>
      </w:r>
      <w:r>
        <w:rPr>
          <w:spacing w:val="2"/>
          <w:lang w:val="nl-NL"/>
        </w:rPr>
        <w:t>equaling</w:t>
      </w:r>
      <w:r w:rsidRPr="00DE0776">
        <w:rPr>
          <w:spacing w:val="2"/>
          <w:lang w:val="nl-NL"/>
        </w:rPr>
        <w:t xml:space="preserve"> 63.7% and </w:t>
      </w:r>
      <w:r>
        <w:rPr>
          <w:spacing w:val="2"/>
          <w:lang w:val="nl-NL"/>
        </w:rPr>
        <w:t>increased</w:t>
      </w:r>
      <w:r w:rsidRPr="00DE0776">
        <w:rPr>
          <w:spacing w:val="2"/>
          <w:lang w:val="nl-NL"/>
        </w:rPr>
        <w:t xml:space="preserve"> </w:t>
      </w:r>
      <w:r>
        <w:rPr>
          <w:spacing w:val="2"/>
          <w:lang w:val="vi-VN"/>
        </w:rPr>
        <w:t>8.9</w:t>
      </w:r>
      <w:r w:rsidRPr="00DE0776">
        <w:rPr>
          <w:spacing w:val="2"/>
          <w:lang w:val="nl-NL"/>
        </w:rPr>
        <w:t>%.</w:t>
      </w:r>
    </w:p>
    <w:p w14:paraId="3AFD1B0D" w14:textId="77777777" w:rsidR="000D286F" w:rsidRPr="00BB4D40" w:rsidRDefault="000D286F" w:rsidP="000D286F">
      <w:pPr>
        <w:spacing w:beforeLines="40" w:before="96" w:afterLines="40" w:after="96" w:line="252" w:lineRule="auto"/>
        <w:ind w:firstLine="567"/>
        <w:jc w:val="both"/>
        <w:rPr>
          <w:b/>
          <w:bCs/>
          <w:lang w:val="nl-NL"/>
        </w:rPr>
      </w:pPr>
      <w:r>
        <w:rPr>
          <w:b/>
          <w:bCs/>
          <w:lang w:val="nl-NL"/>
        </w:rPr>
        <w:t>6</w:t>
      </w:r>
      <w:r w:rsidRPr="00BB4D40">
        <w:rPr>
          <w:b/>
          <w:bCs/>
          <w:lang w:val="nl-NL"/>
        </w:rPr>
        <w:t>. Trade, prices, transport and tourism</w:t>
      </w:r>
    </w:p>
    <w:p w14:paraId="1B03A77A" w14:textId="77777777" w:rsidR="000D286F" w:rsidRPr="00BB4D40" w:rsidRDefault="000D286F" w:rsidP="000D286F">
      <w:pPr>
        <w:spacing w:beforeLines="40" w:before="96" w:afterLines="40" w:after="96" w:line="252" w:lineRule="auto"/>
        <w:ind w:firstLine="567"/>
        <w:jc w:val="both"/>
        <w:rPr>
          <w:i/>
          <w:color w:val="000000" w:themeColor="text1"/>
          <w:lang w:val="it-IT"/>
        </w:rPr>
      </w:pPr>
      <w:r w:rsidRPr="00BB4D40">
        <w:rPr>
          <w:b/>
          <w:i/>
          <w:lang w:val="it-IT"/>
        </w:rPr>
        <w:t xml:space="preserve">a) </w:t>
      </w:r>
      <w:r w:rsidRPr="00BB4D40">
        <w:rPr>
          <w:b/>
          <w:i/>
        </w:rPr>
        <w:t>Retail sales of consumer goods and services</w:t>
      </w:r>
      <w:r w:rsidRPr="00BB4D40">
        <w:rPr>
          <w:i/>
          <w:color w:val="000000" w:themeColor="text1"/>
          <w:lang w:val="it-IT"/>
        </w:rPr>
        <w:t xml:space="preserve"> </w:t>
      </w:r>
    </w:p>
    <w:p w14:paraId="763CC06B" w14:textId="77777777" w:rsidR="000D286F" w:rsidRPr="00BB4D40" w:rsidRDefault="000D286F" w:rsidP="000D286F">
      <w:pPr>
        <w:spacing w:beforeLines="40" w:before="96" w:afterLines="40" w:after="96" w:line="252" w:lineRule="auto"/>
        <w:ind w:firstLine="567"/>
        <w:jc w:val="both"/>
        <w:rPr>
          <w:i/>
          <w:color w:val="000000" w:themeColor="text1"/>
          <w:lang w:val="it-IT"/>
        </w:rPr>
      </w:pPr>
      <w:r w:rsidRPr="00CE5B83">
        <w:rPr>
          <w:i/>
          <w:lang w:val="it-IT"/>
        </w:rPr>
        <w:t xml:space="preserve">The recovery of domestic consumption and production demand, along with the strong growth of tourism, has contributed positively to the growth of the trade and service industry since the beginning of the year. </w:t>
      </w:r>
      <w:r w:rsidRPr="00BB4D40">
        <w:rPr>
          <w:i/>
          <w:lang w:val="it-IT"/>
        </w:rPr>
        <w:t xml:space="preserve">The total retail sales of consumer goods and services in </w:t>
      </w:r>
      <w:r>
        <w:rPr>
          <w:i/>
          <w:lang w:val="it-IT"/>
        </w:rPr>
        <w:t>8/2024</w:t>
      </w:r>
      <w:r w:rsidRPr="00BB4D40">
        <w:rPr>
          <w:i/>
          <w:lang w:val="it-IT"/>
        </w:rPr>
        <w:t xml:space="preserve"> </w:t>
      </w:r>
      <w:r>
        <w:rPr>
          <w:rStyle w:val="rynqvb"/>
          <w:i/>
        </w:rPr>
        <w:t>in</w:t>
      </w:r>
      <w:r w:rsidRPr="00BB4D40">
        <w:rPr>
          <w:rStyle w:val="rynqvb"/>
          <w:i/>
        </w:rPr>
        <w:t xml:space="preserve">creased by </w:t>
      </w:r>
      <w:r>
        <w:rPr>
          <w:rStyle w:val="rynqvb"/>
          <w:i/>
        </w:rPr>
        <w:t>0.4</w:t>
      </w:r>
      <w:r w:rsidRPr="00BB4D40">
        <w:rPr>
          <w:rStyle w:val="rynqvb"/>
          <w:i/>
        </w:rPr>
        <w:t xml:space="preserve">% compared to the previous </w:t>
      </w:r>
      <w:r>
        <w:rPr>
          <w:rStyle w:val="rynqvb"/>
          <w:i/>
        </w:rPr>
        <w:t xml:space="preserve">and </w:t>
      </w:r>
      <w:r w:rsidRPr="00BB4D40">
        <w:rPr>
          <w:rStyle w:val="rynqvb"/>
          <w:i/>
        </w:rPr>
        <w:t xml:space="preserve">increased by </w:t>
      </w:r>
      <w:r>
        <w:rPr>
          <w:rStyle w:val="rynqvb"/>
          <w:i/>
        </w:rPr>
        <w:t>7.9</w:t>
      </w:r>
      <w:r w:rsidRPr="00BB4D40">
        <w:rPr>
          <w:rStyle w:val="rynqvb"/>
          <w:i/>
        </w:rPr>
        <w:t xml:space="preserve">% </w:t>
      </w:r>
      <w:r w:rsidRPr="00BB4D40">
        <w:rPr>
          <w:i/>
          <w:color w:val="000000" w:themeColor="text1"/>
          <w:lang w:val="it-IT"/>
        </w:rPr>
        <w:t xml:space="preserve">over the same period last year. </w:t>
      </w:r>
      <w:r w:rsidRPr="00BB4D40">
        <w:rPr>
          <w:rFonts w:ascii="Times New Roman Italic" w:eastAsiaTheme="minorHAnsi" w:hAnsi="Times New Roman Italic"/>
          <w:bCs/>
          <w:i/>
          <w:spacing w:val="-6"/>
          <w:kern w:val="2"/>
          <w:lang w:val="it-IT"/>
          <w14:ligatures w14:val="standardContextual"/>
        </w:rPr>
        <w:t>Overall</w:t>
      </w:r>
      <w:r>
        <w:rPr>
          <w:rFonts w:ascii="Times New Roman Italic" w:eastAsiaTheme="minorHAnsi" w:hAnsi="Times New Roman Italic"/>
          <w:bCs/>
          <w:i/>
          <w:spacing w:val="-6"/>
          <w:kern w:val="2"/>
          <w:lang w:val="it-IT"/>
          <w14:ligatures w14:val="standardContextual"/>
        </w:rPr>
        <w:t>,</w:t>
      </w:r>
      <w:r w:rsidRPr="00BB4D40">
        <w:rPr>
          <w:i/>
          <w:color w:val="000000" w:themeColor="text1"/>
          <w:lang w:val="it-IT"/>
        </w:rPr>
        <w:t xml:space="preserve"> </w:t>
      </w:r>
      <w:r>
        <w:rPr>
          <w:i/>
          <w:color w:val="000000" w:themeColor="text1"/>
          <w:lang w:val="it-IT"/>
        </w:rPr>
        <w:t>in eight months of 2024</w:t>
      </w:r>
      <w:r w:rsidRPr="00BB4D40">
        <w:rPr>
          <w:i/>
          <w:color w:val="000000" w:themeColor="text1"/>
          <w:lang w:val="it-IT"/>
        </w:rPr>
        <w:t>, the total retail sales of consumer goods and services was estimated to increase by 8.</w:t>
      </w:r>
      <w:r>
        <w:rPr>
          <w:i/>
          <w:color w:val="000000" w:themeColor="text1"/>
          <w:lang w:val="it-IT"/>
        </w:rPr>
        <w:t>5</w:t>
      </w:r>
      <w:r w:rsidRPr="00BB4D40">
        <w:rPr>
          <w:i/>
          <w:color w:val="000000" w:themeColor="text1"/>
          <w:lang w:val="it-IT"/>
        </w:rPr>
        <w:t>% over the same period last year,</w:t>
      </w:r>
      <w:r>
        <w:rPr>
          <w:i/>
          <w:color w:val="000000" w:themeColor="text1"/>
          <w:lang w:val="it-IT"/>
        </w:rPr>
        <w:t xml:space="preserve"> </w:t>
      </w:r>
      <w:r w:rsidRPr="00BB4D40">
        <w:rPr>
          <w:i/>
          <w:color w:val="000000" w:themeColor="text1"/>
          <w:lang w:val="it-IT"/>
        </w:rPr>
        <w:t xml:space="preserve">of which </w:t>
      </w:r>
      <w:r w:rsidRPr="00BB4D40">
        <w:rPr>
          <w:bCs/>
          <w:i/>
          <w:lang w:val="nl-NL"/>
        </w:rPr>
        <w:t xml:space="preserve">revenue </w:t>
      </w:r>
      <w:r w:rsidRPr="00BB4D40">
        <w:rPr>
          <w:bCs/>
          <w:i/>
          <w:lang w:val="nl-NL"/>
        </w:rPr>
        <w:lastRenderedPageBreak/>
        <w:t xml:space="preserve">from accommodation and food services </w:t>
      </w:r>
      <w:r w:rsidRPr="00BB4D40">
        <w:rPr>
          <w:i/>
          <w:color w:val="000000" w:themeColor="text1"/>
          <w:lang w:val="it-IT"/>
        </w:rPr>
        <w:t xml:space="preserve">increased by </w:t>
      </w:r>
      <w:r>
        <w:rPr>
          <w:i/>
          <w:color w:val="000000" w:themeColor="text1"/>
          <w:lang w:val="it-IT"/>
        </w:rPr>
        <w:t>14.3</w:t>
      </w:r>
      <w:r w:rsidRPr="00BB4D40">
        <w:rPr>
          <w:i/>
          <w:color w:val="000000" w:themeColor="text1"/>
          <w:lang w:val="it-IT"/>
        </w:rPr>
        <w:t xml:space="preserve">%, revenue from tourism up to </w:t>
      </w:r>
      <w:r>
        <w:rPr>
          <w:i/>
          <w:color w:val="000000" w:themeColor="text1"/>
          <w:lang w:val="it-IT"/>
        </w:rPr>
        <w:t>26.2</w:t>
      </w:r>
      <w:r w:rsidRPr="00BB4D40">
        <w:rPr>
          <w:i/>
          <w:color w:val="000000" w:themeColor="text1"/>
          <w:lang w:val="it-IT"/>
        </w:rPr>
        <w:t>%.</w:t>
      </w:r>
    </w:p>
    <w:p w14:paraId="13AEC58E" w14:textId="77777777" w:rsidR="000D286F" w:rsidRPr="00BB4D40" w:rsidRDefault="000D286F" w:rsidP="000D286F">
      <w:pPr>
        <w:spacing w:beforeLines="40" w:before="96" w:afterLines="40" w:after="96" w:line="252" w:lineRule="auto"/>
        <w:ind w:firstLine="567"/>
        <w:jc w:val="both"/>
        <w:rPr>
          <w:color w:val="000000" w:themeColor="text1"/>
          <w:lang w:val="it-IT"/>
        </w:rPr>
      </w:pPr>
      <w:r w:rsidRPr="00BB4D40">
        <w:rPr>
          <w:color w:val="000000" w:themeColor="text1"/>
          <w:lang w:val="it-IT"/>
        </w:rPr>
        <w:t>Total retail sales of consumer goods and services</w:t>
      </w:r>
      <w:r w:rsidRPr="00BB4D40">
        <w:t xml:space="preserve"> at current prices</w:t>
      </w:r>
      <w:r w:rsidRPr="00BB4D40">
        <w:rPr>
          <w:color w:val="000000" w:themeColor="text1"/>
          <w:lang w:val="it-IT"/>
        </w:rPr>
        <w:t xml:space="preserve"> in </w:t>
      </w:r>
      <w:r>
        <w:rPr>
          <w:color w:val="000000" w:themeColor="text1"/>
          <w:lang w:val="it-IT"/>
        </w:rPr>
        <w:t>8/2024</w:t>
      </w:r>
      <w:r w:rsidRPr="00BB4D40">
        <w:rPr>
          <w:color w:val="000000" w:themeColor="text1"/>
          <w:lang w:val="it-IT"/>
        </w:rPr>
        <w:t xml:space="preserve"> was estimated at </w:t>
      </w:r>
      <w:r>
        <w:rPr>
          <w:bCs/>
          <w:spacing w:val="-2"/>
          <w:lang w:val="it-IT"/>
        </w:rPr>
        <w:t>526.6</w:t>
      </w:r>
      <w:r w:rsidRPr="00BB4D40">
        <w:rPr>
          <w:bCs/>
          <w:spacing w:val="-2"/>
          <w:lang w:val="it-IT"/>
        </w:rPr>
        <w:t xml:space="preserve"> </w:t>
      </w:r>
      <w:r w:rsidRPr="00BB4D40">
        <w:rPr>
          <w:color w:val="000000" w:themeColor="text1"/>
          <w:lang w:val="it-IT"/>
        </w:rPr>
        <w:t xml:space="preserve">trillion VND, up </w:t>
      </w:r>
      <w:r>
        <w:rPr>
          <w:color w:val="000000" w:themeColor="text1"/>
          <w:lang w:val="it-IT"/>
        </w:rPr>
        <w:t>7.9</w:t>
      </w:r>
      <w:r w:rsidRPr="00BB4D40">
        <w:rPr>
          <w:color w:val="000000" w:themeColor="text1"/>
          <w:lang w:val="it-IT"/>
        </w:rPr>
        <w:t xml:space="preserve">% over the same period last year, </w:t>
      </w:r>
      <w:r>
        <w:rPr>
          <w:color w:val="000000" w:themeColor="text1"/>
          <w:lang w:val="it-IT"/>
        </w:rPr>
        <w:t>of</w:t>
      </w:r>
      <w:r w:rsidRPr="00BB4D40">
        <w:rPr>
          <w:color w:val="000000" w:themeColor="text1"/>
          <w:lang w:val="it-IT"/>
        </w:rPr>
        <w:t xml:space="preserve"> which, the group of food and foodstuffs increased by </w:t>
      </w:r>
      <w:r>
        <w:rPr>
          <w:color w:val="000000" w:themeColor="text1"/>
          <w:lang w:val="it-IT"/>
        </w:rPr>
        <w:t>8.2</w:t>
      </w:r>
      <w:r w:rsidRPr="00BB4D40">
        <w:rPr>
          <w:color w:val="000000" w:themeColor="text1"/>
          <w:lang w:val="it-IT"/>
        </w:rPr>
        <w:t xml:space="preserve">%; household appliances, tools and equipment increased by </w:t>
      </w:r>
      <w:r>
        <w:rPr>
          <w:color w:val="000000" w:themeColor="text1"/>
          <w:lang w:val="it-IT"/>
        </w:rPr>
        <w:t>6.5</w:t>
      </w:r>
      <w:r w:rsidRPr="00BB4D40">
        <w:rPr>
          <w:color w:val="000000" w:themeColor="text1"/>
          <w:lang w:val="it-IT"/>
        </w:rPr>
        <w:t xml:space="preserve">%; garment increased by </w:t>
      </w:r>
      <w:r>
        <w:rPr>
          <w:color w:val="000000" w:themeColor="text1"/>
          <w:lang w:val="it-IT"/>
        </w:rPr>
        <w:t>8.2</w:t>
      </w:r>
      <w:r w:rsidRPr="00BB4D40">
        <w:rPr>
          <w:color w:val="000000" w:themeColor="text1"/>
          <w:lang w:val="it-IT"/>
        </w:rPr>
        <w:t xml:space="preserve">%; accommodation and food services increased by </w:t>
      </w:r>
      <w:r>
        <w:rPr>
          <w:color w:val="000000" w:themeColor="text1"/>
          <w:lang w:val="it-IT"/>
        </w:rPr>
        <w:t>9.7</w:t>
      </w:r>
      <w:r w:rsidRPr="00BB4D40">
        <w:rPr>
          <w:color w:val="000000" w:themeColor="text1"/>
          <w:lang w:val="it-IT"/>
        </w:rPr>
        <w:t xml:space="preserve">%; traveling service increased by </w:t>
      </w:r>
      <w:r>
        <w:rPr>
          <w:color w:val="000000" w:themeColor="text1"/>
          <w:lang w:val="it-IT"/>
        </w:rPr>
        <w:t>7.1</w:t>
      </w:r>
      <w:r w:rsidRPr="00BB4D40">
        <w:rPr>
          <w:color w:val="000000" w:themeColor="text1"/>
          <w:lang w:val="it-IT"/>
        </w:rPr>
        <w:t>%.</w:t>
      </w:r>
    </w:p>
    <w:p w14:paraId="32DD95A7" w14:textId="77777777" w:rsidR="000D286F" w:rsidRPr="00BB4D40" w:rsidRDefault="000D286F" w:rsidP="000D286F">
      <w:pPr>
        <w:spacing w:beforeLines="40" w:before="96" w:afterLines="40" w:after="96" w:line="264" w:lineRule="auto"/>
        <w:jc w:val="center"/>
        <w:rPr>
          <w:rFonts w:ascii="Arial" w:hAnsi="Arial" w:cs="Arial"/>
          <w:b/>
          <w:bCs/>
          <w:sz w:val="24"/>
          <w:szCs w:val="24"/>
          <w:lang w:val="it-IT"/>
        </w:rPr>
      </w:pPr>
      <w:r w:rsidRPr="00BB4D40">
        <w:rPr>
          <w:rFonts w:ascii="Arial" w:hAnsi="Arial" w:cs="Arial"/>
          <w:b/>
          <w:sz w:val="24"/>
          <w:szCs w:val="24"/>
          <w:lang w:val="pl-PL"/>
        </w:rPr>
        <w:t xml:space="preserve">Table 3. </w:t>
      </w:r>
      <w:r w:rsidRPr="00BB4D40">
        <w:rPr>
          <w:rFonts w:ascii="Arial" w:hAnsi="Arial" w:cs="Arial"/>
          <w:b/>
          <w:bCs/>
          <w:sz w:val="24"/>
          <w:szCs w:val="24"/>
          <w:lang w:val="it-IT"/>
        </w:rPr>
        <w:t xml:space="preserve">Retail sales of consumer goods and services </w:t>
      </w:r>
      <w:r w:rsidRPr="00BB4D40">
        <w:rPr>
          <w:b/>
        </w:rPr>
        <w:t>at current prices</w:t>
      </w:r>
    </w:p>
    <w:p w14:paraId="79C302ED" w14:textId="77777777" w:rsidR="000D286F" w:rsidRPr="00BB4D40" w:rsidRDefault="000D286F" w:rsidP="000D286F">
      <w:pPr>
        <w:spacing w:beforeLines="40" w:before="96" w:afterLines="40" w:after="96" w:line="264" w:lineRule="auto"/>
        <w:ind w:firstLine="567"/>
        <w:jc w:val="center"/>
        <w:rPr>
          <w:rFonts w:ascii="Arial" w:hAnsi="Arial" w:cs="Arial"/>
          <w:b/>
          <w:bCs/>
          <w:sz w:val="2"/>
          <w:szCs w:val="20"/>
          <w:lang w:val="it-IT"/>
        </w:rPr>
      </w:pPr>
    </w:p>
    <w:p w14:paraId="49544771" w14:textId="77777777" w:rsidR="000D286F" w:rsidRPr="00BB4D40" w:rsidRDefault="000D286F" w:rsidP="000D286F">
      <w:pPr>
        <w:tabs>
          <w:tab w:val="left" w:pos="2835"/>
        </w:tabs>
        <w:spacing w:beforeLines="40" w:before="96" w:afterLines="40" w:after="96" w:line="264" w:lineRule="auto"/>
        <w:ind w:firstLine="567"/>
        <w:jc w:val="right"/>
        <w:rPr>
          <w:rFonts w:ascii="Arial" w:hAnsi="Arial" w:cs="Arial"/>
          <w:b/>
          <w:bCs/>
          <w:i/>
          <w:sz w:val="12"/>
          <w:szCs w:val="20"/>
        </w:rPr>
      </w:pPr>
      <w:r w:rsidRPr="00BB4D40">
        <w:rPr>
          <w:rFonts w:ascii="Arial" w:hAnsi="Arial" w:cs="Arial"/>
          <w:b/>
          <w:bCs/>
          <w:i/>
          <w:sz w:val="20"/>
          <w:szCs w:val="20"/>
        </w:rPr>
        <w:t>Trillion VND</w:t>
      </w:r>
    </w:p>
    <w:tbl>
      <w:tblPr>
        <w:tblW w:w="9009" w:type="dxa"/>
        <w:jc w:val="center"/>
        <w:tblLayout w:type="fixed"/>
        <w:tblLook w:val="04A0" w:firstRow="1" w:lastRow="0" w:firstColumn="1" w:lastColumn="0" w:noHBand="0" w:noVBand="1"/>
      </w:tblPr>
      <w:tblGrid>
        <w:gridCol w:w="2949"/>
        <w:gridCol w:w="1402"/>
        <w:gridCol w:w="1720"/>
        <w:gridCol w:w="1486"/>
        <w:gridCol w:w="1452"/>
      </w:tblGrid>
      <w:tr w:rsidR="000D286F" w:rsidRPr="00BB4D40" w14:paraId="1920357F" w14:textId="77777777" w:rsidTr="00E445BD">
        <w:trPr>
          <w:cantSplit/>
          <w:trHeight w:val="229"/>
          <w:jc w:val="center"/>
        </w:trPr>
        <w:tc>
          <w:tcPr>
            <w:tcW w:w="2949" w:type="dxa"/>
            <w:tcBorders>
              <w:top w:val="single" w:sz="8" w:space="0" w:color="auto"/>
              <w:left w:val="nil"/>
              <w:bottom w:val="nil"/>
              <w:right w:val="nil"/>
            </w:tcBorders>
            <w:vAlign w:val="center"/>
            <w:hideMark/>
          </w:tcPr>
          <w:p w14:paraId="414591F1" w14:textId="77777777" w:rsidR="000D286F" w:rsidRPr="00BB4D40" w:rsidRDefault="000D286F" w:rsidP="00E445BD">
            <w:pPr>
              <w:spacing w:before="20" w:after="20" w:line="276" w:lineRule="auto"/>
              <w:jc w:val="both"/>
              <w:rPr>
                <w:rFonts w:ascii="Arial" w:hAnsi="Arial" w:cs="Arial"/>
                <w:sz w:val="20"/>
                <w:szCs w:val="20"/>
              </w:rPr>
            </w:pPr>
            <w:r w:rsidRPr="00BB4D40">
              <w:rPr>
                <w:rFonts w:ascii="Arial" w:hAnsi="Arial" w:cs="Arial"/>
                <w:bCs/>
                <w:sz w:val="20"/>
                <w:szCs w:val="20"/>
              </w:rPr>
              <w:t> </w:t>
            </w:r>
          </w:p>
        </w:tc>
        <w:tc>
          <w:tcPr>
            <w:tcW w:w="1402" w:type="dxa"/>
            <w:vMerge w:val="restart"/>
            <w:tcBorders>
              <w:top w:val="single" w:sz="4" w:space="0" w:color="auto"/>
              <w:left w:val="nil"/>
              <w:bottom w:val="single" w:sz="4" w:space="0" w:color="auto"/>
              <w:right w:val="nil"/>
            </w:tcBorders>
            <w:vAlign w:val="center"/>
            <w:hideMark/>
          </w:tcPr>
          <w:p w14:paraId="24FCA6DD" w14:textId="77777777" w:rsidR="000D286F" w:rsidRPr="00BB4D40" w:rsidRDefault="000D286F" w:rsidP="00E445BD">
            <w:pPr>
              <w:spacing w:before="60" w:after="60" w:line="276" w:lineRule="auto"/>
              <w:jc w:val="center"/>
              <w:rPr>
                <w:rFonts w:ascii="Arial" w:hAnsi="Arial" w:cs="Arial"/>
                <w:bCs/>
                <w:sz w:val="20"/>
                <w:szCs w:val="20"/>
              </w:rPr>
            </w:pPr>
            <w:r w:rsidRPr="00BB4D40">
              <w:rPr>
                <w:rFonts w:ascii="Arial" w:hAnsi="Arial" w:cs="Arial"/>
                <w:bCs/>
                <w:sz w:val="20"/>
                <w:szCs w:val="20"/>
              </w:rPr>
              <w:t xml:space="preserve">Estimate </w:t>
            </w:r>
          </w:p>
          <w:p w14:paraId="0B9A3DBC" w14:textId="77777777" w:rsidR="000D286F" w:rsidRPr="00BB4D40" w:rsidRDefault="000D286F" w:rsidP="00E445BD">
            <w:pPr>
              <w:spacing w:before="60" w:after="60" w:line="276" w:lineRule="auto"/>
              <w:jc w:val="center"/>
              <w:rPr>
                <w:rFonts w:ascii="Arial" w:hAnsi="Arial" w:cs="Arial"/>
                <w:bCs/>
                <w:sz w:val="20"/>
                <w:szCs w:val="20"/>
              </w:rPr>
            </w:pPr>
            <w:r>
              <w:rPr>
                <w:rFonts w:ascii="Arial" w:hAnsi="Arial" w:cs="Arial"/>
                <w:bCs/>
                <w:sz w:val="20"/>
                <w:szCs w:val="20"/>
              </w:rPr>
              <w:t>August</w:t>
            </w:r>
          </w:p>
          <w:p w14:paraId="373F19C8" w14:textId="77777777" w:rsidR="000D286F" w:rsidRPr="00BB4D40" w:rsidRDefault="000D286F" w:rsidP="00E445BD">
            <w:pPr>
              <w:spacing w:before="20" w:after="20" w:line="276" w:lineRule="auto"/>
              <w:jc w:val="center"/>
              <w:rPr>
                <w:rFonts w:ascii="Arial" w:hAnsi="Arial" w:cs="Arial"/>
                <w:sz w:val="20"/>
                <w:szCs w:val="20"/>
              </w:rPr>
            </w:pPr>
            <w:r w:rsidRPr="00BB4D40">
              <w:rPr>
                <w:rFonts w:ascii="Arial" w:hAnsi="Arial" w:cs="Arial"/>
                <w:bCs/>
                <w:sz w:val="20"/>
                <w:szCs w:val="20"/>
              </w:rPr>
              <w:t>2024</w:t>
            </w:r>
          </w:p>
        </w:tc>
        <w:tc>
          <w:tcPr>
            <w:tcW w:w="1720" w:type="dxa"/>
            <w:vMerge w:val="restart"/>
            <w:tcBorders>
              <w:top w:val="single" w:sz="4" w:space="0" w:color="auto"/>
              <w:left w:val="nil"/>
              <w:bottom w:val="single" w:sz="4" w:space="0" w:color="auto"/>
              <w:right w:val="nil"/>
            </w:tcBorders>
            <w:vAlign w:val="center"/>
            <w:hideMark/>
          </w:tcPr>
          <w:p w14:paraId="0ACCE840" w14:textId="77777777" w:rsidR="000D286F" w:rsidRPr="00BB4D40" w:rsidRDefault="000D286F" w:rsidP="00E445BD">
            <w:pPr>
              <w:spacing w:before="60" w:after="60" w:line="276" w:lineRule="auto"/>
              <w:jc w:val="center"/>
              <w:rPr>
                <w:rFonts w:ascii="Arial" w:hAnsi="Arial" w:cs="Arial"/>
                <w:sz w:val="20"/>
                <w:szCs w:val="20"/>
                <w:lang w:val="pt-BR"/>
              </w:rPr>
            </w:pPr>
            <w:r w:rsidRPr="00BB4D40">
              <w:rPr>
                <w:rFonts w:ascii="Arial" w:hAnsi="Arial" w:cs="Arial"/>
                <w:bCs/>
                <w:sz w:val="20"/>
                <w:szCs w:val="20"/>
              </w:rPr>
              <w:t xml:space="preserve">Estimate </w:t>
            </w:r>
            <w:r>
              <w:rPr>
                <w:rFonts w:ascii="Arial" w:hAnsi="Arial" w:cs="Arial"/>
                <w:bCs/>
                <w:sz w:val="20"/>
                <w:szCs w:val="20"/>
              </w:rPr>
              <w:br/>
              <w:t xml:space="preserve">8 months </w:t>
            </w:r>
            <w:r w:rsidRPr="00BB4D40">
              <w:rPr>
                <w:rFonts w:ascii="Arial" w:hAnsi="Arial" w:cs="Arial"/>
                <w:bCs/>
                <w:sz w:val="20"/>
                <w:szCs w:val="20"/>
              </w:rPr>
              <w:br/>
              <w:t>of 2024</w:t>
            </w:r>
          </w:p>
        </w:tc>
        <w:tc>
          <w:tcPr>
            <w:tcW w:w="2938" w:type="dxa"/>
            <w:gridSpan w:val="2"/>
            <w:vMerge w:val="restart"/>
            <w:tcBorders>
              <w:top w:val="single" w:sz="4" w:space="0" w:color="auto"/>
              <w:left w:val="nil"/>
              <w:bottom w:val="single" w:sz="4" w:space="0" w:color="auto"/>
              <w:right w:val="nil"/>
            </w:tcBorders>
            <w:vAlign w:val="center"/>
            <w:hideMark/>
          </w:tcPr>
          <w:p w14:paraId="71F68383" w14:textId="77777777" w:rsidR="000D286F" w:rsidRPr="00BB4D40" w:rsidRDefault="000D286F" w:rsidP="00E445BD">
            <w:pPr>
              <w:spacing w:before="20" w:after="20" w:line="276" w:lineRule="auto"/>
              <w:jc w:val="center"/>
              <w:rPr>
                <w:rFonts w:ascii="Arial" w:hAnsi="Arial" w:cs="Arial"/>
                <w:sz w:val="20"/>
                <w:szCs w:val="20"/>
                <w:lang w:val="pt-BR"/>
              </w:rPr>
            </w:pPr>
            <w:r w:rsidRPr="00BB4D40">
              <w:rPr>
                <w:rFonts w:ascii="Arial" w:hAnsi="Arial" w:cs="Arial"/>
                <w:bCs/>
                <w:sz w:val="20"/>
                <w:szCs w:val="20"/>
              </w:rPr>
              <w:t>G</w:t>
            </w:r>
            <w:r w:rsidRPr="00BB4D40">
              <w:rPr>
                <w:rFonts w:ascii="Arial" w:hAnsi="Arial" w:cs="Arial"/>
                <w:bCs/>
                <w:sz w:val="20"/>
                <w:szCs w:val="20"/>
                <w:lang w:val="vi-VN"/>
              </w:rPr>
              <w:t>rowth rate</w:t>
            </w:r>
            <w:r w:rsidRPr="00BB4D40">
              <w:rPr>
                <w:rFonts w:ascii="Arial" w:hAnsi="Arial" w:cs="Arial"/>
                <w:bCs/>
                <w:sz w:val="20"/>
                <w:szCs w:val="20"/>
              </w:rPr>
              <w:t xml:space="preserve"> compared to the same period last year (%)</w:t>
            </w:r>
          </w:p>
        </w:tc>
      </w:tr>
      <w:tr w:rsidR="000D286F" w:rsidRPr="00BB4D40" w14:paraId="03ECF46E" w14:textId="77777777" w:rsidTr="00E445BD">
        <w:trPr>
          <w:cantSplit/>
          <w:trHeight w:val="193"/>
          <w:jc w:val="center"/>
        </w:trPr>
        <w:tc>
          <w:tcPr>
            <w:tcW w:w="2949" w:type="dxa"/>
            <w:vAlign w:val="center"/>
            <w:hideMark/>
          </w:tcPr>
          <w:p w14:paraId="03B11B30" w14:textId="77777777" w:rsidR="000D286F" w:rsidRPr="00BB4D40" w:rsidRDefault="000D286F" w:rsidP="00E445BD">
            <w:pPr>
              <w:rPr>
                <w:rFonts w:ascii="Arial" w:hAnsi="Arial" w:cs="Arial"/>
                <w:sz w:val="20"/>
                <w:szCs w:val="20"/>
                <w:lang w:val="pt-BR"/>
              </w:rPr>
            </w:pPr>
          </w:p>
        </w:tc>
        <w:tc>
          <w:tcPr>
            <w:tcW w:w="1402" w:type="dxa"/>
            <w:vMerge/>
            <w:tcBorders>
              <w:top w:val="single" w:sz="4" w:space="0" w:color="auto"/>
              <w:left w:val="nil"/>
              <w:bottom w:val="single" w:sz="4" w:space="0" w:color="auto"/>
              <w:right w:val="nil"/>
            </w:tcBorders>
            <w:vAlign w:val="center"/>
            <w:hideMark/>
          </w:tcPr>
          <w:p w14:paraId="3C6CAFF1" w14:textId="77777777" w:rsidR="000D286F" w:rsidRPr="00BB4D40" w:rsidRDefault="000D286F" w:rsidP="00E445BD">
            <w:pPr>
              <w:spacing w:line="256" w:lineRule="auto"/>
              <w:rPr>
                <w:rFonts w:ascii="Arial" w:hAnsi="Arial" w:cs="Arial"/>
                <w:sz w:val="20"/>
                <w:szCs w:val="20"/>
              </w:rPr>
            </w:pPr>
          </w:p>
        </w:tc>
        <w:tc>
          <w:tcPr>
            <w:tcW w:w="1720" w:type="dxa"/>
            <w:vMerge/>
            <w:tcBorders>
              <w:top w:val="single" w:sz="4" w:space="0" w:color="auto"/>
              <w:left w:val="nil"/>
              <w:bottom w:val="single" w:sz="4" w:space="0" w:color="auto"/>
              <w:right w:val="nil"/>
            </w:tcBorders>
            <w:vAlign w:val="center"/>
            <w:hideMark/>
          </w:tcPr>
          <w:p w14:paraId="30A69089" w14:textId="77777777" w:rsidR="000D286F" w:rsidRPr="00BB4D40" w:rsidRDefault="000D286F" w:rsidP="00E445BD">
            <w:pPr>
              <w:spacing w:line="256" w:lineRule="auto"/>
              <w:rPr>
                <w:rFonts w:ascii="Arial" w:hAnsi="Arial" w:cs="Arial"/>
                <w:sz w:val="20"/>
                <w:szCs w:val="20"/>
                <w:lang w:val="pt-BR"/>
              </w:rPr>
            </w:pPr>
          </w:p>
        </w:tc>
        <w:tc>
          <w:tcPr>
            <w:tcW w:w="2938" w:type="dxa"/>
            <w:gridSpan w:val="2"/>
            <w:vMerge/>
            <w:tcBorders>
              <w:top w:val="single" w:sz="4" w:space="0" w:color="auto"/>
              <w:left w:val="nil"/>
              <w:bottom w:val="single" w:sz="4" w:space="0" w:color="auto"/>
              <w:right w:val="nil"/>
            </w:tcBorders>
            <w:vAlign w:val="center"/>
            <w:hideMark/>
          </w:tcPr>
          <w:p w14:paraId="0103A566" w14:textId="77777777" w:rsidR="000D286F" w:rsidRPr="00BB4D40" w:rsidRDefault="000D286F" w:rsidP="00E445BD">
            <w:pPr>
              <w:spacing w:line="256" w:lineRule="auto"/>
              <w:rPr>
                <w:rFonts w:ascii="Arial" w:hAnsi="Arial" w:cs="Arial"/>
                <w:sz w:val="20"/>
                <w:szCs w:val="20"/>
                <w:lang w:val="pt-BR"/>
              </w:rPr>
            </w:pPr>
          </w:p>
        </w:tc>
      </w:tr>
      <w:tr w:rsidR="000D286F" w:rsidRPr="00BB4D40" w14:paraId="11352FF7" w14:textId="77777777" w:rsidTr="00E445BD">
        <w:trPr>
          <w:cantSplit/>
          <w:trHeight w:val="106"/>
          <w:jc w:val="center"/>
        </w:trPr>
        <w:tc>
          <w:tcPr>
            <w:tcW w:w="2949" w:type="dxa"/>
            <w:vAlign w:val="center"/>
            <w:hideMark/>
          </w:tcPr>
          <w:p w14:paraId="3469C02F" w14:textId="77777777" w:rsidR="000D286F" w:rsidRPr="00BB4D40" w:rsidRDefault="000D286F" w:rsidP="00E445BD">
            <w:pPr>
              <w:spacing w:line="256" w:lineRule="auto"/>
              <w:rPr>
                <w:rFonts w:asciiTheme="minorHAnsi" w:eastAsiaTheme="minorHAnsi" w:hAnsiTheme="minorHAnsi" w:cstheme="minorBidi"/>
                <w:sz w:val="20"/>
                <w:szCs w:val="20"/>
              </w:rPr>
            </w:pPr>
          </w:p>
        </w:tc>
        <w:tc>
          <w:tcPr>
            <w:tcW w:w="1402" w:type="dxa"/>
            <w:vMerge/>
            <w:tcBorders>
              <w:top w:val="single" w:sz="4" w:space="0" w:color="auto"/>
              <w:left w:val="nil"/>
              <w:bottom w:val="single" w:sz="4" w:space="0" w:color="auto"/>
              <w:right w:val="nil"/>
            </w:tcBorders>
            <w:vAlign w:val="center"/>
            <w:hideMark/>
          </w:tcPr>
          <w:p w14:paraId="57FE8E17" w14:textId="77777777" w:rsidR="000D286F" w:rsidRPr="00BB4D40" w:rsidRDefault="000D286F" w:rsidP="00E445BD">
            <w:pPr>
              <w:spacing w:line="256" w:lineRule="auto"/>
              <w:rPr>
                <w:rFonts w:ascii="Arial" w:hAnsi="Arial" w:cs="Arial"/>
                <w:sz w:val="20"/>
                <w:szCs w:val="20"/>
              </w:rPr>
            </w:pPr>
          </w:p>
        </w:tc>
        <w:tc>
          <w:tcPr>
            <w:tcW w:w="1720" w:type="dxa"/>
            <w:vMerge/>
            <w:tcBorders>
              <w:top w:val="single" w:sz="4" w:space="0" w:color="auto"/>
              <w:left w:val="nil"/>
              <w:bottom w:val="single" w:sz="4" w:space="0" w:color="auto"/>
              <w:right w:val="nil"/>
            </w:tcBorders>
            <w:vAlign w:val="center"/>
            <w:hideMark/>
          </w:tcPr>
          <w:p w14:paraId="5B9E000D" w14:textId="77777777" w:rsidR="000D286F" w:rsidRPr="00BB4D40" w:rsidRDefault="000D286F" w:rsidP="00E445BD">
            <w:pPr>
              <w:spacing w:line="256" w:lineRule="auto"/>
              <w:rPr>
                <w:rFonts w:ascii="Arial" w:hAnsi="Arial" w:cs="Arial"/>
                <w:sz w:val="20"/>
                <w:szCs w:val="20"/>
                <w:lang w:val="pt-BR"/>
              </w:rPr>
            </w:pPr>
          </w:p>
        </w:tc>
        <w:tc>
          <w:tcPr>
            <w:tcW w:w="1486" w:type="dxa"/>
            <w:vMerge w:val="restart"/>
            <w:tcBorders>
              <w:top w:val="nil"/>
              <w:left w:val="nil"/>
              <w:bottom w:val="single" w:sz="4" w:space="0" w:color="auto"/>
              <w:right w:val="nil"/>
            </w:tcBorders>
            <w:vAlign w:val="center"/>
            <w:hideMark/>
          </w:tcPr>
          <w:p w14:paraId="5774E643" w14:textId="77777777" w:rsidR="000D286F" w:rsidRPr="00BB4D40" w:rsidRDefault="000D286F" w:rsidP="00E445BD">
            <w:pPr>
              <w:spacing w:before="60" w:after="60" w:line="276" w:lineRule="auto"/>
              <w:jc w:val="center"/>
              <w:rPr>
                <w:rFonts w:ascii="Arial" w:hAnsi="Arial" w:cs="Arial"/>
                <w:bCs/>
                <w:sz w:val="20"/>
                <w:szCs w:val="20"/>
              </w:rPr>
            </w:pPr>
            <w:r>
              <w:rPr>
                <w:rFonts w:ascii="Arial" w:hAnsi="Arial" w:cs="Arial"/>
                <w:bCs/>
                <w:sz w:val="20"/>
                <w:szCs w:val="20"/>
              </w:rPr>
              <w:t>August</w:t>
            </w:r>
          </w:p>
          <w:p w14:paraId="3AB275A0" w14:textId="77777777" w:rsidR="000D286F" w:rsidRPr="00BB4D40" w:rsidRDefault="000D286F" w:rsidP="00E445BD">
            <w:pPr>
              <w:spacing w:before="60" w:after="60" w:line="276" w:lineRule="auto"/>
              <w:jc w:val="center"/>
              <w:rPr>
                <w:rFonts w:ascii="Arial" w:hAnsi="Arial" w:cs="Arial"/>
                <w:sz w:val="20"/>
                <w:szCs w:val="20"/>
              </w:rPr>
            </w:pPr>
            <w:r w:rsidRPr="00BB4D40">
              <w:rPr>
                <w:rFonts w:ascii="Arial" w:hAnsi="Arial" w:cs="Arial"/>
                <w:bCs/>
                <w:sz w:val="20"/>
                <w:szCs w:val="20"/>
              </w:rPr>
              <w:t>in 2024</w:t>
            </w:r>
          </w:p>
        </w:tc>
        <w:tc>
          <w:tcPr>
            <w:tcW w:w="1452" w:type="dxa"/>
            <w:vMerge w:val="restart"/>
            <w:tcBorders>
              <w:top w:val="nil"/>
              <w:left w:val="nil"/>
              <w:bottom w:val="single" w:sz="4" w:space="0" w:color="auto"/>
              <w:right w:val="nil"/>
            </w:tcBorders>
            <w:vAlign w:val="center"/>
            <w:hideMark/>
          </w:tcPr>
          <w:p w14:paraId="6B575A6E" w14:textId="77777777" w:rsidR="000D286F" w:rsidRPr="00BB4D40" w:rsidRDefault="000D286F" w:rsidP="00E445BD">
            <w:pPr>
              <w:spacing w:before="60" w:after="60" w:line="276" w:lineRule="auto"/>
              <w:jc w:val="center"/>
              <w:rPr>
                <w:rFonts w:ascii="Arial" w:hAnsi="Arial" w:cs="Arial"/>
                <w:sz w:val="20"/>
                <w:szCs w:val="20"/>
              </w:rPr>
            </w:pPr>
            <w:r>
              <w:rPr>
                <w:rFonts w:ascii="Arial" w:hAnsi="Arial" w:cs="Arial"/>
                <w:bCs/>
                <w:sz w:val="20"/>
                <w:szCs w:val="20"/>
              </w:rPr>
              <w:t>7</w:t>
            </w:r>
            <w:r w:rsidRPr="00BB4D40">
              <w:rPr>
                <w:rFonts w:ascii="Arial" w:hAnsi="Arial" w:cs="Arial"/>
                <w:bCs/>
                <w:sz w:val="20"/>
                <w:szCs w:val="20"/>
              </w:rPr>
              <w:t xml:space="preserve"> months</w:t>
            </w:r>
            <w:r w:rsidRPr="00BB4D40">
              <w:rPr>
                <w:rFonts w:ascii="Arial" w:hAnsi="Arial" w:cs="Arial"/>
                <w:bCs/>
                <w:sz w:val="20"/>
                <w:szCs w:val="20"/>
              </w:rPr>
              <w:br/>
              <w:t>of 2024</w:t>
            </w:r>
          </w:p>
        </w:tc>
      </w:tr>
      <w:tr w:rsidR="000D286F" w:rsidRPr="00BB4D40" w14:paraId="55B0F109" w14:textId="77777777" w:rsidTr="00E445BD">
        <w:trPr>
          <w:cantSplit/>
          <w:trHeight w:val="454"/>
          <w:jc w:val="center"/>
        </w:trPr>
        <w:tc>
          <w:tcPr>
            <w:tcW w:w="2949" w:type="dxa"/>
            <w:vAlign w:val="center"/>
            <w:hideMark/>
          </w:tcPr>
          <w:p w14:paraId="407DCFE7" w14:textId="77777777" w:rsidR="000D286F" w:rsidRPr="00BB4D40" w:rsidRDefault="000D286F" w:rsidP="00E445BD">
            <w:pPr>
              <w:rPr>
                <w:rFonts w:ascii="Arial" w:hAnsi="Arial" w:cs="Arial"/>
                <w:sz w:val="20"/>
                <w:szCs w:val="20"/>
              </w:rPr>
            </w:pPr>
          </w:p>
        </w:tc>
        <w:tc>
          <w:tcPr>
            <w:tcW w:w="1402" w:type="dxa"/>
            <w:vMerge/>
            <w:tcBorders>
              <w:top w:val="single" w:sz="4" w:space="0" w:color="auto"/>
              <w:left w:val="nil"/>
              <w:bottom w:val="single" w:sz="4" w:space="0" w:color="auto"/>
              <w:right w:val="nil"/>
            </w:tcBorders>
            <w:vAlign w:val="center"/>
            <w:hideMark/>
          </w:tcPr>
          <w:p w14:paraId="359D9B19" w14:textId="77777777" w:rsidR="000D286F" w:rsidRPr="00BB4D40" w:rsidRDefault="000D286F" w:rsidP="00E445BD">
            <w:pPr>
              <w:spacing w:line="256" w:lineRule="auto"/>
              <w:rPr>
                <w:rFonts w:ascii="Arial" w:hAnsi="Arial" w:cs="Arial"/>
                <w:sz w:val="20"/>
                <w:szCs w:val="20"/>
              </w:rPr>
            </w:pPr>
          </w:p>
        </w:tc>
        <w:tc>
          <w:tcPr>
            <w:tcW w:w="1720" w:type="dxa"/>
            <w:vMerge/>
            <w:tcBorders>
              <w:top w:val="single" w:sz="4" w:space="0" w:color="auto"/>
              <w:left w:val="nil"/>
              <w:bottom w:val="single" w:sz="4" w:space="0" w:color="auto"/>
              <w:right w:val="nil"/>
            </w:tcBorders>
            <w:vAlign w:val="center"/>
            <w:hideMark/>
          </w:tcPr>
          <w:p w14:paraId="7A53E12D" w14:textId="77777777" w:rsidR="000D286F" w:rsidRPr="00BB4D40" w:rsidRDefault="000D286F" w:rsidP="00E445BD">
            <w:pPr>
              <w:spacing w:line="256" w:lineRule="auto"/>
              <w:rPr>
                <w:rFonts w:ascii="Arial" w:hAnsi="Arial" w:cs="Arial"/>
                <w:sz w:val="20"/>
                <w:szCs w:val="20"/>
                <w:lang w:val="pt-BR"/>
              </w:rPr>
            </w:pPr>
          </w:p>
        </w:tc>
        <w:tc>
          <w:tcPr>
            <w:tcW w:w="1486" w:type="dxa"/>
            <w:vMerge/>
            <w:tcBorders>
              <w:top w:val="nil"/>
              <w:left w:val="nil"/>
              <w:bottom w:val="single" w:sz="4" w:space="0" w:color="auto"/>
              <w:right w:val="nil"/>
            </w:tcBorders>
            <w:vAlign w:val="center"/>
            <w:hideMark/>
          </w:tcPr>
          <w:p w14:paraId="7EF2660B" w14:textId="77777777" w:rsidR="000D286F" w:rsidRPr="00BB4D40" w:rsidRDefault="000D286F" w:rsidP="00E445BD">
            <w:pPr>
              <w:spacing w:line="256" w:lineRule="auto"/>
              <w:rPr>
                <w:rFonts w:ascii="Arial" w:hAnsi="Arial" w:cs="Arial"/>
                <w:sz w:val="20"/>
                <w:szCs w:val="20"/>
              </w:rPr>
            </w:pPr>
          </w:p>
        </w:tc>
        <w:tc>
          <w:tcPr>
            <w:tcW w:w="1452" w:type="dxa"/>
            <w:vMerge/>
            <w:tcBorders>
              <w:top w:val="nil"/>
              <w:left w:val="nil"/>
              <w:bottom w:val="single" w:sz="4" w:space="0" w:color="auto"/>
              <w:right w:val="nil"/>
            </w:tcBorders>
            <w:vAlign w:val="center"/>
            <w:hideMark/>
          </w:tcPr>
          <w:p w14:paraId="3441A703" w14:textId="77777777" w:rsidR="000D286F" w:rsidRPr="00BB4D40" w:rsidRDefault="000D286F" w:rsidP="00E445BD">
            <w:pPr>
              <w:spacing w:line="256" w:lineRule="auto"/>
              <w:rPr>
                <w:rFonts w:ascii="Arial" w:hAnsi="Arial" w:cs="Arial"/>
                <w:sz w:val="20"/>
                <w:szCs w:val="20"/>
              </w:rPr>
            </w:pPr>
          </w:p>
        </w:tc>
      </w:tr>
      <w:tr w:rsidR="000D286F" w:rsidRPr="00BB4D40" w14:paraId="438CFB49" w14:textId="77777777" w:rsidTr="00E445BD">
        <w:trPr>
          <w:cantSplit/>
          <w:trHeight w:val="301"/>
          <w:jc w:val="center"/>
        </w:trPr>
        <w:tc>
          <w:tcPr>
            <w:tcW w:w="2949" w:type="dxa"/>
            <w:vAlign w:val="center"/>
            <w:hideMark/>
          </w:tcPr>
          <w:p w14:paraId="001BC309" w14:textId="77777777" w:rsidR="000D286F" w:rsidRPr="00BB4D40" w:rsidRDefault="000D286F" w:rsidP="00E445BD">
            <w:pPr>
              <w:spacing w:before="80" w:after="80" w:line="276" w:lineRule="auto"/>
              <w:rPr>
                <w:rFonts w:ascii="Arial" w:hAnsi="Arial" w:cs="Arial"/>
                <w:b/>
                <w:bCs/>
                <w:sz w:val="20"/>
                <w:szCs w:val="20"/>
              </w:rPr>
            </w:pPr>
            <w:r w:rsidRPr="00BB4D40">
              <w:rPr>
                <w:rFonts w:ascii="Arial" w:hAnsi="Arial" w:cs="Arial"/>
                <w:b/>
                <w:bCs/>
                <w:color w:val="000000" w:themeColor="text1"/>
                <w:sz w:val="20"/>
                <w:szCs w:val="20"/>
              </w:rPr>
              <w:t>Total</w:t>
            </w:r>
          </w:p>
        </w:tc>
        <w:tc>
          <w:tcPr>
            <w:tcW w:w="1402" w:type="dxa"/>
            <w:tcBorders>
              <w:top w:val="single" w:sz="4" w:space="0" w:color="auto"/>
              <w:left w:val="nil"/>
              <w:bottom w:val="nil"/>
              <w:right w:val="nil"/>
            </w:tcBorders>
            <w:vAlign w:val="center"/>
            <w:hideMark/>
          </w:tcPr>
          <w:p w14:paraId="4415DECD" w14:textId="77777777" w:rsidR="000D286F" w:rsidRPr="00FC383C" w:rsidRDefault="000D286F" w:rsidP="00E445BD">
            <w:pPr>
              <w:spacing w:before="80" w:after="80"/>
              <w:ind w:right="321"/>
              <w:jc w:val="right"/>
              <w:rPr>
                <w:rFonts w:ascii="Arial" w:hAnsi="Arial" w:cs="Arial"/>
                <w:b/>
                <w:bCs/>
                <w:sz w:val="20"/>
                <w:szCs w:val="20"/>
                <w:lang w:val="it-IT"/>
              </w:rPr>
            </w:pPr>
            <w:r w:rsidRPr="00FC383C">
              <w:rPr>
                <w:rFonts w:ascii="Arial" w:hAnsi="Arial" w:cs="Arial"/>
                <w:b/>
                <w:bCs/>
                <w:sz w:val="20"/>
                <w:szCs w:val="20"/>
              </w:rPr>
              <w:t xml:space="preserve">      </w:t>
            </w:r>
            <w:r>
              <w:rPr>
                <w:rFonts w:ascii="Arial" w:hAnsi="Arial" w:cs="Arial"/>
                <w:b/>
                <w:bCs/>
                <w:sz w:val="20"/>
                <w:szCs w:val="20"/>
              </w:rPr>
              <w:t>526.6</w:t>
            </w:r>
            <w:r w:rsidRPr="00FC383C">
              <w:rPr>
                <w:rFonts w:ascii="Arial" w:hAnsi="Arial" w:cs="Arial"/>
                <w:b/>
                <w:bCs/>
                <w:sz w:val="20"/>
                <w:szCs w:val="20"/>
              </w:rPr>
              <w:t xml:space="preserve"> </w:t>
            </w:r>
          </w:p>
        </w:tc>
        <w:tc>
          <w:tcPr>
            <w:tcW w:w="1720" w:type="dxa"/>
            <w:tcBorders>
              <w:top w:val="single" w:sz="4" w:space="0" w:color="auto"/>
              <w:left w:val="nil"/>
              <w:bottom w:val="nil"/>
              <w:right w:val="nil"/>
            </w:tcBorders>
            <w:vAlign w:val="center"/>
            <w:hideMark/>
          </w:tcPr>
          <w:p w14:paraId="16113099" w14:textId="77777777" w:rsidR="000D286F" w:rsidRPr="00FC383C" w:rsidRDefault="000D286F" w:rsidP="00E445BD">
            <w:pPr>
              <w:spacing w:before="80" w:after="80"/>
              <w:ind w:right="321"/>
              <w:jc w:val="right"/>
              <w:rPr>
                <w:rFonts w:ascii="Arial" w:hAnsi="Arial" w:cs="Arial"/>
                <w:b/>
                <w:bCs/>
                <w:sz w:val="20"/>
                <w:szCs w:val="20"/>
                <w:lang w:val="it-IT"/>
              </w:rPr>
            </w:pPr>
            <w:r w:rsidRPr="00FC383C">
              <w:rPr>
                <w:rFonts w:ascii="Arial" w:hAnsi="Arial" w:cs="Arial"/>
                <w:b/>
                <w:bCs/>
                <w:sz w:val="20"/>
                <w:szCs w:val="20"/>
              </w:rPr>
              <w:t xml:space="preserve">      </w:t>
            </w:r>
            <w:r>
              <w:rPr>
                <w:rFonts w:ascii="Arial" w:hAnsi="Arial" w:cs="Arial"/>
                <w:b/>
                <w:bCs/>
                <w:sz w:val="20"/>
                <w:szCs w:val="20"/>
              </w:rPr>
              <w:t>4,148.4</w:t>
            </w:r>
            <w:r w:rsidRPr="00FC383C">
              <w:rPr>
                <w:rFonts w:ascii="Arial" w:hAnsi="Arial" w:cs="Arial"/>
                <w:b/>
                <w:bCs/>
                <w:sz w:val="20"/>
                <w:szCs w:val="20"/>
              </w:rPr>
              <w:t xml:space="preserve"> </w:t>
            </w:r>
          </w:p>
        </w:tc>
        <w:tc>
          <w:tcPr>
            <w:tcW w:w="1486" w:type="dxa"/>
            <w:tcBorders>
              <w:top w:val="single" w:sz="4" w:space="0" w:color="auto"/>
              <w:left w:val="nil"/>
              <w:bottom w:val="nil"/>
              <w:right w:val="nil"/>
            </w:tcBorders>
            <w:vAlign w:val="center"/>
            <w:hideMark/>
          </w:tcPr>
          <w:p w14:paraId="2C822271" w14:textId="77777777" w:rsidR="000D286F" w:rsidRPr="00FC383C" w:rsidRDefault="000D286F" w:rsidP="00E445BD">
            <w:pPr>
              <w:spacing w:before="80" w:after="80"/>
              <w:ind w:right="464"/>
              <w:jc w:val="right"/>
              <w:rPr>
                <w:rFonts w:ascii="Arial" w:hAnsi="Arial" w:cs="Arial"/>
                <w:b/>
                <w:bCs/>
                <w:sz w:val="20"/>
                <w:szCs w:val="20"/>
                <w:lang w:val="it-IT"/>
              </w:rPr>
            </w:pPr>
            <w:r w:rsidRPr="00FC383C">
              <w:rPr>
                <w:rFonts w:ascii="Arial" w:hAnsi="Arial" w:cs="Arial"/>
                <w:b/>
                <w:bCs/>
                <w:sz w:val="20"/>
                <w:szCs w:val="20"/>
              </w:rPr>
              <w:t xml:space="preserve">         </w:t>
            </w:r>
            <w:r>
              <w:rPr>
                <w:rFonts w:ascii="Arial" w:hAnsi="Arial" w:cs="Arial"/>
                <w:b/>
                <w:bCs/>
                <w:sz w:val="20"/>
                <w:szCs w:val="20"/>
              </w:rPr>
              <w:t>7.9</w:t>
            </w:r>
            <w:r w:rsidRPr="00FC383C">
              <w:rPr>
                <w:rFonts w:ascii="Arial" w:hAnsi="Arial" w:cs="Arial"/>
                <w:b/>
                <w:bCs/>
                <w:sz w:val="20"/>
                <w:szCs w:val="20"/>
              </w:rPr>
              <w:t xml:space="preserve"> </w:t>
            </w:r>
          </w:p>
        </w:tc>
        <w:tc>
          <w:tcPr>
            <w:tcW w:w="1452" w:type="dxa"/>
            <w:tcBorders>
              <w:top w:val="single" w:sz="4" w:space="0" w:color="auto"/>
              <w:left w:val="nil"/>
              <w:bottom w:val="nil"/>
              <w:right w:val="nil"/>
            </w:tcBorders>
            <w:vAlign w:val="center"/>
            <w:hideMark/>
          </w:tcPr>
          <w:p w14:paraId="1770201F" w14:textId="77777777" w:rsidR="000D286F" w:rsidRPr="00FC383C" w:rsidRDefault="000D286F" w:rsidP="00E445BD">
            <w:pPr>
              <w:spacing w:before="80" w:after="80"/>
              <w:ind w:right="464"/>
              <w:jc w:val="right"/>
              <w:rPr>
                <w:rFonts w:ascii="Arial" w:hAnsi="Arial" w:cs="Arial"/>
                <w:b/>
                <w:bCs/>
                <w:sz w:val="20"/>
                <w:szCs w:val="20"/>
                <w:lang w:val="it-IT"/>
              </w:rPr>
            </w:pPr>
            <w:r w:rsidRPr="00FC383C">
              <w:rPr>
                <w:rFonts w:ascii="Arial" w:hAnsi="Arial" w:cs="Arial"/>
                <w:b/>
                <w:bCs/>
                <w:sz w:val="20"/>
                <w:szCs w:val="20"/>
              </w:rPr>
              <w:t xml:space="preserve">        8</w:t>
            </w:r>
            <w:r>
              <w:rPr>
                <w:rFonts w:ascii="Arial" w:hAnsi="Arial" w:cs="Arial"/>
                <w:b/>
                <w:bCs/>
                <w:sz w:val="20"/>
                <w:szCs w:val="20"/>
              </w:rPr>
              <w:t>.5</w:t>
            </w:r>
            <w:r w:rsidRPr="00FC383C">
              <w:rPr>
                <w:rFonts w:ascii="Arial" w:hAnsi="Arial" w:cs="Arial"/>
                <w:b/>
                <w:bCs/>
                <w:sz w:val="20"/>
                <w:szCs w:val="20"/>
              </w:rPr>
              <w:t xml:space="preserve"> </w:t>
            </w:r>
          </w:p>
        </w:tc>
      </w:tr>
      <w:tr w:rsidR="000D286F" w:rsidRPr="00BB4D40" w14:paraId="7DA367F3" w14:textId="77777777" w:rsidTr="00E445BD">
        <w:trPr>
          <w:cantSplit/>
          <w:trHeight w:val="260"/>
          <w:jc w:val="center"/>
        </w:trPr>
        <w:tc>
          <w:tcPr>
            <w:tcW w:w="2949" w:type="dxa"/>
            <w:vAlign w:val="center"/>
            <w:hideMark/>
          </w:tcPr>
          <w:p w14:paraId="1290F7F0" w14:textId="77777777" w:rsidR="000D286F" w:rsidRPr="00BB4D40" w:rsidRDefault="000D286F" w:rsidP="00E445BD">
            <w:pPr>
              <w:spacing w:line="276" w:lineRule="auto"/>
              <w:ind w:left="318"/>
              <w:rPr>
                <w:rFonts w:ascii="Arial" w:hAnsi="Arial" w:cs="Arial"/>
                <w:sz w:val="20"/>
                <w:szCs w:val="20"/>
              </w:rPr>
            </w:pPr>
            <w:r w:rsidRPr="00BB4D40">
              <w:rPr>
                <w:rFonts w:ascii="Arial" w:hAnsi="Arial" w:cs="Arial"/>
                <w:bCs/>
                <w:color w:val="000000" w:themeColor="text1"/>
                <w:sz w:val="20"/>
                <w:szCs w:val="20"/>
              </w:rPr>
              <w:t>Retail sale of goods</w:t>
            </w:r>
          </w:p>
        </w:tc>
        <w:tc>
          <w:tcPr>
            <w:tcW w:w="1402" w:type="dxa"/>
            <w:vAlign w:val="center"/>
            <w:hideMark/>
          </w:tcPr>
          <w:p w14:paraId="5E84728D" w14:textId="77777777" w:rsidR="000D286F" w:rsidRPr="00FC383C" w:rsidRDefault="000D286F" w:rsidP="00E445BD">
            <w:pPr>
              <w:ind w:right="321"/>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402.3</w:t>
            </w:r>
            <w:r w:rsidRPr="00FC383C">
              <w:rPr>
                <w:rFonts w:ascii="Arial" w:hAnsi="Arial" w:cs="Arial"/>
                <w:sz w:val="20"/>
                <w:szCs w:val="20"/>
              </w:rPr>
              <w:t xml:space="preserve"> </w:t>
            </w:r>
          </w:p>
        </w:tc>
        <w:tc>
          <w:tcPr>
            <w:tcW w:w="1720" w:type="dxa"/>
            <w:vAlign w:val="center"/>
            <w:hideMark/>
          </w:tcPr>
          <w:p w14:paraId="1A2B6630" w14:textId="77777777" w:rsidR="000D286F" w:rsidRPr="00FC383C" w:rsidRDefault="000D286F" w:rsidP="00E445BD">
            <w:pPr>
              <w:ind w:right="321"/>
              <w:jc w:val="right"/>
              <w:rPr>
                <w:rFonts w:ascii="Arial" w:hAnsi="Arial" w:cs="Arial"/>
                <w:bCs/>
                <w:sz w:val="20"/>
                <w:szCs w:val="20"/>
                <w:lang w:val="it-IT"/>
              </w:rPr>
            </w:pPr>
            <w:r>
              <w:rPr>
                <w:rFonts w:ascii="Arial" w:hAnsi="Arial" w:cs="Arial"/>
                <w:sz w:val="20"/>
                <w:szCs w:val="20"/>
              </w:rPr>
              <w:t>3,199.7</w:t>
            </w:r>
            <w:r w:rsidRPr="00FC383C">
              <w:rPr>
                <w:rFonts w:ascii="Arial" w:hAnsi="Arial" w:cs="Arial"/>
                <w:sz w:val="20"/>
                <w:szCs w:val="20"/>
              </w:rPr>
              <w:t xml:space="preserve"> </w:t>
            </w:r>
          </w:p>
        </w:tc>
        <w:tc>
          <w:tcPr>
            <w:tcW w:w="1486" w:type="dxa"/>
            <w:vAlign w:val="center"/>
            <w:hideMark/>
          </w:tcPr>
          <w:p w14:paraId="0DFC068C" w14:textId="77777777" w:rsidR="000D286F" w:rsidRPr="00FC383C" w:rsidRDefault="000D286F" w:rsidP="00E445BD">
            <w:pPr>
              <w:ind w:right="464"/>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7.5</w:t>
            </w:r>
            <w:r w:rsidRPr="00FC383C">
              <w:rPr>
                <w:rFonts w:ascii="Arial" w:hAnsi="Arial" w:cs="Arial"/>
                <w:sz w:val="20"/>
                <w:szCs w:val="20"/>
              </w:rPr>
              <w:t xml:space="preserve"> </w:t>
            </w:r>
          </w:p>
        </w:tc>
        <w:tc>
          <w:tcPr>
            <w:tcW w:w="1452" w:type="dxa"/>
            <w:vAlign w:val="center"/>
            <w:hideMark/>
          </w:tcPr>
          <w:p w14:paraId="1893EACD" w14:textId="77777777" w:rsidR="000D286F" w:rsidRPr="00FC383C" w:rsidRDefault="000D286F" w:rsidP="00E445BD">
            <w:pPr>
              <w:ind w:right="464"/>
              <w:jc w:val="right"/>
              <w:rPr>
                <w:rFonts w:ascii="Arial" w:hAnsi="Arial" w:cs="Arial"/>
                <w:bCs/>
                <w:sz w:val="20"/>
                <w:szCs w:val="20"/>
                <w:lang w:val="it-IT"/>
              </w:rPr>
            </w:pPr>
            <w:r w:rsidRPr="00FC383C">
              <w:rPr>
                <w:rFonts w:ascii="Arial" w:hAnsi="Arial" w:cs="Arial"/>
                <w:sz w:val="20"/>
                <w:szCs w:val="20"/>
              </w:rPr>
              <w:t xml:space="preserve">        7</w:t>
            </w:r>
            <w:r>
              <w:rPr>
                <w:rFonts w:ascii="Arial" w:hAnsi="Arial" w:cs="Arial"/>
                <w:sz w:val="20"/>
                <w:szCs w:val="20"/>
              </w:rPr>
              <w:t>.3</w:t>
            </w:r>
            <w:r w:rsidRPr="00FC383C">
              <w:rPr>
                <w:rFonts w:ascii="Arial" w:hAnsi="Arial" w:cs="Arial"/>
                <w:sz w:val="20"/>
                <w:szCs w:val="20"/>
              </w:rPr>
              <w:t xml:space="preserve"> </w:t>
            </w:r>
          </w:p>
        </w:tc>
      </w:tr>
      <w:tr w:rsidR="000D286F" w:rsidRPr="00BB4D40" w14:paraId="6A816A63" w14:textId="77777777" w:rsidTr="00E445BD">
        <w:trPr>
          <w:cantSplit/>
          <w:trHeight w:val="229"/>
          <w:jc w:val="center"/>
        </w:trPr>
        <w:tc>
          <w:tcPr>
            <w:tcW w:w="2949" w:type="dxa"/>
            <w:vAlign w:val="center"/>
            <w:hideMark/>
          </w:tcPr>
          <w:p w14:paraId="00D7DF4D" w14:textId="77777777" w:rsidR="000D286F" w:rsidRPr="00BB4D40" w:rsidRDefault="000D286F" w:rsidP="00E445BD">
            <w:pPr>
              <w:spacing w:line="276" w:lineRule="auto"/>
              <w:ind w:left="318"/>
              <w:rPr>
                <w:rFonts w:ascii="Arial" w:hAnsi="Arial" w:cs="Arial"/>
                <w:sz w:val="20"/>
                <w:szCs w:val="20"/>
              </w:rPr>
            </w:pPr>
            <w:r w:rsidRPr="00BB4D40">
              <w:rPr>
                <w:rFonts w:ascii="Arial" w:hAnsi="Arial" w:cs="Arial"/>
                <w:bCs/>
                <w:color w:val="000000" w:themeColor="text1"/>
                <w:sz w:val="20"/>
                <w:szCs w:val="20"/>
              </w:rPr>
              <w:t>Accommodation and catering service</w:t>
            </w:r>
          </w:p>
        </w:tc>
        <w:tc>
          <w:tcPr>
            <w:tcW w:w="1402" w:type="dxa"/>
            <w:vAlign w:val="center"/>
            <w:hideMark/>
          </w:tcPr>
          <w:p w14:paraId="749E3090" w14:textId="77777777" w:rsidR="000D286F" w:rsidRPr="00FC383C" w:rsidRDefault="000D286F" w:rsidP="00E445BD">
            <w:pPr>
              <w:ind w:right="321"/>
              <w:jc w:val="right"/>
              <w:rPr>
                <w:rFonts w:ascii="Arial" w:hAnsi="Arial" w:cs="Arial"/>
                <w:bCs/>
                <w:sz w:val="20"/>
                <w:szCs w:val="20"/>
                <w:lang w:val="it-IT"/>
              </w:rPr>
            </w:pPr>
            <w:r w:rsidRPr="00FC383C">
              <w:rPr>
                <w:rFonts w:ascii="Arial" w:hAnsi="Arial" w:cs="Arial"/>
                <w:sz w:val="20"/>
                <w:szCs w:val="20"/>
              </w:rPr>
              <w:t xml:space="preserve">        62</w:t>
            </w:r>
            <w:r>
              <w:rPr>
                <w:rFonts w:ascii="Arial" w:hAnsi="Arial" w:cs="Arial"/>
                <w:sz w:val="20"/>
                <w:szCs w:val="20"/>
              </w:rPr>
              <w:t>.4</w:t>
            </w:r>
            <w:r w:rsidRPr="00FC383C">
              <w:rPr>
                <w:rFonts w:ascii="Arial" w:hAnsi="Arial" w:cs="Arial"/>
                <w:sz w:val="20"/>
                <w:szCs w:val="20"/>
              </w:rPr>
              <w:t xml:space="preserve"> </w:t>
            </w:r>
          </w:p>
        </w:tc>
        <w:tc>
          <w:tcPr>
            <w:tcW w:w="1720" w:type="dxa"/>
            <w:vAlign w:val="center"/>
            <w:hideMark/>
          </w:tcPr>
          <w:p w14:paraId="73B9E8DD" w14:textId="77777777" w:rsidR="000D286F" w:rsidRPr="00FC383C" w:rsidRDefault="000D286F" w:rsidP="00E445BD">
            <w:pPr>
              <w:ind w:right="321"/>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481.2</w:t>
            </w:r>
            <w:r w:rsidRPr="00FC383C">
              <w:rPr>
                <w:rFonts w:ascii="Arial" w:hAnsi="Arial" w:cs="Arial"/>
                <w:sz w:val="20"/>
                <w:szCs w:val="20"/>
              </w:rPr>
              <w:t xml:space="preserve"> </w:t>
            </w:r>
          </w:p>
        </w:tc>
        <w:tc>
          <w:tcPr>
            <w:tcW w:w="1486" w:type="dxa"/>
            <w:vAlign w:val="center"/>
            <w:hideMark/>
          </w:tcPr>
          <w:p w14:paraId="3E2768E3" w14:textId="77777777" w:rsidR="000D286F" w:rsidRPr="00FC383C" w:rsidRDefault="000D286F" w:rsidP="00E445BD">
            <w:pPr>
              <w:ind w:right="464"/>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9.7</w:t>
            </w:r>
            <w:r w:rsidRPr="00FC383C">
              <w:rPr>
                <w:rFonts w:ascii="Arial" w:hAnsi="Arial" w:cs="Arial"/>
                <w:sz w:val="20"/>
                <w:szCs w:val="20"/>
              </w:rPr>
              <w:t xml:space="preserve"> </w:t>
            </w:r>
          </w:p>
        </w:tc>
        <w:tc>
          <w:tcPr>
            <w:tcW w:w="1452" w:type="dxa"/>
            <w:vAlign w:val="center"/>
            <w:hideMark/>
          </w:tcPr>
          <w:p w14:paraId="08EF9706" w14:textId="77777777" w:rsidR="000D286F" w:rsidRPr="00FC383C" w:rsidRDefault="000D286F" w:rsidP="00E445BD">
            <w:pPr>
              <w:ind w:right="464"/>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14.3</w:t>
            </w:r>
            <w:r w:rsidRPr="00FC383C">
              <w:rPr>
                <w:rFonts w:ascii="Arial" w:hAnsi="Arial" w:cs="Arial"/>
                <w:sz w:val="20"/>
                <w:szCs w:val="20"/>
              </w:rPr>
              <w:t xml:space="preserve"> </w:t>
            </w:r>
          </w:p>
        </w:tc>
      </w:tr>
      <w:tr w:rsidR="000D286F" w:rsidRPr="00BB4D40" w14:paraId="1CDE13ED" w14:textId="77777777" w:rsidTr="00E445BD">
        <w:trPr>
          <w:cantSplit/>
          <w:trHeight w:val="229"/>
          <w:jc w:val="center"/>
        </w:trPr>
        <w:tc>
          <w:tcPr>
            <w:tcW w:w="2949" w:type="dxa"/>
            <w:vAlign w:val="center"/>
            <w:hideMark/>
          </w:tcPr>
          <w:p w14:paraId="01DB546D" w14:textId="77777777" w:rsidR="000D286F" w:rsidRPr="00BB4D40" w:rsidRDefault="000D286F" w:rsidP="00E445BD">
            <w:pPr>
              <w:spacing w:line="276" w:lineRule="auto"/>
              <w:ind w:left="318"/>
              <w:rPr>
                <w:rFonts w:ascii="Arial" w:hAnsi="Arial" w:cs="Arial"/>
                <w:sz w:val="20"/>
                <w:szCs w:val="20"/>
              </w:rPr>
            </w:pPr>
            <w:r w:rsidRPr="00BB4D40">
              <w:rPr>
                <w:rFonts w:ascii="Arial" w:hAnsi="Arial" w:cs="Arial"/>
                <w:bCs/>
                <w:color w:val="000000" w:themeColor="text1"/>
                <w:sz w:val="20"/>
                <w:szCs w:val="20"/>
              </w:rPr>
              <w:t xml:space="preserve">Tourism revenue </w:t>
            </w:r>
          </w:p>
        </w:tc>
        <w:tc>
          <w:tcPr>
            <w:tcW w:w="1402" w:type="dxa"/>
            <w:vAlign w:val="center"/>
            <w:hideMark/>
          </w:tcPr>
          <w:p w14:paraId="564281C2" w14:textId="77777777" w:rsidR="000D286F" w:rsidRPr="00FC383C" w:rsidRDefault="000D286F" w:rsidP="00E445BD">
            <w:pPr>
              <w:ind w:right="321"/>
              <w:jc w:val="right"/>
              <w:rPr>
                <w:rFonts w:ascii="Arial" w:hAnsi="Arial" w:cs="Arial"/>
                <w:bCs/>
                <w:sz w:val="20"/>
                <w:szCs w:val="20"/>
                <w:lang w:val="it-IT"/>
              </w:rPr>
            </w:pPr>
            <w:r w:rsidRPr="00FC383C">
              <w:rPr>
                <w:rFonts w:ascii="Arial" w:hAnsi="Arial" w:cs="Arial"/>
                <w:sz w:val="20"/>
                <w:szCs w:val="20"/>
              </w:rPr>
              <w:t xml:space="preserve">          5</w:t>
            </w:r>
            <w:r>
              <w:rPr>
                <w:rFonts w:ascii="Arial" w:hAnsi="Arial" w:cs="Arial"/>
                <w:sz w:val="20"/>
                <w:szCs w:val="20"/>
              </w:rPr>
              <w:t>.</w:t>
            </w:r>
            <w:r w:rsidRPr="00FC383C">
              <w:rPr>
                <w:rFonts w:ascii="Arial" w:hAnsi="Arial" w:cs="Arial"/>
                <w:sz w:val="20"/>
                <w:szCs w:val="20"/>
              </w:rPr>
              <w:t xml:space="preserve">6 </w:t>
            </w:r>
          </w:p>
        </w:tc>
        <w:tc>
          <w:tcPr>
            <w:tcW w:w="1720" w:type="dxa"/>
            <w:vAlign w:val="center"/>
            <w:hideMark/>
          </w:tcPr>
          <w:p w14:paraId="5078D71B" w14:textId="77777777" w:rsidR="000D286F" w:rsidRPr="00FC383C" w:rsidRDefault="000D286F" w:rsidP="00E445BD">
            <w:pPr>
              <w:ind w:right="321"/>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40.9</w:t>
            </w:r>
            <w:r w:rsidRPr="00FC383C">
              <w:rPr>
                <w:rFonts w:ascii="Arial" w:hAnsi="Arial" w:cs="Arial"/>
                <w:sz w:val="20"/>
                <w:szCs w:val="20"/>
              </w:rPr>
              <w:t xml:space="preserve"> </w:t>
            </w:r>
          </w:p>
        </w:tc>
        <w:tc>
          <w:tcPr>
            <w:tcW w:w="1486" w:type="dxa"/>
            <w:vAlign w:val="center"/>
            <w:hideMark/>
          </w:tcPr>
          <w:p w14:paraId="46E0F94E" w14:textId="77777777" w:rsidR="000D286F" w:rsidRPr="00FC383C" w:rsidRDefault="000D286F" w:rsidP="00E445BD">
            <w:pPr>
              <w:ind w:right="464"/>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7.1</w:t>
            </w:r>
            <w:r w:rsidRPr="00FC383C">
              <w:rPr>
                <w:rFonts w:ascii="Arial" w:hAnsi="Arial" w:cs="Arial"/>
                <w:sz w:val="20"/>
                <w:szCs w:val="20"/>
              </w:rPr>
              <w:t xml:space="preserve"> </w:t>
            </w:r>
          </w:p>
        </w:tc>
        <w:tc>
          <w:tcPr>
            <w:tcW w:w="1452" w:type="dxa"/>
            <w:vAlign w:val="center"/>
            <w:hideMark/>
          </w:tcPr>
          <w:p w14:paraId="3FC8FEA7" w14:textId="77777777" w:rsidR="000D286F" w:rsidRPr="00FC383C" w:rsidRDefault="000D286F" w:rsidP="00E445BD">
            <w:pPr>
              <w:ind w:right="464"/>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26.2</w:t>
            </w:r>
            <w:r w:rsidRPr="00FC383C">
              <w:rPr>
                <w:rFonts w:ascii="Arial" w:hAnsi="Arial" w:cs="Arial"/>
                <w:sz w:val="20"/>
                <w:szCs w:val="20"/>
              </w:rPr>
              <w:t xml:space="preserve"> </w:t>
            </w:r>
          </w:p>
        </w:tc>
      </w:tr>
      <w:tr w:rsidR="000D286F" w:rsidRPr="00BB4D40" w14:paraId="5A3E44A2" w14:textId="77777777" w:rsidTr="00E445BD">
        <w:trPr>
          <w:cantSplit/>
          <w:trHeight w:val="316"/>
          <w:jc w:val="center"/>
        </w:trPr>
        <w:tc>
          <w:tcPr>
            <w:tcW w:w="2949" w:type="dxa"/>
            <w:tcBorders>
              <w:top w:val="nil"/>
              <w:left w:val="nil"/>
              <w:bottom w:val="single" w:sz="8" w:space="0" w:color="auto"/>
              <w:right w:val="nil"/>
            </w:tcBorders>
            <w:vAlign w:val="center"/>
            <w:hideMark/>
          </w:tcPr>
          <w:p w14:paraId="0EAF3AF9" w14:textId="77777777" w:rsidR="000D286F" w:rsidRPr="00BB4D40" w:rsidRDefault="000D286F" w:rsidP="00E445BD">
            <w:pPr>
              <w:spacing w:line="276" w:lineRule="auto"/>
              <w:ind w:left="318"/>
              <w:rPr>
                <w:rFonts w:ascii="Arial" w:hAnsi="Arial" w:cs="Arial"/>
                <w:sz w:val="20"/>
                <w:szCs w:val="20"/>
              </w:rPr>
            </w:pPr>
            <w:r w:rsidRPr="00BB4D40">
              <w:rPr>
                <w:rFonts w:ascii="Arial" w:hAnsi="Arial" w:cs="Arial"/>
                <w:bCs/>
                <w:color w:val="000000" w:themeColor="text1"/>
                <w:sz w:val="20"/>
                <w:szCs w:val="20"/>
              </w:rPr>
              <w:t>Other services</w:t>
            </w:r>
          </w:p>
        </w:tc>
        <w:tc>
          <w:tcPr>
            <w:tcW w:w="1402" w:type="dxa"/>
            <w:tcBorders>
              <w:top w:val="nil"/>
              <w:left w:val="nil"/>
              <w:bottom w:val="single" w:sz="4" w:space="0" w:color="auto"/>
              <w:right w:val="nil"/>
            </w:tcBorders>
            <w:vAlign w:val="center"/>
            <w:hideMark/>
          </w:tcPr>
          <w:p w14:paraId="73762E0F" w14:textId="77777777" w:rsidR="000D286F" w:rsidRPr="00FC383C" w:rsidRDefault="000D286F" w:rsidP="00E445BD">
            <w:pPr>
              <w:ind w:right="321"/>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56.3</w:t>
            </w:r>
            <w:r w:rsidRPr="00FC383C">
              <w:rPr>
                <w:rFonts w:ascii="Arial" w:hAnsi="Arial" w:cs="Arial"/>
                <w:sz w:val="20"/>
                <w:szCs w:val="20"/>
              </w:rPr>
              <w:t xml:space="preserve"> </w:t>
            </w:r>
          </w:p>
        </w:tc>
        <w:tc>
          <w:tcPr>
            <w:tcW w:w="1720" w:type="dxa"/>
            <w:tcBorders>
              <w:top w:val="nil"/>
              <w:left w:val="nil"/>
              <w:bottom w:val="single" w:sz="4" w:space="0" w:color="auto"/>
              <w:right w:val="nil"/>
            </w:tcBorders>
            <w:vAlign w:val="center"/>
            <w:hideMark/>
          </w:tcPr>
          <w:p w14:paraId="17D1D9DB" w14:textId="77777777" w:rsidR="000D286F" w:rsidRPr="00FC383C" w:rsidRDefault="000D286F" w:rsidP="00E445BD">
            <w:pPr>
              <w:ind w:right="321"/>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426.6</w:t>
            </w:r>
            <w:r w:rsidRPr="00FC383C">
              <w:rPr>
                <w:rFonts w:ascii="Arial" w:hAnsi="Arial" w:cs="Arial"/>
                <w:sz w:val="20"/>
                <w:szCs w:val="20"/>
              </w:rPr>
              <w:t xml:space="preserve"> </w:t>
            </w:r>
          </w:p>
        </w:tc>
        <w:tc>
          <w:tcPr>
            <w:tcW w:w="1486" w:type="dxa"/>
            <w:tcBorders>
              <w:top w:val="nil"/>
              <w:left w:val="nil"/>
              <w:bottom w:val="single" w:sz="4" w:space="0" w:color="auto"/>
              <w:right w:val="nil"/>
            </w:tcBorders>
            <w:vAlign w:val="center"/>
            <w:hideMark/>
          </w:tcPr>
          <w:p w14:paraId="689F6951" w14:textId="77777777" w:rsidR="000D286F" w:rsidRPr="00FC383C" w:rsidRDefault="000D286F" w:rsidP="00E445BD">
            <w:pPr>
              <w:ind w:right="464"/>
              <w:jc w:val="right"/>
              <w:rPr>
                <w:rFonts w:ascii="Arial" w:hAnsi="Arial" w:cs="Arial"/>
                <w:bCs/>
                <w:sz w:val="20"/>
                <w:szCs w:val="20"/>
                <w:lang w:val="it-IT"/>
              </w:rPr>
            </w:pPr>
            <w:r w:rsidRPr="00FC383C">
              <w:rPr>
                <w:rFonts w:ascii="Arial" w:hAnsi="Arial" w:cs="Arial"/>
                <w:sz w:val="20"/>
                <w:szCs w:val="20"/>
              </w:rPr>
              <w:t xml:space="preserve">       </w:t>
            </w:r>
            <w:r>
              <w:rPr>
                <w:rFonts w:ascii="Arial" w:hAnsi="Arial" w:cs="Arial"/>
                <w:sz w:val="20"/>
                <w:szCs w:val="20"/>
              </w:rPr>
              <w:t>9.1</w:t>
            </w:r>
            <w:r w:rsidRPr="00FC383C">
              <w:rPr>
                <w:rFonts w:ascii="Arial" w:hAnsi="Arial" w:cs="Arial"/>
                <w:sz w:val="20"/>
                <w:szCs w:val="20"/>
              </w:rPr>
              <w:t xml:space="preserve"> </w:t>
            </w:r>
          </w:p>
        </w:tc>
        <w:tc>
          <w:tcPr>
            <w:tcW w:w="1452" w:type="dxa"/>
            <w:tcBorders>
              <w:top w:val="nil"/>
              <w:left w:val="nil"/>
              <w:bottom w:val="single" w:sz="4" w:space="0" w:color="auto"/>
              <w:right w:val="nil"/>
            </w:tcBorders>
            <w:vAlign w:val="center"/>
            <w:hideMark/>
          </w:tcPr>
          <w:p w14:paraId="4698428F" w14:textId="77777777" w:rsidR="000D286F" w:rsidRPr="00FC383C" w:rsidRDefault="000D286F" w:rsidP="00E445BD">
            <w:pPr>
              <w:ind w:right="464"/>
              <w:jc w:val="right"/>
              <w:rPr>
                <w:rFonts w:ascii="Arial" w:hAnsi="Arial" w:cs="Arial"/>
                <w:bCs/>
                <w:sz w:val="20"/>
                <w:szCs w:val="20"/>
                <w:lang w:val="it-IT"/>
              </w:rPr>
            </w:pPr>
            <w:r w:rsidRPr="00FC383C">
              <w:rPr>
                <w:rFonts w:ascii="Arial" w:hAnsi="Arial" w:cs="Arial"/>
                <w:sz w:val="20"/>
                <w:szCs w:val="20"/>
              </w:rPr>
              <w:t xml:space="preserve">       9</w:t>
            </w:r>
            <w:r>
              <w:rPr>
                <w:rFonts w:ascii="Arial" w:hAnsi="Arial" w:cs="Arial"/>
                <w:sz w:val="20"/>
                <w:szCs w:val="20"/>
              </w:rPr>
              <w:t>.</w:t>
            </w:r>
            <w:r w:rsidRPr="00FC383C">
              <w:rPr>
                <w:rFonts w:ascii="Arial" w:hAnsi="Arial" w:cs="Arial"/>
                <w:sz w:val="20"/>
                <w:szCs w:val="20"/>
              </w:rPr>
              <w:t xml:space="preserve">4 </w:t>
            </w:r>
          </w:p>
        </w:tc>
      </w:tr>
    </w:tbl>
    <w:p w14:paraId="21DBEF24" w14:textId="77777777" w:rsidR="000D286F" w:rsidRPr="00BB4D40" w:rsidRDefault="000D286F" w:rsidP="000D286F">
      <w:pPr>
        <w:spacing w:beforeLines="50" w:before="120" w:afterLines="40" w:after="96" w:line="264" w:lineRule="auto"/>
        <w:ind w:firstLine="567"/>
        <w:jc w:val="both"/>
        <w:rPr>
          <w:spacing w:val="-4"/>
        </w:rPr>
      </w:pPr>
      <w:proofErr w:type="gramStart"/>
      <w:r w:rsidRPr="00BB4D40">
        <w:rPr>
          <w:spacing w:val="-4"/>
        </w:rPr>
        <w:t>Generally</w:t>
      </w:r>
      <w:proofErr w:type="gramEnd"/>
      <w:r w:rsidRPr="00BB4D40">
        <w:rPr>
          <w:spacing w:val="-4"/>
        </w:rPr>
        <w:t xml:space="preserve"> for </w:t>
      </w:r>
      <w:r>
        <w:rPr>
          <w:spacing w:val="-4"/>
        </w:rPr>
        <w:t xml:space="preserve">eight months </w:t>
      </w:r>
      <w:r w:rsidRPr="00BB4D40">
        <w:rPr>
          <w:spacing w:val="-4"/>
        </w:rPr>
        <w:t xml:space="preserve">of 2024, the total retail sales of consumer goods and services at current prices was estimated at </w:t>
      </w:r>
      <w:r>
        <w:rPr>
          <w:spacing w:val="-4"/>
        </w:rPr>
        <w:t>4,148.4</w:t>
      </w:r>
      <w:r w:rsidRPr="00BB4D40">
        <w:rPr>
          <w:spacing w:val="-4"/>
        </w:rPr>
        <w:t xml:space="preserve"> trillion VND, up 8.</w:t>
      </w:r>
      <w:r>
        <w:rPr>
          <w:spacing w:val="-4"/>
        </w:rPr>
        <w:t>5</w:t>
      </w:r>
      <w:r w:rsidRPr="00BB4D40">
        <w:rPr>
          <w:spacing w:val="-4"/>
        </w:rPr>
        <w:t xml:space="preserve">% over the same period last year (up </w:t>
      </w:r>
      <w:r>
        <w:rPr>
          <w:spacing w:val="-4"/>
        </w:rPr>
        <w:t>10.3</w:t>
      </w:r>
      <w:r w:rsidRPr="00BB4D40">
        <w:rPr>
          <w:spacing w:val="-4"/>
        </w:rPr>
        <w:t>% in the same period in 2023), if excluding the price factor, up 5.</w:t>
      </w:r>
      <w:r>
        <w:rPr>
          <w:spacing w:val="-4"/>
        </w:rPr>
        <w:t>3</w:t>
      </w:r>
      <w:r w:rsidRPr="00BB4D40">
        <w:rPr>
          <w:spacing w:val="-4"/>
        </w:rPr>
        <w:t xml:space="preserve">% (the same period in 2023 increased by </w:t>
      </w:r>
      <w:r>
        <w:rPr>
          <w:spacing w:val="-4"/>
        </w:rPr>
        <w:t>8.0</w:t>
      </w:r>
      <w:r w:rsidRPr="00BB4D40">
        <w:rPr>
          <w:spacing w:val="-4"/>
        </w:rPr>
        <w:t>%).</w:t>
      </w:r>
    </w:p>
    <w:p w14:paraId="0D720E53" w14:textId="77777777" w:rsidR="000D286F" w:rsidRDefault="000D286F" w:rsidP="000D286F">
      <w:pPr>
        <w:spacing w:beforeLines="40" w:before="96" w:afterLines="40" w:after="96"/>
        <w:jc w:val="center"/>
        <w:rPr>
          <w:rFonts w:ascii="Arial" w:hAnsi="Arial" w:cs="Arial"/>
          <w:b/>
          <w:bCs/>
          <w:sz w:val="24"/>
          <w:szCs w:val="24"/>
        </w:rPr>
      </w:pPr>
      <w:r w:rsidRPr="00BB4D40">
        <w:rPr>
          <w:rFonts w:ascii="Arial" w:hAnsi="Arial" w:cs="Arial"/>
          <w:b/>
          <w:bCs/>
          <w:sz w:val="24"/>
          <w:szCs w:val="24"/>
        </w:rPr>
        <w:t xml:space="preserve">Figure 11. Total retail sales of </w:t>
      </w:r>
      <w:r w:rsidRPr="00BB4D40">
        <w:rPr>
          <w:rFonts w:ascii="Arial" w:hAnsi="Arial" w:cs="Arial"/>
          <w:b/>
          <w:sz w:val="24"/>
          <w:szCs w:val="24"/>
        </w:rPr>
        <w:t xml:space="preserve">consumer </w:t>
      </w:r>
      <w:r w:rsidRPr="00BB4D40">
        <w:rPr>
          <w:rFonts w:ascii="Arial" w:hAnsi="Arial" w:cs="Arial"/>
          <w:b/>
          <w:bCs/>
          <w:sz w:val="24"/>
          <w:szCs w:val="24"/>
        </w:rPr>
        <w:t xml:space="preserve">goods and service </w:t>
      </w:r>
      <w:r w:rsidRPr="00BB4D40">
        <w:rPr>
          <w:rFonts w:ascii="Arial" w:hAnsi="Arial" w:cs="Arial"/>
          <w:b/>
          <w:bCs/>
          <w:sz w:val="24"/>
          <w:szCs w:val="24"/>
        </w:rPr>
        <w:br/>
        <w:t xml:space="preserve">in </w:t>
      </w:r>
      <w:r>
        <w:rPr>
          <w:rFonts w:ascii="Arial" w:hAnsi="Arial" w:cs="Arial"/>
          <w:b/>
          <w:bCs/>
          <w:sz w:val="24"/>
          <w:szCs w:val="24"/>
        </w:rPr>
        <w:t xml:space="preserve">8 months </w:t>
      </w:r>
      <w:r w:rsidRPr="00BB4D40">
        <w:rPr>
          <w:rFonts w:ascii="Arial" w:hAnsi="Arial" w:cs="Arial"/>
          <w:b/>
          <w:bCs/>
          <w:sz w:val="24"/>
          <w:szCs w:val="24"/>
        </w:rPr>
        <w:t>of 2020-2024</w:t>
      </w:r>
    </w:p>
    <w:p w14:paraId="6B9C3C40" w14:textId="77777777" w:rsidR="000D286F" w:rsidRDefault="000D286F" w:rsidP="000D286F">
      <w:pPr>
        <w:spacing w:beforeLines="40" w:before="96" w:afterLines="40" w:after="96"/>
        <w:jc w:val="center"/>
        <w:rPr>
          <w:rFonts w:ascii="Arial" w:hAnsi="Arial" w:cs="Arial"/>
          <w:b/>
          <w:bCs/>
          <w:sz w:val="24"/>
          <w:szCs w:val="24"/>
        </w:rPr>
      </w:pPr>
    </w:p>
    <w:p w14:paraId="63C042A2" w14:textId="77777777" w:rsidR="000D286F" w:rsidRPr="00BB4D40" w:rsidRDefault="000D286F" w:rsidP="000D286F">
      <w:pPr>
        <w:spacing w:beforeLines="40" w:before="96" w:afterLines="40" w:after="96"/>
        <w:jc w:val="center"/>
        <w:rPr>
          <w:rFonts w:ascii="Arial" w:hAnsi="Arial" w:cs="Arial"/>
          <w:b/>
          <w:bCs/>
          <w:sz w:val="24"/>
          <w:szCs w:val="24"/>
        </w:rPr>
      </w:pPr>
      <w:r>
        <w:rPr>
          <w:noProof/>
          <w14:ligatures w14:val="standardContextual"/>
        </w:rPr>
        <w:drawing>
          <wp:inline distT="0" distB="0" distL="0" distR="0" wp14:anchorId="76DAE7B7" wp14:editId="46F855F6">
            <wp:extent cx="5391150" cy="2743200"/>
            <wp:effectExtent l="0" t="0" r="0" b="0"/>
            <wp:docPr id="2004557641" name="Chart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C92388" w14:textId="77777777" w:rsidR="000D286F" w:rsidRPr="00BB4D40" w:rsidRDefault="000D286F" w:rsidP="000D286F">
      <w:pPr>
        <w:pStyle w:val="HTMLPreformatted"/>
        <w:spacing w:beforeLines="40" w:before="96" w:afterLines="40" w:after="96" w:line="264" w:lineRule="auto"/>
        <w:ind w:firstLine="567"/>
        <w:jc w:val="center"/>
        <w:rPr>
          <w:rFonts w:ascii="Times New Roman" w:hAnsi="Times New Roman" w:cs="Times New Roman"/>
          <w:bCs/>
          <w:i/>
          <w:sz w:val="14"/>
          <w:szCs w:val="28"/>
          <w:lang w:val="nl-NL"/>
        </w:rPr>
      </w:pPr>
    </w:p>
    <w:p w14:paraId="7C64FAB5" w14:textId="77777777" w:rsidR="000D286F" w:rsidRDefault="000D286F" w:rsidP="000D286F">
      <w:pPr>
        <w:pStyle w:val="HTMLPreformatted"/>
        <w:spacing w:beforeLines="40" w:before="96" w:afterLines="40" w:after="96" w:line="276" w:lineRule="auto"/>
        <w:ind w:firstLine="567"/>
        <w:jc w:val="both"/>
        <w:rPr>
          <w:rFonts w:ascii="Times New Roman" w:hAnsi="Times New Roman" w:cs="Times New Roman"/>
          <w:bCs/>
          <w:sz w:val="28"/>
          <w:szCs w:val="28"/>
          <w:lang w:val="it-IT"/>
        </w:rPr>
      </w:pPr>
      <w:r w:rsidRPr="00BB4D40">
        <w:rPr>
          <w:rFonts w:ascii="Times New Roman" w:hAnsi="Times New Roman" w:cs="Times New Roman"/>
          <w:bCs/>
          <w:i/>
          <w:sz w:val="28"/>
          <w:szCs w:val="28"/>
          <w:lang w:val="nl-NL"/>
        </w:rPr>
        <w:lastRenderedPageBreak/>
        <w:t>Retail sales of goods</w:t>
      </w:r>
      <w:r w:rsidRPr="00BB4D40">
        <w:rPr>
          <w:rFonts w:ascii="Times New Roman" w:hAnsi="Times New Roman" w:cs="Times New Roman"/>
          <w:bCs/>
          <w:sz w:val="28"/>
          <w:szCs w:val="28"/>
          <w:lang w:val="nl-NL"/>
        </w:rPr>
        <w:t xml:space="preserve"> </w:t>
      </w:r>
      <w:r>
        <w:rPr>
          <w:rFonts w:ascii="Times New Roman" w:hAnsi="Times New Roman" w:cs="Times New Roman"/>
          <w:bCs/>
          <w:sz w:val="28"/>
          <w:szCs w:val="28"/>
          <w:lang w:val="nl-NL"/>
        </w:rPr>
        <w:t>in eight months of 2024</w:t>
      </w:r>
      <w:r w:rsidRPr="00BB4D40">
        <w:rPr>
          <w:rFonts w:ascii="Times New Roman" w:hAnsi="Times New Roman" w:cs="Times New Roman"/>
          <w:bCs/>
          <w:sz w:val="28"/>
          <w:szCs w:val="28"/>
          <w:lang w:val="nl-NL"/>
        </w:rPr>
        <w:t xml:space="preserve"> were estimated at </w:t>
      </w:r>
      <w:r>
        <w:rPr>
          <w:rFonts w:ascii="Times New Roman" w:hAnsi="Times New Roman" w:cs="Times New Roman"/>
          <w:bCs/>
          <w:sz w:val="28"/>
          <w:szCs w:val="28"/>
          <w:shd w:val="clear" w:color="auto" w:fill="FFFFFF"/>
          <w:lang w:val="nl-NL"/>
        </w:rPr>
        <w:t>3,199.7</w:t>
      </w:r>
      <w:r w:rsidRPr="00BB4D40">
        <w:rPr>
          <w:rFonts w:ascii="Times New Roman" w:hAnsi="Times New Roman" w:cs="Times New Roman"/>
          <w:bCs/>
          <w:sz w:val="28"/>
          <w:szCs w:val="28"/>
          <w:shd w:val="clear" w:color="auto" w:fill="FFFFFF"/>
          <w:lang w:val="nl-NL"/>
        </w:rPr>
        <w:t xml:space="preserve"> </w:t>
      </w:r>
      <w:r w:rsidRPr="00BB4D40">
        <w:rPr>
          <w:rFonts w:ascii="Times New Roman" w:hAnsi="Times New Roman" w:cs="Times New Roman"/>
          <w:bCs/>
          <w:sz w:val="28"/>
          <w:szCs w:val="28"/>
          <w:lang w:val="nl-NL"/>
        </w:rPr>
        <w:t>trillion VND, accounting for 77.</w:t>
      </w:r>
      <w:r>
        <w:rPr>
          <w:rFonts w:ascii="Times New Roman" w:hAnsi="Times New Roman" w:cs="Times New Roman"/>
          <w:bCs/>
          <w:sz w:val="28"/>
          <w:szCs w:val="28"/>
          <w:lang w:val="nl-NL"/>
        </w:rPr>
        <w:t>1</w:t>
      </w:r>
      <w:r w:rsidRPr="00BB4D40">
        <w:rPr>
          <w:rFonts w:ascii="Times New Roman" w:hAnsi="Times New Roman" w:cs="Times New Roman"/>
          <w:bCs/>
          <w:sz w:val="28"/>
          <w:szCs w:val="28"/>
          <w:lang w:val="nl-NL"/>
        </w:rPr>
        <w:t>% of the total retail sales of consumer goods and services and up 7.</w:t>
      </w:r>
      <w:r>
        <w:rPr>
          <w:rFonts w:ascii="Times New Roman" w:hAnsi="Times New Roman" w:cs="Times New Roman"/>
          <w:bCs/>
          <w:sz w:val="28"/>
          <w:szCs w:val="28"/>
          <w:lang w:val="nl-NL"/>
        </w:rPr>
        <w:t>3</w:t>
      </w:r>
      <w:r w:rsidRPr="00BB4D40">
        <w:rPr>
          <w:rFonts w:ascii="Times New Roman" w:hAnsi="Times New Roman" w:cs="Times New Roman"/>
          <w:bCs/>
          <w:sz w:val="28"/>
          <w:szCs w:val="28"/>
          <w:lang w:val="nl-NL"/>
        </w:rPr>
        <w:t>% over the same period last year (</w:t>
      </w:r>
      <w:r w:rsidRPr="00BB4D40">
        <w:rPr>
          <w:rFonts w:ascii="Times New Roman" w:hAnsi="Times New Roman" w:cs="Times New Roman"/>
          <w:color w:val="000000" w:themeColor="text1"/>
          <w:sz w:val="28"/>
          <w:szCs w:val="28"/>
          <w:lang w:val="it-IT"/>
        </w:rPr>
        <w:t>if excluding the price factor, up 4.</w:t>
      </w:r>
      <w:r>
        <w:rPr>
          <w:rFonts w:ascii="Times New Roman" w:hAnsi="Times New Roman" w:cs="Times New Roman"/>
          <w:color w:val="000000" w:themeColor="text1"/>
          <w:sz w:val="28"/>
          <w:szCs w:val="28"/>
          <w:lang w:val="it-IT"/>
        </w:rPr>
        <w:t>6</w:t>
      </w:r>
      <w:r w:rsidRPr="00BB4D40">
        <w:rPr>
          <w:rFonts w:ascii="Times New Roman" w:hAnsi="Times New Roman" w:cs="Times New Roman"/>
          <w:color w:val="000000" w:themeColor="text1"/>
          <w:sz w:val="28"/>
          <w:szCs w:val="28"/>
          <w:lang w:val="it-IT"/>
        </w:rPr>
        <w:t>%)</w:t>
      </w:r>
      <w:r w:rsidRPr="00BB4D40">
        <w:rPr>
          <w:rFonts w:ascii="Times New Roman" w:hAnsi="Times New Roman" w:cs="Times New Roman"/>
          <w:bCs/>
          <w:sz w:val="28"/>
          <w:szCs w:val="28"/>
          <w:lang w:val="nl-NL"/>
        </w:rPr>
        <w:t>. In which, food and foodstuffs increased by 10.</w:t>
      </w:r>
      <w:r>
        <w:rPr>
          <w:rFonts w:ascii="Times New Roman" w:hAnsi="Times New Roman" w:cs="Times New Roman"/>
          <w:bCs/>
          <w:sz w:val="28"/>
          <w:szCs w:val="28"/>
          <w:lang w:val="nl-NL"/>
        </w:rPr>
        <w:t>2</w:t>
      </w:r>
      <w:r w:rsidRPr="00BB4D40">
        <w:rPr>
          <w:rFonts w:ascii="Times New Roman" w:hAnsi="Times New Roman" w:cs="Times New Roman"/>
          <w:bCs/>
          <w:sz w:val="28"/>
          <w:szCs w:val="28"/>
          <w:lang w:val="nl-NL"/>
        </w:rPr>
        <w:t xml:space="preserve">%; household appliances, tools and equipment increased by </w:t>
      </w:r>
      <w:r>
        <w:rPr>
          <w:rFonts w:ascii="Times New Roman" w:hAnsi="Times New Roman" w:cs="Times New Roman"/>
          <w:bCs/>
          <w:sz w:val="28"/>
          <w:szCs w:val="28"/>
          <w:lang w:val="nl-NL"/>
        </w:rPr>
        <w:t>10.1</w:t>
      </w:r>
      <w:r w:rsidRPr="00BB4D40">
        <w:rPr>
          <w:rFonts w:ascii="Times New Roman" w:hAnsi="Times New Roman" w:cs="Times New Roman"/>
          <w:bCs/>
          <w:sz w:val="28"/>
          <w:szCs w:val="28"/>
          <w:lang w:val="nl-NL"/>
        </w:rPr>
        <w:t xml:space="preserve">%; garment increased by </w:t>
      </w:r>
      <w:r>
        <w:rPr>
          <w:rFonts w:ascii="Times New Roman" w:hAnsi="Times New Roman" w:cs="Times New Roman"/>
          <w:bCs/>
          <w:sz w:val="28"/>
          <w:szCs w:val="28"/>
          <w:lang w:val="nl-NL"/>
        </w:rPr>
        <w:t>8.7</w:t>
      </w:r>
      <w:r w:rsidRPr="00BB4D40">
        <w:rPr>
          <w:rFonts w:ascii="Times New Roman" w:hAnsi="Times New Roman" w:cs="Times New Roman"/>
          <w:bCs/>
          <w:sz w:val="28"/>
          <w:szCs w:val="28"/>
          <w:lang w:val="nl-NL"/>
        </w:rPr>
        <w:t xml:space="preserve">%; means of transport (except for cars) rose up </w:t>
      </w:r>
      <w:r>
        <w:rPr>
          <w:rFonts w:ascii="Times New Roman" w:hAnsi="Times New Roman" w:cs="Times New Roman"/>
          <w:bCs/>
          <w:sz w:val="28"/>
          <w:szCs w:val="28"/>
          <w:shd w:val="clear" w:color="auto" w:fill="FFFFFF"/>
          <w:lang w:val="nl-NL"/>
        </w:rPr>
        <w:t>4.0</w:t>
      </w:r>
      <w:r w:rsidRPr="00BB4D40">
        <w:rPr>
          <w:rFonts w:ascii="Times New Roman" w:hAnsi="Times New Roman" w:cs="Times New Roman"/>
          <w:bCs/>
          <w:sz w:val="28"/>
          <w:szCs w:val="28"/>
          <w:shd w:val="clear" w:color="auto" w:fill="FFFFFF"/>
          <w:lang w:val="nl-NL"/>
        </w:rPr>
        <w:t xml:space="preserve">%; </w:t>
      </w:r>
      <w:r w:rsidRPr="00BB4D40">
        <w:rPr>
          <w:rFonts w:ascii="Times New Roman" w:hAnsi="Times New Roman" w:cs="Times New Roman"/>
          <w:bCs/>
          <w:sz w:val="28"/>
          <w:szCs w:val="28"/>
          <w:lang w:val="nl-NL"/>
        </w:rPr>
        <w:t xml:space="preserve">cultural and educational products increased by </w:t>
      </w:r>
      <w:r>
        <w:rPr>
          <w:rFonts w:ascii="Times New Roman" w:hAnsi="Times New Roman" w:cs="Times New Roman"/>
          <w:bCs/>
          <w:sz w:val="28"/>
          <w:szCs w:val="28"/>
          <w:shd w:val="clear" w:color="auto" w:fill="FFFFFF"/>
          <w:lang w:val="nl-NL"/>
        </w:rPr>
        <w:t>9.6</w:t>
      </w:r>
      <w:r w:rsidRPr="00BB4D40">
        <w:rPr>
          <w:rFonts w:ascii="Times New Roman" w:hAnsi="Times New Roman" w:cs="Times New Roman"/>
          <w:bCs/>
          <w:sz w:val="28"/>
          <w:szCs w:val="28"/>
          <w:shd w:val="clear" w:color="auto" w:fill="FFFFFF"/>
          <w:lang w:val="nl-NL"/>
        </w:rPr>
        <w:t xml:space="preserve">%. </w:t>
      </w:r>
      <w:r w:rsidRPr="00BB4D40">
        <w:rPr>
          <w:rFonts w:ascii="Times New Roman" w:hAnsi="Times New Roman" w:cs="Times New Roman"/>
          <w:bCs/>
          <w:sz w:val="28"/>
          <w:szCs w:val="28"/>
          <w:lang w:val="nl-NL"/>
        </w:rPr>
        <w:t>Retail sales of goods in the first five months of this year compared to the same period last year of some localities was as follows:</w:t>
      </w:r>
      <w:r w:rsidRPr="00BB4D40">
        <w:rPr>
          <w:rFonts w:ascii="Times New Roman" w:hAnsi="Times New Roman" w:cs="Times New Roman"/>
          <w:bCs/>
          <w:sz w:val="28"/>
          <w:szCs w:val="28"/>
          <w:lang w:val="it-IT"/>
        </w:rPr>
        <w:t xml:space="preserve"> </w:t>
      </w:r>
      <w:r w:rsidRPr="002E2779">
        <w:rPr>
          <w:rFonts w:ascii="Times New Roman" w:hAnsi="Times New Roman" w:cs="Times New Roman"/>
          <w:bCs/>
          <w:sz w:val="28"/>
          <w:szCs w:val="28"/>
          <w:lang w:val="it-IT"/>
        </w:rPr>
        <w:t>Quang Ninh increased by 10.6%; Hai Phong increased by 9.3%; Can Tho increased by 7.7%; Da Nang increased by 7.6%; Ho Chi Minh City increased by 6.8%, Ha</w:t>
      </w:r>
      <w:r>
        <w:rPr>
          <w:rFonts w:ascii="Times New Roman" w:hAnsi="Times New Roman" w:cs="Times New Roman"/>
          <w:bCs/>
          <w:sz w:val="28"/>
          <w:szCs w:val="28"/>
          <w:lang w:val="it-IT"/>
        </w:rPr>
        <w:t xml:space="preserve"> N</w:t>
      </w:r>
      <w:r w:rsidRPr="002E2779">
        <w:rPr>
          <w:rFonts w:ascii="Times New Roman" w:hAnsi="Times New Roman" w:cs="Times New Roman"/>
          <w:bCs/>
          <w:sz w:val="28"/>
          <w:szCs w:val="28"/>
          <w:lang w:val="it-IT"/>
        </w:rPr>
        <w:t>oi increased by 6.3%.</w:t>
      </w:r>
    </w:p>
    <w:p w14:paraId="48F2FDF2" w14:textId="77777777" w:rsidR="000D286F" w:rsidRDefault="000D286F" w:rsidP="000D286F">
      <w:pPr>
        <w:pStyle w:val="HTMLPreformatted"/>
        <w:spacing w:beforeLines="40" w:before="96" w:afterLines="40" w:after="96" w:line="276" w:lineRule="auto"/>
        <w:ind w:firstLine="567"/>
        <w:jc w:val="both"/>
        <w:rPr>
          <w:rFonts w:ascii="Times New Roman" w:hAnsi="Times New Roman" w:cs="Times New Roman"/>
          <w:bCs/>
          <w:spacing w:val="-4"/>
          <w:sz w:val="28"/>
          <w:szCs w:val="28"/>
          <w:lang w:val="nl-NL"/>
        </w:rPr>
      </w:pPr>
      <w:r w:rsidRPr="00BB4D40">
        <w:rPr>
          <w:rFonts w:ascii="Times New Roman" w:hAnsi="Times New Roman" w:cs="Times New Roman"/>
          <w:bCs/>
          <w:i/>
          <w:spacing w:val="-4"/>
          <w:sz w:val="28"/>
          <w:szCs w:val="28"/>
          <w:lang w:val="nl-NL"/>
        </w:rPr>
        <w:t>Revenue from accommodation and catering services</w:t>
      </w:r>
      <w:r w:rsidRPr="00BB4D40">
        <w:rPr>
          <w:rFonts w:ascii="Times New Roman" w:hAnsi="Times New Roman" w:cs="Times New Roman"/>
          <w:bCs/>
          <w:spacing w:val="-4"/>
          <w:sz w:val="28"/>
          <w:szCs w:val="28"/>
          <w:lang w:val="nl-NL"/>
        </w:rPr>
        <w:t xml:space="preserve"> </w:t>
      </w:r>
      <w:r>
        <w:rPr>
          <w:rFonts w:ascii="Times New Roman" w:hAnsi="Times New Roman" w:cs="Times New Roman"/>
          <w:bCs/>
          <w:spacing w:val="-4"/>
          <w:sz w:val="28"/>
          <w:szCs w:val="28"/>
          <w:lang w:val="nl-NL"/>
        </w:rPr>
        <w:t>in eight months of 2024</w:t>
      </w:r>
      <w:r w:rsidRPr="00BB4D40">
        <w:rPr>
          <w:rFonts w:ascii="Times New Roman" w:hAnsi="Times New Roman" w:cs="Times New Roman"/>
          <w:bCs/>
          <w:spacing w:val="-4"/>
          <w:sz w:val="28"/>
          <w:szCs w:val="28"/>
          <w:lang w:val="nl-NL"/>
        </w:rPr>
        <w:t xml:space="preserve"> was estimated at </w:t>
      </w:r>
      <w:r>
        <w:rPr>
          <w:rFonts w:ascii="Times New Roman" w:hAnsi="Times New Roman" w:cs="Times New Roman"/>
          <w:bCs/>
          <w:spacing w:val="-4"/>
          <w:sz w:val="28"/>
          <w:szCs w:val="28"/>
          <w:shd w:val="clear" w:color="auto" w:fill="FFFFFF"/>
          <w:lang w:val="nl-NL"/>
        </w:rPr>
        <w:t>481.2</w:t>
      </w:r>
      <w:r w:rsidRPr="00BB4D40">
        <w:rPr>
          <w:rFonts w:ascii="Times New Roman" w:hAnsi="Times New Roman" w:cs="Times New Roman"/>
          <w:bCs/>
          <w:spacing w:val="-4"/>
          <w:sz w:val="28"/>
          <w:szCs w:val="28"/>
          <w:shd w:val="clear" w:color="auto" w:fill="FFFFFF"/>
          <w:lang w:val="nl-NL"/>
        </w:rPr>
        <w:t xml:space="preserve"> </w:t>
      </w:r>
      <w:r w:rsidRPr="00BB4D40">
        <w:rPr>
          <w:rFonts w:ascii="Times New Roman" w:hAnsi="Times New Roman" w:cs="Times New Roman"/>
          <w:bCs/>
          <w:spacing w:val="-4"/>
          <w:sz w:val="28"/>
          <w:szCs w:val="28"/>
          <w:lang w:val="nl-NL"/>
        </w:rPr>
        <w:t xml:space="preserve">trillion VND, accounting for </w:t>
      </w:r>
      <w:r w:rsidRPr="00BB4D40">
        <w:rPr>
          <w:rFonts w:ascii="Times New Roman" w:hAnsi="Times New Roman" w:cs="Times New Roman"/>
          <w:bCs/>
          <w:spacing w:val="-4"/>
          <w:sz w:val="28"/>
          <w:szCs w:val="28"/>
          <w:shd w:val="clear" w:color="auto" w:fill="FFFFFF"/>
          <w:lang w:val="nl-NL"/>
        </w:rPr>
        <w:t>11.</w:t>
      </w:r>
      <w:r>
        <w:rPr>
          <w:rFonts w:ascii="Times New Roman" w:hAnsi="Times New Roman" w:cs="Times New Roman"/>
          <w:bCs/>
          <w:spacing w:val="-4"/>
          <w:sz w:val="28"/>
          <w:szCs w:val="28"/>
          <w:shd w:val="clear" w:color="auto" w:fill="FFFFFF"/>
          <w:lang w:val="nl-NL"/>
        </w:rPr>
        <w:t>6</w:t>
      </w:r>
      <w:r w:rsidRPr="00BB4D40">
        <w:rPr>
          <w:rFonts w:ascii="Times New Roman" w:hAnsi="Times New Roman" w:cs="Times New Roman"/>
          <w:bCs/>
          <w:spacing w:val="-4"/>
          <w:sz w:val="28"/>
          <w:szCs w:val="28"/>
          <w:lang w:val="nl-NL"/>
        </w:rPr>
        <w:t xml:space="preserve">% and up </w:t>
      </w:r>
      <w:r>
        <w:rPr>
          <w:rFonts w:ascii="Times New Roman" w:hAnsi="Times New Roman" w:cs="Times New Roman"/>
          <w:bCs/>
          <w:spacing w:val="-4"/>
          <w:sz w:val="28"/>
          <w:szCs w:val="28"/>
          <w:shd w:val="clear" w:color="auto" w:fill="FFFFFF"/>
          <w:lang w:val="nl-NL"/>
        </w:rPr>
        <w:t>4.3</w:t>
      </w:r>
      <w:r w:rsidRPr="00BB4D40">
        <w:rPr>
          <w:rFonts w:ascii="Times New Roman" w:hAnsi="Times New Roman" w:cs="Times New Roman"/>
          <w:bCs/>
          <w:spacing w:val="-4"/>
          <w:sz w:val="28"/>
          <w:szCs w:val="28"/>
          <w:lang w:val="nl-NL"/>
        </w:rPr>
        <w:t xml:space="preserve">% over the same period last year. Revenue </w:t>
      </w:r>
      <w:r>
        <w:rPr>
          <w:rFonts w:ascii="Times New Roman" w:hAnsi="Times New Roman" w:cs="Times New Roman"/>
          <w:bCs/>
          <w:spacing w:val="-4"/>
          <w:sz w:val="28"/>
          <w:szCs w:val="28"/>
          <w:lang w:val="nl-NL"/>
        </w:rPr>
        <w:t>in eight months of 2024</w:t>
      </w:r>
      <w:r w:rsidRPr="00BB4D40">
        <w:rPr>
          <w:rFonts w:ascii="Times New Roman" w:hAnsi="Times New Roman" w:cs="Times New Roman"/>
          <w:bCs/>
          <w:spacing w:val="-4"/>
          <w:sz w:val="28"/>
          <w:szCs w:val="28"/>
          <w:lang w:val="nl-NL"/>
        </w:rPr>
        <w:t xml:space="preserve"> compared to the same period last year of some localities </w:t>
      </w:r>
      <w:r w:rsidRPr="00BB4D40">
        <w:rPr>
          <w:rFonts w:ascii="Times New Roman" w:hAnsi="Times New Roman" w:cs="Times New Roman"/>
          <w:bCs/>
          <w:sz w:val="28"/>
          <w:szCs w:val="28"/>
          <w:lang w:val="nl-NL"/>
        </w:rPr>
        <w:t>was</w:t>
      </w:r>
      <w:r w:rsidRPr="00BB4D40">
        <w:rPr>
          <w:rFonts w:ascii="Times New Roman" w:hAnsi="Times New Roman" w:cs="Times New Roman"/>
          <w:bCs/>
          <w:spacing w:val="-4"/>
          <w:sz w:val="28"/>
          <w:szCs w:val="28"/>
          <w:lang w:val="nl-NL"/>
        </w:rPr>
        <w:t xml:space="preserve"> as follows: </w:t>
      </w:r>
      <w:r w:rsidRPr="002E2779">
        <w:rPr>
          <w:rFonts w:ascii="Times New Roman" w:hAnsi="Times New Roman" w:cs="Times New Roman"/>
          <w:bCs/>
          <w:spacing w:val="-4"/>
          <w:sz w:val="28"/>
          <w:szCs w:val="28"/>
          <w:lang w:val="nl-NL"/>
        </w:rPr>
        <w:t>Quang Ninh increased by 29.1%; Da Nang increased by 23.3%; Thanh Hoa increased by 21.5%; Khanh Hoa increased by 19.1%; Hai Phong increased by 15.1%; Can Tho increased by 11.9%; Ha</w:t>
      </w:r>
      <w:r>
        <w:rPr>
          <w:rFonts w:ascii="Times New Roman" w:hAnsi="Times New Roman" w:cs="Times New Roman"/>
          <w:bCs/>
          <w:spacing w:val="-4"/>
          <w:sz w:val="28"/>
          <w:szCs w:val="28"/>
          <w:lang w:val="nl-NL"/>
        </w:rPr>
        <w:t xml:space="preserve"> N</w:t>
      </w:r>
      <w:r w:rsidRPr="002E2779">
        <w:rPr>
          <w:rFonts w:ascii="Times New Roman" w:hAnsi="Times New Roman" w:cs="Times New Roman"/>
          <w:bCs/>
          <w:spacing w:val="-4"/>
          <w:sz w:val="28"/>
          <w:szCs w:val="28"/>
          <w:lang w:val="nl-NL"/>
        </w:rPr>
        <w:t>oi increased by 11.4%; Ho Chi Minh City increased by 8.9%; Binh Duong increased by 7.9%.</w:t>
      </w:r>
    </w:p>
    <w:p w14:paraId="2D05010F" w14:textId="77777777" w:rsidR="000D286F" w:rsidRDefault="000D286F" w:rsidP="000D286F">
      <w:pPr>
        <w:pStyle w:val="HTMLPreformatted"/>
        <w:spacing w:beforeLines="40" w:before="96" w:afterLines="40" w:after="96" w:line="276" w:lineRule="auto"/>
        <w:ind w:firstLine="567"/>
        <w:jc w:val="both"/>
        <w:rPr>
          <w:rFonts w:ascii="Times New Roman" w:hAnsi="Times New Roman" w:cs="Times New Roman"/>
          <w:bCs/>
          <w:sz w:val="28"/>
          <w:szCs w:val="28"/>
          <w:lang w:val="nl-NL"/>
        </w:rPr>
      </w:pPr>
      <w:r w:rsidRPr="00BB4D40">
        <w:rPr>
          <w:rFonts w:ascii="Times New Roman" w:hAnsi="Times New Roman" w:cs="Times New Roman"/>
          <w:bCs/>
          <w:i/>
          <w:sz w:val="28"/>
          <w:szCs w:val="28"/>
          <w:lang w:val="nl-NL"/>
        </w:rPr>
        <w:t>Tourism revenue</w:t>
      </w:r>
      <w:r w:rsidRPr="00BB4D40">
        <w:rPr>
          <w:rFonts w:ascii="Times New Roman" w:hAnsi="Times New Roman" w:cs="Times New Roman"/>
          <w:bCs/>
          <w:sz w:val="28"/>
          <w:szCs w:val="28"/>
          <w:lang w:val="nl-NL"/>
        </w:rPr>
        <w:t xml:space="preserve"> </w:t>
      </w:r>
      <w:r>
        <w:rPr>
          <w:rFonts w:ascii="Times New Roman" w:hAnsi="Times New Roman" w:cs="Times New Roman"/>
          <w:bCs/>
          <w:sz w:val="28"/>
          <w:szCs w:val="28"/>
          <w:lang w:val="nl-NL"/>
        </w:rPr>
        <w:t>in eight months of 2024</w:t>
      </w:r>
      <w:r w:rsidRPr="00BB4D40">
        <w:rPr>
          <w:rFonts w:ascii="Times New Roman" w:hAnsi="Times New Roman" w:cs="Times New Roman"/>
          <w:bCs/>
          <w:sz w:val="28"/>
          <w:szCs w:val="28"/>
          <w:lang w:val="nl-NL"/>
        </w:rPr>
        <w:t xml:space="preserve"> was estimated at </w:t>
      </w:r>
      <w:r>
        <w:rPr>
          <w:rFonts w:ascii="Times New Roman" w:hAnsi="Times New Roman" w:cs="Times New Roman"/>
          <w:bCs/>
          <w:sz w:val="28"/>
          <w:szCs w:val="28"/>
          <w:lang w:val="nl-NL"/>
        </w:rPr>
        <w:t>40.9</w:t>
      </w:r>
      <w:r w:rsidRPr="00BB4D40">
        <w:rPr>
          <w:rFonts w:ascii="Times New Roman" w:hAnsi="Times New Roman" w:cs="Times New Roman"/>
          <w:bCs/>
          <w:sz w:val="28"/>
          <w:szCs w:val="28"/>
          <w:lang w:val="nl-NL"/>
        </w:rPr>
        <w:t xml:space="preserve"> trillion VND, accounting for </w:t>
      </w:r>
      <w:r>
        <w:rPr>
          <w:rFonts w:ascii="Times New Roman" w:hAnsi="Times New Roman" w:cs="Times New Roman"/>
          <w:bCs/>
          <w:sz w:val="28"/>
          <w:szCs w:val="28"/>
          <w:lang w:val="nl-NL"/>
        </w:rPr>
        <w:t>1.0</w:t>
      </w:r>
      <w:r w:rsidRPr="00BB4D40">
        <w:rPr>
          <w:rFonts w:ascii="Times New Roman" w:hAnsi="Times New Roman" w:cs="Times New Roman"/>
          <w:bCs/>
          <w:sz w:val="28"/>
          <w:szCs w:val="28"/>
          <w:lang w:val="nl-NL"/>
        </w:rPr>
        <w:t xml:space="preserve">% and up </w:t>
      </w:r>
      <w:r>
        <w:rPr>
          <w:rFonts w:ascii="Times New Roman" w:hAnsi="Times New Roman" w:cs="Times New Roman"/>
          <w:bCs/>
          <w:sz w:val="28"/>
          <w:szCs w:val="28"/>
          <w:lang w:val="nl-NL"/>
        </w:rPr>
        <w:t>26.2</w:t>
      </w:r>
      <w:r w:rsidRPr="00BB4D40">
        <w:rPr>
          <w:rFonts w:ascii="Times New Roman" w:hAnsi="Times New Roman" w:cs="Times New Roman"/>
          <w:bCs/>
          <w:sz w:val="28"/>
          <w:szCs w:val="28"/>
          <w:lang w:val="nl-NL"/>
        </w:rPr>
        <w:t xml:space="preserve">% over the same period last year. The revenue of some localities </w:t>
      </w:r>
      <w:r>
        <w:rPr>
          <w:rFonts w:ascii="Times New Roman" w:hAnsi="Times New Roman" w:cs="Times New Roman"/>
          <w:bCs/>
          <w:sz w:val="28"/>
          <w:szCs w:val="28"/>
          <w:lang w:val="nl-NL"/>
        </w:rPr>
        <w:t>in eight months of 2024</w:t>
      </w:r>
      <w:r w:rsidRPr="00BB4D40">
        <w:rPr>
          <w:rFonts w:ascii="Times New Roman" w:hAnsi="Times New Roman" w:cs="Times New Roman"/>
          <w:bCs/>
          <w:sz w:val="28"/>
          <w:szCs w:val="28"/>
          <w:lang w:val="nl-NL"/>
        </w:rPr>
        <w:t xml:space="preserve"> compared to the same period last year was as follows: </w:t>
      </w:r>
      <w:r w:rsidRPr="002E2779">
        <w:rPr>
          <w:rFonts w:ascii="Times New Roman" w:hAnsi="Times New Roman" w:cs="Times New Roman"/>
          <w:bCs/>
          <w:sz w:val="28"/>
          <w:szCs w:val="28"/>
          <w:lang w:val="nl-NL"/>
        </w:rPr>
        <w:t>Ho Chi Minh City increased by 42.2%; Da Nang increased by 38.6%; Can Tho increased by 33.7%; Ha</w:t>
      </w:r>
      <w:r>
        <w:rPr>
          <w:rFonts w:ascii="Times New Roman" w:hAnsi="Times New Roman" w:cs="Times New Roman"/>
          <w:bCs/>
          <w:sz w:val="28"/>
          <w:szCs w:val="28"/>
          <w:lang w:val="nl-NL"/>
        </w:rPr>
        <w:t xml:space="preserve"> N</w:t>
      </w:r>
      <w:r w:rsidRPr="002E2779">
        <w:rPr>
          <w:rFonts w:ascii="Times New Roman" w:hAnsi="Times New Roman" w:cs="Times New Roman"/>
          <w:bCs/>
          <w:sz w:val="28"/>
          <w:szCs w:val="28"/>
          <w:lang w:val="nl-NL"/>
        </w:rPr>
        <w:t>oi increased by 29.7%; Quang Ninh increased by 21.0%; Binh Duong increased by 18.5%.</w:t>
      </w:r>
    </w:p>
    <w:p w14:paraId="3406759D" w14:textId="77777777" w:rsidR="000D286F" w:rsidRPr="00BB4D40" w:rsidRDefault="000D286F" w:rsidP="000D286F">
      <w:pPr>
        <w:pStyle w:val="HTMLPreformatted"/>
        <w:spacing w:beforeLines="40" w:before="96" w:afterLines="40" w:after="96" w:line="276" w:lineRule="auto"/>
        <w:ind w:firstLine="567"/>
        <w:jc w:val="both"/>
        <w:rPr>
          <w:rFonts w:ascii="Times New Roman" w:hAnsi="Times New Roman" w:cs="Times New Roman"/>
          <w:bCs/>
          <w:sz w:val="28"/>
          <w:szCs w:val="28"/>
          <w:lang w:val="nl-NL"/>
        </w:rPr>
      </w:pPr>
      <w:r w:rsidRPr="00BB4D40">
        <w:rPr>
          <w:rFonts w:ascii="Times New Roman" w:hAnsi="Times New Roman" w:cs="Times New Roman"/>
          <w:bCs/>
          <w:i/>
          <w:sz w:val="28"/>
          <w:szCs w:val="28"/>
          <w:lang w:val="nl-NL"/>
        </w:rPr>
        <w:t>Other service revenue</w:t>
      </w:r>
      <w:r w:rsidRPr="00BB4D40">
        <w:rPr>
          <w:rFonts w:ascii="Times New Roman" w:hAnsi="Times New Roman" w:cs="Times New Roman"/>
          <w:bCs/>
          <w:sz w:val="28"/>
          <w:szCs w:val="28"/>
          <w:lang w:val="nl-NL"/>
        </w:rPr>
        <w:t xml:space="preserve"> </w:t>
      </w:r>
      <w:r>
        <w:rPr>
          <w:rFonts w:ascii="Times New Roman" w:hAnsi="Times New Roman" w:cs="Times New Roman"/>
          <w:bCs/>
          <w:sz w:val="28"/>
          <w:szCs w:val="28"/>
          <w:lang w:val="nl-NL"/>
        </w:rPr>
        <w:t>in eight months of 2024</w:t>
      </w:r>
      <w:r w:rsidRPr="00BB4D40">
        <w:rPr>
          <w:rFonts w:ascii="Times New Roman" w:hAnsi="Times New Roman" w:cs="Times New Roman"/>
          <w:bCs/>
          <w:sz w:val="28"/>
          <w:szCs w:val="28"/>
          <w:lang w:val="nl-NL"/>
        </w:rPr>
        <w:t xml:space="preserve"> was estimated at </w:t>
      </w:r>
      <w:r>
        <w:rPr>
          <w:rFonts w:ascii="Times New Roman" w:hAnsi="Times New Roman" w:cs="Times New Roman"/>
          <w:sz w:val="28"/>
          <w:szCs w:val="28"/>
          <w:lang w:val="nl-NL"/>
        </w:rPr>
        <w:t>426.6</w:t>
      </w:r>
      <w:r w:rsidRPr="00BB4D40">
        <w:rPr>
          <w:rFonts w:ascii="Times New Roman" w:hAnsi="Times New Roman" w:cs="Times New Roman"/>
          <w:sz w:val="28"/>
          <w:szCs w:val="28"/>
          <w:lang w:val="nl-NL"/>
        </w:rPr>
        <w:t xml:space="preserve"> </w:t>
      </w:r>
      <w:r w:rsidRPr="00BB4D40">
        <w:rPr>
          <w:rFonts w:ascii="Times New Roman" w:hAnsi="Times New Roman" w:cs="Times New Roman"/>
          <w:bCs/>
          <w:sz w:val="28"/>
          <w:szCs w:val="28"/>
          <w:lang w:val="nl-NL"/>
        </w:rPr>
        <w:t xml:space="preserve">trillion VND, accounting for </w:t>
      </w:r>
      <w:r w:rsidRPr="00BB4D40">
        <w:rPr>
          <w:rFonts w:ascii="Times New Roman" w:hAnsi="Times New Roman" w:cs="Times New Roman"/>
          <w:sz w:val="28"/>
          <w:szCs w:val="28"/>
          <w:lang w:val="nl-NL"/>
        </w:rPr>
        <w:t>10.</w:t>
      </w:r>
      <w:r>
        <w:rPr>
          <w:rFonts w:ascii="Times New Roman" w:hAnsi="Times New Roman" w:cs="Times New Roman"/>
          <w:sz w:val="28"/>
          <w:szCs w:val="28"/>
          <w:lang w:val="nl-NL"/>
        </w:rPr>
        <w:t>3</w:t>
      </w:r>
      <w:r w:rsidRPr="00BB4D40">
        <w:rPr>
          <w:rFonts w:ascii="Times New Roman" w:hAnsi="Times New Roman" w:cs="Times New Roman"/>
          <w:bCs/>
          <w:sz w:val="28"/>
          <w:szCs w:val="28"/>
          <w:lang w:val="nl-NL"/>
        </w:rPr>
        <w:t xml:space="preserve">% and up </w:t>
      </w:r>
      <w:r>
        <w:rPr>
          <w:rFonts w:ascii="Times New Roman" w:hAnsi="Times New Roman" w:cs="Times New Roman"/>
          <w:sz w:val="28"/>
          <w:szCs w:val="28"/>
          <w:lang w:val="nl-NL"/>
        </w:rPr>
        <w:t>9.4</w:t>
      </w:r>
      <w:r w:rsidRPr="00BB4D40">
        <w:rPr>
          <w:rFonts w:ascii="Times New Roman" w:hAnsi="Times New Roman" w:cs="Times New Roman"/>
          <w:bCs/>
          <w:sz w:val="28"/>
          <w:szCs w:val="28"/>
          <w:lang w:val="nl-NL"/>
        </w:rPr>
        <w:t xml:space="preserve">% over the same period last year. </w:t>
      </w:r>
      <w:bookmarkEnd w:id="6"/>
      <w:r w:rsidRPr="00BB4D40">
        <w:rPr>
          <w:rFonts w:ascii="Times New Roman" w:hAnsi="Times New Roman" w:cs="Times New Roman"/>
          <w:bCs/>
          <w:sz w:val="28"/>
          <w:szCs w:val="28"/>
          <w:lang w:val="nl-NL"/>
        </w:rPr>
        <w:t xml:space="preserve">Revenue </w:t>
      </w:r>
      <w:r>
        <w:rPr>
          <w:rFonts w:ascii="Times New Roman" w:hAnsi="Times New Roman" w:cs="Times New Roman"/>
          <w:bCs/>
          <w:sz w:val="28"/>
          <w:szCs w:val="28"/>
          <w:lang w:val="nl-NL"/>
        </w:rPr>
        <w:t>in eight months of 2024</w:t>
      </w:r>
      <w:r w:rsidRPr="00BB4D40">
        <w:rPr>
          <w:rFonts w:ascii="Times New Roman" w:hAnsi="Times New Roman" w:cs="Times New Roman"/>
          <w:bCs/>
          <w:sz w:val="28"/>
          <w:szCs w:val="28"/>
          <w:lang w:val="nl-NL"/>
        </w:rPr>
        <w:t xml:space="preserve"> of some localities was as follows: </w:t>
      </w:r>
      <w:r w:rsidRPr="002E2779">
        <w:rPr>
          <w:rFonts w:ascii="Times New Roman" w:hAnsi="Times New Roman" w:cs="Times New Roman"/>
          <w:bCs/>
          <w:sz w:val="28"/>
          <w:szCs w:val="28"/>
          <w:lang w:val="nl-NL"/>
        </w:rPr>
        <w:t>Khanh Hoa increased by 22.8%; Can Tho increased by 10.4%; Ha</w:t>
      </w:r>
      <w:r>
        <w:rPr>
          <w:rFonts w:ascii="Times New Roman" w:hAnsi="Times New Roman" w:cs="Times New Roman"/>
          <w:bCs/>
          <w:sz w:val="28"/>
          <w:szCs w:val="28"/>
          <w:lang w:val="nl-NL"/>
        </w:rPr>
        <w:t xml:space="preserve"> N</w:t>
      </w:r>
      <w:r w:rsidRPr="002E2779">
        <w:rPr>
          <w:rFonts w:ascii="Times New Roman" w:hAnsi="Times New Roman" w:cs="Times New Roman"/>
          <w:bCs/>
          <w:sz w:val="28"/>
          <w:szCs w:val="28"/>
          <w:lang w:val="nl-NL"/>
        </w:rPr>
        <w:t>oi increased by 8.0%; Ho Chi Minh City increased by 7.0%; Bac Lieu decreased by 1.0%; Quang Ninh decreased by 1.9%.</w:t>
      </w:r>
      <w:r>
        <w:rPr>
          <w:rFonts w:ascii="Times New Roman" w:hAnsi="Times New Roman" w:cs="Times New Roman"/>
          <w:bCs/>
          <w:sz w:val="28"/>
          <w:szCs w:val="28"/>
          <w:lang w:val="nl-NL"/>
        </w:rPr>
        <w:t xml:space="preserve"> </w:t>
      </w:r>
    </w:p>
    <w:p w14:paraId="627F2900" w14:textId="77777777" w:rsidR="000D286F" w:rsidRPr="00BF0DCD" w:rsidRDefault="000D286F" w:rsidP="000D286F">
      <w:pPr>
        <w:tabs>
          <w:tab w:val="left" w:pos="900"/>
        </w:tabs>
        <w:spacing w:before="40" w:after="40" w:line="288" w:lineRule="auto"/>
        <w:ind w:firstLine="562"/>
        <w:jc w:val="both"/>
        <w:rPr>
          <w:rStyle w:val="Strong"/>
          <w:rFonts w:eastAsia="Calibri"/>
          <w:i/>
          <w:iCs/>
        </w:rPr>
      </w:pPr>
      <w:r>
        <w:rPr>
          <w:rStyle w:val="Strong"/>
          <w:rFonts w:eastAsia="Calibri"/>
          <w:i/>
          <w:iCs/>
          <w:color w:val="000000" w:themeColor="text1"/>
          <w:lang w:val="de-DE"/>
        </w:rPr>
        <w:t>b</w:t>
      </w:r>
      <w:r w:rsidRPr="00BC5895">
        <w:rPr>
          <w:rStyle w:val="Strong"/>
          <w:rFonts w:eastAsia="Calibri"/>
          <w:i/>
          <w:iCs/>
          <w:color w:val="000000" w:themeColor="text1"/>
          <w:lang w:val="de-DE"/>
        </w:rPr>
        <w:t xml:space="preserve">) </w:t>
      </w:r>
      <w:r w:rsidRPr="00BF0DCD">
        <w:rPr>
          <w:rStyle w:val="Strong"/>
          <w:rFonts w:eastAsia="Calibri"/>
          <w:i/>
          <w:iCs/>
        </w:rPr>
        <w:t>Export and import of goods</w:t>
      </w:r>
      <w:r w:rsidRPr="006F47C2">
        <w:rPr>
          <w:b/>
          <w:bCs/>
          <w:i/>
          <w:iCs/>
          <w:vertAlign w:val="superscript"/>
        </w:rPr>
        <w:footnoteReference w:id="14"/>
      </w:r>
    </w:p>
    <w:p w14:paraId="4354CE59" w14:textId="77777777" w:rsidR="000D286F" w:rsidRPr="00405AE1" w:rsidRDefault="000D286F" w:rsidP="000D286F">
      <w:pPr>
        <w:tabs>
          <w:tab w:val="left" w:pos="900"/>
          <w:tab w:val="left" w:pos="9475"/>
        </w:tabs>
        <w:spacing w:before="120" w:after="120" w:line="288" w:lineRule="auto"/>
        <w:ind w:right="119" w:firstLine="567"/>
        <w:jc w:val="both"/>
        <w:rPr>
          <w:rFonts w:ascii="Times New Roman Italic" w:hAnsi="Times New Roman Italic"/>
          <w:i/>
          <w:lang w:val="es-NI"/>
        </w:rPr>
      </w:pPr>
      <w:r w:rsidRPr="00F351F4">
        <w:rPr>
          <w:rFonts w:ascii="Times New Roman Italic" w:hAnsi="Times New Roman Italic"/>
          <w:i/>
          <w:lang w:val="de-DE"/>
        </w:rPr>
        <w:t xml:space="preserve">Total </w:t>
      </w:r>
      <w:r>
        <w:rPr>
          <w:rFonts w:ascii="Times New Roman Italic" w:hAnsi="Times New Roman Italic"/>
          <w:i/>
          <w:lang w:val="de-DE"/>
        </w:rPr>
        <w:t>ex</w:t>
      </w:r>
      <w:r w:rsidRPr="00F351F4">
        <w:rPr>
          <w:rFonts w:ascii="Times New Roman Italic" w:hAnsi="Times New Roman Italic"/>
          <w:i/>
          <w:lang w:val="de-DE"/>
        </w:rPr>
        <w:t xml:space="preserve">port and </w:t>
      </w:r>
      <w:r>
        <w:rPr>
          <w:rFonts w:ascii="Times New Roman Italic" w:hAnsi="Times New Roman Italic"/>
          <w:i/>
          <w:lang w:val="de-DE"/>
        </w:rPr>
        <w:t>im</w:t>
      </w:r>
      <w:r w:rsidRPr="00F351F4">
        <w:rPr>
          <w:rFonts w:ascii="Times New Roman Italic" w:hAnsi="Times New Roman Italic"/>
          <w:i/>
          <w:lang w:val="de-DE"/>
        </w:rPr>
        <w:t>port turnover of goods</w:t>
      </w:r>
      <w:r w:rsidRPr="006F47C2">
        <w:rPr>
          <w:rFonts w:ascii="Times New Roman Italic" w:hAnsi="Times New Roman Italic"/>
          <w:i/>
          <w:iCs/>
          <w:vertAlign w:val="superscript"/>
        </w:rPr>
        <w:footnoteReference w:id="15"/>
      </w:r>
      <w:r w:rsidRPr="00F351F4">
        <w:rPr>
          <w:rFonts w:ascii="Times New Roman Italic" w:hAnsi="Times New Roman Italic"/>
          <w:i/>
          <w:lang w:val="de-DE"/>
        </w:rPr>
        <w:t xml:space="preserve"> in </w:t>
      </w:r>
      <w:r>
        <w:rPr>
          <w:rFonts w:ascii="Times New Roman Italic" w:hAnsi="Times New Roman Italic"/>
          <w:i/>
          <w:lang w:val="de-DE"/>
        </w:rPr>
        <w:t>8/2024</w:t>
      </w:r>
      <w:r w:rsidRPr="00F351F4">
        <w:rPr>
          <w:rFonts w:ascii="Times New Roman Italic" w:hAnsi="Times New Roman Italic"/>
          <w:i/>
          <w:lang w:val="de-DE"/>
        </w:rPr>
        <w:t xml:space="preserve"> was estimated at </w:t>
      </w:r>
      <w:r>
        <w:rPr>
          <w:rFonts w:ascii="Times New Roman Italic" w:hAnsi="Times New Roman Italic"/>
          <w:i/>
          <w:lang w:val="de-DE"/>
        </w:rPr>
        <w:t>70.65</w:t>
      </w:r>
      <w:r w:rsidRPr="00F351F4">
        <w:rPr>
          <w:rFonts w:ascii="Times New Roman Italic" w:hAnsi="Times New Roman Italic"/>
          <w:i/>
          <w:lang w:val="de-DE"/>
        </w:rPr>
        <w:t xml:space="preserve"> billion USD, </w:t>
      </w:r>
      <w:r>
        <w:rPr>
          <w:rFonts w:ascii="Times New Roman Italic" w:hAnsi="Times New Roman Italic"/>
          <w:i/>
          <w:lang w:val="de-DE"/>
        </w:rPr>
        <w:t>up</w:t>
      </w:r>
      <w:r w:rsidRPr="00F351F4">
        <w:rPr>
          <w:rFonts w:ascii="Times New Roman Italic" w:hAnsi="Times New Roman Italic"/>
          <w:i/>
          <w:lang w:val="de-DE"/>
        </w:rPr>
        <w:t xml:space="preserve"> </w:t>
      </w:r>
      <w:r>
        <w:rPr>
          <w:rFonts w:ascii="Times New Roman Italic" w:hAnsi="Times New Roman Italic"/>
          <w:i/>
          <w:lang w:val="de-DE"/>
        </w:rPr>
        <w:t>0.8</w:t>
      </w:r>
      <w:r w:rsidRPr="00F351F4">
        <w:rPr>
          <w:rFonts w:ascii="Times New Roman Italic" w:hAnsi="Times New Roman Italic"/>
          <w:i/>
          <w:lang w:val="de-DE"/>
        </w:rPr>
        <w:t xml:space="preserve">% over the previous month and </w:t>
      </w:r>
      <w:r>
        <w:rPr>
          <w:rFonts w:ascii="Times New Roman Italic" w:hAnsi="Times New Roman Italic"/>
          <w:i/>
          <w:lang w:val="de-DE"/>
        </w:rPr>
        <w:t>up</w:t>
      </w:r>
      <w:r w:rsidRPr="00F351F4">
        <w:rPr>
          <w:rFonts w:ascii="Times New Roman Italic" w:hAnsi="Times New Roman Italic"/>
          <w:i/>
          <w:lang w:val="de-DE"/>
        </w:rPr>
        <w:t xml:space="preserve"> </w:t>
      </w:r>
      <w:r>
        <w:rPr>
          <w:rFonts w:ascii="Times New Roman Italic" w:hAnsi="Times New Roman Italic"/>
          <w:i/>
          <w:lang w:val="de-DE"/>
        </w:rPr>
        <w:t>13.5</w:t>
      </w:r>
      <w:r w:rsidRPr="00F351F4">
        <w:rPr>
          <w:rFonts w:ascii="Times New Roman Italic" w:hAnsi="Times New Roman Italic"/>
          <w:i/>
          <w:lang w:val="de-DE"/>
        </w:rPr>
        <w:t xml:space="preserve">% over the same </w:t>
      </w:r>
      <w:r w:rsidRPr="00F351F4">
        <w:rPr>
          <w:rFonts w:ascii="Times New Roman Italic" w:hAnsi="Times New Roman Italic"/>
          <w:i/>
          <w:lang w:val="de-DE"/>
        </w:rPr>
        <w:lastRenderedPageBreak/>
        <w:t>period last year.</w:t>
      </w:r>
      <w:r w:rsidRPr="00CB66F1">
        <w:rPr>
          <w:rFonts w:ascii="Times New Roman Italic" w:hAnsi="Times New Roman Italic"/>
          <w:i/>
          <w:lang w:val="de-DE"/>
        </w:rPr>
        <w:t xml:space="preserve"> </w:t>
      </w:r>
      <w:r w:rsidRPr="00D25A7C">
        <w:rPr>
          <w:rFonts w:ascii="Times New Roman Italic" w:hAnsi="Times New Roman Italic"/>
          <w:i/>
          <w:lang w:val="de-DE"/>
        </w:rPr>
        <w:t xml:space="preserve">Generally, in </w:t>
      </w:r>
      <w:r>
        <w:rPr>
          <w:rFonts w:ascii="Times New Roman Italic" w:hAnsi="Times New Roman Italic"/>
          <w:i/>
          <w:lang w:val="de-DE"/>
        </w:rPr>
        <w:t>eight months</w:t>
      </w:r>
      <w:r w:rsidRPr="00D25A7C">
        <w:rPr>
          <w:rFonts w:ascii="Times New Roman Italic" w:hAnsi="Times New Roman Italic"/>
          <w:i/>
          <w:lang w:val="de-DE"/>
        </w:rPr>
        <w:t xml:space="preserve"> of 2024, the total export and import turnover of goods reached </w:t>
      </w:r>
      <w:r>
        <w:rPr>
          <w:rFonts w:ascii="Times New Roman Italic" w:hAnsi="Times New Roman Italic"/>
          <w:i/>
          <w:lang w:val="de-DE"/>
        </w:rPr>
        <w:t>511.11</w:t>
      </w:r>
      <w:r w:rsidRPr="00D25A7C">
        <w:rPr>
          <w:rFonts w:ascii="Times New Roman Italic" w:hAnsi="Times New Roman Italic"/>
          <w:i/>
          <w:lang w:val="de-DE"/>
        </w:rPr>
        <w:t xml:space="preserve"> billion USD, up 1</w:t>
      </w:r>
      <w:r>
        <w:rPr>
          <w:rFonts w:ascii="Times New Roman Italic" w:hAnsi="Times New Roman Italic"/>
          <w:i/>
          <w:lang w:val="de-DE"/>
        </w:rPr>
        <w:t>6.7</w:t>
      </w:r>
      <w:r w:rsidRPr="00D25A7C">
        <w:rPr>
          <w:rFonts w:ascii="Times New Roman Italic" w:hAnsi="Times New Roman Italic"/>
          <w:i/>
          <w:lang w:val="de-DE"/>
        </w:rPr>
        <w:t>% over the same period last year, of which exports increased by 1</w:t>
      </w:r>
      <w:r>
        <w:rPr>
          <w:rFonts w:ascii="Times New Roman Italic" w:hAnsi="Times New Roman Italic"/>
          <w:i/>
          <w:lang w:val="de-DE"/>
        </w:rPr>
        <w:t>5.8</w:t>
      </w:r>
      <w:r w:rsidRPr="00D25A7C">
        <w:rPr>
          <w:rFonts w:ascii="Times New Roman Italic" w:hAnsi="Times New Roman Italic"/>
          <w:i/>
          <w:lang w:val="de-DE"/>
        </w:rPr>
        <w:t>%; imports increased by 1</w:t>
      </w:r>
      <w:r>
        <w:rPr>
          <w:rFonts w:ascii="Times New Roman Italic" w:hAnsi="Times New Roman Italic"/>
          <w:i/>
          <w:lang w:val="de-DE"/>
        </w:rPr>
        <w:t>7.7</w:t>
      </w:r>
      <w:r w:rsidRPr="00D25A7C">
        <w:rPr>
          <w:rFonts w:ascii="Times New Roman Italic" w:hAnsi="Times New Roman Italic"/>
          <w:i/>
          <w:lang w:val="de-DE"/>
        </w:rPr>
        <w:t>%</w:t>
      </w:r>
      <w:r>
        <w:rPr>
          <w:rStyle w:val="FootnoteReference"/>
          <w:rFonts w:ascii="Times New Roman Italic" w:hAnsi="Times New Roman Italic"/>
          <w:i/>
          <w:lang w:val="de-DE"/>
        </w:rPr>
        <w:footnoteReference w:id="16"/>
      </w:r>
      <w:r w:rsidRPr="00D25A7C">
        <w:rPr>
          <w:rFonts w:ascii="Times New Roman Italic" w:hAnsi="Times New Roman Italic"/>
          <w:i/>
          <w:lang w:val="de-DE"/>
        </w:rPr>
        <w:t xml:space="preserve">. The trade balance of goods had a surplus of </w:t>
      </w:r>
      <w:r>
        <w:rPr>
          <w:rFonts w:ascii="Times New Roman Italic" w:hAnsi="Times New Roman Italic"/>
          <w:i/>
          <w:lang w:val="de-DE"/>
        </w:rPr>
        <w:t>19.07</w:t>
      </w:r>
      <w:r w:rsidRPr="00D25A7C">
        <w:rPr>
          <w:rFonts w:ascii="Times New Roman Italic" w:hAnsi="Times New Roman Italic"/>
          <w:i/>
          <w:lang w:val="de-DE"/>
        </w:rPr>
        <w:t xml:space="preserve"> billion USD.</w:t>
      </w:r>
      <w:r>
        <w:rPr>
          <w:rFonts w:ascii="Times New Roman Italic" w:hAnsi="Times New Roman Italic"/>
          <w:i/>
          <w:lang w:val="es-NI"/>
        </w:rPr>
        <w:t xml:space="preserve"> </w:t>
      </w:r>
    </w:p>
    <w:p w14:paraId="277D1502" w14:textId="77777777" w:rsidR="000D286F" w:rsidRDefault="000D286F" w:rsidP="000D286F">
      <w:pPr>
        <w:tabs>
          <w:tab w:val="left" w:pos="900"/>
          <w:tab w:val="left" w:pos="9475"/>
        </w:tabs>
        <w:spacing w:before="240" w:after="240" w:line="288" w:lineRule="auto"/>
        <w:jc w:val="center"/>
        <w:rPr>
          <w:rFonts w:ascii="Arial" w:hAnsi="Arial" w:cs="Arial"/>
          <w:b/>
          <w:bCs/>
          <w:sz w:val="24"/>
          <w:szCs w:val="24"/>
          <w:lang w:val="es-NI"/>
        </w:rPr>
      </w:pPr>
      <w:r w:rsidRPr="00D25A7C">
        <w:rPr>
          <w:rFonts w:ascii="Arial" w:hAnsi="Arial" w:cs="Arial"/>
          <w:b/>
          <w:bCs/>
          <w:sz w:val="24"/>
          <w:szCs w:val="24"/>
          <w:lang w:val="es-NI"/>
        </w:rPr>
        <w:t>Figure 1</w:t>
      </w:r>
      <w:r>
        <w:rPr>
          <w:rFonts w:ascii="Arial" w:hAnsi="Arial" w:cs="Arial"/>
          <w:b/>
          <w:bCs/>
          <w:sz w:val="24"/>
          <w:szCs w:val="24"/>
          <w:lang w:val="es-NI"/>
        </w:rPr>
        <w:t>1</w:t>
      </w:r>
      <w:r w:rsidRPr="00D25A7C">
        <w:rPr>
          <w:rFonts w:ascii="Arial" w:hAnsi="Arial" w:cs="Arial"/>
          <w:b/>
          <w:bCs/>
          <w:sz w:val="24"/>
          <w:szCs w:val="24"/>
          <w:lang w:val="es-NI"/>
        </w:rPr>
        <w:t xml:space="preserve">. Import and export of goods in </w:t>
      </w:r>
      <w:r>
        <w:rPr>
          <w:rFonts w:ascii="Arial" w:hAnsi="Arial" w:cs="Arial"/>
          <w:b/>
          <w:bCs/>
          <w:sz w:val="24"/>
          <w:szCs w:val="24"/>
          <w:lang w:val="es-NI"/>
        </w:rPr>
        <w:t>8 months</w:t>
      </w:r>
      <w:r w:rsidRPr="00D25A7C">
        <w:rPr>
          <w:rFonts w:ascii="Arial" w:hAnsi="Arial" w:cs="Arial"/>
          <w:b/>
          <w:bCs/>
          <w:sz w:val="24"/>
          <w:szCs w:val="24"/>
          <w:lang w:val="es-NI"/>
        </w:rPr>
        <w:t xml:space="preserve"> of 2024</w:t>
      </w:r>
    </w:p>
    <w:p w14:paraId="049BBE0E" w14:textId="77777777" w:rsidR="000D286F" w:rsidRPr="00D25A7C" w:rsidRDefault="000D286F" w:rsidP="000D286F">
      <w:pPr>
        <w:tabs>
          <w:tab w:val="left" w:pos="900"/>
          <w:tab w:val="left" w:pos="9475"/>
        </w:tabs>
        <w:spacing w:before="240" w:after="240" w:line="288" w:lineRule="auto"/>
        <w:jc w:val="center"/>
        <w:rPr>
          <w:iCs/>
          <w:spacing w:val="2"/>
          <w:lang w:val="es-NI"/>
        </w:rPr>
      </w:pPr>
      <w:r>
        <w:rPr>
          <w:noProof/>
        </w:rPr>
        <w:drawing>
          <wp:inline distT="0" distB="0" distL="0" distR="0" wp14:anchorId="66BAE833" wp14:editId="2B6AEA09">
            <wp:extent cx="5002920" cy="1630908"/>
            <wp:effectExtent l="0" t="0" r="7620" b="7620"/>
            <wp:docPr id="18410280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28093"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010667" cy="1633433"/>
                    </a:xfrm>
                    <a:prstGeom prst="rect">
                      <a:avLst/>
                    </a:prstGeom>
                  </pic:spPr>
                </pic:pic>
              </a:graphicData>
            </a:graphic>
          </wp:inline>
        </w:drawing>
      </w:r>
    </w:p>
    <w:p w14:paraId="65D6C7C5" w14:textId="77777777" w:rsidR="000D286F" w:rsidRPr="008816F9" w:rsidRDefault="000D286F" w:rsidP="000D286F">
      <w:pPr>
        <w:tabs>
          <w:tab w:val="left" w:pos="900"/>
          <w:tab w:val="left" w:pos="9475"/>
        </w:tabs>
        <w:spacing w:before="40" w:after="40" w:line="278" w:lineRule="auto"/>
        <w:ind w:right="119" w:firstLine="567"/>
        <w:jc w:val="both"/>
        <w:rPr>
          <w:rStyle w:val="Strong"/>
          <w:rFonts w:eastAsia="Calibri"/>
          <w:i/>
          <w:iCs/>
          <w:color w:val="000000" w:themeColor="text1"/>
          <w:sz w:val="2"/>
          <w:szCs w:val="4"/>
          <w:lang w:val="de-DE"/>
        </w:rPr>
      </w:pPr>
    </w:p>
    <w:p w14:paraId="7BBAC29B" w14:textId="77777777" w:rsidR="000D286F" w:rsidRPr="00D64BE4" w:rsidRDefault="000D286F" w:rsidP="000D286F">
      <w:pPr>
        <w:tabs>
          <w:tab w:val="left" w:pos="900"/>
        </w:tabs>
        <w:spacing w:after="40" w:line="288" w:lineRule="auto"/>
        <w:ind w:firstLine="561"/>
        <w:jc w:val="both"/>
        <w:rPr>
          <w:b/>
          <w:bCs/>
          <w:i/>
          <w:iCs/>
        </w:rPr>
      </w:pPr>
      <w:r w:rsidRPr="00D64BE4">
        <w:rPr>
          <w:b/>
          <w:bCs/>
          <w:i/>
          <w:iCs/>
        </w:rPr>
        <w:t>Export of goods</w:t>
      </w:r>
    </w:p>
    <w:p w14:paraId="46C89FAE" w14:textId="77777777" w:rsidR="000D286F" w:rsidRPr="00D25A7C" w:rsidRDefault="000D286F" w:rsidP="000D286F">
      <w:pPr>
        <w:tabs>
          <w:tab w:val="num" w:pos="0"/>
          <w:tab w:val="left" w:pos="9475"/>
        </w:tabs>
        <w:spacing w:beforeLines="40" w:before="96" w:afterLines="40" w:after="96" w:line="288" w:lineRule="auto"/>
        <w:ind w:right="6" w:firstLine="567"/>
        <w:jc w:val="both"/>
        <w:rPr>
          <w:bCs/>
          <w:lang w:val="de-DE"/>
        </w:rPr>
      </w:pPr>
      <w:r w:rsidRPr="00D25A7C">
        <w:rPr>
          <w:bCs/>
        </w:rPr>
        <w:t>Preliminary export turnover of goods in</w:t>
      </w:r>
      <w:r w:rsidRPr="00D25A7C">
        <w:rPr>
          <w:bCs/>
          <w:lang w:val="de-DE"/>
        </w:rPr>
        <w:t xml:space="preserve"> </w:t>
      </w:r>
      <w:r>
        <w:rPr>
          <w:bCs/>
          <w:lang w:val="de-DE"/>
        </w:rPr>
        <w:t>7/2024</w:t>
      </w:r>
      <w:r w:rsidRPr="00D25A7C">
        <w:rPr>
          <w:bCs/>
          <w:lang w:val="de-DE"/>
        </w:rPr>
        <w:t xml:space="preserve"> reached USD 3</w:t>
      </w:r>
      <w:r>
        <w:rPr>
          <w:bCs/>
          <w:lang w:val="de-DE"/>
        </w:rPr>
        <w:t>6.24</w:t>
      </w:r>
      <w:r w:rsidRPr="00D25A7C">
        <w:rPr>
          <w:bCs/>
          <w:lang w:val="de-DE"/>
        </w:rPr>
        <w:t xml:space="preserve"> billion, </w:t>
      </w:r>
      <w:r>
        <w:rPr>
          <w:bCs/>
          <w:lang w:val="de-DE"/>
        </w:rPr>
        <w:t>316</w:t>
      </w:r>
      <w:r w:rsidRPr="00D25A7C">
        <w:rPr>
          <w:bCs/>
          <w:lang w:val="de-DE"/>
        </w:rPr>
        <w:t xml:space="preserve"> million USD </w:t>
      </w:r>
      <w:r>
        <w:rPr>
          <w:bCs/>
          <w:lang w:val="de-DE"/>
        </w:rPr>
        <w:t>high</w:t>
      </w:r>
      <w:r w:rsidRPr="00D25A7C">
        <w:rPr>
          <w:bCs/>
          <w:lang w:val="de-DE"/>
        </w:rPr>
        <w:t xml:space="preserve">er than the estimated </w:t>
      </w:r>
      <w:r w:rsidRPr="00D25A7C">
        <w:rPr>
          <w:bCs/>
        </w:rPr>
        <w:t>figure</w:t>
      </w:r>
      <w:r w:rsidRPr="00D25A7C">
        <w:rPr>
          <w:bCs/>
          <w:lang w:val="de-DE"/>
        </w:rPr>
        <w:t>.</w:t>
      </w:r>
    </w:p>
    <w:p w14:paraId="19A2BB4B" w14:textId="77777777" w:rsidR="000D286F" w:rsidRPr="00D25A7C" w:rsidRDefault="000D286F" w:rsidP="000D286F">
      <w:pPr>
        <w:tabs>
          <w:tab w:val="num" w:pos="0"/>
          <w:tab w:val="left" w:pos="9475"/>
        </w:tabs>
        <w:spacing w:beforeLines="40" w:before="96" w:afterLines="40" w:after="96" w:line="288" w:lineRule="auto"/>
        <w:ind w:right="6" w:firstLine="567"/>
        <w:jc w:val="both"/>
        <w:rPr>
          <w:bCs/>
        </w:rPr>
      </w:pPr>
      <w:r w:rsidRPr="00AE72B5">
        <w:rPr>
          <w:bCs/>
          <w:i/>
          <w:iCs/>
        </w:rPr>
        <w:t>Preliminary</w:t>
      </w:r>
      <w:r w:rsidRPr="00D25A7C">
        <w:rPr>
          <w:bCs/>
          <w:i/>
          <w:iCs/>
        </w:rPr>
        <w:t xml:space="preserve"> </w:t>
      </w:r>
      <w:r>
        <w:rPr>
          <w:bCs/>
          <w:i/>
          <w:iCs/>
        </w:rPr>
        <w:t>e</w:t>
      </w:r>
      <w:r w:rsidRPr="00D25A7C">
        <w:rPr>
          <w:bCs/>
          <w:i/>
          <w:iCs/>
        </w:rPr>
        <w:t xml:space="preserve">xport turnover of goods in </w:t>
      </w:r>
      <w:r>
        <w:rPr>
          <w:bCs/>
          <w:i/>
          <w:iCs/>
        </w:rPr>
        <w:t>8/2024</w:t>
      </w:r>
      <w:r w:rsidRPr="00D25A7C">
        <w:rPr>
          <w:bCs/>
          <w:i/>
          <w:iCs/>
        </w:rPr>
        <w:t xml:space="preserve"> </w:t>
      </w:r>
      <w:r>
        <w:rPr>
          <w:bCs/>
          <w:lang w:val="de-DE"/>
        </w:rPr>
        <w:t>reached</w:t>
      </w:r>
      <w:r w:rsidRPr="00D25A7C">
        <w:rPr>
          <w:bCs/>
          <w:lang w:val="de-DE"/>
        </w:rPr>
        <w:t xml:space="preserve"> 3</w:t>
      </w:r>
      <w:r>
        <w:rPr>
          <w:bCs/>
          <w:lang w:val="de-DE"/>
        </w:rPr>
        <w:t>7.59</w:t>
      </w:r>
      <w:r w:rsidRPr="00D25A7C">
        <w:rPr>
          <w:bCs/>
          <w:lang w:val="de-DE"/>
        </w:rPr>
        <w:t xml:space="preserve"> billion USD, up </w:t>
      </w:r>
      <w:r>
        <w:rPr>
          <w:bCs/>
          <w:lang w:val="de-DE"/>
        </w:rPr>
        <w:t>3.7</w:t>
      </w:r>
      <w:r w:rsidRPr="00D25A7C">
        <w:rPr>
          <w:bCs/>
          <w:lang w:val="de-DE"/>
        </w:rPr>
        <w:t xml:space="preserve">% over the previous month. </w:t>
      </w:r>
      <w:r w:rsidRPr="00D25A7C">
        <w:rPr>
          <w:bCs/>
        </w:rPr>
        <w:t xml:space="preserve">Of which, the domestic economic sector gained </w:t>
      </w:r>
      <w:r>
        <w:rPr>
          <w:bCs/>
        </w:rPr>
        <w:t>10.84</w:t>
      </w:r>
      <w:r w:rsidRPr="00D25A7C">
        <w:rPr>
          <w:bCs/>
        </w:rPr>
        <w:t xml:space="preserve"> billion USD, increased by </w:t>
      </w:r>
      <w:r>
        <w:rPr>
          <w:bCs/>
        </w:rPr>
        <w:t>9.8</w:t>
      </w:r>
      <w:r w:rsidRPr="00D25A7C">
        <w:rPr>
          <w:bCs/>
        </w:rPr>
        <w:t>%; the FDI sector (including crude oil) reached 2</w:t>
      </w:r>
      <w:r>
        <w:rPr>
          <w:bCs/>
        </w:rPr>
        <w:t>6.75</w:t>
      </w:r>
      <w:r w:rsidRPr="00D25A7C">
        <w:rPr>
          <w:bCs/>
        </w:rPr>
        <w:t xml:space="preserve"> billion USD, increased by </w:t>
      </w:r>
      <w:r>
        <w:rPr>
          <w:bCs/>
        </w:rPr>
        <w:t>1.5</w:t>
      </w:r>
      <w:r w:rsidRPr="00D25A7C">
        <w:rPr>
          <w:bCs/>
        </w:rPr>
        <w:t xml:space="preserve">%. Compared to the same period last year, export turnover of goods in </w:t>
      </w:r>
      <w:r>
        <w:rPr>
          <w:bCs/>
        </w:rPr>
        <w:t>August</w:t>
      </w:r>
      <w:r w:rsidRPr="00D25A7C">
        <w:rPr>
          <w:bCs/>
        </w:rPr>
        <w:t xml:space="preserve"> increased by 1</w:t>
      </w:r>
      <w:r>
        <w:rPr>
          <w:bCs/>
        </w:rPr>
        <w:t>4.5</w:t>
      </w:r>
      <w:r w:rsidRPr="00D25A7C">
        <w:rPr>
          <w:bCs/>
        </w:rPr>
        <w:t xml:space="preserve">%, of which the domestic economic sector increased by </w:t>
      </w:r>
      <w:r>
        <w:rPr>
          <w:bCs/>
        </w:rPr>
        <w:t>21.3</w:t>
      </w:r>
      <w:r w:rsidRPr="00D25A7C">
        <w:rPr>
          <w:bCs/>
        </w:rPr>
        <w:t xml:space="preserve">%, the FDI sector (including crude oil) increased by </w:t>
      </w:r>
      <w:r>
        <w:rPr>
          <w:bCs/>
        </w:rPr>
        <w:t>12</w:t>
      </w:r>
      <w:r w:rsidRPr="00D25A7C">
        <w:rPr>
          <w:bCs/>
        </w:rPr>
        <w:t>%.</w:t>
      </w:r>
    </w:p>
    <w:p w14:paraId="12F7E100" w14:textId="77777777" w:rsidR="000D286F" w:rsidRPr="00D25A7C" w:rsidRDefault="000D286F" w:rsidP="000D286F">
      <w:pPr>
        <w:tabs>
          <w:tab w:val="num" w:pos="0"/>
          <w:tab w:val="left" w:pos="9475"/>
        </w:tabs>
        <w:spacing w:beforeLines="40" w:before="96" w:afterLines="40" w:after="96" w:line="288" w:lineRule="auto"/>
        <w:ind w:right="6" w:firstLine="567"/>
        <w:jc w:val="both"/>
        <w:rPr>
          <w:iCs/>
          <w:lang w:val="de-DE"/>
        </w:rPr>
      </w:pPr>
      <w:proofErr w:type="gramStart"/>
      <w:r w:rsidRPr="00D25A7C">
        <w:rPr>
          <w:i/>
          <w:iCs/>
        </w:rPr>
        <w:t>Generally</w:t>
      </w:r>
      <w:proofErr w:type="gramEnd"/>
      <w:r w:rsidRPr="00D25A7C">
        <w:rPr>
          <w:i/>
          <w:iCs/>
        </w:rPr>
        <w:t xml:space="preserve"> in</w:t>
      </w:r>
      <w:r w:rsidRPr="00D25A7C">
        <w:rPr>
          <w:i/>
          <w:iCs/>
          <w:lang w:val="de-DE"/>
        </w:rPr>
        <w:t xml:space="preserve"> </w:t>
      </w:r>
      <w:proofErr w:type="gramStart"/>
      <w:r>
        <w:rPr>
          <w:i/>
          <w:iCs/>
          <w:lang w:val="de-DE"/>
        </w:rPr>
        <w:t>eight</w:t>
      </w:r>
      <w:proofErr w:type="gramEnd"/>
      <w:r>
        <w:rPr>
          <w:i/>
          <w:iCs/>
          <w:lang w:val="de-DE"/>
        </w:rPr>
        <w:t xml:space="preserve"> months</w:t>
      </w:r>
      <w:r w:rsidRPr="00D25A7C">
        <w:rPr>
          <w:i/>
          <w:iCs/>
          <w:lang w:val="de-DE"/>
        </w:rPr>
        <w:t xml:space="preserve"> of 2024</w:t>
      </w:r>
      <w:r w:rsidRPr="00D25A7C">
        <w:rPr>
          <w:iCs/>
          <w:lang w:val="de-DE"/>
        </w:rPr>
        <w:t xml:space="preserve">, </w:t>
      </w:r>
      <w:r>
        <w:rPr>
          <w:iCs/>
          <w:lang w:val="de-DE"/>
        </w:rPr>
        <w:t>p</w:t>
      </w:r>
      <w:r w:rsidRPr="00D25A7C">
        <w:rPr>
          <w:bCs/>
        </w:rPr>
        <w:t>reliminary</w:t>
      </w:r>
      <w:r w:rsidRPr="00D25A7C">
        <w:rPr>
          <w:iCs/>
        </w:rPr>
        <w:t xml:space="preserve"> export turnover </w:t>
      </w:r>
      <w:r>
        <w:rPr>
          <w:iCs/>
        </w:rPr>
        <w:t>reached</w:t>
      </w:r>
      <w:r w:rsidRPr="00D25A7C">
        <w:rPr>
          <w:iCs/>
        </w:rPr>
        <w:t xml:space="preserve"> </w:t>
      </w:r>
      <w:r>
        <w:rPr>
          <w:iCs/>
        </w:rPr>
        <w:t>265.09</w:t>
      </w:r>
      <w:r w:rsidRPr="00D25A7C">
        <w:rPr>
          <w:iCs/>
        </w:rPr>
        <w:t xml:space="preserve"> billion</w:t>
      </w:r>
      <w:r w:rsidRPr="00D25A7C">
        <w:rPr>
          <w:bCs/>
          <w:iCs/>
        </w:rPr>
        <w:t xml:space="preserve"> USD</w:t>
      </w:r>
      <w:r w:rsidRPr="00D25A7C">
        <w:rPr>
          <w:iCs/>
        </w:rPr>
        <w:t>, increased by 1</w:t>
      </w:r>
      <w:r>
        <w:rPr>
          <w:iCs/>
        </w:rPr>
        <w:t>5.8</w:t>
      </w:r>
      <w:r w:rsidRPr="00D25A7C">
        <w:rPr>
          <w:iCs/>
        </w:rPr>
        <w:t xml:space="preserve">% over </w:t>
      </w:r>
      <w:r w:rsidRPr="00D25A7C">
        <w:rPr>
          <w:bCs/>
          <w:iCs/>
        </w:rPr>
        <w:t>the same period last year</w:t>
      </w:r>
      <w:r w:rsidRPr="00D25A7C">
        <w:rPr>
          <w:iCs/>
        </w:rPr>
        <w:t xml:space="preserve">. Of which, the domestic economic sector </w:t>
      </w:r>
      <w:r w:rsidRPr="00D25A7C">
        <w:rPr>
          <w:bCs/>
          <w:iCs/>
        </w:rPr>
        <w:t>was</w:t>
      </w:r>
      <w:r w:rsidRPr="00D25A7C">
        <w:rPr>
          <w:iCs/>
        </w:rPr>
        <w:t xml:space="preserve"> </w:t>
      </w:r>
      <w:r>
        <w:rPr>
          <w:iCs/>
        </w:rPr>
        <w:t>73.88</w:t>
      </w:r>
      <w:r w:rsidRPr="00D25A7C">
        <w:rPr>
          <w:iCs/>
        </w:rPr>
        <w:t xml:space="preserve"> billion USD, went up 2</w:t>
      </w:r>
      <w:r>
        <w:rPr>
          <w:iCs/>
        </w:rPr>
        <w:t>1</w:t>
      </w:r>
      <w:r w:rsidRPr="00D25A7C">
        <w:rPr>
          <w:iCs/>
        </w:rPr>
        <w:t>%, accounting for 2</w:t>
      </w:r>
      <w:r>
        <w:rPr>
          <w:iCs/>
        </w:rPr>
        <w:t>7.9</w:t>
      </w:r>
      <w:r w:rsidRPr="00D25A7C">
        <w:rPr>
          <w:iCs/>
        </w:rPr>
        <w:t>% of total export turnover; the FDI sector (including crude oil) attained 1</w:t>
      </w:r>
      <w:r>
        <w:rPr>
          <w:iCs/>
        </w:rPr>
        <w:t>91.21</w:t>
      </w:r>
      <w:r w:rsidRPr="00D25A7C">
        <w:rPr>
          <w:iCs/>
        </w:rPr>
        <w:t>billion USD, increased by 13</w:t>
      </w:r>
      <w:r>
        <w:rPr>
          <w:iCs/>
        </w:rPr>
        <w:t>.9</w:t>
      </w:r>
      <w:r w:rsidRPr="00D25A7C">
        <w:rPr>
          <w:iCs/>
        </w:rPr>
        <w:t>%, sharing 7</w:t>
      </w:r>
      <w:r>
        <w:rPr>
          <w:iCs/>
        </w:rPr>
        <w:t>2.1</w:t>
      </w:r>
      <w:r w:rsidRPr="00D25A7C">
        <w:rPr>
          <w:iCs/>
        </w:rPr>
        <w:t>%.</w:t>
      </w:r>
      <w:r w:rsidRPr="00D25A7C">
        <w:rPr>
          <w:iCs/>
          <w:lang w:val="de-DE"/>
        </w:rPr>
        <w:t xml:space="preserve"> </w:t>
      </w:r>
    </w:p>
    <w:p w14:paraId="4A7F6BAE" w14:textId="77777777" w:rsidR="000D286F" w:rsidRPr="00D25A7C" w:rsidRDefault="000D286F" w:rsidP="000D286F">
      <w:pPr>
        <w:tabs>
          <w:tab w:val="num" w:pos="0"/>
        </w:tabs>
        <w:spacing w:beforeLines="40" w:before="96" w:afterLines="40" w:after="96" w:line="288" w:lineRule="auto"/>
        <w:ind w:right="6" w:firstLine="567"/>
        <w:jc w:val="both"/>
        <w:rPr>
          <w:b/>
          <w:bCs/>
          <w:lang w:val="es-NI"/>
        </w:rPr>
      </w:pPr>
      <w:r w:rsidRPr="00D25A7C">
        <w:rPr>
          <w:i/>
          <w:iCs/>
          <w:lang w:val="de-DE"/>
        </w:rPr>
        <w:t xml:space="preserve">In </w:t>
      </w:r>
      <w:r>
        <w:rPr>
          <w:i/>
          <w:iCs/>
          <w:lang w:val="de-DE"/>
        </w:rPr>
        <w:t>eight months</w:t>
      </w:r>
      <w:r w:rsidRPr="00D25A7C">
        <w:rPr>
          <w:i/>
          <w:iCs/>
          <w:lang w:val="de-DE"/>
        </w:rPr>
        <w:t xml:space="preserve"> of 2024</w:t>
      </w:r>
      <w:r w:rsidRPr="00D25A7C">
        <w:rPr>
          <w:lang w:val="de-DE"/>
        </w:rPr>
        <w:t xml:space="preserve">, </w:t>
      </w:r>
      <w:r w:rsidRPr="00D25A7C">
        <w:t xml:space="preserve">there were </w:t>
      </w:r>
      <w:r>
        <w:t>30</w:t>
      </w:r>
      <w:r w:rsidRPr="00D25A7C">
        <w:t xml:space="preserve"> products with export turnover of over 1 billion USD, contributing 9</w:t>
      </w:r>
      <w:r>
        <w:t>2.3</w:t>
      </w:r>
      <w:r w:rsidRPr="00D25A7C">
        <w:t>% to the total export turnover (</w:t>
      </w:r>
      <w:r>
        <w:t>6</w:t>
      </w:r>
      <w:r w:rsidRPr="00D25A7C">
        <w:t xml:space="preserve"> products with export turnover of over </w:t>
      </w:r>
      <w:r>
        <w:t>10</w:t>
      </w:r>
      <w:r w:rsidRPr="00D25A7C">
        <w:t xml:space="preserve"> billion USD, accounting for </w:t>
      </w:r>
      <w:r>
        <w:t>62.6</w:t>
      </w:r>
      <w:r w:rsidRPr="00D25A7C">
        <w:t>%).</w:t>
      </w:r>
      <w:r w:rsidRPr="00D25A7C">
        <w:rPr>
          <w:lang w:val="de-DE"/>
        </w:rPr>
        <w:t xml:space="preserve"> </w:t>
      </w:r>
    </w:p>
    <w:p w14:paraId="1552D246" w14:textId="77777777" w:rsidR="000D286F" w:rsidRPr="00D25A7C" w:rsidRDefault="000D286F" w:rsidP="000D286F">
      <w:pPr>
        <w:tabs>
          <w:tab w:val="num" w:pos="0"/>
          <w:tab w:val="left" w:pos="9475"/>
        </w:tabs>
        <w:spacing w:beforeLines="40" w:before="96" w:afterLines="40" w:after="96" w:line="264" w:lineRule="auto"/>
        <w:ind w:right="119" w:firstLine="567"/>
        <w:jc w:val="center"/>
        <w:rPr>
          <w:rFonts w:ascii="Arial" w:hAnsi="Arial" w:cs="Arial"/>
          <w:b/>
          <w:sz w:val="24"/>
          <w:szCs w:val="20"/>
          <w:lang w:val="pl-PL"/>
        </w:rPr>
      </w:pPr>
      <w:r w:rsidRPr="00D25A7C">
        <w:rPr>
          <w:rFonts w:ascii="Arial" w:hAnsi="Arial" w:cs="Arial"/>
          <w:b/>
          <w:sz w:val="24"/>
          <w:szCs w:val="20"/>
          <w:lang w:val="pl-PL"/>
        </w:rPr>
        <w:t xml:space="preserve">Table </w:t>
      </w:r>
      <w:r>
        <w:rPr>
          <w:rFonts w:ascii="Arial" w:hAnsi="Arial" w:cs="Arial"/>
          <w:b/>
          <w:sz w:val="24"/>
          <w:szCs w:val="20"/>
          <w:lang w:val="pl-PL"/>
        </w:rPr>
        <w:t>4</w:t>
      </w:r>
      <w:r w:rsidRPr="00D25A7C">
        <w:rPr>
          <w:rFonts w:ascii="Arial" w:hAnsi="Arial" w:cs="Arial"/>
          <w:b/>
          <w:sz w:val="24"/>
          <w:szCs w:val="20"/>
          <w:lang w:val="pl-PL"/>
        </w:rPr>
        <w:t xml:space="preserve">. Value of some export products in </w:t>
      </w:r>
      <w:r>
        <w:rPr>
          <w:rFonts w:ascii="Arial" w:hAnsi="Arial" w:cs="Arial"/>
          <w:b/>
          <w:sz w:val="24"/>
          <w:szCs w:val="20"/>
          <w:lang w:val="pl-PL"/>
        </w:rPr>
        <w:t>8 months</w:t>
      </w:r>
      <w:r w:rsidRPr="00D25A7C">
        <w:rPr>
          <w:rFonts w:ascii="Arial" w:hAnsi="Arial" w:cs="Arial"/>
          <w:b/>
          <w:sz w:val="24"/>
          <w:szCs w:val="20"/>
          <w:lang w:val="pl-PL"/>
        </w:rPr>
        <w:t xml:space="preserve"> of 2024</w:t>
      </w:r>
    </w:p>
    <w:tbl>
      <w:tblPr>
        <w:tblStyle w:val="TableGrid1"/>
        <w:tblW w:w="9711"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92"/>
        <w:gridCol w:w="1657"/>
        <w:gridCol w:w="3162"/>
      </w:tblGrid>
      <w:tr w:rsidR="000D286F" w:rsidRPr="00D25A7C" w14:paraId="3B753C3A" w14:textId="77777777" w:rsidTr="00E445BD">
        <w:trPr>
          <w:trHeight w:val="781"/>
        </w:trPr>
        <w:tc>
          <w:tcPr>
            <w:tcW w:w="4892" w:type="dxa"/>
          </w:tcPr>
          <w:p w14:paraId="255975AA" w14:textId="77777777" w:rsidR="000D286F" w:rsidRPr="00D25A7C" w:rsidRDefault="000D286F" w:rsidP="00E445BD">
            <w:pPr>
              <w:tabs>
                <w:tab w:val="num" w:pos="0"/>
                <w:tab w:val="left" w:pos="9475"/>
              </w:tabs>
              <w:spacing w:before="40" w:after="40" w:line="288" w:lineRule="auto"/>
              <w:ind w:right="119"/>
              <w:jc w:val="right"/>
              <w:rPr>
                <w:rFonts w:ascii="Arial" w:hAnsi="Arial" w:cs="Arial"/>
                <w:b/>
                <w:bCs/>
                <w:i/>
                <w:iCs/>
                <w:sz w:val="20"/>
                <w:szCs w:val="20"/>
              </w:rPr>
            </w:pPr>
          </w:p>
        </w:tc>
        <w:tc>
          <w:tcPr>
            <w:tcW w:w="1657" w:type="dxa"/>
            <w:tcBorders>
              <w:top w:val="single" w:sz="4" w:space="0" w:color="auto"/>
              <w:bottom w:val="single" w:sz="4" w:space="0" w:color="auto"/>
            </w:tcBorders>
          </w:tcPr>
          <w:p w14:paraId="7403B101" w14:textId="77777777" w:rsidR="000D286F" w:rsidRPr="00D25A7C" w:rsidRDefault="000D286F" w:rsidP="00E445BD">
            <w:pPr>
              <w:spacing w:before="40" w:after="40" w:line="288" w:lineRule="auto"/>
              <w:jc w:val="center"/>
              <w:rPr>
                <w:rFonts w:ascii="Arial" w:hAnsi="Arial" w:cs="Arial"/>
                <w:color w:val="000000"/>
                <w:sz w:val="20"/>
                <w:szCs w:val="20"/>
              </w:rPr>
            </w:pPr>
            <w:r w:rsidRPr="00D25A7C">
              <w:rPr>
                <w:rFonts w:ascii="Arial" w:hAnsi="Arial" w:cs="Arial"/>
                <w:color w:val="000000"/>
                <w:sz w:val="20"/>
                <w:szCs w:val="20"/>
                <w:lang w:val="en-US"/>
              </w:rPr>
              <w:t>Estimate</w:t>
            </w:r>
          </w:p>
          <w:p w14:paraId="4CAA60AF" w14:textId="77777777" w:rsidR="000D286F" w:rsidRPr="00D25A7C" w:rsidRDefault="000D286F" w:rsidP="00E445BD">
            <w:pPr>
              <w:spacing w:before="40" w:after="40" w:line="288" w:lineRule="auto"/>
              <w:jc w:val="center"/>
              <w:rPr>
                <w:rFonts w:ascii="Arial" w:hAnsi="Arial" w:cs="Arial"/>
                <w:b/>
                <w:bCs/>
                <w:i/>
                <w:iCs/>
                <w:sz w:val="20"/>
                <w:szCs w:val="20"/>
              </w:rPr>
            </w:pPr>
            <w:r w:rsidRPr="00D25A7C">
              <w:rPr>
                <w:rFonts w:ascii="Arial" w:hAnsi="Arial" w:cs="Arial"/>
                <w:i/>
                <w:iCs/>
                <w:color w:val="000000"/>
                <w:sz w:val="20"/>
                <w:szCs w:val="20"/>
                <w:lang w:val="en-US"/>
              </w:rPr>
              <w:t>(Mill. USD)</w:t>
            </w:r>
          </w:p>
        </w:tc>
        <w:tc>
          <w:tcPr>
            <w:tcW w:w="3162" w:type="dxa"/>
            <w:tcBorders>
              <w:top w:val="single" w:sz="4" w:space="0" w:color="auto"/>
              <w:bottom w:val="single" w:sz="4" w:space="0" w:color="auto"/>
            </w:tcBorders>
          </w:tcPr>
          <w:p w14:paraId="3F4BF403" w14:textId="77777777" w:rsidR="000D286F" w:rsidRPr="00D25A7C" w:rsidRDefault="000D286F" w:rsidP="00E445BD">
            <w:pPr>
              <w:spacing w:before="40" w:after="40" w:line="288" w:lineRule="auto"/>
              <w:jc w:val="center"/>
              <w:rPr>
                <w:rFonts w:ascii="Arial" w:hAnsi="Arial" w:cs="Arial"/>
                <w:sz w:val="20"/>
                <w:szCs w:val="20"/>
                <w:lang w:val="en-US"/>
              </w:rPr>
            </w:pPr>
            <w:r w:rsidRPr="00D25A7C">
              <w:rPr>
                <w:rFonts w:ascii="Arial" w:hAnsi="Arial" w:cs="Arial"/>
                <w:sz w:val="20"/>
                <w:szCs w:val="20"/>
              </w:rPr>
              <w:t xml:space="preserve">Growth </w:t>
            </w:r>
            <w:proofErr w:type="gramStart"/>
            <w:r w:rsidRPr="00D25A7C">
              <w:rPr>
                <w:rFonts w:ascii="Arial" w:hAnsi="Arial" w:cs="Arial"/>
                <w:sz w:val="20"/>
                <w:szCs w:val="20"/>
              </w:rPr>
              <w:t>rate</w:t>
            </w:r>
            <w:proofErr w:type="gramEnd"/>
            <w:r w:rsidRPr="00D25A7C">
              <w:rPr>
                <w:rFonts w:ascii="Arial" w:hAnsi="Arial" w:cs="Arial"/>
                <w:sz w:val="20"/>
                <w:szCs w:val="20"/>
              </w:rPr>
              <w:t xml:space="preserve"> </w:t>
            </w:r>
            <w:r w:rsidRPr="00D25A7C">
              <w:rPr>
                <w:rFonts w:ascii="Arial" w:hAnsi="Arial" w:cs="Arial"/>
                <w:sz w:val="20"/>
                <w:szCs w:val="20"/>
                <w:lang w:val="en-US"/>
              </w:rPr>
              <w:t>compare to</w:t>
            </w:r>
          </w:p>
          <w:p w14:paraId="5FDCFA25" w14:textId="77777777" w:rsidR="000D286F" w:rsidRPr="00D25A7C" w:rsidRDefault="000D286F" w:rsidP="00E445BD">
            <w:pPr>
              <w:spacing w:before="40" w:after="40" w:line="288" w:lineRule="auto"/>
              <w:jc w:val="center"/>
              <w:rPr>
                <w:rFonts w:ascii="Arial" w:hAnsi="Arial" w:cs="Arial"/>
                <w:sz w:val="20"/>
                <w:szCs w:val="20"/>
              </w:rPr>
            </w:pPr>
            <w:r w:rsidRPr="00D25A7C">
              <w:rPr>
                <w:rFonts w:ascii="Arial" w:hAnsi="Arial" w:cs="Arial"/>
                <w:sz w:val="20"/>
                <w:szCs w:val="20"/>
                <w:lang w:val="en-US"/>
              </w:rPr>
              <w:t xml:space="preserve">the same period last year </w:t>
            </w:r>
            <w:r w:rsidRPr="00D25A7C">
              <w:rPr>
                <w:rFonts w:ascii="Arial" w:hAnsi="Arial" w:cs="Arial"/>
                <w:i/>
                <w:iCs/>
                <w:sz w:val="20"/>
                <w:szCs w:val="20"/>
                <w:lang w:val="en-US"/>
              </w:rPr>
              <w:t>(%)</w:t>
            </w:r>
          </w:p>
        </w:tc>
      </w:tr>
      <w:tr w:rsidR="000D286F" w:rsidRPr="00D25A7C" w14:paraId="56BBEED5" w14:textId="77777777" w:rsidTr="00E445BD">
        <w:trPr>
          <w:trHeight w:val="426"/>
        </w:trPr>
        <w:tc>
          <w:tcPr>
            <w:tcW w:w="4892" w:type="dxa"/>
          </w:tcPr>
          <w:p w14:paraId="1B944E4C" w14:textId="77777777" w:rsidR="000D286F" w:rsidRPr="00D25A7C" w:rsidRDefault="000D286F" w:rsidP="00E445BD">
            <w:pPr>
              <w:spacing w:before="40" w:after="40" w:line="288" w:lineRule="auto"/>
              <w:rPr>
                <w:rFonts w:ascii="Arial" w:hAnsi="Arial" w:cs="Arial"/>
                <w:b/>
                <w:bCs/>
                <w:color w:val="000000"/>
                <w:sz w:val="20"/>
                <w:szCs w:val="20"/>
              </w:rPr>
            </w:pPr>
            <w:r w:rsidRPr="00D25A7C">
              <w:rPr>
                <w:rFonts w:ascii="Arial" w:hAnsi="Arial" w:cs="Arial"/>
                <w:b/>
                <w:bCs/>
                <w:sz w:val="20"/>
                <w:szCs w:val="20"/>
              </w:rPr>
              <w:t xml:space="preserve">Items with a value of over </w:t>
            </w:r>
            <w:r>
              <w:rPr>
                <w:rFonts w:ascii="Arial" w:hAnsi="Arial" w:cs="Arial"/>
                <w:b/>
                <w:bCs/>
                <w:sz w:val="20"/>
                <w:szCs w:val="20"/>
              </w:rPr>
              <w:t>10</w:t>
            </w:r>
            <w:r w:rsidRPr="00D25A7C">
              <w:rPr>
                <w:rFonts w:ascii="Arial" w:hAnsi="Arial" w:cs="Arial"/>
                <w:b/>
                <w:bCs/>
                <w:sz w:val="20"/>
                <w:szCs w:val="20"/>
              </w:rPr>
              <w:t xml:space="preserve"> billion USD</w:t>
            </w:r>
          </w:p>
        </w:tc>
        <w:tc>
          <w:tcPr>
            <w:tcW w:w="1657" w:type="dxa"/>
            <w:tcBorders>
              <w:top w:val="single" w:sz="4" w:space="0" w:color="auto"/>
            </w:tcBorders>
          </w:tcPr>
          <w:p w14:paraId="238C6931" w14:textId="77777777" w:rsidR="000D286F" w:rsidRPr="00D25A7C" w:rsidRDefault="000D286F" w:rsidP="00E445BD">
            <w:pPr>
              <w:tabs>
                <w:tab w:val="num" w:pos="0"/>
                <w:tab w:val="left" w:pos="9475"/>
              </w:tabs>
              <w:spacing w:before="40" w:after="40" w:line="288" w:lineRule="auto"/>
              <w:ind w:right="119"/>
              <w:jc w:val="right"/>
              <w:rPr>
                <w:rFonts w:ascii="Arial" w:hAnsi="Arial" w:cs="Arial"/>
                <w:b/>
                <w:bCs/>
                <w:i/>
                <w:iCs/>
                <w:sz w:val="20"/>
                <w:szCs w:val="20"/>
              </w:rPr>
            </w:pPr>
          </w:p>
        </w:tc>
        <w:tc>
          <w:tcPr>
            <w:tcW w:w="3162" w:type="dxa"/>
            <w:tcBorders>
              <w:top w:val="single" w:sz="4" w:space="0" w:color="auto"/>
            </w:tcBorders>
          </w:tcPr>
          <w:p w14:paraId="5CAC3D63" w14:textId="77777777" w:rsidR="000D286F" w:rsidRPr="00D25A7C" w:rsidRDefault="000D286F" w:rsidP="00E445BD">
            <w:pPr>
              <w:tabs>
                <w:tab w:val="num" w:pos="0"/>
                <w:tab w:val="left" w:pos="9475"/>
              </w:tabs>
              <w:spacing w:before="40" w:after="40" w:line="288" w:lineRule="auto"/>
              <w:ind w:right="119"/>
              <w:jc w:val="right"/>
              <w:rPr>
                <w:rFonts w:ascii="Arial" w:hAnsi="Arial" w:cs="Arial"/>
                <w:b/>
                <w:bCs/>
                <w:i/>
                <w:iCs/>
                <w:sz w:val="20"/>
                <w:szCs w:val="20"/>
              </w:rPr>
            </w:pPr>
          </w:p>
        </w:tc>
      </w:tr>
      <w:tr w:rsidR="000D286F" w:rsidRPr="00D25A7C" w14:paraId="71629E5A" w14:textId="77777777" w:rsidTr="00E445BD">
        <w:trPr>
          <w:trHeight w:val="408"/>
        </w:trPr>
        <w:tc>
          <w:tcPr>
            <w:tcW w:w="4892" w:type="dxa"/>
            <w:vAlign w:val="center"/>
          </w:tcPr>
          <w:p w14:paraId="02C6427D" w14:textId="77777777" w:rsidR="000D286F" w:rsidRPr="00D25A7C" w:rsidRDefault="000D286F" w:rsidP="00E445BD">
            <w:pPr>
              <w:spacing w:before="40" w:after="40" w:line="288" w:lineRule="auto"/>
              <w:ind w:firstLine="171"/>
              <w:rPr>
                <w:rFonts w:ascii="Arial" w:hAnsi="Arial" w:cs="Arial"/>
                <w:sz w:val="20"/>
                <w:szCs w:val="20"/>
              </w:rPr>
            </w:pPr>
            <w:r w:rsidRPr="00D25A7C">
              <w:rPr>
                <w:rFonts w:ascii="Arial" w:hAnsi="Arial" w:cs="Arial"/>
                <w:sz w:val="20"/>
                <w:szCs w:val="20"/>
              </w:rPr>
              <w:t>Electronic goods, computers and their parts</w:t>
            </w:r>
          </w:p>
        </w:tc>
        <w:tc>
          <w:tcPr>
            <w:tcW w:w="1657" w:type="dxa"/>
            <w:vAlign w:val="bottom"/>
          </w:tcPr>
          <w:p w14:paraId="0AF17879" w14:textId="77777777" w:rsidR="000D286F" w:rsidRPr="00D25A7C" w:rsidRDefault="000D286F" w:rsidP="00E445BD">
            <w:pPr>
              <w:spacing w:before="40" w:after="40" w:line="288" w:lineRule="auto"/>
              <w:ind w:right="317"/>
              <w:jc w:val="right"/>
              <w:rPr>
                <w:rFonts w:ascii="Arial" w:hAnsi="Arial" w:cs="Arial"/>
                <w:sz w:val="20"/>
                <w:szCs w:val="20"/>
              </w:rPr>
            </w:pPr>
            <w:r w:rsidRPr="00AF38A3">
              <w:rPr>
                <w:rFonts w:ascii="Arial" w:hAnsi="Arial" w:cs="Arial"/>
                <w:sz w:val="20"/>
                <w:szCs w:val="20"/>
              </w:rPr>
              <w:t>46</w:t>
            </w:r>
            <w:r>
              <w:rPr>
                <w:rFonts w:ascii="Arial" w:hAnsi="Arial" w:cs="Arial"/>
                <w:sz w:val="20"/>
                <w:szCs w:val="20"/>
                <w:lang w:val="en-US"/>
              </w:rPr>
              <w:t>,</w:t>
            </w:r>
            <w:r w:rsidRPr="00AF38A3">
              <w:rPr>
                <w:rFonts w:ascii="Arial" w:hAnsi="Arial" w:cs="Arial"/>
                <w:sz w:val="20"/>
                <w:szCs w:val="20"/>
              </w:rPr>
              <w:t>325</w:t>
            </w:r>
          </w:p>
        </w:tc>
        <w:tc>
          <w:tcPr>
            <w:tcW w:w="3162" w:type="dxa"/>
            <w:vAlign w:val="bottom"/>
          </w:tcPr>
          <w:p w14:paraId="6CA7833D" w14:textId="77777777" w:rsidR="000D286F" w:rsidRPr="00D25A7C" w:rsidRDefault="000D286F" w:rsidP="00E445BD">
            <w:pPr>
              <w:tabs>
                <w:tab w:val="left" w:pos="1735"/>
              </w:tabs>
              <w:spacing w:before="40" w:after="40" w:line="288" w:lineRule="auto"/>
              <w:ind w:right="1063"/>
              <w:jc w:val="right"/>
              <w:rPr>
                <w:rFonts w:ascii="Arial" w:hAnsi="Arial" w:cs="Arial"/>
                <w:sz w:val="20"/>
                <w:szCs w:val="20"/>
              </w:rPr>
            </w:pPr>
            <w:r w:rsidRPr="00AF38A3">
              <w:rPr>
                <w:rFonts w:ascii="Arial" w:hAnsi="Arial" w:cs="Arial"/>
                <w:sz w:val="20"/>
                <w:szCs w:val="20"/>
              </w:rPr>
              <w:t>28</w:t>
            </w:r>
            <w:r>
              <w:rPr>
                <w:rFonts w:ascii="Arial" w:hAnsi="Arial" w:cs="Arial"/>
                <w:sz w:val="20"/>
                <w:szCs w:val="20"/>
                <w:lang w:val="en-US"/>
              </w:rPr>
              <w:t>.</w:t>
            </w:r>
            <w:r w:rsidRPr="00AF38A3">
              <w:rPr>
                <w:rFonts w:ascii="Arial" w:hAnsi="Arial" w:cs="Arial"/>
                <w:sz w:val="20"/>
                <w:szCs w:val="20"/>
              </w:rPr>
              <w:t>9</w:t>
            </w:r>
          </w:p>
        </w:tc>
      </w:tr>
      <w:tr w:rsidR="000D286F" w:rsidRPr="00D25A7C" w14:paraId="5B1D4DFE" w14:textId="77777777" w:rsidTr="00E445BD">
        <w:trPr>
          <w:trHeight w:val="426"/>
        </w:trPr>
        <w:tc>
          <w:tcPr>
            <w:tcW w:w="4892" w:type="dxa"/>
            <w:vAlign w:val="center"/>
          </w:tcPr>
          <w:p w14:paraId="6F61E6A4" w14:textId="77777777" w:rsidR="000D286F" w:rsidRPr="00D25A7C" w:rsidRDefault="000D286F" w:rsidP="00E445BD">
            <w:pPr>
              <w:spacing w:before="40" w:after="40" w:line="288" w:lineRule="auto"/>
              <w:ind w:firstLine="171"/>
              <w:rPr>
                <w:rFonts w:ascii="Arial" w:hAnsi="Arial" w:cs="Arial"/>
                <w:sz w:val="20"/>
                <w:szCs w:val="20"/>
              </w:rPr>
            </w:pPr>
            <w:r w:rsidRPr="00D25A7C">
              <w:rPr>
                <w:rFonts w:ascii="Arial" w:hAnsi="Arial" w:cs="Arial"/>
                <w:sz w:val="20"/>
                <w:szCs w:val="20"/>
              </w:rPr>
              <w:t xml:space="preserve">Phones all of kinds and their parts </w:t>
            </w:r>
          </w:p>
        </w:tc>
        <w:tc>
          <w:tcPr>
            <w:tcW w:w="1657" w:type="dxa"/>
            <w:vAlign w:val="bottom"/>
          </w:tcPr>
          <w:p w14:paraId="19DA1CD6" w14:textId="77777777" w:rsidR="000D286F" w:rsidRPr="00D25A7C" w:rsidRDefault="000D286F" w:rsidP="00E445BD">
            <w:pPr>
              <w:spacing w:before="40" w:after="40" w:line="288" w:lineRule="auto"/>
              <w:ind w:right="317"/>
              <w:jc w:val="right"/>
              <w:rPr>
                <w:rFonts w:ascii="Arial" w:hAnsi="Arial" w:cs="Arial"/>
                <w:sz w:val="20"/>
                <w:szCs w:val="20"/>
              </w:rPr>
            </w:pPr>
            <w:r w:rsidRPr="00AF38A3">
              <w:rPr>
                <w:rFonts w:ascii="Arial" w:hAnsi="Arial" w:cs="Arial"/>
                <w:sz w:val="20"/>
                <w:szCs w:val="20"/>
              </w:rPr>
              <w:t>37</w:t>
            </w:r>
            <w:r>
              <w:rPr>
                <w:rFonts w:ascii="Arial" w:hAnsi="Arial" w:cs="Arial"/>
                <w:sz w:val="20"/>
                <w:szCs w:val="20"/>
                <w:lang w:val="en-US"/>
              </w:rPr>
              <w:t>,</w:t>
            </w:r>
            <w:r w:rsidRPr="00AF38A3">
              <w:rPr>
                <w:rFonts w:ascii="Arial" w:hAnsi="Arial" w:cs="Arial"/>
                <w:sz w:val="20"/>
                <w:szCs w:val="20"/>
              </w:rPr>
              <w:t>278</w:t>
            </w:r>
          </w:p>
        </w:tc>
        <w:tc>
          <w:tcPr>
            <w:tcW w:w="3162" w:type="dxa"/>
            <w:vAlign w:val="bottom"/>
          </w:tcPr>
          <w:p w14:paraId="5F910FF0" w14:textId="77777777" w:rsidR="000D286F" w:rsidRPr="00D25A7C" w:rsidRDefault="000D286F" w:rsidP="00E445BD">
            <w:pPr>
              <w:tabs>
                <w:tab w:val="left" w:pos="1735"/>
              </w:tabs>
              <w:spacing w:before="40" w:after="40" w:line="288" w:lineRule="auto"/>
              <w:ind w:right="1063"/>
              <w:jc w:val="right"/>
              <w:rPr>
                <w:rFonts w:ascii="Arial" w:hAnsi="Arial" w:cs="Arial"/>
                <w:sz w:val="20"/>
                <w:szCs w:val="20"/>
              </w:rPr>
            </w:pPr>
            <w:r w:rsidRPr="00AF38A3">
              <w:rPr>
                <w:rFonts w:ascii="Arial" w:hAnsi="Arial" w:cs="Arial"/>
                <w:sz w:val="20"/>
                <w:szCs w:val="20"/>
              </w:rPr>
              <w:t>9</w:t>
            </w:r>
            <w:r>
              <w:rPr>
                <w:rFonts w:ascii="Arial" w:hAnsi="Arial" w:cs="Arial"/>
                <w:sz w:val="20"/>
                <w:szCs w:val="20"/>
                <w:lang w:val="en-US"/>
              </w:rPr>
              <w:t>.</w:t>
            </w:r>
            <w:r w:rsidRPr="00AF38A3">
              <w:rPr>
                <w:rFonts w:ascii="Arial" w:hAnsi="Arial" w:cs="Arial"/>
                <w:sz w:val="20"/>
                <w:szCs w:val="20"/>
              </w:rPr>
              <w:t>5</w:t>
            </w:r>
          </w:p>
        </w:tc>
      </w:tr>
      <w:tr w:rsidR="000D286F" w:rsidRPr="00D25A7C" w14:paraId="67878D7D" w14:textId="77777777" w:rsidTr="00E445BD">
        <w:trPr>
          <w:trHeight w:val="408"/>
        </w:trPr>
        <w:tc>
          <w:tcPr>
            <w:tcW w:w="4892" w:type="dxa"/>
            <w:tcBorders>
              <w:bottom w:val="nil"/>
            </w:tcBorders>
            <w:vAlign w:val="center"/>
          </w:tcPr>
          <w:p w14:paraId="0E45E105" w14:textId="77777777" w:rsidR="000D286F" w:rsidRPr="00D25A7C" w:rsidRDefault="000D286F" w:rsidP="00E445BD">
            <w:pPr>
              <w:spacing w:before="40" w:after="40" w:line="288" w:lineRule="auto"/>
              <w:ind w:firstLine="171"/>
              <w:rPr>
                <w:rFonts w:ascii="Arial" w:hAnsi="Arial" w:cs="Arial"/>
                <w:sz w:val="20"/>
                <w:szCs w:val="20"/>
              </w:rPr>
            </w:pPr>
            <w:r w:rsidRPr="00D25A7C">
              <w:rPr>
                <w:rFonts w:ascii="Arial" w:hAnsi="Arial" w:cs="Arial"/>
                <w:sz w:val="20"/>
                <w:szCs w:val="20"/>
              </w:rPr>
              <w:t>Machinery, instrument, accessory</w:t>
            </w:r>
          </w:p>
        </w:tc>
        <w:tc>
          <w:tcPr>
            <w:tcW w:w="1657" w:type="dxa"/>
            <w:tcBorders>
              <w:bottom w:val="nil"/>
            </w:tcBorders>
            <w:vAlign w:val="bottom"/>
          </w:tcPr>
          <w:p w14:paraId="29D624D4" w14:textId="77777777" w:rsidR="000D286F" w:rsidRPr="00D25A7C" w:rsidRDefault="000D286F" w:rsidP="00E445BD">
            <w:pPr>
              <w:spacing w:before="40" w:after="40" w:line="288" w:lineRule="auto"/>
              <w:ind w:right="320" w:firstLine="171"/>
              <w:jc w:val="right"/>
              <w:rPr>
                <w:rFonts w:ascii="Arial" w:hAnsi="Arial" w:cs="Arial"/>
                <w:sz w:val="20"/>
                <w:szCs w:val="20"/>
              </w:rPr>
            </w:pPr>
            <w:r w:rsidRPr="00AF38A3">
              <w:rPr>
                <w:rFonts w:ascii="Arial" w:hAnsi="Arial" w:cs="Arial"/>
                <w:sz w:val="20"/>
                <w:szCs w:val="20"/>
              </w:rPr>
              <w:t>32</w:t>
            </w:r>
            <w:r>
              <w:rPr>
                <w:rFonts w:ascii="Arial" w:hAnsi="Arial" w:cs="Arial"/>
                <w:sz w:val="20"/>
                <w:szCs w:val="20"/>
                <w:lang w:val="en-US"/>
              </w:rPr>
              <w:t>,</w:t>
            </w:r>
            <w:r w:rsidRPr="00AF38A3">
              <w:rPr>
                <w:rFonts w:ascii="Arial" w:hAnsi="Arial" w:cs="Arial"/>
                <w:sz w:val="20"/>
                <w:szCs w:val="20"/>
              </w:rPr>
              <w:t>734</w:t>
            </w:r>
          </w:p>
        </w:tc>
        <w:tc>
          <w:tcPr>
            <w:tcW w:w="3162" w:type="dxa"/>
            <w:tcBorders>
              <w:bottom w:val="nil"/>
            </w:tcBorders>
            <w:vAlign w:val="bottom"/>
          </w:tcPr>
          <w:p w14:paraId="174FB2B5" w14:textId="77777777" w:rsidR="000D286F" w:rsidRPr="00D25A7C" w:rsidRDefault="000D286F" w:rsidP="00E445BD">
            <w:pPr>
              <w:tabs>
                <w:tab w:val="left" w:pos="1735"/>
              </w:tabs>
              <w:spacing w:before="40" w:after="40" w:line="288" w:lineRule="auto"/>
              <w:ind w:right="1063"/>
              <w:jc w:val="right"/>
              <w:rPr>
                <w:rFonts w:ascii="Arial" w:hAnsi="Arial" w:cs="Arial"/>
                <w:sz w:val="20"/>
                <w:szCs w:val="20"/>
              </w:rPr>
            </w:pPr>
            <w:r w:rsidRPr="00AF38A3">
              <w:rPr>
                <w:rFonts w:ascii="Arial" w:hAnsi="Arial" w:cs="Arial"/>
                <w:sz w:val="20"/>
                <w:szCs w:val="20"/>
              </w:rPr>
              <w:t>21</w:t>
            </w:r>
            <w:r>
              <w:rPr>
                <w:rFonts w:ascii="Arial" w:hAnsi="Arial" w:cs="Arial"/>
                <w:sz w:val="20"/>
                <w:szCs w:val="20"/>
                <w:lang w:val="en-US"/>
              </w:rPr>
              <w:t>.</w:t>
            </w:r>
            <w:r w:rsidRPr="00AF38A3">
              <w:rPr>
                <w:rFonts w:ascii="Arial" w:hAnsi="Arial" w:cs="Arial"/>
                <w:sz w:val="20"/>
                <w:szCs w:val="20"/>
              </w:rPr>
              <w:t>8</w:t>
            </w:r>
          </w:p>
        </w:tc>
      </w:tr>
      <w:tr w:rsidR="000D286F" w:rsidRPr="00D25A7C" w14:paraId="148AD7F1" w14:textId="77777777" w:rsidTr="00E445BD">
        <w:trPr>
          <w:trHeight w:val="408"/>
        </w:trPr>
        <w:tc>
          <w:tcPr>
            <w:tcW w:w="4892" w:type="dxa"/>
            <w:tcBorders>
              <w:top w:val="nil"/>
              <w:bottom w:val="nil"/>
            </w:tcBorders>
            <w:vAlign w:val="center"/>
          </w:tcPr>
          <w:p w14:paraId="564BD60A" w14:textId="77777777" w:rsidR="000D286F" w:rsidRPr="00D25A7C" w:rsidRDefault="000D286F" w:rsidP="00E445BD">
            <w:pPr>
              <w:spacing w:before="40" w:after="40" w:line="288" w:lineRule="auto"/>
              <w:ind w:firstLine="171"/>
              <w:rPr>
                <w:rFonts w:ascii="Arial" w:hAnsi="Arial" w:cs="Arial"/>
                <w:sz w:val="20"/>
                <w:szCs w:val="20"/>
              </w:rPr>
            </w:pPr>
            <w:r w:rsidRPr="00D25A7C">
              <w:rPr>
                <w:rFonts w:ascii="Arial" w:hAnsi="Arial" w:cs="Arial"/>
                <w:sz w:val="20"/>
                <w:szCs w:val="20"/>
              </w:rPr>
              <w:t>Textiles and garments</w:t>
            </w:r>
          </w:p>
        </w:tc>
        <w:tc>
          <w:tcPr>
            <w:tcW w:w="1657" w:type="dxa"/>
            <w:tcBorders>
              <w:top w:val="nil"/>
              <w:bottom w:val="nil"/>
            </w:tcBorders>
            <w:vAlign w:val="bottom"/>
          </w:tcPr>
          <w:p w14:paraId="365F3179" w14:textId="77777777" w:rsidR="000D286F" w:rsidRPr="00D25A7C" w:rsidRDefault="000D286F" w:rsidP="00E445BD">
            <w:pPr>
              <w:spacing w:before="40" w:after="40" w:line="288" w:lineRule="auto"/>
              <w:ind w:right="317"/>
              <w:jc w:val="right"/>
              <w:rPr>
                <w:rFonts w:ascii="Arial" w:hAnsi="Arial" w:cs="Arial"/>
                <w:sz w:val="20"/>
                <w:szCs w:val="20"/>
              </w:rPr>
            </w:pPr>
            <w:r w:rsidRPr="00AF38A3">
              <w:rPr>
                <w:rFonts w:ascii="Arial" w:hAnsi="Arial" w:cs="Arial"/>
                <w:sz w:val="20"/>
                <w:szCs w:val="20"/>
              </w:rPr>
              <w:t>24</w:t>
            </w:r>
            <w:r>
              <w:rPr>
                <w:rFonts w:ascii="Arial" w:hAnsi="Arial" w:cs="Arial"/>
                <w:sz w:val="20"/>
                <w:szCs w:val="20"/>
                <w:lang w:val="en-US"/>
              </w:rPr>
              <w:t>,</w:t>
            </w:r>
            <w:r w:rsidRPr="00AF38A3">
              <w:rPr>
                <w:rFonts w:ascii="Arial" w:hAnsi="Arial" w:cs="Arial"/>
                <w:sz w:val="20"/>
                <w:szCs w:val="20"/>
              </w:rPr>
              <w:t>319</w:t>
            </w:r>
          </w:p>
        </w:tc>
        <w:tc>
          <w:tcPr>
            <w:tcW w:w="3162" w:type="dxa"/>
            <w:tcBorders>
              <w:top w:val="nil"/>
              <w:bottom w:val="nil"/>
            </w:tcBorders>
            <w:vAlign w:val="bottom"/>
          </w:tcPr>
          <w:p w14:paraId="7CF9C1C0" w14:textId="77777777" w:rsidR="000D286F" w:rsidRPr="00D25A7C" w:rsidRDefault="000D286F" w:rsidP="00E445BD">
            <w:pPr>
              <w:tabs>
                <w:tab w:val="left" w:pos="1735"/>
              </w:tabs>
              <w:spacing w:before="40" w:after="40" w:line="288" w:lineRule="auto"/>
              <w:ind w:right="1063"/>
              <w:jc w:val="right"/>
              <w:rPr>
                <w:rFonts w:ascii="Arial" w:hAnsi="Arial" w:cs="Arial"/>
                <w:sz w:val="20"/>
                <w:szCs w:val="20"/>
              </w:rPr>
            </w:pPr>
            <w:r w:rsidRPr="00AF38A3">
              <w:rPr>
                <w:rFonts w:ascii="Arial" w:hAnsi="Arial" w:cs="Arial"/>
                <w:sz w:val="20"/>
                <w:szCs w:val="20"/>
              </w:rPr>
              <w:t>7</w:t>
            </w:r>
            <w:r>
              <w:rPr>
                <w:rFonts w:ascii="Arial" w:hAnsi="Arial" w:cs="Arial"/>
                <w:sz w:val="20"/>
                <w:szCs w:val="20"/>
                <w:lang w:val="en-US"/>
              </w:rPr>
              <w:t>.</w:t>
            </w:r>
            <w:r w:rsidRPr="00AF38A3">
              <w:rPr>
                <w:rFonts w:ascii="Arial" w:hAnsi="Arial" w:cs="Arial"/>
                <w:sz w:val="20"/>
                <w:szCs w:val="20"/>
              </w:rPr>
              <w:t>9</w:t>
            </w:r>
          </w:p>
        </w:tc>
      </w:tr>
      <w:tr w:rsidR="000D286F" w:rsidRPr="00D25A7C" w14:paraId="312C18A9" w14:textId="77777777" w:rsidTr="00E445BD">
        <w:trPr>
          <w:trHeight w:val="408"/>
        </w:trPr>
        <w:tc>
          <w:tcPr>
            <w:tcW w:w="4892" w:type="dxa"/>
            <w:tcBorders>
              <w:top w:val="nil"/>
              <w:bottom w:val="nil"/>
            </w:tcBorders>
            <w:vAlign w:val="center"/>
          </w:tcPr>
          <w:p w14:paraId="2D8AEF53" w14:textId="77777777" w:rsidR="000D286F" w:rsidRPr="00D25A7C" w:rsidRDefault="000D286F" w:rsidP="00E445BD">
            <w:pPr>
              <w:spacing w:before="40" w:after="40" w:line="288" w:lineRule="auto"/>
              <w:ind w:firstLine="171"/>
              <w:rPr>
                <w:rFonts w:ascii="Arial" w:hAnsi="Arial" w:cs="Arial"/>
                <w:sz w:val="20"/>
                <w:szCs w:val="20"/>
              </w:rPr>
            </w:pPr>
            <w:r w:rsidRPr="00D25A7C">
              <w:rPr>
                <w:rFonts w:ascii="Arial" w:hAnsi="Arial" w:cs="Arial"/>
                <w:sz w:val="20"/>
                <w:szCs w:val="20"/>
              </w:rPr>
              <w:t>Footwear</w:t>
            </w:r>
          </w:p>
        </w:tc>
        <w:tc>
          <w:tcPr>
            <w:tcW w:w="1657" w:type="dxa"/>
            <w:tcBorders>
              <w:top w:val="nil"/>
              <w:bottom w:val="nil"/>
            </w:tcBorders>
            <w:vAlign w:val="bottom"/>
          </w:tcPr>
          <w:p w14:paraId="460C1486" w14:textId="77777777" w:rsidR="000D286F" w:rsidRPr="00D25A7C" w:rsidRDefault="000D286F" w:rsidP="00E445BD">
            <w:pPr>
              <w:spacing w:before="40" w:after="40" w:line="288" w:lineRule="auto"/>
              <w:ind w:right="317"/>
              <w:jc w:val="right"/>
              <w:rPr>
                <w:rFonts w:ascii="Arial" w:hAnsi="Arial" w:cs="Arial"/>
                <w:sz w:val="20"/>
                <w:szCs w:val="20"/>
              </w:rPr>
            </w:pPr>
            <w:r w:rsidRPr="00AF38A3">
              <w:rPr>
                <w:rFonts w:ascii="Arial" w:hAnsi="Arial" w:cs="Arial"/>
                <w:sz w:val="20"/>
                <w:szCs w:val="20"/>
              </w:rPr>
              <w:t>14</w:t>
            </w:r>
            <w:r>
              <w:rPr>
                <w:rFonts w:ascii="Arial" w:hAnsi="Arial" w:cs="Arial"/>
                <w:sz w:val="20"/>
                <w:szCs w:val="20"/>
                <w:lang w:val="en-US"/>
              </w:rPr>
              <w:t>,</w:t>
            </w:r>
            <w:r w:rsidRPr="00AF38A3">
              <w:rPr>
                <w:rFonts w:ascii="Arial" w:hAnsi="Arial" w:cs="Arial"/>
                <w:sz w:val="20"/>
                <w:szCs w:val="20"/>
              </w:rPr>
              <w:t>938</w:t>
            </w:r>
          </w:p>
        </w:tc>
        <w:tc>
          <w:tcPr>
            <w:tcW w:w="3162" w:type="dxa"/>
            <w:tcBorders>
              <w:top w:val="nil"/>
              <w:bottom w:val="nil"/>
            </w:tcBorders>
            <w:vAlign w:val="bottom"/>
          </w:tcPr>
          <w:p w14:paraId="587C3C8F" w14:textId="77777777" w:rsidR="000D286F" w:rsidRPr="00D25A7C" w:rsidRDefault="000D286F" w:rsidP="00E445BD">
            <w:pPr>
              <w:tabs>
                <w:tab w:val="left" w:pos="1735"/>
              </w:tabs>
              <w:spacing w:before="40" w:after="40" w:line="288" w:lineRule="auto"/>
              <w:ind w:right="1063"/>
              <w:jc w:val="right"/>
              <w:rPr>
                <w:rFonts w:ascii="Arial" w:hAnsi="Arial" w:cs="Arial"/>
                <w:sz w:val="20"/>
                <w:szCs w:val="20"/>
              </w:rPr>
            </w:pPr>
            <w:r w:rsidRPr="00AF38A3">
              <w:rPr>
                <w:rFonts w:ascii="Arial" w:hAnsi="Arial" w:cs="Arial"/>
                <w:sz w:val="20"/>
                <w:szCs w:val="20"/>
              </w:rPr>
              <w:t>11</w:t>
            </w:r>
            <w:r>
              <w:rPr>
                <w:rFonts w:ascii="Arial" w:hAnsi="Arial" w:cs="Arial"/>
                <w:sz w:val="20"/>
                <w:szCs w:val="20"/>
                <w:lang w:val="en-US"/>
              </w:rPr>
              <w:t>.</w:t>
            </w:r>
            <w:r w:rsidRPr="00AF38A3">
              <w:rPr>
                <w:rFonts w:ascii="Arial" w:hAnsi="Arial" w:cs="Arial"/>
                <w:sz w:val="20"/>
                <w:szCs w:val="20"/>
              </w:rPr>
              <w:t>8</w:t>
            </w:r>
          </w:p>
        </w:tc>
      </w:tr>
      <w:tr w:rsidR="000D286F" w:rsidRPr="00D25A7C" w14:paraId="7E5D6B98" w14:textId="77777777" w:rsidTr="00E445BD">
        <w:trPr>
          <w:trHeight w:val="408"/>
        </w:trPr>
        <w:tc>
          <w:tcPr>
            <w:tcW w:w="4892" w:type="dxa"/>
            <w:tcBorders>
              <w:top w:val="nil"/>
              <w:bottom w:val="single" w:sz="4" w:space="0" w:color="auto"/>
            </w:tcBorders>
            <w:vAlign w:val="center"/>
          </w:tcPr>
          <w:p w14:paraId="03BAD5A7" w14:textId="77777777" w:rsidR="000D286F" w:rsidRPr="00D25A7C" w:rsidRDefault="000D286F" w:rsidP="00E445BD">
            <w:pPr>
              <w:spacing w:before="40" w:after="40" w:line="288" w:lineRule="auto"/>
              <w:ind w:firstLine="171"/>
              <w:rPr>
                <w:rFonts w:ascii="Arial" w:hAnsi="Arial" w:cs="Arial"/>
                <w:sz w:val="20"/>
                <w:szCs w:val="20"/>
              </w:rPr>
            </w:pPr>
            <w:r w:rsidRPr="00D25A7C">
              <w:rPr>
                <w:rFonts w:ascii="Arial" w:hAnsi="Arial" w:cs="Arial"/>
                <w:sz w:val="20"/>
                <w:szCs w:val="20"/>
              </w:rPr>
              <w:t>Wood and products</w:t>
            </w:r>
          </w:p>
        </w:tc>
        <w:tc>
          <w:tcPr>
            <w:tcW w:w="1657" w:type="dxa"/>
            <w:tcBorders>
              <w:top w:val="nil"/>
              <w:bottom w:val="single" w:sz="4" w:space="0" w:color="auto"/>
            </w:tcBorders>
            <w:vAlign w:val="bottom"/>
          </w:tcPr>
          <w:p w14:paraId="31A31B5F" w14:textId="77777777" w:rsidR="000D286F" w:rsidRPr="00D25A7C" w:rsidRDefault="000D286F" w:rsidP="00E445BD">
            <w:pPr>
              <w:spacing w:before="40" w:after="40" w:line="288" w:lineRule="auto"/>
              <w:ind w:right="317"/>
              <w:jc w:val="right"/>
              <w:rPr>
                <w:rFonts w:ascii="Arial" w:hAnsi="Arial" w:cs="Arial"/>
                <w:sz w:val="20"/>
                <w:szCs w:val="20"/>
              </w:rPr>
            </w:pPr>
            <w:r w:rsidRPr="00AF38A3">
              <w:rPr>
                <w:rFonts w:ascii="Arial" w:hAnsi="Arial" w:cs="Arial"/>
                <w:sz w:val="20"/>
                <w:szCs w:val="20"/>
              </w:rPr>
              <w:t>10</w:t>
            </w:r>
            <w:r>
              <w:rPr>
                <w:rFonts w:ascii="Arial" w:hAnsi="Arial" w:cs="Arial"/>
                <w:sz w:val="20"/>
                <w:szCs w:val="20"/>
                <w:lang w:val="en-US"/>
              </w:rPr>
              <w:t>,</w:t>
            </w:r>
            <w:r w:rsidRPr="00AF38A3">
              <w:rPr>
                <w:rFonts w:ascii="Arial" w:hAnsi="Arial" w:cs="Arial"/>
                <w:sz w:val="20"/>
                <w:szCs w:val="20"/>
              </w:rPr>
              <w:t>388</w:t>
            </w:r>
          </w:p>
        </w:tc>
        <w:tc>
          <w:tcPr>
            <w:tcW w:w="3162" w:type="dxa"/>
            <w:tcBorders>
              <w:top w:val="nil"/>
              <w:bottom w:val="single" w:sz="4" w:space="0" w:color="auto"/>
            </w:tcBorders>
            <w:vAlign w:val="bottom"/>
          </w:tcPr>
          <w:p w14:paraId="595DCBB9" w14:textId="77777777" w:rsidR="000D286F" w:rsidRPr="00D25A7C" w:rsidRDefault="000D286F" w:rsidP="00E445BD">
            <w:pPr>
              <w:tabs>
                <w:tab w:val="left" w:pos="1735"/>
              </w:tabs>
              <w:spacing w:before="40" w:after="40" w:line="288" w:lineRule="auto"/>
              <w:ind w:right="1063"/>
              <w:jc w:val="right"/>
              <w:rPr>
                <w:rFonts w:ascii="Arial" w:hAnsi="Arial" w:cs="Arial"/>
                <w:sz w:val="20"/>
                <w:szCs w:val="20"/>
              </w:rPr>
            </w:pPr>
            <w:r w:rsidRPr="00AF38A3">
              <w:rPr>
                <w:rFonts w:ascii="Arial" w:hAnsi="Arial" w:cs="Arial"/>
                <w:sz w:val="20"/>
                <w:szCs w:val="20"/>
              </w:rPr>
              <w:t>22</w:t>
            </w:r>
            <w:r>
              <w:rPr>
                <w:rFonts w:ascii="Arial" w:hAnsi="Arial" w:cs="Arial"/>
                <w:sz w:val="20"/>
                <w:szCs w:val="20"/>
                <w:lang w:val="en-US"/>
              </w:rPr>
              <w:t>.</w:t>
            </w:r>
            <w:r w:rsidRPr="00AF38A3">
              <w:rPr>
                <w:rFonts w:ascii="Arial" w:hAnsi="Arial" w:cs="Arial"/>
                <w:sz w:val="20"/>
                <w:szCs w:val="20"/>
              </w:rPr>
              <w:t>3</w:t>
            </w:r>
          </w:p>
        </w:tc>
      </w:tr>
    </w:tbl>
    <w:p w14:paraId="60F59BEE" w14:textId="77777777" w:rsidR="000D286F" w:rsidRPr="00D25A7C" w:rsidRDefault="000D286F" w:rsidP="000D286F">
      <w:pPr>
        <w:tabs>
          <w:tab w:val="num" w:pos="0"/>
          <w:tab w:val="left" w:pos="9475"/>
        </w:tabs>
        <w:spacing w:beforeLines="40" w:before="96" w:afterLines="40" w:after="96" w:line="264" w:lineRule="auto"/>
        <w:ind w:right="119" w:firstLine="567"/>
        <w:jc w:val="right"/>
        <w:rPr>
          <w:rFonts w:ascii="Arial" w:hAnsi="Arial" w:cs="Arial"/>
          <w:b/>
          <w:bCs/>
          <w:i/>
          <w:iCs/>
          <w:sz w:val="2"/>
          <w:szCs w:val="20"/>
          <w:lang w:val="es-NI"/>
        </w:rPr>
      </w:pPr>
    </w:p>
    <w:p w14:paraId="496BE116" w14:textId="77777777" w:rsidR="000D286F" w:rsidRPr="00D25A7C" w:rsidRDefault="000D286F" w:rsidP="000D286F">
      <w:pPr>
        <w:spacing w:beforeLines="40" w:before="96" w:afterLines="40" w:after="96" w:line="264" w:lineRule="auto"/>
        <w:jc w:val="both"/>
        <w:rPr>
          <w:rFonts w:eastAsia="Batang"/>
          <w:bCs/>
          <w:iCs/>
        </w:rPr>
      </w:pPr>
      <w:r w:rsidRPr="00D25A7C">
        <w:rPr>
          <w:noProof/>
        </w:rPr>
        <mc:AlternateContent>
          <mc:Choice Requires="wps">
            <w:drawing>
              <wp:anchor distT="0" distB="0" distL="114300" distR="114300" simplePos="0" relativeHeight="251683840" behindDoc="0" locked="0" layoutInCell="1" allowOverlap="1" wp14:anchorId="3FA11843" wp14:editId="222C96A3">
                <wp:simplePos x="0" y="0"/>
                <wp:positionH relativeFrom="column">
                  <wp:posOffset>24765</wp:posOffset>
                </wp:positionH>
                <wp:positionV relativeFrom="paragraph">
                  <wp:posOffset>64135</wp:posOffset>
                </wp:positionV>
                <wp:extent cx="3476625" cy="2190750"/>
                <wp:effectExtent l="0" t="0" r="9525" b="0"/>
                <wp:wrapSquare wrapText="bothSides"/>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190750"/>
                        </a:xfrm>
                        <a:prstGeom prst="rect">
                          <a:avLst/>
                        </a:prstGeom>
                        <a:solidFill>
                          <a:srgbClr val="FFFFFF"/>
                        </a:solidFill>
                        <a:ln w="9525">
                          <a:noFill/>
                          <a:miter lim="800000"/>
                          <a:headEnd/>
                          <a:tailEnd/>
                        </a:ln>
                      </wps:spPr>
                      <wps:txbx>
                        <w:txbxContent>
                          <w:p w14:paraId="6AC18F9C" w14:textId="77777777" w:rsidR="000D286F" w:rsidRPr="004B4D22" w:rsidRDefault="000D286F" w:rsidP="000D286F">
                            <w:pPr>
                              <w:spacing w:line="264" w:lineRule="auto"/>
                              <w:jc w:val="center"/>
                              <w:rPr>
                                <w:rFonts w:ascii="Arial" w:hAnsi="Arial" w:cs="Arial"/>
                                <w:b/>
                                <w:bCs/>
                                <w:sz w:val="24"/>
                                <w:szCs w:val="24"/>
                              </w:rPr>
                            </w:pPr>
                            <w:r w:rsidRPr="004B4D22">
                              <w:rPr>
                                <w:rFonts w:ascii="Arial" w:hAnsi="Arial" w:cs="Arial"/>
                                <w:b/>
                                <w:bCs/>
                                <w:sz w:val="24"/>
                                <w:szCs w:val="24"/>
                              </w:rPr>
                              <w:t>Figure 1</w:t>
                            </w:r>
                            <w:r>
                              <w:rPr>
                                <w:rFonts w:ascii="Arial" w:hAnsi="Arial" w:cs="Arial"/>
                                <w:b/>
                                <w:bCs/>
                                <w:sz w:val="24"/>
                                <w:szCs w:val="24"/>
                              </w:rPr>
                              <w:t>2</w:t>
                            </w:r>
                            <w:r w:rsidRPr="004B4D22">
                              <w:rPr>
                                <w:rFonts w:ascii="Arial" w:hAnsi="Arial" w:cs="Arial"/>
                                <w:b/>
                                <w:bCs/>
                                <w:sz w:val="24"/>
                                <w:szCs w:val="24"/>
                              </w:rPr>
                              <w:t>. Structure of exported groups</w:t>
                            </w:r>
                          </w:p>
                          <w:p w14:paraId="1EAF4F75" w14:textId="77777777" w:rsidR="000D286F" w:rsidRPr="004B4D22" w:rsidRDefault="000D286F" w:rsidP="000D286F">
                            <w:pPr>
                              <w:spacing w:line="264" w:lineRule="auto"/>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8 months</w:t>
                            </w:r>
                            <w:r w:rsidRPr="004B4D22">
                              <w:rPr>
                                <w:rFonts w:ascii="Arial" w:hAnsi="Arial" w:cs="Arial"/>
                                <w:b/>
                                <w:bCs/>
                                <w:sz w:val="24"/>
                                <w:szCs w:val="24"/>
                              </w:rPr>
                              <w:t xml:space="preserve"> of 2024</w:t>
                            </w:r>
                          </w:p>
                          <w:p w14:paraId="4687F1AD" w14:textId="77777777" w:rsidR="000D286F" w:rsidRDefault="000D286F" w:rsidP="000D286F">
                            <w:pPr>
                              <w:ind w:left="-142"/>
                              <w:jc w:val="center"/>
                              <w:rPr>
                                <w:rFonts w:ascii="Arial" w:hAnsi="Arial" w:cs="Arial"/>
                                <w:sz w:val="24"/>
                                <w:szCs w:val="24"/>
                              </w:rPr>
                            </w:pPr>
                            <w:r w:rsidRPr="006D71F6">
                              <w:rPr>
                                <w:noProof/>
                              </w:rPr>
                              <w:drawing>
                                <wp:inline distT="0" distB="0" distL="0" distR="0" wp14:anchorId="684F6033" wp14:editId="482A6303">
                                  <wp:extent cx="3395345" cy="1706245"/>
                                  <wp:effectExtent l="0" t="0" r="0" b="8255"/>
                                  <wp:docPr id="8441320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5345" cy="1706245"/>
                                          </a:xfrm>
                                          <a:prstGeom prst="rect">
                                            <a:avLst/>
                                          </a:prstGeom>
                                          <a:noFill/>
                                          <a:ln>
                                            <a:noFill/>
                                          </a:ln>
                                        </pic:spPr>
                                      </pic:pic>
                                    </a:graphicData>
                                  </a:graphic>
                                </wp:inline>
                              </w:drawing>
                            </w:r>
                          </w:p>
                        </w:txbxContent>
                      </wps:txbx>
                      <wps:bodyPr rot="0" vertOverflow="clip" horzOverflow="clip"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3FA11843" id="_x0000_t202" coordsize="21600,21600" o:spt="202" path="m,l,21600r21600,l21600,xe">
                <v:stroke joinstyle="miter"/>
                <v:path gradientshapeok="t" o:connecttype="rect"/>
              </v:shapetype>
              <v:shape id="Text Box 11" o:spid="_x0000_s1026" type="#_x0000_t202" style="position:absolute;left:0;text-align:left;margin-left:1.95pt;margin-top:5.05pt;width:273.75pt;height:1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" stroked="f">
                <v:textbox inset="1mm,1mm,1mm,1mm">
                  <w:txbxContent>
                    <w:p w14:paraId="6AC18F9C" w14:textId="77777777" w:rsidR="000D286F" w:rsidRPr="004B4D22" w:rsidRDefault="000D286F" w:rsidP="000D286F">
                      <w:pPr>
                        <w:spacing w:line="264" w:lineRule="auto"/>
                        <w:jc w:val="center"/>
                        <w:rPr>
                          <w:rFonts w:ascii="Arial" w:hAnsi="Arial" w:cs="Arial"/>
                          <w:b/>
                          <w:bCs/>
                          <w:sz w:val="24"/>
                          <w:szCs w:val="24"/>
                        </w:rPr>
                      </w:pPr>
                      <w:r w:rsidRPr="004B4D22">
                        <w:rPr>
                          <w:rFonts w:ascii="Arial" w:hAnsi="Arial" w:cs="Arial"/>
                          <w:b/>
                          <w:bCs/>
                          <w:sz w:val="24"/>
                          <w:szCs w:val="24"/>
                        </w:rPr>
                        <w:t>Figure 1</w:t>
                      </w:r>
                      <w:r>
                        <w:rPr>
                          <w:rFonts w:ascii="Arial" w:hAnsi="Arial" w:cs="Arial"/>
                          <w:b/>
                          <w:bCs/>
                          <w:sz w:val="24"/>
                          <w:szCs w:val="24"/>
                        </w:rPr>
                        <w:t>2</w:t>
                      </w:r>
                      <w:r w:rsidRPr="004B4D22">
                        <w:rPr>
                          <w:rFonts w:ascii="Arial" w:hAnsi="Arial" w:cs="Arial"/>
                          <w:b/>
                          <w:bCs/>
                          <w:sz w:val="24"/>
                          <w:szCs w:val="24"/>
                        </w:rPr>
                        <w:t>. Structure of exported groups</w:t>
                      </w:r>
                    </w:p>
                    <w:p w14:paraId="1EAF4F75" w14:textId="77777777" w:rsidR="000D286F" w:rsidRPr="004B4D22" w:rsidRDefault="000D286F" w:rsidP="000D286F">
                      <w:pPr>
                        <w:spacing w:line="264" w:lineRule="auto"/>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8 months</w:t>
                      </w:r>
                      <w:r w:rsidRPr="004B4D22">
                        <w:rPr>
                          <w:rFonts w:ascii="Arial" w:hAnsi="Arial" w:cs="Arial"/>
                          <w:b/>
                          <w:bCs/>
                          <w:sz w:val="24"/>
                          <w:szCs w:val="24"/>
                        </w:rPr>
                        <w:t xml:space="preserve"> of 2024</w:t>
                      </w:r>
                    </w:p>
                    <w:p w14:paraId="4687F1AD" w14:textId="77777777" w:rsidR="000D286F" w:rsidRDefault="000D286F" w:rsidP="000D286F">
                      <w:pPr>
                        <w:ind w:left="-142"/>
                        <w:jc w:val="center"/>
                        <w:rPr>
                          <w:rFonts w:ascii="Arial" w:hAnsi="Arial" w:cs="Arial"/>
                          <w:sz w:val="24"/>
                          <w:szCs w:val="24"/>
                        </w:rPr>
                      </w:pPr>
                      <w:r w:rsidRPr="006D71F6">
                        <w:rPr>
                          <w:noProof/>
                        </w:rPr>
                        <w:drawing>
                          <wp:inline distT="0" distB="0" distL="0" distR="0" wp14:anchorId="684F6033" wp14:editId="482A6303">
                            <wp:extent cx="3395345" cy="1706245"/>
                            <wp:effectExtent l="0" t="0" r="0" b="8255"/>
                            <wp:docPr id="8441320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5345" cy="1706245"/>
                                    </a:xfrm>
                                    <a:prstGeom prst="rect">
                                      <a:avLst/>
                                    </a:prstGeom>
                                    <a:noFill/>
                                    <a:ln>
                                      <a:noFill/>
                                    </a:ln>
                                  </pic:spPr>
                                </pic:pic>
                              </a:graphicData>
                            </a:graphic>
                          </wp:inline>
                        </w:drawing>
                      </w:r>
                    </w:p>
                  </w:txbxContent>
                </v:textbox>
                <w10:wrap type="square"/>
              </v:shape>
            </w:pict>
          </mc:Fallback>
        </mc:AlternateContent>
      </w:r>
      <w:r w:rsidRPr="00D25A7C">
        <w:rPr>
          <w:rFonts w:eastAsia="Batang"/>
          <w:bCs/>
          <w:i/>
          <w:iCs/>
          <w:noProof/>
        </w:rPr>
        <w:t>Regarding the structure of exported groups in</w:t>
      </w:r>
      <w:r w:rsidRPr="00D25A7C">
        <w:rPr>
          <w:rFonts w:eastAsia="Batang"/>
          <w:bCs/>
          <w:i/>
          <w:noProof/>
          <w:lang w:val="en"/>
        </w:rPr>
        <w:t xml:space="preserve"> </w:t>
      </w:r>
      <w:r>
        <w:rPr>
          <w:rFonts w:eastAsia="Batang"/>
          <w:bCs/>
          <w:i/>
          <w:noProof/>
          <w:lang w:val="en"/>
        </w:rPr>
        <w:t>eight months</w:t>
      </w:r>
      <w:r w:rsidRPr="00D25A7C">
        <w:rPr>
          <w:rFonts w:eastAsia="Batang"/>
          <w:bCs/>
          <w:i/>
          <w:noProof/>
          <w:lang w:val="en"/>
        </w:rPr>
        <w:t xml:space="preserve"> of 2024, </w:t>
      </w:r>
      <w:r w:rsidRPr="00D25A7C">
        <w:rPr>
          <w:rFonts w:eastAsia="Batang"/>
          <w:bCs/>
          <w:iCs/>
          <w:noProof/>
          <w:lang w:val="en"/>
        </w:rPr>
        <w:t xml:space="preserve">the group of fuels and minerals </w:t>
      </w:r>
      <w:r w:rsidRPr="00D25A7C">
        <w:rPr>
          <w:rFonts w:eastAsia="Batang"/>
          <w:bCs/>
          <w:iCs/>
          <w:noProof/>
        </w:rPr>
        <w:t>was estimated at 2.</w:t>
      </w:r>
      <w:r>
        <w:rPr>
          <w:rFonts w:eastAsia="Batang"/>
          <w:bCs/>
          <w:iCs/>
          <w:noProof/>
        </w:rPr>
        <w:t>92</w:t>
      </w:r>
      <w:r w:rsidRPr="00D25A7C">
        <w:rPr>
          <w:rFonts w:eastAsia="Batang"/>
          <w:bCs/>
          <w:iCs/>
          <w:noProof/>
        </w:rPr>
        <w:t xml:space="preserve"> billion USD,</w:t>
      </w:r>
      <w:r w:rsidRPr="00D25A7C">
        <w:rPr>
          <w:rFonts w:eastAsia="Batang"/>
          <w:bCs/>
          <w:iCs/>
          <w:noProof/>
          <w:lang w:val="en"/>
        </w:rPr>
        <w:t xml:space="preserve"> accounting for </w:t>
      </w:r>
      <w:r w:rsidRPr="00D25A7C">
        <w:rPr>
          <w:rFonts w:eastAsia="Batang"/>
          <w:bCs/>
          <w:iCs/>
          <w:noProof/>
          <w:lang w:val="vi-VN"/>
        </w:rPr>
        <w:t>1</w:t>
      </w:r>
      <w:r w:rsidRPr="00D25A7C">
        <w:rPr>
          <w:rFonts w:eastAsia="Batang"/>
          <w:bCs/>
          <w:iCs/>
          <w:noProof/>
        </w:rPr>
        <w:t>.</w:t>
      </w:r>
      <w:r>
        <w:rPr>
          <w:rFonts w:eastAsia="Batang"/>
          <w:bCs/>
          <w:iCs/>
          <w:noProof/>
        </w:rPr>
        <w:t>1</w:t>
      </w:r>
      <w:r w:rsidRPr="00D25A7C">
        <w:rPr>
          <w:rFonts w:eastAsia="Batang"/>
          <w:bCs/>
          <w:iCs/>
          <w:noProof/>
          <w:lang w:val="en"/>
        </w:rPr>
        <w:t xml:space="preserve">%; the group of processing industry </w:t>
      </w:r>
      <w:r w:rsidRPr="00D25A7C">
        <w:rPr>
          <w:rFonts w:eastAsia="Batang"/>
          <w:bCs/>
          <w:iCs/>
          <w:noProof/>
        </w:rPr>
        <w:t xml:space="preserve">was estimated at </w:t>
      </w:r>
      <w:r>
        <w:rPr>
          <w:rFonts w:eastAsia="Batang"/>
          <w:bCs/>
          <w:iCs/>
          <w:noProof/>
        </w:rPr>
        <w:t>233.33</w:t>
      </w:r>
      <w:r w:rsidRPr="00D25A7C">
        <w:rPr>
          <w:rFonts w:eastAsia="Batang"/>
          <w:bCs/>
          <w:iCs/>
          <w:noProof/>
        </w:rPr>
        <w:t xml:space="preserve"> billion USD,</w:t>
      </w:r>
      <w:r w:rsidRPr="00D25A7C">
        <w:rPr>
          <w:rFonts w:eastAsia="Batang"/>
          <w:bCs/>
          <w:iCs/>
          <w:noProof/>
          <w:lang w:val="en"/>
        </w:rPr>
        <w:t xml:space="preserve"> accounting for </w:t>
      </w:r>
      <w:r w:rsidRPr="00D25A7C">
        <w:rPr>
          <w:rFonts w:eastAsia="Batang"/>
          <w:bCs/>
          <w:iCs/>
          <w:noProof/>
          <w:lang w:val="vi-VN"/>
        </w:rPr>
        <w:t>8</w:t>
      </w:r>
      <w:r>
        <w:rPr>
          <w:rFonts w:eastAsia="Batang"/>
          <w:bCs/>
          <w:iCs/>
          <w:noProof/>
        </w:rPr>
        <w:t>8</w:t>
      </w:r>
      <w:r w:rsidRPr="00D25A7C">
        <w:rPr>
          <w:rFonts w:eastAsia="Batang"/>
          <w:bCs/>
          <w:iCs/>
          <w:noProof/>
          <w:lang w:val="en"/>
        </w:rPr>
        <w:t xml:space="preserve">%;  agricultural and forestry products </w:t>
      </w:r>
      <w:r w:rsidRPr="00D25A7C">
        <w:rPr>
          <w:rFonts w:eastAsia="Batang"/>
          <w:bCs/>
          <w:iCs/>
          <w:noProof/>
        </w:rPr>
        <w:t xml:space="preserve">was estimated at </w:t>
      </w:r>
      <w:r>
        <w:rPr>
          <w:rFonts w:eastAsia="Batang"/>
          <w:bCs/>
          <w:iCs/>
          <w:noProof/>
        </w:rPr>
        <w:t>22.53</w:t>
      </w:r>
      <w:r w:rsidRPr="00D25A7C">
        <w:rPr>
          <w:rFonts w:eastAsia="Batang"/>
          <w:bCs/>
          <w:iCs/>
          <w:noProof/>
        </w:rPr>
        <w:t xml:space="preserve"> billion USD,</w:t>
      </w:r>
      <w:r w:rsidRPr="00D25A7C">
        <w:rPr>
          <w:rFonts w:eastAsia="Batang"/>
          <w:bCs/>
          <w:iCs/>
          <w:noProof/>
          <w:lang w:val="en"/>
        </w:rPr>
        <w:t xml:space="preserve"> accounting for 8.</w:t>
      </w:r>
      <w:r>
        <w:rPr>
          <w:rFonts w:eastAsia="Batang"/>
          <w:bCs/>
          <w:iCs/>
          <w:noProof/>
          <w:lang w:val="en"/>
        </w:rPr>
        <w:t>5</w:t>
      </w:r>
      <w:r w:rsidRPr="00D25A7C">
        <w:rPr>
          <w:rFonts w:eastAsia="Batang"/>
          <w:bCs/>
          <w:iCs/>
          <w:noProof/>
          <w:lang w:val="en"/>
        </w:rPr>
        <w:t xml:space="preserve">%; the group of fishery products </w:t>
      </w:r>
      <w:r w:rsidRPr="00D25A7C">
        <w:rPr>
          <w:rFonts w:eastAsia="Batang"/>
          <w:bCs/>
          <w:iCs/>
          <w:noProof/>
        </w:rPr>
        <w:t xml:space="preserve">was estimated at </w:t>
      </w:r>
      <w:r>
        <w:rPr>
          <w:rFonts w:eastAsia="Batang"/>
          <w:bCs/>
          <w:iCs/>
          <w:noProof/>
        </w:rPr>
        <w:t>6.31</w:t>
      </w:r>
      <w:r w:rsidRPr="00D25A7C">
        <w:rPr>
          <w:rFonts w:eastAsia="Batang"/>
          <w:bCs/>
          <w:iCs/>
          <w:noProof/>
        </w:rPr>
        <w:t xml:space="preserve"> billion USD,</w:t>
      </w:r>
      <w:r w:rsidRPr="00D25A7C">
        <w:rPr>
          <w:rFonts w:eastAsia="Batang"/>
          <w:bCs/>
          <w:iCs/>
          <w:noProof/>
          <w:lang w:val="en"/>
        </w:rPr>
        <w:t xml:space="preserve"> accounting for 2.</w:t>
      </w:r>
      <w:r>
        <w:rPr>
          <w:rFonts w:eastAsia="Batang"/>
          <w:bCs/>
          <w:iCs/>
          <w:noProof/>
          <w:lang w:val="en"/>
        </w:rPr>
        <w:t>4</w:t>
      </w:r>
      <w:r w:rsidRPr="00D25A7C">
        <w:rPr>
          <w:rFonts w:eastAsia="Batang"/>
          <w:bCs/>
          <w:iCs/>
          <w:noProof/>
          <w:lang w:val="en"/>
        </w:rPr>
        <w:t>%.</w:t>
      </w:r>
    </w:p>
    <w:p w14:paraId="4AA6EAD9" w14:textId="77777777" w:rsidR="000D286F" w:rsidRPr="00D25A7C" w:rsidRDefault="000D286F" w:rsidP="000D286F">
      <w:pPr>
        <w:tabs>
          <w:tab w:val="left" w:pos="900"/>
          <w:tab w:val="left" w:pos="9475"/>
        </w:tabs>
        <w:spacing w:beforeLines="40" w:before="96" w:afterLines="40" w:after="96" w:line="264" w:lineRule="auto"/>
        <w:ind w:right="6" w:firstLine="567"/>
        <w:jc w:val="both"/>
        <w:rPr>
          <w:b/>
          <w:bCs/>
          <w:i/>
          <w:sz w:val="2"/>
          <w:lang w:val="de-DE"/>
        </w:rPr>
      </w:pPr>
    </w:p>
    <w:p w14:paraId="008C6938" w14:textId="77777777" w:rsidR="000D286F" w:rsidRPr="00D25A7C" w:rsidRDefault="000D286F" w:rsidP="000D286F">
      <w:pPr>
        <w:tabs>
          <w:tab w:val="num" w:pos="0"/>
          <w:tab w:val="left" w:pos="9475"/>
        </w:tabs>
        <w:spacing w:beforeLines="40" w:before="96" w:afterLines="40" w:after="96" w:line="259" w:lineRule="auto"/>
        <w:ind w:right="6" w:firstLine="567"/>
        <w:jc w:val="both"/>
        <w:rPr>
          <w:b/>
          <w:bCs/>
          <w:i/>
          <w:iCs/>
          <w:lang w:val="de-DE"/>
        </w:rPr>
      </w:pPr>
      <w:r w:rsidRPr="00D25A7C">
        <w:rPr>
          <w:b/>
          <w:bCs/>
          <w:i/>
          <w:iCs/>
          <w:lang w:val="de-DE"/>
        </w:rPr>
        <w:t>Import of goods</w:t>
      </w:r>
    </w:p>
    <w:p w14:paraId="25AD296A" w14:textId="77777777" w:rsidR="000D286F" w:rsidRPr="00D25A7C" w:rsidRDefault="000D286F" w:rsidP="000D286F">
      <w:pPr>
        <w:tabs>
          <w:tab w:val="num" w:pos="0"/>
          <w:tab w:val="left" w:pos="9475"/>
        </w:tabs>
        <w:spacing w:beforeLines="40" w:before="96" w:afterLines="40" w:after="96" w:line="259" w:lineRule="auto"/>
        <w:ind w:right="6" w:firstLine="567"/>
        <w:jc w:val="both"/>
        <w:rPr>
          <w:lang w:val="en"/>
        </w:rPr>
      </w:pPr>
      <w:r w:rsidRPr="00D25A7C">
        <w:rPr>
          <w:bCs/>
        </w:rPr>
        <w:t xml:space="preserve">Preliminary import turnover of goods </w:t>
      </w:r>
      <w:r w:rsidRPr="00D25A7C">
        <w:rPr>
          <w:bCs/>
          <w:lang w:val="de-DE"/>
        </w:rPr>
        <w:t xml:space="preserve">in </w:t>
      </w:r>
      <w:r>
        <w:rPr>
          <w:bCs/>
          <w:lang w:val="de-DE"/>
        </w:rPr>
        <w:t>7/2024</w:t>
      </w:r>
      <w:r w:rsidRPr="00D25A7C">
        <w:rPr>
          <w:bCs/>
          <w:lang w:val="de-DE"/>
        </w:rPr>
        <w:t xml:space="preserve"> reached </w:t>
      </w:r>
      <w:r>
        <w:rPr>
          <w:bCs/>
          <w:lang w:val="de-DE"/>
        </w:rPr>
        <w:t>33.88</w:t>
      </w:r>
      <w:r w:rsidRPr="00D25A7C">
        <w:rPr>
          <w:bCs/>
          <w:lang w:val="de-DE"/>
        </w:rPr>
        <w:t xml:space="preserve"> billion USD, </w:t>
      </w:r>
      <w:r>
        <w:rPr>
          <w:bCs/>
          <w:lang w:val="de-DE"/>
        </w:rPr>
        <w:t>80</w:t>
      </w:r>
      <w:r w:rsidRPr="00D25A7C">
        <w:rPr>
          <w:bCs/>
          <w:lang w:val="de-DE"/>
        </w:rPr>
        <w:t xml:space="preserve"> </w:t>
      </w:r>
      <w:r>
        <w:rPr>
          <w:bCs/>
          <w:lang w:val="de-DE"/>
        </w:rPr>
        <w:t>m</w:t>
      </w:r>
      <w:r w:rsidRPr="00D25A7C">
        <w:rPr>
          <w:bCs/>
          <w:lang w:val="de-DE"/>
        </w:rPr>
        <w:t xml:space="preserve">illion USD </w:t>
      </w:r>
      <w:r>
        <w:rPr>
          <w:bCs/>
          <w:lang w:val="de-DE"/>
        </w:rPr>
        <w:t>high</w:t>
      </w:r>
      <w:r w:rsidRPr="00D25A7C">
        <w:rPr>
          <w:bCs/>
          <w:lang w:val="de-DE"/>
        </w:rPr>
        <w:t>er than the estimate figure.</w:t>
      </w:r>
    </w:p>
    <w:p w14:paraId="7F1A9774" w14:textId="77777777" w:rsidR="000D286F" w:rsidRPr="00D25A7C" w:rsidRDefault="000D286F" w:rsidP="000D286F">
      <w:pPr>
        <w:tabs>
          <w:tab w:val="num" w:pos="0"/>
          <w:tab w:val="left" w:pos="9475"/>
        </w:tabs>
        <w:spacing w:beforeLines="40" w:before="96" w:afterLines="40" w:after="96" w:line="259" w:lineRule="auto"/>
        <w:ind w:right="6" w:firstLine="567"/>
        <w:jc w:val="both"/>
        <w:rPr>
          <w:bCs/>
          <w:spacing w:val="-2"/>
        </w:rPr>
      </w:pPr>
      <w:r w:rsidRPr="00B5134D">
        <w:rPr>
          <w:bCs/>
          <w:i/>
          <w:iCs/>
        </w:rPr>
        <w:t xml:space="preserve">Preliminary import turnover of goods </w:t>
      </w:r>
      <w:r w:rsidRPr="00B5134D">
        <w:rPr>
          <w:bCs/>
          <w:i/>
          <w:iCs/>
          <w:lang w:val="de-DE"/>
        </w:rPr>
        <w:t>in</w:t>
      </w:r>
      <w:r w:rsidRPr="00D25A7C">
        <w:rPr>
          <w:bCs/>
          <w:lang w:val="de-DE"/>
        </w:rPr>
        <w:t xml:space="preserve"> </w:t>
      </w:r>
      <w:r>
        <w:rPr>
          <w:bCs/>
          <w:i/>
          <w:iCs/>
          <w:spacing w:val="-2"/>
          <w:lang w:val="de-DE"/>
        </w:rPr>
        <w:t>8/2024</w:t>
      </w:r>
      <w:r w:rsidRPr="00D25A7C">
        <w:rPr>
          <w:bCs/>
          <w:i/>
          <w:iCs/>
          <w:spacing w:val="-2"/>
          <w:lang w:val="de-DE"/>
        </w:rPr>
        <w:t xml:space="preserve"> </w:t>
      </w:r>
      <w:r>
        <w:rPr>
          <w:bCs/>
          <w:spacing w:val="-2"/>
        </w:rPr>
        <w:t>reached</w:t>
      </w:r>
      <w:r w:rsidRPr="00D25A7C">
        <w:rPr>
          <w:bCs/>
          <w:spacing w:val="-2"/>
        </w:rPr>
        <w:t xml:space="preserve"> 3</w:t>
      </w:r>
      <w:r>
        <w:rPr>
          <w:bCs/>
          <w:spacing w:val="-2"/>
        </w:rPr>
        <w:t>3.06</w:t>
      </w:r>
      <w:r w:rsidRPr="00D25A7C">
        <w:rPr>
          <w:bCs/>
          <w:spacing w:val="-2"/>
        </w:rPr>
        <w:t xml:space="preserve"> billion USD, </w:t>
      </w:r>
      <w:r>
        <w:rPr>
          <w:bCs/>
          <w:spacing w:val="-2"/>
        </w:rPr>
        <w:t>de</w:t>
      </w:r>
      <w:r w:rsidRPr="00D25A7C">
        <w:rPr>
          <w:bCs/>
          <w:spacing w:val="-2"/>
        </w:rPr>
        <w:t xml:space="preserve">creased by </w:t>
      </w:r>
      <w:r>
        <w:rPr>
          <w:bCs/>
          <w:spacing w:val="-2"/>
        </w:rPr>
        <w:t>2.4</w:t>
      </w:r>
      <w:r w:rsidRPr="00D25A7C">
        <w:rPr>
          <w:bCs/>
          <w:spacing w:val="-2"/>
        </w:rPr>
        <w:t>% over the previous month. Of which the domestic economic sector gained 1</w:t>
      </w:r>
      <w:r>
        <w:rPr>
          <w:bCs/>
          <w:spacing w:val="-2"/>
        </w:rPr>
        <w:t>2</w:t>
      </w:r>
      <w:r w:rsidRPr="00D25A7C">
        <w:rPr>
          <w:bCs/>
          <w:spacing w:val="-2"/>
        </w:rPr>
        <w:t xml:space="preserve"> billion USD, </w:t>
      </w:r>
      <w:r>
        <w:rPr>
          <w:bCs/>
          <w:spacing w:val="-2"/>
        </w:rPr>
        <w:t>in</w:t>
      </w:r>
      <w:r w:rsidRPr="00D25A7C">
        <w:rPr>
          <w:bCs/>
          <w:spacing w:val="-2"/>
        </w:rPr>
        <w:t xml:space="preserve">creased by </w:t>
      </w:r>
      <w:r>
        <w:rPr>
          <w:bCs/>
          <w:spacing w:val="-2"/>
        </w:rPr>
        <w:t>1.4</w:t>
      </w:r>
      <w:r w:rsidRPr="00D25A7C">
        <w:rPr>
          <w:bCs/>
          <w:spacing w:val="-2"/>
        </w:rPr>
        <w:t xml:space="preserve">%; the FDI sector reached </w:t>
      </w:r>
      <w:r>
        <w:rPr>
          <w:bCs/>
          <w:spacing w:val="-2"/>
        </w:rPr>
        <w:t>21.06</w:t>
      </w:r>
      <w:r w:rsidRPr="00D25A7C">
        <w:rPr>
          <w:bCs/>
          <w:spacing w:val="-2"/>
        </w:rPr>
        <w:t xml:space="preserve"> billion USD, </w:t>
      </w:r>
      <w:r>
        <w:rPr>
          <w:bCs/>
          <w:spacing w:val="-2"/>
        </w:rPr>
        <w:t>de</w:t>
      </w:r>
      <w:r w:rsidRPr="00D25A7C">
        <w:rPr>
          <w:bCs/>
          <w:spacing w:val="-2"/>
        </w:rPr>
        <w:t xml:space="preserve">creased by </w:t>
      </w:r>
      <w:r>
        <w:rPr>
          <w:bCs/>
          <w:spacing w:val="-2"/>
        </w:rPr>
        <w:t>4.5</w:t>
      </w:r>
      <w:r w:rsidRPr="00D25A7C">
        <w:rPr>
          <w:bCs/>
          <w:spacing w:val="-2"/>
        </w:rPr>
        <w:t>%. Compared to the same period last year, the import turnover of goods in</w:t>
      </w:r>
      <w:r>
        <w:rPr>
          <w:bCs/>
          <w:spacing w:val="-2"/>
        </w:rPr>
        <w:t xml:space="preserve"> August</w:t>
      </w:r>
      <w:r w:rsidRPr="00D25A7C">
        <w:rPr>
          <w:bCs/>
          <w:spacing w:val="-2"/>
        </w:rPr>
        <w:t xml:space="preserve"> increased by</w:t>
      </w:r>
      <w:r>
        <w:rPr>
          <w:bCs/>
          <w:spacing w:val="-2"/>
        </w:rPr>
        <w:t xml:space="preserve"> 12.4</w:t>
      </w:r>
      <w:r w:rsidRPr="00D25A7C">
        <w:rPr>
          <w:bCs/>
          <w:spacing w:val="-2"/>
        </w:rPr>
        <w:t xml:space="preserve">%, of which the domestic economic sector increased by </w:t>
      </w:r>
      <w:r>
        <w:rPr>
          <w:bCs/>
          <w:spacing w:val="-2"/>
        </w:rPr>
        <w:t>13.2</w:t>
      </w:r>
      <w:r w:rsidRPr="00D25A7C">
        <w:rPr>
          <w:bCs/>
          <w:spacing w:val="-2"/>
        </w:rPr>
        <w:t>%; the FDI sector increased by</w:t>
      </w:r>
      <w:r>
        <w:rPr>
          <w:bCs/>
          <w:spacing w:val="-2"/>
        </w:rPr>
        <w:t xml:space="preserve"> 11.9</w:t>
      </w:r>
      <w:r w:rsidRPr="00D25A7C">
        <w:rPr>
          <w:bCs/>
          <w:spacing w:val="-2"/>
        </w:rPr>
        <w:t>%.</w:t>
      </w:r>
      <w:r w:rsidRPr="00D25A7C">
        <w:rPr>
          <w:spacing w:val="-2"/>
          <w:lang w:val="de-DE"/>
        </w:rPr>
        <w:t xml:space="preserve"> </w:t>
      </w:r>
    </w:p>
    <w:p w14:paraId="3A314194" w14:textId="77777777" w:rsidR="000D286F" w:rsidRPr="00D25A7C" w:rsidRDefault="000D286F" w:rsidP="000D286F">
      <w:pPr>
        <w:tabs>
          <w:tab w:val="num" w:pos="0"/>
          <w:tab w:val="left" w:pos="9475"/>
        </w:tabs>
        <w:spacing w:beforeLines="40" w:before="96" w:afterLines="40" w:after="96" w:line="259" w:lineRule="auto"/>
        <w:ind w:right="6" w:firstLine="567"/>
        <w:jc w:val="both"/>
        <w:rPr>
          <w:bCs/>
          <w:lang w:val="de-DE"/>
        </w:rPr>
      </w:pPr>
      <w:proofErr w:type="gramStart"/>
      <w:r w:rsidRPr="00D25A7C">
        <w:rPr>
          <w:i/>
          <w:iCs/>
        </w:rPr>
        <w:t>Generally</w:t>
      </w:r>
      <w:proofErr w:type="gramEnd"/>
      <w:r w:rsidRPr="00D25A7C">
        <w:rPr>
          <w:i/>
          <w:iCs/>
        </w:rPr>
        <w:t xml:space="preserve"> in</w:t>
      </w:r>
      <w:r w:rsidRPr="00D25A7C">
        <w:rPr>
          <w:i/>
          <w:iCs/>
          <w:lang w:val="de-DE"/>
        </w:rPr>
        <w:t xml:space="preserve"> </w:t>
      </w:r>
      <w:proofErr w:type="gramStart"/>
      <w:r>
        <w:rPr>
          <w:i/>
          <w:iCs/>
          <w:lang w:val="de-DE"/>
        </w:rPr>
        <w:t>eight</w:t>
      </w:r>
      <w:proofErr w:type="gramEnd"/>
      <w:r>
        <w:rPr>
          <w:i/>
          <w:iCs/>
          <w:lang w:val="de-DE"/>
        </w:rPr>
        <w:t xml:space="preserve"> months</w:t>
      </w:r>
      <w:r w:rsidRPr="00D25A7C">
        <w:rPr>
          <w:i/>
          <w:iCs/>
          <w:lang w:val="de-DE"/>
        </w:rPr>
        <w:t xml:space="preserve"> of 2024</w:t>
      </w:r>
      <w:r w:rsidRPr="00D25A7C">
        <w:rPr>
          <w:lang w:val="de-DE"/>
        </w:rPr>
        <w:t xml:space="preserve">, </w:t>
      </w:r>
      <w:r>
        <w:rPr>
          <w:lang w:val="de-DE"/>
        </w:rPr>
        <w:t>p</w:t>
      </w:r>
      <w:r w:rsidRPr="006D71F6">
        <w:rPr>
          <w:bCs/>
        </w:rPr>
        <w:t xml:space="preserve">reliminary import turnover of goods </w:t>
      </w:r>
      <w:r w:rsidRPr="006D71F6">
        <w:rPr>
          <w:bCs/>
          <w:spacing w:val="-2"/>
        </w:rPr>
        <w:t>reached</w:t>
      </w:r>
      <w:r w:rsidRPr="00D25A7C">
        <w:rPr>
          <w:bCs/>
          <w:spacing w:val="-2"/>
        </w:rPr>
        <w:t xml:space="preserve"> </w:t>
      </w:r>
      <w:r>
        <w:t>246.02</w:t>
      </w:r>
      <w:r w:rsidRPr="00D25A7C">
        <w:t xml:space="preserve"> billion</w:t>
      </w:r>
      <w:r w:rsidRPr="00D25A7C">
        <w:rPr>
          <w:bCs/>
        </w:rPr>
        <w:t xml:space="preserve"> USD,</w:t>
      </w:r>
      <w:r w:rsidRPr="00D25A7C">
        <w:t xml:space="preserve"> increased by 1</w:t>
      </w:r>
      <w:r>
        <w:t>7.7</w:t>
      </w:r>
      <w:r w:rsidRPr="00D25A7C">
        <w:t xml:space="preserve">% over </w:t>
      </w:r>
      <w:r w:rsidRPr="00D25A7C">
        <w:rPr>
          <w:bCs/>
        </w:rPr>
        <w:t>the same period last year</w:t>
      </w:r>
      <w:r w:rsidRPr="00D25A7C">
        <w:t xml:space="preserve">. Of which the domestic economic sector reached </w:t>
      </w:r>
      <w:r>
        <w:t>89.58</w:t>
      </w:r>
      <w:r w:rsidRPr="00D25A7C">
        <w:t xml:space="preserve"> billion</w:t>
      </w:r>
      <w:r w:rsidRPr="00D25A7C">
        <w:rPr>
          <w:bCs/>
        </w:rPr>
        <w:t xml:space="preserve"> USD,</w:t>
      </w:r>
      <w:r w:rsidRPr="00D25A7C">
        <w:t xml:space="preserve"> went up </w:t>
      </w:r>
      <w:r>
        <w:t>19.7</w:t>
      </w:r>
      <w:r w:rsidRPr="00D25A7C">
        <w:t xml:space="preserve">%; the FDI sector gained </w:t>
      </w:r>
      <w:r>
        <w:t>156.44</w:t>
      </w:r>
      <w:r w:rsidRPr="00D25A7C">
        <w:t xml:space="preserve"> billion USD, up 1</w:t>
      </w:r>
      <w:r>
        <w:t>6.5</w:t>
      </w:r>
      <w:r w:rsidRPr="00D25A7C">
        <w:t>%.</w:t>
      </w:r>
      <w:r w:rsidRPr="00D25A7C">
        <w:rPr>
          <w:bCs/>
          <w:lang w:val="de-DE"/>
        </w:rPr>
        <w:t xml:space="preserve"> </w:t>
      </w:r>
    </w:p>
    <w:p w14:paraId="0EAD9360" w14:textId="77777777" w:rsidR="000D286F" w:rsidRPr="00D25A7C" w:rsidRDefault="000D286F" w:rsidP="000D286F">
      <w:pPr>
        <w:tabs>
          <w:tab w:val="left" w:pos="9475"/>
        </w:tabs>
        <w:spacing w:beforeLines="40" w:before="96" w:afterLines="40" w:after="96" w:line="259" w:lineRule="auto"/>
        <w:ind w:right="6" w:firstLine="567"/>
        <w:jc w:val="both"/>
        <w:rPr>
          <w:spacing w:val="-2"/>
        </w:rPr>
      </w:pPr>
      <w:r w:rsidRPr="00D25A7C">
        <w:rPr>
          <w:i/>
          <w:iCs/>
          <w:spacing w:val="-2"/>
          <w:lang w:val="en"/>
        </w:rPr>
        <w:lastRenderedPageBreak/>
        <w:t xml:space="preserve">In </w:t>
      </w:r>
      <w:proofErr w:type="gramStart"/>
      <w:r>
        <w:rPr>
          <w:i/>
          <w:iCs/>
          <w:spacing w:val="-2"/>
          <w:lang w:val="en"/>
        </w:rPr>
        <w:t>eight</w:t>
      </w:r>
      <w:proofErr w:type="gramEnd"/>
      <w:r>
        <w:rPr>
          <w:i/>
          <w:iCs/>
          <w:spacing w:val="-2"/>
          <w:lang w:val="en"/>
        </w:rPr>
        <w:t xml:space="preserve"> months</w:t>
      </w:r>
      <w:r w:rsidRPr="00D25A7C">
        <w:rPr>
          <w:i/>
          <w:iCs/>
          <w:spacing w:val="-2"/>
          <w:lang w:val="en"/>
        </w:rPr>
        <w:t xml:space="preserve"> of 2024</w:t>
      </w:r>
      <w:r w:rsidRPr="00D25A7C">
        <w:rPr>
          <w:spacing w:val="-2"/>
          <w:lang w:val="en"/>
        </w:rPr>
        <w:t xml:space="preserve">, there are </w:t>
      </w:r>
      <w:r>
        <w:rPr>
          <w:spacing w:val="-2"/>
          <w:lang w:val="en"/>
        </w:rPr>
        <w:t>38</w:t>
      </w:r>
      <w:r w:rsidRPr="00D25A7C">
        <w:rPr>
          <w:spacing w:val="-2"/>
          <w:lang w:val="en"/>
        </w:rPr>
        <w:t xml:space="preserve"> </w:t>
      </w:r>
      <w:r w:rsidRPr="00D25A7C">
        <w:rPr>
          <w:spacing w:val="-2"/>
        </w:rPr>
        <w:t xml:space="preserve">imported products with a turnover of over 1 billion USD, accounting for </w:t>
      </w:r>
      <w:r>
        <w:rPr>
          <w:spacing w:val="-2"/>
        </w:rPr>
        <w:t>90.8</w:t>
      </w:r>
      <w:r w:rsidRPr="00D25A7C">
        <w:rPr>
          <w:spacing w:val="-2"/>
        </w:rPr>
        <w:t>% of total import turnover (</w:t>
      </w:r>
      <w:r>
        <w:rPr>
          <w:spacing w:val="-2"/>
        </w:rPr>
        <w:t>2</w:t>
      </w:r>
      <w:r w:rsidRPr="00D25A7C">
        <w:rPr>
          <w:spacing w:val="-2"/>
        </w:rPr>
        <w:t xml:space="preserve"> products with import turnover of over </w:t>
      </w:r>
      <w:r>
        <w:rPr>
          <w:spacing w:val="-2"/>
        </w:rPr>
        <w:t>10</w:t>
      </w:r>
      <w:r w:rsidRPr="00D25A7C">
        <w:rPr>
          <w:spacing w:val="-2"/>
        </w:rPr>
        <w:t xml:space="preserve"> billion USD, accounting for </w:t>
      </w:r>
      <w:r>
        <w:rPr>
          <w:spacing w:val="-2"/>
        </w:rPr>
        <w:t>40.7</w:t>
      </w:r>
      <w:r w:rsidRPr="00D25A7C">
        <w:rPr>
          <w:spacing w:val="-2"/>
        </w:rPr>
        <w:t xml:space="preserve">%). </w:t>
      </w:r>
    </w:p>
    <w:p w14:paraId="33FB7DBA" w14:textId="77777777" w:rsidR="000D286F" w:rsidRPr="00D25A7C" w:rsidRDefault="000D286F" w:rsidP="000D286F">
      <w:pPr>
        <w:tabs>
          <w:tab w:val="left" w:pos="9475"/>
        </w:tabs>
        <w:spacing w:before="240" w:after="240" w:line="264" w:lineRule="auto"/>
        <w:ind w:right="6" w:firstLine="567"/>
        <w:jc w:val="center"/>
        <w:rPr>
          <w:rFonts w:ascii="Arial" w:hAnsi="Arial" w:cs="Arial"/>
          <w:b/>
          <w:sz w:val="24"/>
          <w:szCs w:val="20"/>
          <w:lang w:val="pl-PL"/>
        </w:rPr>
      </w:pPr>
      <w:r w:rsidRPr="00D25A7C">
        <w:rPr>
          <w:rFonts w:ascii="Arial" w:hAnsi="Arial" w:cs="Arial"/>
          <w:b/>
          <w:sz w:val="24"/>
          <w:szCs w:val="20"/>
          <w:lang w:val="pl-PL"/>
        </w:rPr>
        <w:t xml:space="preserve">Table </w:t>
      </w:r>
      <w:r>
        <w:rPr>
          <w:rFonts w:ascii="Arial" w:hAnsi="Arial" w:cs="Arial"/>
          <w:b/>
          <w:sz w:val="24"/>
          <w:szCs w:val="20"/>
          <w:lang w:val="pl-PL"/>
        </w:rPr>
        <w:t>5</w:t>
      </w:r>
      <w:r w:rsidRPr="00D25A7C">
        <w:rPr>
          <w:rFonts w:ascii="Arial" w:hAnsi="Arial" w:cs="Arial"/>
          <w:b/>
          <w:sz w:val="24"/>
          <w:szCs w:val="20"/>
          <w:lang w:val="pl-PL"/>
        </w:rPr>
        <w:t xml:space="preserve">. Value of some imported goods in </w:t>
      </w:r>
      <w:r>
        <w:rPr>
          <w:rFonts w:ascii="Arial" w:hAnsi="Arial" w:cs="Arial"/>
          <w:b/>
          <w:sz w:val="24"/>
          <w:szCs w:val="20"/>
          <w:lang w:val="pl-PL"/>
        </w:rPr>
        <w:t>8 months</w:t>
      </w:r>
      <w:r w:rsidRPr="00D25A7C">
        <w:rPr>
          <w:rFonts w:ascii="Arial" w:hAnsi="Arial" w:cs="Arial"/>
          <w:b/>
          <w:sz w:val="24"/>
          <w:szCs w:val="20"/>
          <w:lang w:val="pl-PL"/>
        </w:rPr>
        <w:t xml:space="preserve"> of 2024</w:t>
      </w:r>
    </w:p>
    <w:tbl>
      <w:tblPr>
        <w:tblW w:w="9393" w:type="dxa"/>
        <w:tblLook w:val="04A0" w:firstRow="1" w:lastRow="0" w:firstColumn="1" w:lastColumn="0" w:noHBand="0" w:noVBand="1"/>
      </w:tblPr>
      <w:tblGrid>
        <w:gridCol w:w="276"/>
        <w:gridCol w:w="4209"/>
        <w:gridCol w:w="1963"/>
        <w:gridCol w:w="2945"/>
      </w:tblGrid>
      <w:tr w:rsidR="000D286F" w:rsidRPr="00D25A7C" w14:paraId="246867DC" w14:textId="77777777" w:rsidTr="00E445BD">
        <w:trPr>
          <w:trHeight w:val="317"/>
        </w:trPr>
        <w:tc>
          <w:tcPr>
            <w:tcW w:w="276" w:type="dxa"/>
            <w:tcBorders>
              <w:top w:val="single" w:sz="4" w:space="0" w:color="auto"/>
              <w:left w:val="nil"/>
              <w:bottom w:val="nil"/>
              <w:right w:val="nil"/>
            </w:tcBorders>
            <w:shd w:val="clear" w:color="auto" w:fill="auto"/>
            <w:noWrap/>
            <w:vAlign w:val="center"/>
            <w:hideMark/>
          </w:tcPr>
          <w:p w14:paraId="521316B8" w14:textId="77777777" w:rsidR="000D286F" w:rsidRPr="00D25A7C" w:rsidRDefault="000D286F" w:rsidP="00E445BD">
            <w:pPr>
              <w:spacing w:before="40" w:after="40" w:line="288" w:lineRule="auto"/>
              <w:rPr>
                <w:rFonts w:ascii="Arial" w:hAnsi="Arial" w:cs="Arial"/>
                <w:sz w:val="20"/>
                <w:szCs w:val="20"/>
                <w:lang w:val="en"/>
              </w:rPr>
            </w:pPr>
            <w:r w:rsidRPr="00D25A7C">
              <w:rPr>
                <w:rFonts w:ascii="Arial" w:hAnsi="Arial" w:cs="Arial"/>
                <w:sz w:val="20"/>
                <w:szCs w:val="20"/>
                <w:lang w:val="en"/>
              </w:rPr>
              <w:t> </w:t>
            </w:r>
          </w:p>
        </w:tc>
        <w:tc>
          <w:tcPr>
            <w:tcW w:w="4209" w:type="dxa"/>
            <w:tcBorders>
              <w:top w:val="single" w:sz="4" w:space="0" w:color="auto"/>
              <w:left w:val="nil"/>
              <w:bottom w:val="nil"/>
              <w:right w:val="nil"/>
            </w:tcBorders>
            <w:shd w:val="clear" w:color="auto" w:fill="auto"/>
            <w:noWrap/>
            <w:vAlign w:val="center"/>
            <w:hideMark/>
          </w:tcPr>
          <w:p w14:paraId="415B7BFE" w14:textId="77777777" w:rsidR="000D286F" w:rsidRPr="00D25A7C" w:rsidRDefault="000D286F" w:rsidP="00E445BD">
            <w:pPr>
              <w:spacing w:before="40" w:after="40" w:line="288" w:lineRule="auto"/>
              <w:jc w:val="center"/>
              <w:rPr>
                <w:rFonts w:ascii="Arial" w:hAnsi="Arial" w:cs="Arial"/>
                <w:sz w:val="20"/>
                <w:szCs w:val="20"/>
                <w:lang w:val="en"/>
              </w:rPr>
            </w:pPr>
            <w:r w:rsidRPr="00D25A7C">
              <w:rPr>
                <w:rFonts w:ascii="Arial" w:hAnsi="Arial" w:cs="Arial"/>
                <w:sz w:val="20"/>
                <w:szCs w:val="20"/>
                <w:lang w:val="en"/>
              </w:rPr>
              <w:t> </w:t>
            </w:r>
          </w:p>
        </w:tc>
        <w:tc>
          <w:tcPr>
            <w:tcW w:w="1963" w:type="dxa"/>
            <w:tcBorders>
              <w:top w:val="single" w:sz="4" w:space="0" w:color="auto"/>
              <w:left w:val="nil"/>
            </w:tcBorders>
            <w:shd w:val="clear" w:color="auto" w:fill="auto"/>
            <w:vAlign w:val="center"/>
            <w:hideMark/>
          </w:tcPr>
          <w:p w14:paraId="6DB08F5F" w14:textId="77777777" w:rsidR="000D286F" w:rsidRPr="00D25A7C" w:rsidRDefault="000D286F" w:rsidP="00E445BD">
            <w:pPr>
              <w:spacing w:before="40" w:after="40" w:line="288" w:lineRule="auto"/>
              <w:jc w:val="center"/>
              <w:rPr>
                <w:rFonts w:ascii="Arial" w:hAnsi="Arial" w:cs="Arial"/>
                <w:sz w:val="20"/>
                <w:szCs w:val="20"/>
                <w:lang w:val="en"/>
              </w:rPr>
            </w:pPr>
            <w:r w:rsidRPr="00D25A7C">
              <w:rPr>
                <w:rFonts w:ascii="Arial" w:hAnsi="Arial" w:cs="Arial"/>
                <w:sz w:val="20"/>
                <w:szCs w:val="20"/>
                <w:lang w:val="en"/>
              </w:rPr>
              <w:t>Estimate</w:t>
            </w:r>
          </w:p>
        </w:tc>
        <w:tc>
          <w:tcPr>
            <w:tcW w:w="2945" w:type="dxa"/>
            <w:tcBorders>
              <w:top w:val="single" w:sz="4" w:space="0" w:color="auto"/>
            </w:tcBorders>
            <w:shd w:val="clear" w:color="auto" w:fill="auto"/>
            <w:vAlign w:val="center"/>
            <w:hideMark/>
          </w:tcPr>
          <w:p w14:paraId="29791005" w14:textId="77777777" w:rsidR="000D286F" w:rsidRPr="00D25A7C" w:rsidRDefault="000D286F" w:rsidP="00E445BD">
            <w:pPr>
              <w:spacing w:before="40" w:after="40" w:line="288" w:lineRule="auto"/>
              <w:jc w:val="center"/>
              <w:rPr>
                <w:rFonts w:ascii="Arial" w:hAnsi="Arial" w:cs="Arial"/>
                <w:sz w:val="20"/>
                <w:szCs w:val="20"/>
                <w:lang w:val="en"/>
              </w:rPr>
            </w:pPr>
            <w:r w:rsidRPr="00D25A7C">
              <w:rPr>
                <w:rFonts w:ascii="Arial" w:hAnsi="Arial" w:cs="Arial"/>
                <w:sz w:val="20"/>
                <w:szCs w:val="20"/>
                <w:lang w:val="en"/>
              </w:rPr>
              <w:t xml:space="preserve">Growth </w:t>
            </w:r>
            <w:proofErr w:type="gramStart"/>
            <w:r w:rsidRPr="00D25A7C">
              <w:rPr>
                <w:rFonts w:ascii="Arial" w:hAnsi="Arial" w:cs="Arial"/>
                <w:sz w:val="20"/>
                <w:szCs w:val="20"/>
                <w:lang w:val="en"/>
              </w:rPr>
              <w:t>rate</w:t>
            </w:r>
            <w:proofErr w:type="gramEnd"/>
            <w:r w:rsidRPr="00D25A7C">
              <w:rPr>
                <w:rFonts w:ascii="Arial" w:hAnsi="Arial" w:cs="Arial"/>
                <w:sz w:val="20"/>
                <w:szCs w:val="20"/>
                <w:lang w:val="en"/>
              </w:rPr>
              <w:t xml:space="preserve"> compare to</w:t>
            </w:r>
          </w:p>
        </w:tc>
      </w:tr>
      <w:tr w:rsidR="000D286F" w:rsidRPr="00D25A7C" w14:paraId="6E36DFC7" w14:textId="77777777" w:rsidTr="00E445BD">
        <w:trPr>
          <w:trHeight w:val="152"/>
        </w:trPr>
        <w:tc>
          <w:tcPr>
            <w:tcW w:w="276" w:type="dxa"/>
            <w:tcBorders>
              <w:top w:val="nil"/>
              <w:left w:val="nil"/>
              <w:bottom w:val="nil"/>
              <w:right w:val="nil"/>
            </w:tcBorders>
            <w:shd w:val="clear" w:color="auto" w:fill="auto"/>
            <w:noWrap/>
            <w:vAlign w:val="center"/>
            <w:hideMark/>
          </w:tcPr>
          <w:p w14:paraId="546526CE" w14:textId="77777777" w:rsidR="000D286F" w:rsidRPr="00D25A7C" w:rsidRDefault="000D286F" w:rsidP="00E445BD">
            <w:pPr>
              <w:spacing w:before="40" w:after="40" w:line="288" w:lineRule="auto"/>
              <w:jc w:val="center"/>
              <w:rPr>
                <w:rFonts w:ascii="Arial" w:hAnsi="Arial" w:cs="Arial"/>
                <w:color w:val="000000"/>
                <w:sz w:val="20"/>
                <w:szCs w:val="20"/>
                <w:lang w:val="en"/>
              </w:rPr>
            </w:pPr>
          </w:p>
        </w:tc>
        <w:tc>
          <w:tcPr>
            <w:tcW w:w="4209" w:type="dxa"/>
            <w:tcBorders>
              <w:top w:val="nil"/>
              <w:left w:val="nil"/>
              <w:bottom w:val="nil"/>
              <w:right w:val="nil"/>
            </w:tcBorders>
            <w:shd w:val="clear" w:color="auto" w:fill="auto"/>
            <w:noWrap/>
            <w:vAlign w:val="center"/>
            <w:hideMark/>
          </w:tcPr>
          <w:p w14:paraId="478E9C67" w14:textId="77777777" w:rsidR="000D286F" w:rsidRPr="00D25A7C" w:rsidRDefault="000D286F" w:rsidP="00E445BD">
            <w:pPr>
              <w:spacing w:before="40" w:after="40" w:line="288" w:lineRule="auto"/>
              <w:rPr>
                <w:rFonts w:ascii="Arial" w:hAnsi="Arial" w:cs="Arial"/>
                <w:sz w:val="20"/>
                <w:szCs w:val="20"/>
                <w:lang w:val="en"/>
              </w:rPr>
            </w:pPr>
          </w:p>
        </w:tc>
        <w:tc>
          <w:tcPr>
            <w:tcW w:w="1963" w:type="dxa"/>
            <w:tcBorders>
              <w:top w:val="nil"/>
              <w:left w:val="nil"/>
              <w:bottom w:val="single" w:sz="4" w:space="0" w:color="auto"/>
            </w:tcBorders>
            <w:shd w:val="clear" w:color="auto" w:fill="auto"/>
            <w:vAlign w:val="center"/>
            <w:hideMark/>
          </w:tcPr>
          <w:p w14:paraId="45130704" w14:textId="77777777" w:rsidR="000D286F" w:rsidRPr="00D25A7C" w:rsidRDefault="000D286F" w:rsidP="00E445BD">
            <w:pPr>
              <w:spacing w:before="40" w:after="40" w:line="288" w:lineRule="auto"/>
              <w:jc w:val="center"/>
              <w:rPr>
                <w:rFonts w:ascii="Arial" w:hAnsi="Arial" w:cs="Arial"/>
                <w:sz w:val="20"/>
                <w:szCs w:val="20"/>
                <w:lang w:val="en"/>
              </w:rPr>
            </w:pPr>
            <w:r w:rsidRPr="00D25A7C">
              <w:rPr>
                <w:rFonts w:ascii="Arial" w:hAnsi="Arial" w:cs="Arial"/>
                <w:i/>
                <w:iCs/>
                <w:sz w:val="20"/>
                <w:szCs w:val="20"/>
                <w:lang w:val="en"/>
              </w:rPr>
              <w:t>(Mill. USD)</w:t>
            </w:r>
          </w:p>
        </w:tc>
        <w:tc>
          <w:tcPr>
            <w:tcW w:w="2945" w:type="dxa"/>
            <w:tcBorders>
              <w:top w:val="nil"/>
              <w:bottom w:val="single" w:sz="4" w:space="0" w:color="auto"/>
            </w:tcBorders>
            <w:shd w:val="clear" w:color="auto" w:fill="auto"/>
            <w:vAlign w:val="center"/>
            <w:hideMark/>
          </w:tcPr>
          <w:p w14:paraId="0600F801" w14:textId="77777777" w:rsidR="000D286F" w:rsidRPr="00D25A7C" w:rsidRDefault="000D286F" w:rsidP="00E445BD">
            <w:pPr>
              <w:spacing w:before="40" w:after="40" w:line="288" w:lineRule="auto"/>
              <w:jc w:val="center"/>
              <w:rPr>
                <w:rFonts w:ascii="Arial" w:hAnsi="Arial" w:cs="Arial"/>
                <w:sz w:val="20"/>
                <w:szCs w:val="20"/>
                <w:lang w:val="en"/>
              </w:rPr>
            </w:pPr>
            <w:r w:rsidRPr="00D25A7C">
              <w:rPr>
                <w:rFonts w:ascii="Arial" w:hAnsi="Arial" w:cs="Arial"/>
                <w:sz w:val="20"/>
                <w:szCs w:val="20"/>
                <w:lang w:val="en"/>
              </w:rPr>
              <w:t xml:space="preserve">the same period last year </w:t>
            </w:r>
            <w:r w:rsidRPr="00D25A7C">
              <w:rPr>
                <w:rFonts w:ascii="Arial" w:hAnsi="Arial" w:cs="Arial"/>
                <w:i/>
                <w:iCs/>
                <w:sz w:val="20"/>
                <w:szCs w:val="20"/>
                <w:lang w:val="en"/>
              </w:rPr>
              <w:t>(%)</w:t>
            </w:r>
          </w:p>
        </w:tc>
      </w:tr>
      <w:tr w:rsidR="000D286F" w:rsidRPr="00D25A7C" w14:paraId="35B8EA30" w14:textId="77777777" w:rsidTr="00E445BD">
        <w:trPr>
          <w:trHeight w:val="317"/>
        </w:trPr>
        <w:tc>
          <w:tcPr>
            <w:tcW w:w="4485" w:type="dxa"/>
            <w:gridSpan w:val="2"/>
            <w:tcBorders>
              <w:top w:val="nil"/>
              <w:left w:val="nil"/>
              <w:bottom w:val="nil"/>
              <w:right w:val="nil"/>
            </w:tcBorders>
            <w:shd w:val="clear" w:color="auto" w:fill="auto"/>
            <w:noWrap/>
            <w:vAlign w:val="center"/>
            <w:hideMark/>
          </w:tcPr>
          <w:p w14:paraId="4A33D5F2" w14:textId="77777777" w:rsidR="000D286F" w:rsidRPr="00D25A7C" w:rsidRDefault="000D286F" w:rsidP="00E445BD">
            <w:pPr>
              <w:spacing w:before="40" w:after="40" w:line="288" w:lineRule="auto"/>
              <w:rPr>
                <w:rFonts w:ascii="Arial" w:hAnsi="Arial" w:cs="Arial"/>
                <w:b/>
                <w:bCs/>
                <w:color w:val="000000"/>
                <w:sz w:val="20"/>
                <w:szCs w:val="20"/>
                <w:lang w:val="en"/>
              </w:rPr>
            </w:pPr>
            <w:r w:rsidRPr="00D25A7C">
              <w:rPr>
                <w:rFonts w:ascii="Arial" w:hAnsi="Arial" w:cs="Arial"/>
                <w:b/>
                <w:bCs/>
                <w:sz w:val="20"/>
                <w:szCs w:val="20"/>
                <w:lang w:val="en"/>
              </w:rPr>
              <w:t xml:space="preserve">Items with a value of over </w:t>
            </w:r>
            <w:r>
              <w:rPr>
                <w:rFonts w:ascii="Arial" w:hAnsi="Arial" w:cs="Arial"/>
                <w:b/>
                <w:bCs/>
                <w:sz w:val="20"/>
                <w:szCs w:val="20"/>
                <w:lang w:val="en"/>
              </w:rPr>
              <w:t>10</w:t>
            </w:r>
            <w:r w:rsidRPr="00D25A7C">
              <w:rPr>
                <w:rFonts w:ascii="Arial" w:hAnsi="Arial" w:cs="Arial"/>
                <w:b/>
                <w:bCs/>
                <w:sz w:val="20"/>
                <w:szCs w:val="20"/>
                <w:lang w:val="en"/>
              </w:rPr>
              <w:t xml:space="preserve"> billion USD</w:t>
            </w:r>
          </w:p>
        </w:tc>
        <w:tc>
          <w:tcPr>
            <w:tcW w:w="1963" w:type="dxa"/>
            <w:tcBorders>
              <w:top w:val="nil"/>
              <w:left w:val="nil"/>
              <w:bottom w:val="nil"/>
              <w:right w:val="nil"/>
            </w:tcBorders>
            <w:shd w:val="clear" w:color="auto" w:fill="auto"/>
            <w:noWrap/>
            <w:vAlign w:val="center"/>
            <w:hideMark/>
          </w:tcPr>
          <w:p w14:paraId="41A37A1C" w14:textId="77777777" w:rsidR="000D286F" w:rsidRPr="00D25A7C" w:rsidRDefault="000D286F" w:rsidP="00E445BD">
            <w:pPr>
              <w:spacing w:before="40" w:after="40" w:line="288" w:lineRule="auto"/>
              <w:rPr>
                <w:rFonts w:ascii="Arial" w:hAnsi="Arial" w:cs="Arial"/>
                <w:sz w:val="20"/>
                <w:szCs w:val="20"/>
                <w:lang w:val="en"/>
              </w:rPr>
            </w:pPr>
          </w:p>
        </w:tc>
        <w:tc>
          <w:tcPr>
            <w:tcW w:w="2945" w:type="dxa"/>
            <w:tcBorders>
              <w:top w:val="nil"/>
              <w:left w:val="nil"/>
              <w:bottom w:val="nil"/>
              <w:right w:val="nil"/>
            </w:tcBorders>
            <w:shd w:val="clear" w:color="auto" w:fill="auto"/>
            <w:noWrap/>
            <w:vAlign w:val="center"/>
            <w:hideMark/>
          </w:tcPr>
          <w:p w14:paraId="37904BCE" w14:textId="77777777" w:rsidR="000D286F" w:rsidRPr="00D25A7C" w:rsidRDefault="000D286F" w:rsidP="00E445BD">
            <w:pPr>
              <w:spacing w:before="40" w:after="40" w:line="288" w:lineRule="auto"/>
              <w:rPr>
                <w:rFonts w:ascii="Arial" w:hAnsi="Arial" w:cs="Arial"/>
                <w:sz w:val="20"/>
                <w:szCs w:val="20"/>
                <w:lang w:val="en"/>
              </w:rPr>
            </w:pPr>
          </w:p>
        </w:tc>
      </w:tr>
      <w:tr w:rsidR="000D286F" w:rsidRPr="00D25A7C" w14:paraId="4C2B4101" w14:textId="77777777" w:rsidTr="00E445BD">
        <w:trPr>
          <w:trHeight w:val="317"/>
        </w:trPr>
        <w:tc>
          <w:tcPr>
            <w:tcW w:w="276" w:type="dxa"/>
            <w:tcBorders>
              <w:top w:val="nil"/>
              <w:left w:val="nil"/>
              <w:right w:val="nil"/>
            </w:tcBorders>
            <w:shd w:val="clear" w:color="auto" w:fill="auto"/>
            <w:noWrap/>
            <w:vAlign w:val="center"/>
            <w:hideMark/>
          </w:tcPr>
          <w:p w14:paraId="11FD10CD" w14:textId="77777777" w:rsidR="000D286F" w:rsidRPr="00D25A7C" w:rsidRDefault="000D286F" w:rsidP="00E445BD">
            <w:pPr>
              <w:spacing w:before="40" w:after="40" w:line="288" w:lineRule="auto"/>
              <w:jc w:val="right"/>
              <w:rPr>
                <w:rFonts w:ascii="Arial" w:hAnsi="Arial" w:cs="Arial"/>
                <w:sz w:val="20"/>
                <w:szCs w:val="20"/>
                <w:lang w:val="en"/>
              </w:rPr>
            </w:pPr>
          </w:p>
        </w:tc>
        <w:tc>
          <w:tcPr>
            <w:tcW w:w="4209" w:type="dxa"/>
            <w:tcBorders>
              <w:top w:val="nil"/>
              <w:left w:val="nil"/>
              <w:right w:val="nil"/>
            </w:tcBorders>
            <w:shd w:val="clear" w:color="auto" w:fill="auto"/>
            <w:noWrap/>
            <w:vAlign w:val="bottom"/>
            <w:hideMark/>
          </w:tcPr>
          <w:p w14:paraId="347A4863" w14:textId="77777777" w:rsidR="000D286F" w:rsidRPr="00D25A7C" w:rsidRDefault="000D286F" w:rsidP="00E445BD">
            <w:pPr>
              <w:spacing w:before="40" w:after="40" w:line="288" w:lineRule="auto"/>
              <w:rPr>
                <w:rFonts w:ascii="Arial" w:hAnsi="Arial" w:cs="Arial"/>
                <w:sz w:val="20"/>
                <w:szCs w:val="20"/>
                <w:lang w:val="en"/>
              </w:rPr>
            </w:pPr>
            <w:r w:rsidRPr="00D25A7C">
              <w:rPr>
                <w:rFonts w:ascii="Arial" w:hAnsi="Arial" w:cs="Arial"/>
                <w:sz w:val="20"/>
                <w:szCs w:val="20"/>
                <w:lang w:val="en"/>
              </w:rPr>
              <w:t>Electronic devices, computers and their parts</w:t>
            </w:r>
          </w:p>
        </w:tc>
        <w:tc>
          <w:tcPr>
            <w:tcW w:w="1963" w:type="dxa"/>
            <w:tcBorders>
              <w:top w:val="nil"/>
              <w:left w:val="nil"/>
              <w:right w:val="nil"/>
            </w:tcBorders>
            <w:shd w:val="clear" w:color="auto" w:fill="auto"/>
            <w:noWrap/>
            <w:vAlign w:val="bottom"/>
            <w:hideMark/>
          </w:tcPr>
          <w:p w14:paraId="5237D57B" w14:textId="77777777" w:rsidR="000D286F" w:rsidRPr="00D25A7C" w:rsidRDefault="000D286F" w:rsidP="00E445BD">
            <w:pPr>
              <w:spacing w:before="40" w:after="40" w:line="288" w:lineRule="auto"/>
              <w:ind w:right="458"/>
              <w:jc w:val="right"/>
              <w:rPr>
                <w:rFonts w:ascii="Arial" w:hAnsi="Arial" w:cs="Arial"/>
                <w:sz w:val="20"/>
                <w:szCs w:val="20"/>
                <w:lang w:val="en"/>
              </w:rPr>
            </w:pPr>
            <w:r w:rsidRPr="00AF38A3">
              <w:rPr>
                <w:rFonts w:ascii="Arial" w:hAnsi="Arial" w:cs="Arial"/>
                <w:sz w:val="20"/>
                <w:szCs w:val="20"/>
              </w:rPr>
              <w:t>68</w:t>
            </w:r>
            <w:r>
              <w:rPr>
                <w:rFonts w:ascii="Arial" w:hAnsi="Arial" w:cs="Arial"/>
                <w:sz w:val="20"/>
                <w:szCs w:val="20"/>
              </w:rPr>
              <w:t>,</w:t>
            </w:r>
            <w:r w:rsidRPr="00AF38A3">
              <w:rPr>
                <w:rFonts w:ascii="Arial" w:hAnsi="Arial" w:cs="Arial"/>
                <w:sz w:val="20"/>
                <w:szCs w:val="20"/>
              </w:rPr>
              <w:t>891</w:t>
            </w:r>
          </w:p>
        </w:tc>
        <w:tc>
          <w:tcPr>
            <w:tcW w:w="2945" w:type="dxa"/>
            <w:tcBorders>
              <w:top w:val="nil"/>
              <w:left w:val="nil"/>
              <w:right w:val="nil"/>
            </w:tcBorders>
            <w:shd w:val="clear" w:color="auto" w:fill="auto"/>
            <w:noWrap/>
            <w:vAlign w:val="bottom"/>
          </w:tcPr>
          <w:p w14:paraId="4305AF84" w14:textId="77777777" w:rsidR="000D286F" w:rsidRPr="00D25A7C" w:rsidRDefault="000D286F" w:rsidP="00E445BD">
            <w:pPr>
              <w:spacing w:before="40" w:after="40" w:line="288" w:lineRule="auto"/>
              <w:ind w:right="1068"/>
              <w:jc w:val="right"/>
              <w:rPr>
                <w:rFonts w:ascii="Arial" w:hAnsi="Arial" w:cs="Arial"/>
                <w:sz w:val="20"/>
                <w:szCs w:val="20"/>
                <w:lang w:val="en"/>
              </w:rPr>
            </w:pPr>
            <w:r w:rsidRPr="00AF38A3">
              <w:rPr>
                <w:rFonts w:ascii="Arial" w:hAnsi="Arial" w:cs="Arial"/>
                <w:sz w:val="20"/>
                <w:szCs w:val="20"/>
              </w:rPr>
              <w:t>26</w:t>
            </w:r>
            <w:r>
              <w:rPr>
                <w:rFonts w:ascii="Arial" w:hAnsi="Arial" w:cs="Arial"/>
                <w:sz w:val="20"/>
                <w:szCs w:val="20"/>
              </w:rPr>
              <w:t>.</w:t>
            </w:r>
            <w:r w:rsidRPr="00AF38A3">
              <w:rPr>
                <w:rFonts w:ascii="Arial" w:hAnsi="Arial" w:cs="Arial"/>
                <w:sz w:val="20"/>
                <w:szCs w:val="20"/>
              </w:rPr>
              <w:t>9</w:t>
            </w:r>
          </w:p>
        </w:tc>
      </w:tr>
      <w:tr w:rsidR="000D286F" w:rsidRPr="00D25A7C" w14:paraId="223782B1" w14:textId="77777777" w:rsidTr="00E445BD">
        <w:trPr>
          <w:trHeight w:val="317"/>
        </w:trPr>
        <w:tc>
          <w:tcPr>
            <w:tcW w:w="276" w:type="dxa"/>
            <w:tcBorders>
              <w:top w:val="nil"/>
              <w:left w:val="nil"/>
              <w:bottom w:val="nil"/>
              <w:right w:val="nil"/>
            </w:tcBorders>
            <w:shd w:val="clear" w:color="auto" w:fill="auto"/>
            <w:noWrap/>
            <w:vAlign w:val="center"/>
            <w:hideMark/>
          </w:tcPr>
          <w:p w14:paraId="3269AC57" w14:textId="77777777" w:rsidR="000D286F" w:rsidRPr="00D25A7C" w:rsidRDefault="000D286F" w:rsidP="00E445BD">
            <w:pPr>
              <w:spacing w:before="40" w:after="40" w:line="288" w:lineRule="auto"/>
              <w:rPr>
                <w:rFonts w:ascii="Arial" w:hAnsi="Arial" w:cs="Arial"/>
                <w:sz w:val="20"/>
                <w:szCs w:val="20"/>
                <w:lang w:val="en"/>
              </w:rPr>
            </w:pPr>
          </w:p>
        </w:tc>
        <w:tc>
          <w:tcPr>
            <w:tcW w:w="4209" w:type="dxa"/>
            <w:tcBorders>
              <w:top w:val="nil"/>
              <w:left w:val="nil"/>
              <w:bottom w:val="single" w:sz="4" w:space="0" w:color="auto"/>
              <w:right w:val="nil"/>
            </w:tcBorders>
            <w:shd w:val="clear" w:color="auto" w:fill="auto"/>
            <w:noWrap/>
            <w:vAlign w:val="bottom"/>
            <w:hideMark/>
          </w:tcPr>
          <w:p w14:paraId="1B054B71" w14:textId="77777777" w:rsidR="000D286F" w:rsidRPr="00D25A7C" w:rsidRDefault="000D286F" w:rsidP="00E445BD">
            <w:pPr>
              <w:spacing w:before="40" w:after="40" w:line="288" w:lineRule="auto"/>
              <w:rPr>
                <w:rFonts w:ascii="Arial" w:hAnsi="Arial" w:cs="Arial"/>
                <w:sz w:val="20"/>
                <w:szCs w:val="20"/>
                <w:lang w:val="en"/>
              </w:rPr>
            </w:pPr>
            <w:r w:rsidRPr="00D25A7C">
              <w:rPr>
                <w:rFonts w:ascii="Arial" w:hAnsi="Arial" w:cs="Arial"/>
                <w:sz w:val="20"/>
                <w:szCs w:val="20"/>
                <w:lang w:val="en"/>
              </w:rPr>
              <w:t>Machinery, instrument, accessory</w:t>
            </w:r>
          </w:p>
        </w:tc>
        <w:tc>
          <w:tcPr>
            <w:tcW w:w="1963" w:type="dxa"/>
            <w:tcBorders>
              <w:top w:val="nil"/>
              <w:left w:val="nil"/>
              <w:bottom w:val="single" w:sz="4" w:space="0" w:color="auto"/>
              <w:right w:val="nil"/>
            </w:tcBorders>
            <w:shd w:val="clear" w:color="auto" w:fill="auto"/>
            <w:noWrap/>
            <w:vAlign w:val="bottom"/>
            <w:hideMark/>
          </w:tcPr>
          <w:p w14:paraId="352BEC9E" w14:textId="77777777" w:rsidR="000D286F" w:rsidRPr="00D25A7C" w:rsidRDefault="000D286F" w:rsidP="00E445BD">
            <w:pPr>
              <w:spacing w:before="40" w:after="40" w:line="288" w:lineRule="auto"/>
              <w:ind w:right="458" w:firstLine="28"/>
              <w:jc w:val="right"/>
              <w:rPr>
                <w:rFonts w:ascii="Arial" w:hAnsi="Arial" w:cs="Arial"/>
                <w:sz w:val="20"/>
                <w:szCs w:val="20"/>
                <w:lang w:val="en"/>
              </w:rPr>
            </w:pPr>
            <w:r w:rsidRPr="00AF38A3">
              <w:rPr>
                <w:rFonts w:ascii="Arial" w:hAnsi="Arial" w:cs="Arial"/>
                <w:sz w:val="20"/>
                <w:szCs w:val="20"/>
              </w:rPr>
              <w:t>31</w:t>
            </w:r>
            <w:r>
              <w:rPr>
                <w:rFonts w:ascii="Arial" w:hAnsi="Arial" w:cs="Arial"/>
                <w:sz w:val="20"/>
                <w:szCs w:val="20"/>
              </w:rPr>
              <w:t>,</w:t>
            </w:r>
            <w:r w:rsidRPr="00AF38A3">
              <w:rPr>
                <w:rFonts w:ascii="Arial" w:hAnsi="Arial" w:cs="Arial"/>
                <w:sz w:val="20"/>
                <w:szCs w:val="20"/>
              </w:rPr>
              <w:t>336</w:t>
            </w:r>
          </w:p>
        </w:tc>
        <w:tc>
          <w:tcPr>
            <w:tcW w:w="2945" w:type="dxa"/>
            <w:tcBorders>
              <w:top w:val="nil"/>
              <w:left w:val="nil"/>
              <w:bottom w:val="single" w:sz="4" w:space="0" w:color="auto"/>
              <w:right w:val="nil"/>
            </w:tcBorders>
            <w:shd w:val="clear" w:color="auto" w:fill="auto"/>
            <w:noWrap/>
            <w:vAlign w:val="bottom"/>
          </w:tcPr>
          <w:p w14:paraId="71213692" w14:textId="77777777" w:rsidR="000D286F" w:rsidRPr="00D25A7C" w:rsidRDefault="000D286F" w:rsidP="00E445BD">
            <w:pPr>
              <w:spacing w:before="40" w:after="40" w:line="288" w:lineRule="auto"/>
              <w:ind w:right="1068"/>
              <w:jc w:val="right"/>
              <w:rPr>
                <w:rFonts w:ascii="Arial" w:hAnsi="Arial" w:cs="Arial"/>
                <w:sz w:val="20"/>
                <w:szCs w:val="20"/>
                <w:lang w:val="en"/>
              </w:rPr>
            </w:pPr>
            <w:r w:rsidRPr="00AF38A3">
              <w:rPr>
                <w:rFonts w:ascii="Arial" w:hAnsi="Arial" w:cs="Arial"/>
                <w:sz w:val="20"/>
                <w:szCs w:val="20"/>
              </w:rPr>
              <w:t>17</w:t>
            </w:r>
            <w:r>
              <w:rPr>
                <w:rFonts w:ascii="Arial" w:hAnsi="Arial" w:cs="Arial"/>
                <w:sz w:val="20"/>
                <w:szCs w:val="20"/>
              </w:rPr>
              <w:t>.</w:t>
            </w:r>
            <w:r w:rsidRPr="00AF38A3">
              <w:rPr>
                <w:rFonts w:ascii="Arial" w:hAnsi="Arial" w:cs="Arial"/>
                <w:sz w:val="20"/>
                <w:szCs w:val="20"/>
              </w:rPr>
              <w:t>0</w:t>
            </w:r>
          </w:p>
        </w:tc>
      </w:tr>
    </w:tbl>
    <w:p w14:paraId="469D7952" w14:textId="77777777" w:rsidR="000D286F" w:rsidRPr="00D25A7C" w:rsidRDefault="000D286F" w:rsidP="000D286F">
      <w:pPr>
        <w:tabs>
          <w:tab w:val="num" w:pos="0"/>
          <w:tab w:val="left" w:pos="9475"/>
        </w:tabs>
        <w:spacing w:beforeLines="40" w:before="96" w:afterLines="40" w:after="96" w:line="264" w:lineRule="auto"/>
        <w:ind w:right="187" w:firstLine="567"/>
        <w:jc w:val="right"/>
        <w:rPr>
          <w:rFonts w:ascii="Arial" w:hAnsi="Arial" w:cs="Arial"/>
          <w:b/>
          <w:bCs/>
          <w:i/>
          <w:iCs/>
          <w:sz w:val="2"/>
          <w:szCs w:val="20"/>
        </w:rPr>
      </w:pPr>
      <w:r w:rsidRPr="00D25A7C">
        <w:rPr>
          <w:noProof/>
        </w:rPr>
        <mc:AlternateContent>
          <mc:Choice Requires="wps">
            <w:drawing>
              <wp:anchor distT="0" distB="0" distL="114300" distR="114300" simplePos="0" relativeHeight="251686912" behindDoc="0" locked="0" layoutInCell="1" allowOverlap="1" wp14:anchorId="239BABF4" wp14:editId="26208715">
                <wp:simplePos x="0" y="0"/>
                <wp:positionH relativeFrom="column">
                  <wp:posOffset>81915</wp:posOffset>
                </wp:positionH>
                <wp:positionV relativeFrom="paragraph">
                  <wp:posOffset>170815</wp:posOffset>
                </wp:positionV>
                <wp:extent cx="3248025" cy="2725420"/>
                <wp:effectExtent l="0" t="0" r="9525" b="0"/>
                <wp:wrapSquare wrapText="bothSides"/>
                <wp:docPr id="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725420"/>
                        </a:xfrm>
                        <a:prstGeom prst="rect">
                          <a:avLst/>
                        </a:prstGeom>
                        <a:solidFill>
                          <a:srgbClr val="FFFFFF"/>
                        </a:solidFill>
                        <a:ln w="9525">
                          <a:noFill/>
                          <a:miter lim="800000"/>
                          <a:headEnd/>
                          <a:tailEnd/>
                        </a:ln>
                      </wps:spPr>
                      <wps:txbx>
                        <w:txbxContent>
                          <w:p w14:paraId="1D2545CE" w14:textId="77777777" w:rsidR="000D286F" w:rsidRPr="004B4D22" w:rsidRDefault="000D286F" w:rsidP="000D286F">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Figure </w:t>
                            </w:r>
                            <w:r>
                              <w:rPr>
                                <w:rFonts w:ascii="Arial" w:hAnsi="Arial" w:cs="Arial"/>
                                <w:b/>
                                <w:bCs/>
                                <w:sz w:val="24"/>
                                <w:szCs w:val="24"/>
                              </w:rPr>
                              <w:t>13</w:t>
                            </w:r>
                            <w:r w:rsidRPr="004B4D22">
                              <w:rPr>
                                <w:rFonts w:ascii="Arial" w:hAnsi="Arial" w:cs="Arial"/>
                                <w:b/>
                                <w:bCs/>
                                <w:sz w:val="24"/>
                                <w:szCs w:val="24"/>
                              </w:rPr>
                              <w:t>. Structure of imported groups</w:t>
                            </w:r>
                          </w:p>
                          <w:p w14:paraId="39F3AFE6" w14:textId="77777777" w:rsidR="000D286F" w:rsidRPr="004B4D22" w:rsidRDefault="000D286F" w:rsidP="000D286F">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8 months</w:t>
                            </w:r>
                            <w:r w:rsidRPr="004B4D22">
                              <w:rPr>
                                <w:rFonts w:ascii="Arial" w:hAnsi="Arial" w:cs="Arial"/>
                                <w:b/>
                                <w:bCs/>
                                <w:sz w:val="24"/>
                                <w:szCs w:val="24"/>
                              </w:rPr>
                              <w:t xml:space="preserve"> of 2024</w:t>
                            </w:r>
                          </w:p>
                          <w:p w14:paraId="54AFF002" w14:textId="77777777" w:rsidR="000D286F" w:rsidRDefault="000D286F" w:rsidP="000D286F">
                            <w:pPr>
                              <w:ind w:left="-142"/>
                              <w:jc w:val="right"/>
                              <w:rPr>
                                <w:rFonts w:ascii="Arial" w:hAnsi="Arial" w:cs="Arial"/>
                                <w:sz w:val="24"/>
                                <w:szCs w:val="24"/>
                              </w:rPr>
                            </w:pPr>
                            <w:r w:rsidRPr="006D71F6">
                              <w:rPr>
                                <w:noProof/>
                              </w:rPr>
                              <w:drawing>
                                <wp:inline distT="0" distB="0" distL="0" distR="0" wp14:anchorId="7C975450" wp14:editId="548A8E3A">
                                  <wp:extent cx="3056255" cy="2007870"/>
                                  <wp:effectExtent l="0" t="0" r="0" b="0"/>
                                  <wp:docPr id="15713777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6255" cy="200787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BABF4" id="Text Box 9" o:spid="_x0000_s1027" type="#_x0000_t202" style="position:absolute;left:0;text-align:left;margin-left:6.45pt;margin-top:13.45pt;width:255.75pt;height:214.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" stroked="f">
                <v:textbox>
                  <w:txbxContent>
                    <w:p w14:paraId="1D2545CE" w14:textId="77777777" w:rsidR="000D286F" w:rsidRPr="004B4D22" w:rsidRDefault="000D286F" w:rsidP="000D286F">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Figure </w:t>
                      </w:r>
                      <w:r>
                        <w:rPr>
                          <w:rFonts w:ascii="Arial" w:hAnsi="Arial" w:cs="Arial"/>
                          <w:b/>
                          <w:bCs/>
                          <w:sz w:val="24"/>
                          <w:szCs w:val="24"/>
                        </w:rPr>
                        <w:t>13</w:t>
                      </w:r>
                      <w:r w:rsidRPr="004B4D22">
                        <w:rPr>
                          <w:rFonts w:ascii="Arial" w:hAnsi="Arial" w:cs="Arial"/>
                          <w:b/>
                          <w:bCs/>
                          <w:sz w:val="24"/>
                          <w:szCs w:val="24"/>
                        </w:rPr>
                        <w:t>. Structure of imported groups</w:t>
                      </w:r>
                    </w:p>
                    <w:p w14:paraId="39F3AFE6" w14:textId="77777777" w:rsidR="000D286F" w:rsidRPr="004B4D22" w:rsidRDefault="000D286F" w:rsidP="000D286F">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8 months</w:t>
                      </w:r>
                      <w:r w:rsidRPr="004B4D22">
                        <w:rPr>
                          <w:rFonts w:ascii="Arial" w:hAnsi="Arial" w:cs="Arial"/>
                          <w:b/>
                          <w:bCs/>
                          <w:sz w:val="24"/>
                          <w:szCs w:val="24"/>
                        </w:rPr>
                        <w:t xml:space="preserve"> of 2024</w:t>
                      </w:r>
                    </w:p>
                    <w:p w14:paraId="54AFF002" w14:textId="77777777" w:rsidR="000D286F" w:rsidRDefault="000D286F" w:rsidP="000D286F">
                      <w:pPr>
                        <w:ind w:left="-142"/>
                        <w:jc w:val="right"/>
                        <w:rPr>
                          <w:rFonts w:ascii="Arial" w:hAnsi="Arial" w:cs="Arial"/>
                          <w:sz w:val="24"/>
                          <w:szCs w:val="24"/>
                        </w:rPr>
                      </w:pPr>
                      <w:r w:rsidRPr="006D71F6">
                        <w:rPr>
                          <w:noProof/>
                        </w:rPr>
                        <w:drawing>
                          <wp:inline distT="0" distB="0" distL="0" distR="0" wp14:anchorId="7C975450" wp14:editId="548A8E3A">
                            <wp:extent cx="3056255" cy="2007870"/>
                            <wp:effectExtent l="0" t="0" r="0" b="0"/>
                            <wp:docPr id="15713777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6255" cy="2007870"/>
                                    </a:xfrm>
                                    <a:prstGeom prst="rect">
                                      <a:avLst/>
                                    </a:prstGeom>
                                    <a:noFill/>
                                    <a:ln>
                                      <a:noFill/>
                                    </a:ln>
                                  </pic:spPr>
                                </pic:pic>
                              </a:graphicData>
                            </a:graphic>
                          </wp:inline>
                        </w:drawing>
                      </w:r>
                    </w:p>
                  </w:txbxContent>
                </v:textbox>
                <w10:wrap type="square"/>
              </v:shape>
            </w:pict>
          </mc:Fallback>
        </mc:AlternateContent>
      </w:r>
    </w:p>
    <w:p w14:paraId="22442166" w14:textId="77777777" w:rsidR="000D286F" w:rsidRPr="00D25A7C" w:rsidRDefault="000D286F" w:rsidP="000D286F">
      <w:pPr>
        <w:tabs>
          <w:tab w:val="left" w:pos="9475"/>
        </w:tabs>
        <w:spacing w:beforeLines="40" w:before="96" w:afterLines="40" w:after="96" w:line="259" w:lineRule="auto"/>
        <w:ind w:right="6"/>
        <w:jc w:val="both"/>
        <w:rPr>
          <w:rFonts w:eastAsia="Batang"/>
          <w:b/>
          <w:bCs/>
          <w:spacing w:val="-6"/>
        </w:rPr>
      </w:pPr>
      <w:r w:rsidRPr="00D25A7C">
        <w:rPr>
          <w:rFonts w:eastAsia="Batang"/>
          <w:i/>
          <w:iCs/>
          <w:noProof/>
          <w:spacing w:val="-6"/>
        </w:rPr>
        <w:t xml:space="preserve">Regarding the structure of imported groups </w:t>
      </w:r>
      <w:r w:rsidRPr="00D25A7C">
        <w:rPr>
          <w:rFonts w:eastAsia="Batang"/>
          <w:bCs/>
          <w:i/>
          <w:iCs/>
          <w:spacing w:val="-6"/>
        </w:rPr>
        <w:t xml:space="preserve">in </w:t>
      </w:r>
      <w:r>
        <w:rPr>
          <w:rFonts w:eastAsia="Batang"/>
          <w:bCs/>
          <w:i/>
          <w:iCs/>
          <w:spacing w:val="-6"/>
        </w:rPr>
        <w:t>eight months</w:t>
      </w:r>
      <w:r w:rsidRPr="00D25A7C">
        <w:rPr>
          <w:rFonts w:eastAsia="Batang"/>
          <w:bCs/>
          <w:i/>
          <w:iCs/>
          <w:spacing w:val="-6"/>
        </w:rPr>
        <w:t xml:space="preserve"> of 2024, </w:t>
      </w:r>
      <w:r w:rsidRPr="00D25A7C">
        <w:rPr>
          <w:rFonts w:eastAsia="Batang"/>
          <w:bCs/>
          <w:spacing w:val="-6"/>
        </w:rPr>
        <w:t xml:space="preserve">the group of production materials was estimated at </w:t>
      </w:r>
      <w:r>
        <w:rPr>
          <w:rFonts w:eastAsia="Batang"/>
          <w:bCs/>
          <w:spacing w:val="-6"/>
        </w:rPr>
        <w:t>230.95</w:t>
      </w:r>
      <w:r w:rsidRPr="00D25A7C">
        <w:rPr>
          <w:rFonts w:eastAsia="Batang"/>
          <w:bCs/>
          <w:spacing w:val="-6"/>
        </w:rPr>
        <w:t xml:space="preserve"> billion USD, accounted for 9</w:t>
      </w:r>
      <w:r>
        <w:rPr>
          <w:rFonts w:eastAsia="Batang"/>
          <w:bCs/>
          <w:spacing w:val="-6"/>
        </w:rPr>
        <w:t>3.9</w:t>
      </w:r>
      <w:r w:rsidRPr="00D25A7C">
        <w:rPr>
          <w:rFonts w:eastAsia="Batang"/>
          <w:bCs/>
          <w:spacing w:val="-6"/>
        </w:rPr>
        <w:t>%, in which the group of machinery, equipment, tools spare parts accounted for 4</w:t>
      </w:r>
      <w:r>
        <w:rPr>
          <w:rFonts w:eastAsia="Batang"/>
          <w:bCs/>
          <w:spacing w:val="-6"/>
        </w:rPr>
        <w:t>6.9</w:t>
      </w:r>
      <w:r w:rsidRPr="00D25A7C">
        <w:rPr>
          <w:rFonts w:eastAsia="Batang"/>
          <w:bCs/>
          <w:spacing w:val="-6"/>
        </w:rPr>
        <w:t>%; raw materials, fuel and materials accounted for 4</w:t>
      </w:r>
      <w:r>
        <w:rPr>
          <w:rFonts w:eastAsia="Batang"/>
          <w:bCs/>
          <w:spacing w:val="-6"/>
        </w:rPr>
        <w:t>7</w:t>
      </w:r>
      <w:r w:rsidRPr="00D25A7C">
        <w:rPr>
          <w:rFonts w:eastAsia="Batang"/>
          <w:bCs/>
          <w:spacing w:val="-6"/>
        </w:rPr>
        <w:t xml:space="preserve">%. The group of consumer products was estimated at </w:t>
      </w:r>
      <w:r>
        <w:rPr>
          <w:rFonts w:eastAsia="Batang"/>
          <w:bCs/>
          <w:spacing w:val="-6"/>
        </w:rPr>
        <w:t>15.07</w:t>
      </w:r>
      <w:r w:rsidRPr="00D25A7C">
        <w:rPr>
          <w:rFonts w:eastAsia="Batang"/>
          <w:bCs/>
          <w:spacing w:val="-6"/>
        </w:rPr>
        <w:t xml:space="preserve"> billion USD, </w:t>
      </w:r>
      <w:proofErr w:type="gramStart"/>
      <w:r w:rsidRPr="00D25A7C">
        <w:rPr>
          <w:rFonts w:eastAsia="Batang"/>
          <w:bCs/>
          <w:spacing w:val="-6"/>
        </w:rPr>
        <w:t>accounted</w:t>
      </w:r>
      <w:proofErr w:type="gramEnd"/>
      <w:r w:rsidRPr="00D25A7C">
        <w:rPr>
          <w:rFonts w:eastAsia="Batang"/>
          <w:bCs/>
          <w:spacing w:val="-6"/>
        </w:rPr>
        <w:t xml:space="preserve"> for 6</w:t>
      </w:r>
      <w:r>
        <w:rPr>
          <w:rFonts w:eastAsia="Batang"/>
          <w:bCs/>
          <w:spacing w:val="-6"/>
        </w:rPr>
        <w:t>.1</w:t>
      </w:r>
      <w:r w:rsidRPr="00D25A7C">
        <w:rPr>
          <w:rFonts w:eastAsia="Batang"/>
          <w:bCs/>
          <w:spacing w:val="-6"/>
        </w:rPr>
        <w:t>%</w:t>
      </w:r>
      <w:r w:rsidRPr="00D25A7C">
        <w:rPr>
          <w:rFonts w:eastAsia="Batang"/>
          <w:bCs/>
          <w:i/>
          <w:iCs/>
          <w:spacing w:val="-6"/>
        </w:rPr>
        <w:t>.</w:t>
      </w:r>
    </w:p>
    <w:p w14:paraId="2AC1FB08" w14:textId="77777777" w:rsidR="000D286F" w:rsidRPr="00C92367" w:rsidRDefault="000D286F" w:rsidP="000D286F">
      <w:pPr>
        <w:tabs>
          <w:tab w:val="num" w:pos="0"/>
          <w:tab w:val="left" w:pos="9475"/>
        </w:tabs>
        <w:spacing w:beforeLines="100" w:before="240" w:afterLines="100" w:after="240" w:line="264" w:lineRule="auto"/>
        <w:ind w:right="6" w:firstLine="567"/>
        <w:jc w:val="both"/>
        <w:rPr>
          <w:i/>
          <w:spacing w:val="-2"/>
        </w:rPr>
      </w:pPr>
      <w:r w:rsidRPr="00C92367">
        <w:rPr>
          <w:bCs/>
          <w:i/>
          <w:spacing w:val="-2"/>
          <w:lang w:val="en"/>
        </w:rPr>
        <w:t xml:space="preserve">Regarding the export and import market of goods in </w:t>
      </w:r>
      <w:r>
        <w:rPr>
          <w:bCs/>
          <w:i/>
          <w:spacing w:val="-2"/>
          <w:lang w:val="en"/>
        </w:rPr>
        <w:t>eight months</w:t>
      </w:r>
      <w:r w:rsidRPr="00C92367">
        <w:rPr>
          <w:bCs/>
          <w:i/>
          <w:spacing w:val="-2"/>
          <w:lang w:val="en"/>
        </w:rPr>
        <w:t xml:space="preserve"> of 2024, </w:t>
      </w:r>
      <w:r w:rsidRPr="00C92367">
        <w:rPr>
          <w:bCs/>
          <w:iCs/>
          <w:spacing w:val="-2"/>
          <w:lang w:val="en"/>
        </w:rPr>
        <w:t xml:space="preserve">the United States was the Viet Nam's largest export market with a turnover of </w:t>
      </w:r>
      <w:r>
        <w:rPr>
          <w:bCs/>
          <w:iCs/>
          <w:spacing w:val="-2"/>
          <w:lang w:val="en"/>
        </w:rPr>
        <w:t>77.9</w:t>
      </w:r>
      <w:r w:rsidRPr="00C92367">
        <w:rPr>
          <w:bCs/>
          <w:iCs/>
          <w:spacing w:val="-2"/>
          <w:lang w:val="en"/>
        </w:rPr>
        <w:t xml:space="preserve"> billion USD.</w:t>
      </w:r>
      <w:r w:rsidRPr="00C92367">
        <w:rPr>
          <w:bCs/>
          <w:iCs/>
          <w:spacing w:val="-2"/>
        </w:rPr>
        <w:t xml:space="preserve"> China remained the largest import market of Viet Nam with a turnover of </w:t>
      </w:r>
      <w:r>
        <w:rPr>
          <w:bCs/>
          <w:iCs/>
          <w:spacing w:val="-2"/>
        </w:rPr>
        <w:t>92.3</w:t>
      </w:r>
      <w:r w:rsidRPr="00C92367">
        <w:rPr>
          <w:bCs/>
          <w:iCs/>
          <w:spacing w:val="-2"/>
        </w:rPr>
        <w:t xml:space="preserve"> billion USD. </w:t>
      </w:r>
      <w:r w:rsidRPr="00C92367">
        <w:rPr>
          <w:bCs/>
          <w:iCs/>
          <w:spacing w:val="-2"/>
          <w:lang w:val="en"/>
        </w:rPr>
        <w:t xml:space="preserve">In </w:t>
      </w:r>
      <w:r>
        <w:rPr>
          <w:bCs/>
          <w:iCs/>
          <w:spacing w:val="-2"/>
          <w:lang w:val="en"/>
        </w:rPr>
        <w:t>eight months</w:t>
      </w:r>
      <w:r w:rsidRPr="00C92367">
        <w:rPr>
          <w:bCs/>
          <w:iCs/>
          <w:spacing w:val="-2"/>
          <w:lang w:val="en"/>
        </w:rPr>
        <w:t xml:space="preserve"> of 2024, the trade surplus to the United States reached </w:t>
      </w:r>
      <w:r>
        <w:rPr>
          <w:bCs/>
          <w:iCs/>
          <w:spacing w:val="-2"/>
          <w:lang w:val="en"/>
        </w:rPr>
        <w:t>68.1</w:t>
      </w:r>
      <w:r w:rsidRPr="00C92367">
        <w:rPr>
          <w:bCs/>
          <w:iCs/>
          <w:spacing w:val="-2"/>
          <w:lang w:val="en"/>
        </w:rPr>
        <w:t xml:space="preserve"> billion USD, up 2</w:t>
      </w:r>
      <w:r>
        <w:rPr>
          <w:bCs/>
          <w:iCs/>
          <w:spacing w:val="-2"/>
          <w:lang w:val="en"/>
        </w:rPr>
        <w:t>8</w:t>
      </w:r>
      <w:r w:rsidRPr="00C92367">
        <w:rPr>
          <w:bCs/>
          <w:iCs/>
          <w:spacing w:val="-2"/>
          <w:lang w:val="en"/>
        </w:rPr>
        <w:t>.6% over the same period last year; the trade surplus to the EU reached 2</w:t>
      </w:r>
      <w:r>
        <w:rPr>
          <w:bCs/>
          <w:iCs/>
          <w:spacing w:val="-2"/>
          <w:lang w:val="en"/>
        </w:rPr>
        <w:t>3</w:t>
      </w:r>
      <w:r w:rsidRPr="00C92367">
        <w:rPr>
          <w:bCs/>
          <w:iCs/>
          <w:spacing w:val="-2"/>
          <w:lang w:val="en"/>
        </w:rPr>
        <w:t>.</w:t>
      </w:r>
      <w:r>
        <w:rPr>
          <w:bCs/>
          <w:iCs/>
          <w:spacing w:val="-2"/>
          <w:lang w:val="en"/>
        </w:rPr>
        <w:t>6</w:t>
      </w:r>
      <w:r w:rsidRPr="00C92367">
        <w:rPr>
          <w:bCs/>
          <w:iCs/>
          <w:spacing w:val="-2"/>
          <w:lang w:val="en"/>
        </w:rPr>
        <w:t xml:space="preserve"> billion USD, up </w:t>
      </w:r>
      <w:r>
        <w:rPr>
          <w:bCs/>
          <w:iCs/>
          <w:spacing w:val="-2"/>
          <w:lang w:val="en"/>
        </w:rPr>
        <w:t>22</w:t>
      </w:r>
      <w:r w:rsidRPr="00C92367">
        <w:rPr>
          <w:bCs/>
          <w:iCs/>
          <w:spacing w:val="-2"/>
          <w:lang w:val="en"/>
        </w:rPr>
        <w:t>%; the trade surplus to Japan was 1.</w:t>
      </w:r>
      <w:r>
        <w:rPr>
          <w:bCs/>
          <w:iCs/>
          <w:spacing w:val="-2"/>
          <w:lang w:val="en"/>
        </w:rPr>
        <w:t>7</w:t>
      </w:r>
      <w:r w:rsidRPr="00C92367">
        <w:rPr>
          <w:bCs/>
          <w:iCs/>
          <w:spacing w:val="-2"/>
          <w:lang w:val="en"/>
        </w:rPr>
        <w:t xml:space="preserve"> billion USD, </w:t>
      </w:r>
      <w:r>
        <w:rPr>
          <w:bCs/>
          <w:iCs/>
          <w:spacing w:val="-2"/>
          <w:lang w:val="en"/>
        </w:rPr>
        <w:t>up</w:t>
      </w:r>
      <w:r w:rsidRPr="00C92367">
        <w:rPr>
          <w:bCs/>
          <w:iCs/>
          <w:spacing w:val="-2"/>
          <w:lang w:val="en"/>
        </w:rPr>
        <w:t xml:space="preserve"> </w:t>
      </w:r>
      <w:r>
        <w:rPr>
          <w:bCs/>
          <w:iCs/>
          <w:spacing w:val="-2"/>
          <w:lang w:val="en"/>
        </w:rPr>
        <w:t>30.5</w:t>
      </w:r>
      <w:r w:rsidRPr="00C92367">
        <w:rPr>
          <w:bCs/>
          <w:iCs/>
          <w:spacing w:val="-2"/>
          <w:lang w:val="en"/>
        </w:rPr>
        <w:t xml:space="preserve">%; the trade deficit from China was </w:t>
      </w:r>
      <w:r>
        <w:rPr>
          <w:bCs/>
          <w:iCs/>
          <w:spacing w:val="-2"/>
          <w:lang w:val="en"/>
        </w:rPr>
        <w:t>54.4</w:t>
      </w:r>
      <w:r w:rsidRPr="00C92367">
        <w:rPr>
          <w:bCs/>
          <w:iCs/>
          <w:spacing w:val="-2"/>
          <w:lang w:val="en"/>
        </w:rPr>
        <w:t xml:space="preserve"> billion USD, went up 6</w:t>
      </w:r>
      <w:r>
        <w:rPr>
          <w:bCs/>
          <w:iCs/>
          <w:spacing w:val="-2"/>
          <w:lang w:val="en"/>
        </w:rPr>
        <w:t>9</w:t>
      </w:r>
      <w:r w:rsidRPr="00C92367">
        <w:rPr>
          <w:bCs/>
          <w:iCs/>
          <w:spacing w:val="-2"/>
          <w:lang w:val="en"/>
        </w:rPr>
        <w:t>.</w:t>
      </w:r>
      <w:r>
        <w:rPr>
          <w:bCs/>
          <w:iCs/>
          <w:spacing w:val="-2"/>
          <w:lang w:val="en"/>
        </w:rPr>
        <w:t>6</w:t>
      </w:r>
      <w:r w:rsidRPr="00C92367">
        <w:rPr>
          <w:bCs/>
          <w:iCs/>
          <w:spacing w:val="-2"/>
          <w:lang w:val="en"/>
        </w:rPr>
        <w:t xml:space="preserve">%; the trade deficit from Korea was </w:t>
      </w:r>
      <w:r>
        <w:rPr>
          <w:bCs/>
          <w:iCs/>
          <w:spacing w:val="-2"/>
          <w:lang w:val="en"/>
        </w:rPr>
        <w:t>20</w:t>
      </w:r>
      <w:r w:rsidRPr="00C92367">
        <w:rPr>
          <w:bCs/>
          <w:iCs/>
          <w:spacing w:val="-2"/>
          <w:lang w:val="en"/>
        </w:rPr>
        <w:t xml:space="preserve"> billion USD, went up 1</w:t>
      </w:r>
      <w:r>
        <w:rPr>
          <w:bCs/>
          <w:iCs/>
          <w:spacing w:val="-2"/>
          <w:lang w:val="en"/>
        </w:rPr>
        <w:t>2</w:t>
      </w:r>
      <w:r w:rsidRPr="00C92367">
        <w:rPr>
          <w:bCs/>
          <w:iCs/>
          <w:spacing w:val="-2"/>
          <w:lang w:val="en"/>
        </w:rPr>
        <w:t>.</w:t>
      </w:r>
      <w:r>
        <w:rPr>
          <w:bCs/>
          <w:iCs/>
          <w:spacing w:val="-2"/>
          <w:lang w:val="en"/>
        </w:rPr>
        <w:t>1</w:t>
      </w:r>
      <w:r w:rsidRPr="00C92367">
        <w:rPr>
          <w:bCs/>
          <w:iCs/>
          <w:spacing w:val="-2"/>
          <w:lang w:val="en"/>
        </w:rPr>
        <w:t>%; the trade deficit from ASEAN was 5.</w:t>
      </w:r>
      <w:r>
        <w:rPr>
          <w:bCs/>
          <w:iCs/>
          <w:spacing w:val="-2"/>
          <w:lang w:val="en"/>
        </w:rPr>
        <w:t>8</w:t>
      </w:r>
      <w:r w:rsidRPr="00C92367">
        <w:rPr>
          <w:bCs/>
          <w:iCs/>
          <w:spacing w:val="-2"/>
          <w:lang w:val="en"/>
        </w:rPr>
        <w:t xml:space="preserve"> billion USD, increased by </w:t>
      </w:r>
      <w:r>
        <w:rPr>
          <w:bCs/>
          <w:iCs/>
          <w:spacing w:val="-2"/>
          <w:lang w:val="en"/>
        </w:rPr>
        <w:t>14.8</w:t>
      </w:r>
      <w:r w:rsidRPr="00C92367">
        <w:rPr>
          <w:bCs/>
          <w:iCs/>
          <w:spacing w:val="-2"/>
          <w:lang w:val="en"/>
        </w:rPr>
        <w:t>%.</w:t>
      </w:r>
    </w:p>
    <w:p w14:paraId="6EC8257D" w14:textId="77777777" w:rsidR="000D286F" w:rsidRPr="00D25A7C" w:rsidRDefault="000D286F" w:rsidP="000D286F">
      <w:pPr>
        <w:tabs>
          <w:tab w:val="num" w:pos="0"/>
          <w:tab w:val="left" w:pos="9475"/>
        </w:tabs>
        <w:spacing w:beforeLines="40" w:before="96" w:afterLines="40" w:after="96" w:line="264" w:lineRule="auto"/>
        <w:ind w:right="6" w:firstLine="567"/>
        <w:jc w:val="center"/>
        <w:rPr>
          <w:rFonts w:ascii="Arial" w:hAnsi="Arial" w:cs="Arial"/>
          <w:b/>
          <w:iCs/>
          <w:sz w:val="24"/>
          <w:szCs w:val="24"/>
        </w:rPr>
      </w:pPr>
      <w:r w:rsidRPr="00D25A7C">
        <w:rPr>
          <w:rFonts w:ascii="Arial" w:hAnsi="Arial" w:cs="Arial"/>
          <w:b/>
          <w:iCs/>
          <w:sz w:val="24"/>
          <w:szCs w:val="24"/>
          <w:lang w:val="en"/>
        </w:rPr>
        <w:t>Figure 1</w:t>
      </w:r>
      <w:r>
        <w:rPr>
          <w:rFonts w:ascii="Arial" w:hAnsi="Arial" w:cs="Arial"/>
          <w:b/>
          <w:iCs/>
          <w:sz w:val="24"/>
          <w:szCs w:val="24"/>
          <w:lang w:val="en"/>
        </w:rPr>
        <w:t>4</w:t>
      </w:r>
      <w:r w:rsidRPr="00D25A7C">
        <w:rPr>
          <w:rFonts w:ascii="Arial" w:hAnsi="Arial" w:cs="Arial"/>
          <w:b/>
          <w:iCs/>
          <w:sz w:val="24"/>
          <w:szCs w:val="24"/>
          <w:lang w:val="en"/>
        </w:rPr>
        <w:t xml:space="preserve">. Major </w:t>
      </w:r>
      <w:proofErr w:type="gramStart"/>
      <w:r w:rsidRPr="00D25A7C">
        <w:rPr>
          <w:rFonts w:ascii="Arial" w:hAnsi="Arial" w:cs="Arial"/>
          <w:b/>
          <w:iCs/>
          <w:sz w:val="24"/>
          <w:szCs w:val="24"/>
          <w:lang w:val="en"/>
        </w:rPr>
        <w:t>commodity</w:t>
      </w:r>
      <w:proofErr w:type="gramEnd"/>
      <w:r w:rsidRPr="00D25A7C">
        <w:rPr>
          <w:rFonts w:ascii="Arial" w:hAnsi="Arial" w:cs="Arial"/>
          <w:b/>
          <w:iCs/>
          <w:sz w:val="24"/>
          <w:szCs w:val="24"/>
          <w:lang w:val="en"/>
        </w:rPr>
        <w:t xml:space="preserve"> import and export markets </w:t>
      </w:r>
      <w:r w:rsidRPr="00D25A7C">
        <w:rPr>
          <w:rFonts w:ascii="Arial" w:hAnsi="Arial" w:cs="Arial"/>
          <w:b/>
          <w:iCs/>
          <w:sz w:val="24"/>
          <w:szCs w:val="24"/>
          <w:lang w:val="en"/>
        </w:rPr>
        <w:br/>
        <w:t xml:space="preserve"> in </w:t>
      </w:r>
      <w:r>
        <w:rPr>
          <w:rFonts w:ascii="Arial" w:hAnsi="Arial" w:cs="Arial"/>
          <w:b/>
          <w:iCs/>
          <w:sz w:val="24"/>
          <w:szCs w:val="24"/>
          <w:lang w:val="en"/>
        </w:rPr>
        <w:t>8 months</w:t>
      </w:r>
      <w:r w:rsidRPr="00D25A7C">
        <w:rPr>
          <w:rFonts w:ascii="Arial" w:hAnsi="Arial" w:cs="Arial"/>
          <w:b/>
          <w:iCs/>
          <w:sz w:val="24"/>
          <w:szCs w:val="24"/>
          <w:lang w:val="en"/>
        </w:rPr>
        <w:t xml:space="preserve"> of 2024</w:t>
      </w:r>
    </w:p>
    <w:tbl>
      <w:tblPr>
        <w:tblStyle w:val="TableGrid2"/>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8"/>
        <w:gridCol w:w="604"/>
        <w:gridCol w:w="2212"/>
        <w:gridCol w:w="2770"/>
        <w:gridCol w:w="1413"/>
        <w:gridCol w:w="523"/>
      </w:tblGrid>
      <w:tr w:rsidR="000D286F" w:rsidRPr="00D25A7C" w14:paraId="4DAA71FB" w14:textId="77777777" w:rsidTr="00E445BD">
        <w:trPr>
          <w:trHeight w:val="3989"/>
          <w:jc w:val="center"/>
        </w:trPr>
        <w:tc>
          <w:tcPr>
            <w:tcW w:w="4564" w:type="dxa"/>
            <w:gridSpan w:val="3"/>
            <w:hideMark/>
          </w:tcPr>
          <w:p w14:paraId="0F532679" w14:textId="77777777" w:rsidR="000D286F" w:rsidRPr="00D25A7C" w:rsidRDefault="000D286F" w:rsidP="00E445BD">
            <w:pPr>
              <w:tabs>
                <w:tab w:val="num" w:pos="0"/>
                <w:tab w:val="left" w:pos="9475"/>
              </w:tabs>
              <w:spacing w:beforeLines="40" w:before="96" w:afterLines="40" w:after="96" w:line="264" w:lineRule="auto"/>
              <w:ind w:right="-118"/>
              <w:jc w:val="both"/>
              <w:rPr>
                <w:iCs/>
              </w:rPr>
            </w:pPr>
            <w:r>
              <w:rPr>
                <w:noProof/>
              </w:rPr>
              <w:lastRenderedPageBreak/>
              <w:drawing>
                <wp:inline distT="0" distB="0" distL="0" distR="0" wp14:anchorId="48EB097E" wp14:editId="7BD810F2">
                  <wp:extent cx="2811439" cy="2312670"/>
                  <wp:effectExtent l="0" t="0" r="8255" b="11430"/>
                  <wp:docPr id="31813165" name="Chart 1">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706" w:type="dxa"/>
            <w:gridSpan w:val="3"/>
            <w:hideMark/>
          </w:tcPr>
          <w:p w14:paraId="03F79F64" w14:textId="77777777" w:rsidR="000D286F" w:rsidRPr="00D25A7C" w:rsidRDefault="000D286F" w:rsidP="00E445BD">
            <w:pPr>
              <w:tabs>
                <w:tab w:val="num" w:pos="-134"/>
                <w:tab w:val="left" w:pos="9475"/>
              </w:tabs>
              <w:spacing w:beforeLines="40" w:before="96" w:afterLines="40" w:after="96" w:line="264" w:lineRule="auto"/>
              <w:ind w:right="6" w:hanging="134"/>
              <w:jc w:val="both"/>
              <w:rPr>
                <w:iCs/>
              </w:rPr>
            </w:pPr>
            <w:r>
              <w:rPr>
                <w:noProof/>
              </w:rPr>
              <w:drawing>
                <wp:inline distT="0" distB="0" distL="0" distR="0" wp14:anchorId="2B0EFC84" wp14:editId="78FA1D4E">
                  <wp:extent cx="2851150" cy="2312670"/>
                  <wp:effectExtent l="0" t="0" r="6350" b="11430"/>
                  <wp:docPr id="1191347957" name="Chart 1">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0D286F" w:rsidRPr="00D25A7C" w14:paraId="41E15CAA" w14:textId="77777777" w:rsidTr="00E445BD">
        <w:trPr>
          <w:gridAfter w:val="1"/>
          <w:wAfter w:w="523" w:type="dxa"/>
          <w:trHeight w:val="160"/>
          <w:jc w:val="center"/>
        </w:trPr>
        <w:tc>
          <w:tcPr>
            <w:tcW w:w="1748" w:type="dxa"/>
          </w:tcPr>
          <w:p w14:paraId="1EE37BEF" w14:textId="77777777" w:rsidR="000D286F" w:rsidRPr="00D25A7C" w:rsidRDefault="000D286F" w:rsidP="00E445BD">
            <w:pPr>
              <w:spacing w:beforeLines="40" w:before="96" w:afterLines="40" w:after="96" w:line="264" w:lineRule="auto"/>
              <w:ind w:firstLine="567"/>
              <w:jc w:val="both"/>
              <w:rPr>
                <w:b/>
                <w:bCs/>
                <w:i/>
                <w:iCs/>
              </w:rPr>
            </w:pPr>
          </w:p>
        </w:tc>
        <w:tc>
          <w:tcPr>
            <w:tcW w:w="604" w:type="dxa"/>
          </w:tcPr>
          <w:p w14:paraId="181639D2" w14:textId="77777777" w:rsidR="000D286F" w:rsidRPr="00D25A7C" w:rsidRDefault="000D286F" w:rsidP="00E445BD">
            <w:pPr>
              <w:spacing w:beforeLines="40" w:before="96" w:afterLines="40" w:after="96" w:line="264" w:lineRule="auto"/>
              <w:ind w:firstLine="567"/>
              <w:jc w:val="both"/>
              <w:rPr>
                <w:b/>
                <w:bCs/>
                <w:i/>
                <w:iCs/>
                <w:color w:val="FF0000"/>
              </w:rPr>
            </w:pPr>
          </w:p>
        </w:tc>
        <w:tc>
          <w:tcPr>
            <w:tcW w:w="2212" w:type="dxa"/>
            <w:hideMark/>
          </w:tcPr>
          <w:p w14:paraId="27B4F765" w14:textId="77777777" w:rsidR="000D286F" w:rsidRPr="00D25A7C" w:rsidRDefault="000D286F" w:rsidP="00E445BD">
            <w:pPr>
              <w:spacing w:beforeLines="40" w:before="96" w:afterLines="40" w:after="96" w:line="264" w:lineRule="auto"/>
              <w:ind w:firstLine="567"/>
              <w:jc w:val="both"/>
              <w:rPr>
                <w:b/>
                <w:bCs/>
                <w:i/>
                <w:iCs/>
              </w:rPr>
            </w:pPr>
            <w:r w:rsidRPr="00D25A7C">
              <w:rPr>
                <w:noProof/>
              </w:rPr>
              <mc:AlternateContent>
                <mc:Choice Requires="wps">
                  <w:drawing>
                    <wp:anchor distT="0" distB="0" distL="114300" distR="114300" simplePos="0" relativeHeight="251684864" behindDoc="0" locked="0" layoutInCell="1" allowOverlap="1" wp14:anchorId="2E4332DF" wp14:editId="63036076">
                      <wp:simplePos x="0" y="0"/>
                      <wp:positionH relativeFrom="column">
                        <wp:posOffset>98425</wp:posOffset>
                      </wp:positionH>
                      <wp:positionV relativeFrom="paragraph">
                        <wp:posOffset>36195</wp:posOffset>
                      </wp:positionV>
                      <wp:extent cx="125730" cy="90170"/>
                      <wp:effectExtent l="0" t="0" r="0" b="0"/>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A9FD3" id="Rectangle 7" o:spid="_x0000_s1026" style="position:absolute;margin-left:7.75pt;margin-top:2.85pt;width:9.9pt;height:7.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" fillcolor="#c00000" stroked="f" strokeweight="1pt"/>
                  </w:pict>
                </mc:Fallback>
              </mc:AlternateContent>
            </w:r>
            <w:r w:rsidRPr="00D25A7C">
              <w:rPr>
                <w:rFonts w:ascii="Arial" w:hAnsi="Arial" w:cs="Arial"/>
                <w:b/>
                <w:bCs/>
                <w:iCs/>
                <w:sz w:val="16"/>
                <w:szCs w:val="16"/>
              </w:rPr>
              <w:t>Export of goods</w:t>
            </w:r>
          </w:p>
        </w:tc>
        <w:tc>
          <w:tcPr>
            <w:tcW w:w="2770" w:type="dxa"/>
            <w:hideMark/>
          </w:tcPr>
          <w:p w14:paraId="6483A9D1" w14:textId="77777777" w:rsidR="000D286F" w:rsidRPr="00D25A7C" w:rsidRDefault="000D286F" w:rsidP="00E445BD">
            <w:pPr>
              <w:spacing w:beforeLines="40" w:before="96" w:afterLines="40" w:after="96" w:line="264" w:lineRule="auto"/>
              <w:ind w:firstLine="567"/>
              <w:jc w:val="both"/>
              <w:rPr>
                <w:b/>
                <w:bCs/>
                <w:i/>
                <w:iCs/>
              </w:rPr>
            </w:pPr>
            <w:r w:rsidRPr="00D25A7C">
              <w:rPr>
                <w:noProof/>
              </w:rPr>
              <mc:AlternateContent>
                <mc:Choice Requires="wps">
                  <w:drawing>
                    <wp:anchor distT="0" distB="0" distL="114300" distR="114300" simplePos="0" relativeHeight="251685888" behindDoc="0" locked="0" layoutInCell="1" allowOverlap="1" wp14:anchorId="13988BB3" wp14:editId="5E341D07">
                      <wp:simplePos x="0" y="0"/>
                      <wp:positionH relativeFrom="column">
                        <wp:posOffset>109855</wp:posOffset>
                      </wp:positionH>
                      <wp:positionV relativeFrom="paragraph">
                        <wp:posOffset>36195</wp:posOffset>
                      </wp:positionV>
                      <wp:extent cx="125730" cy="90170"/>
                      <wp:effectExtent l="0" t="0" r="26670" b="24130"/>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cap="flat" cmpd="sng" algn="ctr">
                                <a:solidFill>
                                  <a:srgbClr val="E7E6E6">
                                    <a:lumMod val="2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E2F1F" id="Rectangle 6" o:spid="_x0000_s1026" style="position:absolute;margin-left:8.65pt;margin-top:2.85pt;width:9.9pt;height: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" fillcolor="yellow" strokecolor="#3b3838" strokeweight=".5pt">
                      <v:path arrowok="t"/>
                    </v:rect>
                  </w:pict>
                </mc:Fallback>
              </mc:AlternateContent>
            </w:r>
            <w:r w:rsidRPr="00D25A7C">
              <w:rPr>
                <w:rFonts w:ascii="Arial" w:hAnsi="Arial" w:cs="Arial"/>
                <w:b/>
                <w:bCs/>
                <w:iCs/>
                <w:sz w:val="16"/>
                <w:szCs w:val="16"/>
              </w:rPr>
              <w:t>Import of goods</w:t>
            </w:r>
          </w:p>
        </w:tc>
        <w:tc>
          <w:tcPr>
            <w:tcW w:w="1413" w:type="dxa"/>
          </w:tcPr>
          <w:p w14:paraId="2A16A5BF" w14:textId="77777777" w:rsidR="000D286F" w:rsidRPr="00D25A7C" w:rsidRDefault="000D286F" w:rsidP="00E445BD">
            <w:pPr>
              <w:spacing w:beforeLines="40" w:before="96" w:afterLines="40" w:after="96" w:line="264" w:lineRule="auto"/>
              <w:ind w:firstLine="567"/>
              <w:jc w:val="both"/>
              <w:rPr>
                <w:b/>
                <w:bCs/>
                <w:i/>
                <w:iCs/>
              </w:rPr>
            </w:pPr>
          </w:p>
        </w:tc>
      </w:tr>
    </w:tbl>
    <w:p w14:paraId="3811A599" w14:textId="1841B65B" w:rsidR="000D286F" w:rsidRPr="006F7F7E" w:rsidRDefault="000D286F" w:rsidP="006F7F7E">
      <w:pPr>
        <w:spacing w:beforeLines="40" w:before="96" w:afterLines="40" w:after="96" w:line="264" w:lineRule="auto"/>
        <w:ind w:firstLine="567"/>
        <w:jc w:val="both"/>
        <w:rPr>
          <w:iCs/>
        </w:rPr>
      </w:pPr>
      <w:r w:rsidRPr="00D25A7C">
        <w:rPr>
          <w:i/>
        </w:rPr>
        <w:t xml:space="preserve">The </w:t>
      </w:r>
      <w:r w:rsidRPr="00AE4A46">
        <w:rPr>
          <w:i/>
        </w:rPr>
        <w:t>preliminary</w:t>
      </w:r>
      <w:r>
        <w:rPr>
          <w:i/>
        </w:rPr>
        <w:t xml:space="preserve"> </w:t>
      </w:r>
      <w:r w:rsidRPr="00D25A7C">
        <w:rPr>
          <w:i/>
        </w:rPr>
        <w:t>trade balance of goods</w:t>
      </w:r>
      <w:r w:rsidRPr="00D25A7C">
        <w:rPr>
          <w:iCs/>
        </w:rPr>
        <w:t xml:space="preserve"> in </w:t>
      </w:r>
      <w:r>
        <w:rPr>
          <w:iCs/>
        </w:rPr>
        <w:t>July</w:t>
      </w:r>
      <w:r w:rsidRPr="00D25A7C">
        <w:rPr>
          <w:iCs/>
          <w:lang w:val="en"/>
        </w:rPr>
        <w:t xml:space="preserve"> had a trade </w:t>
      </w:r>
      <w:r>
        <w:rPr>
          <w:iCs/>
          <w:lang w:val="en"/>
        </w:rPr>
        <w:t>surplus</w:t>
      </w:r>
      <w:r w:rsidRPr="00D25A7C">
        <w:rPr>
          <w:iCs/>
          <w:lang w:val="en"/>
        </w:rPr>
        <w:t xml:space="preserve"> of </w:t>
      </w:r>
      <w:r>
        <w:rPr>
          <w:iCs/>
          <w:lang w:val="en"/>
        </w:rPr>
        <w:t xml:space="preserve">2.36 </w:t>
      </w:r>
      <w:r w:rsidRPr="00D25A7C">
        <w:rPr>
          <w:iCs/>
          <w:lang w:val="en"/>
        </w:rPr>
        <w:t>billion USD</w:t>
      </w:r>
      <w:r w:rsidRPr="00D25A7C">
        <w:rPr>
          <w:vertAlign w:val="superscript"/>
          <w:lang w:val="en"/>
        </w:rPr>
        <w:footnoteReference w:id="17"/>
      </w:r>
      <w:r w:rsidRPr="00D25A7C">
        <w:rPr>
          <w:iCs/>
          <w:lang w:val="en"/>
        </w:rPr>
        <w:t xml:space="preserve">; </w:t>
      </w:r>
      <w:r w:rsidRPr="00AE4A46">
        <w:rPr>
          <w:iCs/>
          <w:lang w:val="en"/>
        </w:rPr>
        <w:t>the seven-month trade surplus was 14.54 billion USD; and the preliminary trade surplus in August was 4.53 billion USD.</w:t>
      </w:r>
      <w:r w:rsidRPr="00D25A7C">
        <w:rPr>
          <w:iCs/>
          <w:lang w:val="en"/>
        </w:rPr>
        <w:t xml:space="preserve"> </w:t>
      </w:r>
      <w:proofErr w:type="gramStart"/>
      <w:r w:rsidRPr="00D25A7C">
        <w:rPr>
          <w:iCs/>
          <w:lang w:val="en"/>
        </w:rPr>
        <w:t>Generally</w:t>
      </w:r>
      <w:proofErr w:type="gramEnd"/>
      <w:r w:rsidRPr="00D25A7C">
        <w:rPr>
          <w:iCs/>
          <w:lang w:val="en"/>
        </w:rPr>
        <w:t xml:space="preserve"> in </w:t>
      </w:r>
      <w:r>
        <w:rPr>
          <w:iCs/>
          <w:lang w:val="en"/>
        </w:rPr>
        <w:t>eight months</w:t>
      </w:r>
      <w:r w:rsidRPr="00D25A7C">
        <w:rPr>
          <w:iCs/>
          <w:lang w:val="en"/>
        </w:rPr>
        <w:t xml:space="preserve"> of 2024, </w:t>
      </w:r>
      <w:r w:rsidRPr="00AE4A46">
        <w:rPr>
          <w:iCs/>
          <w:lang w:val="en"/>
        </w:rPr>
        <w:t>the preliminary trade balance of goods</w:t>
      </w:r>
      <w:r w:rsidRPr="00D25A7C">
        <w:rPr>
          <w:iCs/>
          <w:lang w:val="en"/>
        </w:rPr>
        <w:t xml:space="preserve"> ha</w:t>
      </w:r>
      <w:r>
        <w:rPr>
          <w:iCs/>
          <w:lang w:val="en"/>
        </w:rPr>
        <w:t>d</w:t>
      </w:r>
      <w:r w:rsidRPr="00D25A7C">
        <w:rPr>
          <w:iCs/>
          <w:lang w:val="en"/>
        </w:rPr>
        <w:t xml:space="preserve"> a trade surplus of </w:t>
      </w:r>
      <w:r>
        <w:rPr>
          <w:iCs/>
          <w:lang w:val="en"/>
        </w:rPr>
        <w:t>19.07</w:t>
      </w:r>
      <w:r w:rsidRPr="00D25A7C">
        <w:rPr>
          <w:iCs/>
          <w:lang w:val="en"/>
        </w:rPr>
        <w:t xml:space="preserve"> billion USD (in the same period last year, the trade surplus of 1</w:t>
      </w:r>
      <w:r>
        <w:rPr>
          <w:iCs/>
          <w:lang w:val="en"/>
        </w:rPr>
        <w:t>9.9</w:t>
      </w:r>
      <w:r w:rsidRPr="00D25A7C">
        <w:rPr>
          <w:iCs/>
          <w:lang w:val="en"/>
        </w:rPr>
        <w:t xml:space="preserve"> billion USD). Of which, the domestic economic sector has a trade deficit of 1</w:t>
      </w:r>
      <w:r>
        <w:rPr>
          <w:iCs/>
          <w:lang w:val="en"/>
        </w:rPr>
        <w:t>5.7</w:t>
      </w:r>
      <w:r w:rsidRPr="00D25A7C">
        <w:rPr>
          <w:iCs/>
          <w:lang w:val="en"/>
        </w:rPr>
        <w:t xml:space="preserve"> billion USD; the FDI sector (including crude oil) had a trade surplus of </w:t>
      </w:r>
      <w:r>
        <w:rPr>
          <w:iCs/>
          <w:lang w:val="en"/>
        </w:rPr>
        <w:t>34.77</w:t>
      </w:r>
      <w:r w:rsidRPr="00D25A7C">
        <w:rPr>
          <w:iCs/>
          <w:lang w:val="en"/>
        </w:rPr>
        <w:t xml:space="preserve"> billion USD.</w:t>
      </w:r>
    </w:p>
    <w:p w14:paraId="180ABF04" w14:textId="77777777" w:rsidR="000D286F" w:rsidRPr="0024108A" w:rsidRDefault="000D286F" w:rsidP="000D286F">
      <w:pPr>
        <w:spacing w:after="120" w:line="264" w:lineRule="auto"/>
        <w:ind w:firstLine="720"/>
        <w:jc w:val="both"/>
        <w:rPr>
          <w:rFonts w:eastAsia="Calibri"/>
          <w:b/>
          <w:bCs/>
          <w:i/>
          <w:lang w:val="x-none" w:eastAsia="x-none"/>
        </w:rPr>
      </w:pPr>
      <w:r w:rsidRPr="0024108A">
        <w:rPr>
          <w:rFonts w:eastAsia="Calibri"/>
          <w:b/>
          <w:bCs/>
          <w:i/>
          <w:lang w:val="x-none" w:eastAsia="x-none"/>
        </w:rPr>
        <w:t>c) Consumer price index, gold price index and US dollar price index</w:t>
      </w:r>
    </w:p>
    <w:p w14:paraId="6F4ECD86" w14:textId="77777777" w:rsidR="000D286F" w:rsidRPr="004A006B" w:rsidRDefault="000D286F" w:rsidP="000D286F">
      <w:pPr>
        <w:spacing w:after="120" w:line="264" w:lineRule="auto"/>
        <w:ind w:firstLine="720"/>
        <w:jc w:val="both"/>
        <w:rPr>
          <w:rFonts w:eastAsia="Calibri"/>
          <w:i/>
          <w:lang w:val="x-none" w:eastAsia="x-none"/>
        </w:rPr>
      </w:pPr>
      <w:r w:rsidRPr="004A006B">
        <w:rPr>
          <w:rFonts w:eastAsia="Calibri"/>
          <w:i/>
          <w:lang w:val="x-none" w:eastAsia="x-none"/>
        </w:rPr>
        <w:t>Prices of consumer goods and services in August increased and decreased, in which prices of food, foodstuffs, and rental housing increased compared to July 2024, and domestic gasoline prices decreased following world prices. Overall, in August 2024, the consumer price index (CPI) remained stable compared to the previous month. Compared to December 2023, the CPI in August increased by 1.89% and compared to the same period last year, it increased by 3.45%.</w:t>
      </w:r>
    </w:p>
    <w:p w14:paraId="3D2F7C0D" w14:textId="77777777" w:rsidR="000D286F" w:rsidRDefault="000D286F" w:rsidP="000D286F">
      <w:pPr>
        <w:spacing w:after="120" w:line="264" w:lineRule="auto"/>
        <w:ind w:firstLine="720"/>
        <w:jc w:val="both"/>
        <w:rPr>
          <w:rFonts w:eastAsia="Calibri"/>
          <w:i/>
          <w:lang w:val="x-none" w:eastAsia="x-none"/>
        </w:rPr>
      </w:pPr>
      <w:r w:rsidRPr="004A006B">
        <w:rPr>
          <w:rFonts w:eastAsia="Calibri"/>
          <w:i/>
          <w:lang w:val="x-none" w:eastAsia="x-none"/>
        </w:rPr>
        <w:t xml:space="preserve">On average, in the first </w:t>
      </w:r>
      <w:r>
        <w:rPr>
          <w:rFonts w:eastAsia="Calibri"/>
          <w:i/>
          <w:lang w:eastAsia="x-none"/>
        </w:rPr>
        <w:t xml:space="preserve">eight </w:t>
      </w:r>
      <w:r w:rsidRPr="004A006B">
        <w:rPr>
          <w:rFonts w:eastAsia="Calibri"/>
          <w:i/>
          <w:lang w:val="x-none" w:eastAsia="x-none"/>
        </w:rPr>
        <w:t>months of 2024, CPI increased by 4.04% over the same period last year; core inflation increased by 2.71%.</w:t>
      </w:r>
    </w:p>
    <w:p w14:paraId="61B6C7A0" w14:textId="77777777" w:rsidR="000D286F" w:rsidRPr="00487B42" w:rsidRDefault="000D286F" w:rsidP="000D286F">
      <w:pPr>
        <w:spacing w:after="120" w:line="264" w:lineRule="auto"/>
        <w:ind w:firstLine="720"/>
        <w:jc w:val="both"/>
        <w:rPr>
          <w:rFonts w:ascii="Arial" w:eastAsia="Calibri" w:hAnsi="Arial" w:cs="Arial"/>
          <w:b/>
          <w:bCs/>
          <w:iCs/>
          <w:sz w:val="24"/>
          <w:szCs w:val="24"/>
          <w:lang w:val="vi-VN" w:eastAsia="x-none"/>
        </w:rPr>
      </w:pPr>
      <w:r w:rsidRPr="00487B42">
        <w:rPr>
          <w:rFonts w:ascii="Arial" w:eastAsia="Calibri" w:hAnsi="Arial" w:cs="Arial"/>
          <w:b/>
          <w:bCs/>
          <w:iCs/>
          <w:sz w:val="24"/>
          <w:szCs w:val="24"/>
          <w:lang w:val="vi-VN" w:eastAsia="x-none"/>
        </w:rPr>
        <w:t xml:space="preserve">Figure 15. CPI growth rate in </w:t>
      </w:r>
      <w:r>
        <w:rPr>
          <w:rFonts w:ascii="Arial" w:eastAsia="Calibri" w:hAnsi="Arial" w:cs="Arial"/>
          <w:b/>
          <w:bCs/>
          <w:iCs/>
          <w:sz w:val="24"/>
          <w:szCs w:val="24"/>
          <w:lang w:eastAsia="x-none"/>
        </w:rPr>
        <w:t>8/</w:t>
      </w:r>
      <w:r w:rsidRPr="00487B42">
        <w:rPr>
          <w:rFonts w:ascii="Arial" w:eastAsia="Calibri" w:hAnsi="Arial" w:cs="Arial"/>
          <w:b/>
          <w:bCs/>
          <w:iCs/>
          <w:sz w:val="24"/>
          <w:szCs w:val="24"/>
          <w:lang w:val="vi-VN" w:eastAsia="x-none"/>
        </w:rPr>
        <w:t>2024 compared to the previous month</w:t>
      </w:r>
    </w:p>
    <w:p w14:paraId="3C153B36" w14:textId="77777777" w:rsidR="000D286F" w:rsidRPr="006A7E27" w:rsidRDefault="000D286F" w:rsidP="000D286F">
      <w:pPr>
        <w:widowControl w:val="0"/>
        <w:spacing w:after="120" w:line="264" w:lineRule="auto"/>
        <w:rPr>
          <w:rFonts w:eastAsia="Calibri"/>
        </w:rPr>
      </w:pPr>
      <w:r>
        <w:rPr>
          <w:noProof/>
          <w14:ligatures w14:val="standardContextual"/>
        </w:rPr>
        <w:lastRenderedPageBreak/>
        <w:drawing>
          <wp:inline distT="0" distB="0" distL="0" distR="0" wp14:anchorId="144A76CC" wp14:editId="07BC3652">
            <wp:extent cx="5972175" cy="3747135"/>
            <wp:effectExtent l="0" t="0" r="9525" b="5715"/>
            <wp:docPr id="1428272212"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58D6AA6" w14:textId="77777777" w:rsidR="000D286F" w:rsidRPr="006A7E27" w:rsidRDefault="000D286F" w:rsidP="000D286F">
      <w:pPr>
        <w:widowControl w:val="0"/>
        <w:spacing w:after="120" w:line="264" w:lineRule="auto"/>
        <w:ind w:firstLine="720"/>
        <w:jc w:val="both"/>
        <w:rPr>
          <w:rFonts w:eastAsia="Calibri"/>
        </w:rPr>
      </w:pPr>
      <w:r>
        <w:rPr>
          <w:rFonts w:eastAsia="Calibri"/>
          <w:lang w:val="vi-VN"/>
        </w:rPr>
        <w:t>The Consumer Price Index (CPI) in August 2024 was stable. Of the 11 main consumer goods and services groups, 10 had a slight increase in price index; only the transpor</w:t>
      </w:r>
      <w:r>
        <w:rPr>
          <w:rFonts w:eastAsia="Calibri"/>
        </w:rPr>
        <w:t>t</w:t>
      </w:r>
      <w:r>
        <w:rPr>
          <w:rFonts w:eastAsia="Calibri"/>
          <w:lang w:val="vi-VN"/>
        </w:rPr>
        <w:t xml:space="preserve"> group had a decrease in price compared to the previous month.</w:t>
      </w:r>
    </w:p>
    <w:p w14:paraId="6D412896" w14:textId="77777777" w:rsidR="000D286F" w:rsidRPr="00FC383C" w:rsidRDefault="000D286F" w:rsidP="000D286F">
      <w:pPr>
        <w:tabs>
          <w:tab w:val="left" w:pos="993"/>
        </w:tabs>
        <w:spacing w:after="120" w:line="264" w:lineRule="auto"/>
        <w:ind w:firstLine="720"/>
        <w:jc w:val="both"/>
        <w:rPr>
          <w:rFonts w:eastAsia="Calibri"/>
          <w:lang w:val="es-NI"/>
        </w:rPr>
      </w:pPr>
      <w:r w:rsidRPr="00FC383C">
        <w:rPr>
          <w:rFonts w:eastAsia="Calibri"/>
          <w:lang w:val="es-NI"/>
        </w:rPr>
        <w:t>Ten groups of goods and services with increasing price indexes include:</w:t>
      </w:r>
    </w:p>
    <w:p w14:paraId="77BEEADD" w14:textId="77777777" w:rsidR="000D286F" w:rsidRPr="00F20E9F" w:rsidRDefault="000D286F" w:rsidP="000D286F">
      <w:pPr>
        <w:tabs>
          <w:tab w:val="left" w:pos="993"/>
        </w:tabs>
        <w:spacing w:after="120" w:line="264" w:lineRule="auto"/>
        <w:ind w:firstLine="720"/>
        <w:jc w:val="both"/>
        <w:rPr>
          <w:rFonts w:eastAsia="Calibri"/>
          <w:lang w:val="es-NI"/>
        </w:rPr>
      </w:pPr>
      <w:r w:rsidRPr="00FC383C">
        <w:rPr>
          <w:rFonts w:eastAsia="Calibri"/>
          <w:i/>
          <w:iCs/>
          <w:lang w:val="es-NI"/>
        </w:rPr>
        <w:t>- Group</w:t>
      </w:r>
      <w:r>
        <w:rPr>
          <w:rFonts w:eastAsia="Calibri"/>
          <w:i/>
          <w:iCs/>
          <w:lang w:val="vi-VN"/>
        </w:rPr>
        <w:t xml:space="preserve"> </w:t>
      </w:r>
      <w:r>
        <w:rPr>
          <w:rFonts w:eastAsia="Calibri"/>
          <w:i/>
          <w:iCs/>
        </w:rPr>
        <w:t>h</w:t>
      </w:r>
      <w:r w:rsidRPr="00F20E9F">
        <w:rPr>
          <w:rFonts w:eastAsia="Calibri"/>
          <w:i/>
          <w:iCs/>
          <w:lang w:val="es-NI"/>
        </w:rPr>
        <w:t xml:space="preserve">ousing, electricity, water, fuel and construction materials </w:t>
      </w:r>
      <w:r w:rsidRPr="00F20E9F">
        <w:rPr>
          <w:rFonts w:eastAsia="Calibri"/>
          <w:lang w:val="es-NI"/>
        </w:rPr>
        <w:t>increased by 0.29% mainly due to the following reasons:</w:t>
      </w:r>
      <w:r>
        <w:rPr>
          <w:rFonts w:eastAsia="Calibri"/>
          <w:lang w:val="vi-VN"/>
        </w:rPr>
        <w:t xml:space="preserve"> </w:t>
      </w:r>
      <w:r w:rsidRPr="00F20E9F">
        <w:rPr>
          <w:rFonts w:eastAsia="Calibri"/>
          <w:lang w:val="es-NI"/>
        </w:rPr>
        <w:t xml:space="preserve">House rental prices increased by 0.45% due to increased demand for housing in some localities as the new school year </w:t>
      </w:r>
      <w:proofErr w:type="gramStart"/>
      <w:r w:rsidRPr="00F20E9F">
        <w:rPr>
          <w:rFonts w:eastAsia="Calibri"/>
          <w:lang w:val="es-NI"/>
        </w:rPr>
        <w:t xml:space="preserve">approaches </w:t>
      </w:r>
      <w:r w:rsidRPr="00F20E9F">
        <w:rPr>
          <w:rFonts w:eastAsia="Calibri"/>
          <w:lang w:val="vi-VN"/>
        </w:rPr>
        <w:t>;</w:t>
      </w:r>
      <w:proofErr w:type="gramEnd"/>
      <w:r w:rsidRPr="00F20E9F">
        <w:rPr>
          <w:rFonts w:eastAsia="Calibri"/>
          <w:lang w:val="vi-VN"/>
        </w:rPr>
        <w:t xml:space="preserve"> </w:t>
      </w:r>
      <w:r w:rsidRPr="00F20E9F">
        <w:rPr>
          <w:rFonts w:eastAsia="Calibri"/>
          <w:lang w:val="es-NI"/>
        </w:rPr>
        <w:t xml:space="preserve">gas prices increased by 0.67%, due to the fact that from </w:t>
      </w:r>
      <w:r>
        <w:rPr>
          <w:rFonts w:eastAsia="Calibri"/>
          <w:lang w:val="es-NI"/>
        </w:rPr>
        <w:t>01/8/</w:t>
      </w:r>
      <w:r w:rsidRPr="00F20E9F">
        <w:rPr>
          <w:rFonts w:eastAsia="Calibri"/>
          <w:lang w:val="es-NI"/>
        </w:rPr>
        <w:t>2024, domestic gas prices will be adjusted to increase according to world gas prices.</w:t>
      </w:r>
      <w:r w:rsidRPr="00F20E9F">
        <w:rPr>
          <w:rFonts w:eastAsia="Calibri"/>
          <w:lang w:val="vi-VN"/>
        </w:rPr>
        <w:t xml:space="preserve"> </w:t>
      </w:r>
      <w:r w:rsidRPr="00F20E9F">
        <w:rPr>
          <w:rFonts w:eastAsia="Calibri"/>
          <w:lang w:val="es-NI"/>
        </w:rPr>
        <w:t>In addition, the prices of some commodities in the month decreased compared to the previous month: Kerosene price decreased by 6.02% due to the impact of price adjustments in the month</w:t>
      </w:r>
      <w:r w:rsidRPr="00F20E9F">
        <w:rPr>
          <w:rFonts w:eastAsia="Calibri"/>
          <w:lang w:val="vi-VN"/>
        </w:rPr>
        <w:t xml:space="preserve">; </w:t>
      </w:r>
      <w:r w:rsidRPr="00F20E9F">
        <w:rPr>
          <w:rFonts w:eastAsia="Calibri"/>
          <w:lang w:val="es-NI"/>
        </w:rPr>
        <w:t>household electricity price decreased by 0.76%; household water price decreased by 0.17%</w:t>
      </w:r>
      <w:r w:rsidRPr="00E41138">
        <w:rPr>
          <w:rStyle w:val="FootnoteReference"/>
          <w:iCs/>
          <w:color w:val="000000" w:themeColor="text1"/>
        </w:rPr>
        <w:footnoteReference w:id="18"/>
      </w:r>
      <w:r>
        <w:rPr>
          <w:rFonts w:eastAsia="Calibri"/>
          <w:lang w:val="es-NI"/>
        </w:rPr>
        <w:t xml:space="preserve"> </w:t>
      </w:r>
      <w:r w:rsidRPr="00F20E9F">
        <w:rPr>
          <w:rFonts w:eastAsia="Calibri"/>
          <w:lang w:val="es-NI"/>
        </w:rPr>
        <w:t>due to reduced consumer demand during the rainy season and cool weather.</w:t>
      </w:r>
    </w:p>
    <w:p w14:paraId="72452189" w14:textId="77777777" w:rsidR="000D286F" w:rsidRPr="00FC383C" w:rsidRDefault="000D286F" w:rsidP="000D286F">
      <w:pPr>
        <w:tabs>
          <w:tab w:val="left" w:pos="993"/>
        </w:tabs>
        <w:spacing w:after="120" w:line="264" w:lineRule="auto"/>
        <w:ind w:firstLine="720"/>
        <w:jc w:val="both"/>
        <w:rPr>
          <w:iCs/>
          <w:lang w:val="es-NI"/>
        </w:rPr>
      </w:pPr>
      <w:r w:rsidRPr="00FC383C">
        <w:rPr>
          <w:i/>
          <w:lang w:val="nl-NL"/>
        </w:rPr>
        <w:t xml:space="preserve">- </w:t>
      </w:r>
      <w:r w:rsidRPr="00FC383C">
        <w:rPr>
          <w:i/>
          <w:iCs/>
          <w:lang w:val="es-NI"/>
        </w:rPr>
        <w:t xml:space="preserve">The food and </w:t>
      </w:r>
      <w:r>
        <w:rPr>
          <w:i/>
          <w:iCs/>
          <w:lang w:val="es-NI"/>
        </w:rPr>
        <w:t>foodstuff</w:t>
      </w:r>
      <w:r w:rsidRPr="00FC383C">
        <w:rPr>
          <w:i/>
          <w:iCs/>
          <w:lang w:val="es-NI"/>
        </w:rPr>
        <w:t xml:space="preserve"> group </w:t>
      </w:r>
      <w:r w:rsidRPr="00FC383C">
        <w:rPr>
          <w:iCs/>
          <w:lang w:val="es-NI"/>
        </w:rPr>
        <w:t xml:space="preserve">increased by 0.27% (making the general CPI increase by 0.09 percentage points), of which: Food increased by </w:t>
      </w:r>
      <w:r>
        <w:rPr>
          <w:iCs/>
          <w:lang w:val="vi-VN"/>
        </w:rPr>
        <w:t xml:space="preserve">0.19 </w:t>
      </w:r>
      <w:r w:rsidRPr="00FC383C">
        <w:rPr>
          <w:iCs/>
          <w:lang w:val="es-NI"/>
        </w:rPr>
        <w:t>%</w:t>
      </w:r>
      <w:r w:rsidRPr="00FC383C">
        <w:rPr>
          <w:vertAlign w:val="superscript"/>
          <w:lang w:val="nl-NL"/>
        </w:rPr>
        <w:footnoteReference w:id="19"/>
      </w:r>
      <w:r w:rsidRPr="00FC383C">
        <w:rPr>
          <w:iCs/>
          <w:lang w:val="es-NI"/>
        </w:rPr>
        <w:t xml:space="preserve">; </w:t>
      </w:r>
      <w:r w:rsidRPr="00FC383C">
        <w:rPr>
          <w:iCs/>
          <w:lang w:val="es-NI"/>
        </w:rPr>
        <w:lastRenderedPageBreak/>
        <w:t>foodstuff increased by 0.28%</w:t>
      </w:r>
      <w:r w:rsidRPr="00FC383C">
        <w:rPr>
          <w:vertAlign w:val="superscript"/>
          <w:lang w:val="nl-NL"/>
        </w:rPr>
        <w:footnoteReference w:id="20"/>
      </w:r>
      <w:r>
        <w:rPr>
          <w:iCs/>
          <w:lang w:val="es-NI"/>
        </w:rPr>
        <w:t xml:space="preserve"> </w:t>
      </w:r>
      <w:r w:rsidRPr="00FC383C">
        <w:rPr>
          <w:iCs/>
          <w:lang w:val="es-NI"/>
        </w:rPr>
        <w:t>(making the general CPI increase by 0.06 percentage points); eating out increased by 0.26%</w:t>
      </w:r>
      <w:r w:rsidRPr="00FC383C">
        <w:rPr>
          <w:vertAlign w:val="superscript"/>
          <w:lang w:val="nl-NL"/>
        </w:rPr>
        <w:footnoteReference w:id="21"/>
      </w:r>
      <w:r w:rsidRPr="00FC383C">
        <w:rPr>
          <w:iCs/>
          <w:lang w:val="es-NI"/>
        </w:rPr>
        <w:t>.</w:t>
      </w:r>
    </w:p>
    <w:p w14:paraId="61246B58" w14:textId="77777777" w:rsidR="000D286F" w:rsidRPr="00C168C6" w:rsidRDefault="000D286F" w:rsidP="000D286F">
      <w:pPr>
        <w:tabs>
          <w:tab w:val="left" w:pos="993"/>
        </w:tabs>
        <w:spacing w:after="120" w:line="264" w:lineRule="auto"/>
        <w:ind w:firstLine="720"/>
        <w:jc w:val="both"/>
        <w:rPr>
          <w:rFonts w:eastAsia="Calibri"/>
          <w:lang w:val="vi-VN"/>
        </w:rPr>
      </w:pPr>
      <w:r>
        <w:rPr>
          <w:rFonts w:eastAsia="Calibri"/>
          <w:i/>
          <w:iCs/>
          <w:lang w:val="vi-VN"/>
        </w:rPr>
        <w:t xml:space="preserve">- The group of other goods and services </w:t>
      </w:r>
      <w:r w:rsidRPr="00C168C6">
        <w:rPr>
          <w:rFonts w:eastAsia="Calibri"/>
          <w:lang w:val="vi-VN"/>
        </w:rPr>
        <w:t>increased by 0.2%, of which, the price of administrative and legal services increased by 1.91%; jewelry increased by 1.89%; environmental sanitation services increased by 0.52%; watch and jewelry repair increased by 0.28%. On the contrary, the price of handbags, suitcases, wallets decreased by 0.18%; watches decreased by 0.05%.</w:t>
      </w:r>
    </w:p>
    <w:p w14:paraId="4D37026F" w14:textId="77777777" w:rsidR="000D286F" w:rsidRPr="00C168C6" w:rsidRDefault="000D286F" w:rsidP="000D286F">
      <w:pPr>
        <w:tabs>
          <w:tab w:val="left" w:pos="993"/>
        </w:tabs>
        <w:spacing w:after="120" w:line="264" w:lineRule="auto"/>
        <w:ind w:firstLine="720"/>
        <w:jc w:val="both"/>
        <w:rPr>
          <w:rFonts w:eastAsia="Calibri"/>
          <w:lang w:val="vi-VN"/>
        </w:rPr>
      </w:pPr>
      <w:r>
        <w:rPr>
          <w:rFonts w:eastAsia="Calibri"/>
          <w:i/>
          <w:iCs/>
          <w:lang w:val="vi-VN"/>
        </w:rPr>
        <w:t xml:space="preserve">- The group of medicines and </w:t>
      </w:r>
      <w:r w:rsidRPr="0024108A">
        <w:rPr>
          <w:rFonts w:eastAsia="Calibri"/>
          <w:i/>
          <w:iCs/>
          <w:lang w:val="vi-VN"/>
        </w:rPr>
        <w:t>health care</w:t>
      </w:r>
      <w:r>
        <w:rPr>
          <w:rFonts w:eastAsia="Calibri"/>
          <w:i/>
          <w:iCs/>
          <w:lang w:val="vi-VN"/>
        </w:rPr>
        <w:t xml:space="preserve"> services </w:t>
      </w:r>
      <w:r w:rsidRPr="00C168C6">
        <w:rPr>
          <w:rFonts w:eastAsia="Calibri"/>
          <w:lang w:val="vi-VN"/>
        </w:rPr>
        <w:t xml:space="preserve">increased by 0.18%, of which the price of inpatient examination and treatment increased by 0.29%; outpatient examination and treatment services increased by 0.11%. The reason is that in August 2024, some localities continued to apply new medical service prices according to Circular No. 22/2023/TT-BYT dated </w:t>
      </w:r>
      <w:r>
        <w:rPr>
          <w:rFonts w:eastAsia="Calibri"/>
        </w:rPr>
        <w:t>17/11//</w:t>
      </w:r>
      <w:r w:rsidRPr="00C168C6">
        <w:rPr>
          <w:rFonts w:eastAsia="Calibri"/>
          <w:lang w:val="vi-VN"/>
        </w:rPr>
        <w:t xml:space="preserve">2023 of the Ministry of Health regulating the unification of prices of medical examination and treatment services under health insurance between hospitals of the same rank nationwide and guiding the application of prices and payment of medical examination and treatment costs in some cases </w:t>
      </w:r>
      <w:r>
        <w:rPr>
          <w:rStyle w:val="FootnoteReference"/>
          <w:bCs/>
          <w:lang w:val="nl-NL"/>
        </w:rPr>
        <w:footnoteReference w:id="22"/>
      </w:r>
      <w:r w:rsidRPr="00C168C6">
        <w:rPr>
          <w:rFonts w:eastAsia="Calibri"/>
          <w:lang w:val="vi-VN"/>
        </w:rPr>
        <w:t>.</w:t>
      </w:r>
    </w:p>
    <w:p w14:paraId="526532A4" w14:textId="77777777" w:rsidR="000D286F" w:rsidRPr="00C168C6" w:rsidRDefault="000D286F" w:rsidP="000D286F">
      <w:pPr>
        <w:tabs>
          <w:tab w:val="left" w:pos="993"/>
        </w:tabs>
        <w:spacing w:after="120" w:line="264" w:lineRule="auto"/>
        <w:ind w:firstLine="720"/>
        <w:jc w:val="both"/>
        <w:rPr>
          <w:rFonts w:eastAsia="Calibri"/>
          <w:lang w:val="vi-VN"/>
        </w:rPr>
      </w:pPr>
      <w:r w:rsidRPr="00C168C6">
        <w:rPr>
          <w:rFonts w:eastAsia="Calibri"/>
          <w:i/>
          <w:iCs/>
          <w:lang w:val="vi-VN"/>
        </w:rPr>
        <w:t xml:space="preserve">- Post and telecommunications group </w:t>
      </w:r>
      <w:r w:rsidRPr="00C168C6">
        <w:rPr>
          <w:rFonts w:eastAsia="Calibri"/>
          <w:lang w:val="vi-VN"/>
        </w:rPr>
        <w:t>increased by 0.15%. Of which, the price of regular mobile phones increased by 0.52%; the price of fixed phones increased by 0.25%.</w:t>
      </w:r>
    </w:p>
    <w:p w14:paraId="0F54A103" w14:textId="77777777" w:rsidR="000D286F" w:rsidRDefault="000D286F" w:rsidP="000D286F">
      <w:pPr>
        <w:tabs>
          <w:tab w:val="left" w:pos="993"/>
        </w:tabs>
        <w:spacing w:after="120" w:line="264" w:lineRule="auto"/>
        <w:ind w:firstLine="720"/>
        <w:jc w:val="both"/>
        <w:rPr>
          <w:rFonts w:eastAsia="Calibri"/>
          <w:lang w:val="vi-VN"/>
        </w:rPr>
      </w:pPr>
      <w:r>
        <w:rPr>
          <w:rFonts w:eastAsia="Calibri"/>
          <w:i/>
          <w:iCs/>
          <w:lang w:val="vi-VN"/>
        </w:rPr>
        <w:t xml:space="preserve">- The beverage and </w:t>
      </w:r>
      <w:r w:rsidRPr="0024108A">
        <w:rPr>
          <w:rFonts w:eastAsia="Calibri"/>
          <w:i/>
          <w:iCs/>
          <w:lang w:val="vi-VN"/>
        </w:rPr>
        <w:t>cigarette</w:t>
      </w:r>
      <w:r>
        <w:rPr>
          <w:rFonts w:eastAsia="Calibri"/>
          <w:i/>
          <w:iCs/>
          <w:lang w:val="vi-VN"/>
        </w:rPr>
        <w:t xml:space="preserve"> group </w:t>
      </w:r>
      <w:r w:rsidRPr="00C168C6">
        <w:rPr>
          <w:rFonts w:eastAsia="Calibri"/>
          <w:lang w:val="vi-VN"/>
        </w:rPr>
        <w:t>increased by 0.15%, mainly due to high consumer demand during Vu Lan Festival and during the tourist season, specifically: Fruit juice prices increased by 0.42%; energy drinks increased by 0.29%; cigarettes increased by 0.25%; bottled beer increased by 0.13%; alcohol of all kinds increased by 0.12%.</w:t>
      </w:r>
    </w:p>
    <w:p w14:paraId="3CB1A4FD" w14:textId="77777777" w:rsidR="000D286F" w:rsidRPr="00B80651" w:rsidRDefault="000D286F" w:rsidP="000D286F">
      <w:pPr>
        <w:tabs>
          <w:tab w:val="left" w:pos="993"/>
        </w:tabs>
        <w:spacing w:after="120" w:line="264" w:lineRule="auto"/>
        <w:ind w:firstLine="720"/>
        <w:jc w:val="both"/>
        <w:rPr>
          <w:rFonts w:eastAsia="Calibri"/>
          <w:spacing w:val="-2"/>
          <w:lang w:val="vi-VN"/>
        </w:rPr>
      </w:pPr>
      <w:r w:rsidRPr="00B80651">
        <w:rPr>
          <w:rFonts w:eastAsia="Calibri"/>
          <w:i/>
          <w:iCs/>
          <w:spacing w:val="-2"/>
          <w:lang w:val="vi-VN"/>
        </w:rPr>
        <w:t xml:space="preserve">- The education group </w:t>
      </w:r>
      <w:r w:rsidRPr="00B80651">
        <w:rPr>
          <w:rFonts w:eastAsia="Calibri"/>
          <w:spacing w:val="-2"/>
          <w:lang w:val="vi-VN"/>
        </w:rPr>
        <w:t xml:space="preserve">increased by 0.14%, of which the price of writing pens increased by 0.5%; paper products increased by 0.45%; stationery and other school supplies increased by 0.2%. In addition, the price of educational services increased by 0.13% due to some public universities, private high schools, and private </w:t>
      </w:r>
      <w:r w:rsidRPr="00B80651">
        <w:rPr>
          <w:rFonts w:eastAsia="Calibri"/>
          <w:spacing w:val="-2"/>
          <w:lang w:val="vi-VN"/>
        </w:rPr>
        <w:lastRenderedPageBreak/>
        <w:t xml:space="preserve">kindergartens </w:t>
      </w:r>
      <w:r w:rsidRPr="00B80651">
        <w:rPr>
          <w:color w:val="000000"/>
          <w:spacing w:val="-2"/>
          <w:lang w:val="nl-NL"/>
        </w:rPr>
        <w:t xml:space="preserve">in some provinces </w:t>
      </w:r>
      <w:r w:rsidRPr="00B80651">
        <w:rPr>
          <w:rStyle w:val="FootnoteReference"/>
          <w:color w:val="000000"/>
          <w:spacing w:val="-2"/>
          <w:lang w:val="nl-NL"/>
        </w:rPr>
        <w:footnoteReference w:id="23"/>
      </w:r>
      <w:r w:rsidRPr="00B80651">
        <w:rPr>
          <w:rFonts w:eastAsia="Calibri"/>
          <w:spacing w:val="-2"/>
          <w:lang w:val="vi-VN"/>
        </w:rPr>
        <w:t>increasing tuition fees for the 2024-2025 school year.</w:t>
      </w:r>
    </w:p>
    <w:p w14:paraId="061360E5" w14:textId="77777777" w:rsidR="000D286F" w:rsidRPr="00B80651" w:rsidRDefault="000D286F" w:rsidP="000D286F">
      <w:pPr>
        <w:tabs>
          <w:tab w:val="left" w:pos="993"/>
        </w:tabs>
        <w:spacing w:after="120" w:line="264" w:lineRule="auto"/>
        <w:ind w:firstLine="720"/>
        <w:jc w:val="both"/>
        <w:rPr>
          <w:rFonts w:eastAsia="Calibri"/>
          <w:spacing w:val="-2"/>
          <w:lang w:val="vi-VN"/>
        </w:rPr>
      </w:pPr>
      <w:r w:rsidRPr="00B80651">
        <w:rPr>
          <w:rFonts w:eastAsia="Calibri"/>
          <w:i/>
          <w:iCs/>
          <w:spacing w:val="-2"/>
          <w:lang w:val="vi-VN"/>
        </w:rPr>
        <w:t xml:space="preserve">- The culture, entertainment and tourism group </w:t>
      </w:r>
      <w:r w:rsidRPr="00B80651">
        <w:rPr>
          <w:rFonts w:eastAsia="Calibri"/>
          <w:spacing w:val="-2"/>
          <w:lang w:val="vi-VN"/>
        </w:rPr>
        <w:t>increased by 0.12%, mainly concentrated in the following groups: Prices of foreign tourism services increased by 0.72%; sports and fitness equipment increased by 0.38%; hotels and guesthouses increased by 0.24%; movies and music increased by 0.16%. On the contrary, domestic tourism decreased by 0.29% due to companies reducing prices to stimulate demand.</w:t>
      </w:r>
    </w:p>
    <w:p w14:paraId="3078E2A5" w14:textId="77777777" w:rsidR="000D286F" w:rsidRDefault="000D286F" w:rsidP="000D286F">
      <w:pPr>
        <w:tabs>
          <w:tab w:val="left" w:pos="993"/>
        </w:tabs>
        <w:spacing w:after="120" w:line="264" w:lineRule="auto"/>
        <w:ind w:firstLine="720"/>
        <w:jc w:val="both"/>
        <w:rPr>
          <w:rFonts w:eastAsia="Calibri"/>
          <w:lang w:val="vi-VN"/>
        </w:rPr>
      </w:pPr>
      <w:r w:rsidRPr="00C168C6">
        <w:rPr>
          <w:rFonts w:eastAsia="Calibri"/>
          <w:i/>
          <w:iCs/>
          <w:lang w:val="vi-VN"/>
        </w:rPr>
        <w:t xml:space="preserve">- The group of household equipment </w:t>
      </w:r>
      <w:r w:rsidRPr="0024108A">
        <w:rPr>
          <w:rFonts w:eastAsia="Calibri"/>
          <w:i/>
          <w:iCs/>
          <w:lang w:val="vi-VN"/>
        </w:rPr>
        <w:t xml:space="preserve">and goods </w:t>
      </w:r>
      <w:r w:rsidRPr="00C168C6">
        <w:rPr>
          <w:rFonts w:eastAsia="Calibri"/>
          <w:lang w:val="vi-VN"/>
        </w:rPr>
        <w:t>increased by 0.09% due to increased labor costs. Of which, refrigerator repair services increased by 0.64% compared to the previous month; air conditioner repair services increased by 0.59%; household appliance rental increased by 0.56%; washing machine repair services increased by 0.48%; motorized equipment repair increased by 0.45%; beds, wardrobes, tables and chairs increased by 0.24%; service staff increased by 0.14%; washing machines increased by 0.11%. On the contrary, some items had lower prices compared to the previous month because many stores continued to apply shopping stimulus programs such as: Gas stove prices decreased by 0.89%; blenders and juicers decreased by 0.47%; mattresses decreased by 0.15%; rice cookers decreased by 0.07%; vacuum cleaners decreased by 0.03%.</w:t>
      </w:r>
    </w:p>
    <w:p w14:paraId="289BA949" w14:textId="77777777" w:rsidR="000D286F" w:rsidRDefault="000D286F" w:rsidP="000D286F">
      <w:pPr>
        <w:tabs>
          <w:tab w:val="left" w:pos="993"/>
        </w:tabs>
        <w:spacing w:after="120" w:line="264" w:lineRule="auto"/>
        <w:ind w:firstLine="720"/>
        <w:jc w:val="both"/>
        <w:rPr>
          <w:rFonts w:eastAsia="Calibri"/>
          <w:lang w:val="vi-VN"/>
        </w:rPr>
      </w:pPr>
      <w:r w:rsidRPr="00C168C6">
        <w:rPr>
          <w:rFonts w:eastAsia="Calibri"/>
          <w:i/>
          <w:iCs/>
          <w:lang w:val="vi-VN"/>
        </w:rPr>
        <w:t xml:space="preserve">- The garment, hat and footwear group </w:t>
      </w:r>
      <w:r w:rsidRPr="00C168C6">
        <w:rPr>
          <w:rFonts w:eastAsia="Calibri"/>
          <w:lang w:val="vi-VN"/>
        </w:rPr>
        <w:t>increased by 0.05% due to increased shopping demand in preparation for the new school year. Of which, footwear prices increased by 0.53%; footwear services increased by 0.44%; garment services increased by 0.37%; fabrics of all kinds increased by 0.25%; hats increased by 0.22%.</w:t>
      </w:r>
    </w:p>
    <w:p w14:paraId="76BA2B16" w14:textId="77777777" w:rsidR="000D286F" w:rsidRDefault="000D286F" w:rsidP="000D286F">
      <w:pPr>
        <w:tabs>
          <w:tab w:val="left" w:pos="993"/>
        </w:tabs>
        <w:spacing w:after="120" w:line="264" w:lineRule="auto"/>
        <w:ind w:firstLine="720"/>
        <w:jc w:val="both"/>
        <w:rPr>
          <w:rFonts w:eastAsia="Calibri"/>
          <w:lang w:val="vi-VN"/>
        </w:rPr>
      </w:pPr>
      <w:r w:rsidRPr="00C168C6">
        <w:rPr>
          <w:rFonts w:eastAsia="Calibri"/>
          <w:i/>
          <w:iCs/>
          <w:lang w:val="vi-VN"/>
        </w:rPr>
        <w:t xml:space="preserve">The transport group alone </w:t>
      </w:r>
      <w:r w:rsidRPr="00C168C6">
        <w:rPr>
          <w:rFonts w:eastAsia="Calibri"/>
          <w:lang w:val="vi-VN"/>
        </w:rPr>
        <w:t>decreased by 1.98% (reducing the overall CPI by 0.19 percentage points), mainly due to: Diesel oil price decreased by 7.05%; domestic gasoline price decreased by 5.83% due to the impact of price adjustments during the month; passenger transport price by rail decreased by 4.09%; used cars decreased by 0.28%. In addition, the groups of goods increased in price: Auto spare parts price increased by 0.4%; vehicle maintenance service price increased by 0.91%; driving license fee increased by 1.7%.</w:t>
      </w:r>
    </w:p>
    <w:p w14:paraId="5F13D577" w14:textId="77777777" w:rsidR="000D286F" w:rsidRDefault="000D286F" w:rsidP="000D286F">
      <w:pPr>
        <w:tabs>
          <w:tab w:val="left" w:pos="993"/>
        </w:tabs>
        <w:spacing w:after="120" w:line="264" w:lineRule="auto"/>
        <w:ind w:firstLine="720"/>
        <w:jc w:val="both"/>
        <w:rPr>
          <w:lang w:val="vi-VN"/>
        </w:rPr>
      </w:pPr>
      <w:r w:rsidRPr="00FC383C">
        <w:rPr>
          <w:lang w:val="pl-PL"/>
        </w:rPr>
        <w:t>Core inflation</w:t>
      </w:r>
      <w:r w:rsidRPr="00FC383C">
        <w:rPr>
          <w:rStyle w:val="FootnoteReference"/>
        </w:rPr>
        <w:footnoteReference w:id="24"/>
      </w:r>
      <w:r>
        <w:rPr>
          <w:lang w:val="pl-PL"/>
        </w:rPr>
        <w:t xml:space="preserve"> </w:t>
      </w:r>
      <w:r w:rsidRPr="00FC383C">
        <w:rPr>
          <w:lang w:val="pl-PL"/>
        </w:rPr>
        <w:t>in August 2024 increased by 0.24% over the previous month and by 2.53% over the same period last year.</w:t>
      </w:r>
    </w:p>
    <w:p w14:paraId="16F1146B" w14:textId="77777777" w:rsidR="000D286F" w:rsidRDefault="000D286F" w:rsidP="000D286F">
      <w:pPr>
        <w:tabs>
          <w:tab w:val="left" w:pos="993"/>
        </w:tabs>
        <w:spacing w:after="120" w:line="264" w:lineRule="auto"/>
        <w:ind w:firstLine="720"/>
        <w:jc w:val="both"/>
        <w:rPr>
          <w:lang w:val="vi-VN"/>
        </w:rPr>
      </w:pPr>
      <w:r w:rsidRPr="00C168C6">
        <w:rPr>
          <w:lang w:val="pl-PL"/>
        </w:rPr>
        <w:lastRenderedPageBreak/>
        <w:t>On average, in the first eight months of 2024, core inflation increased by 2.71% over the same period in 2023, lower than the average CPI increase (4.04%), mainly due to the prices of food, foodstuffs, electricity, education services, medical services and gasoline, which are factors affecting the CPI increase but are excluded from the list of core inflation calculations.</w:t>
      </w:r>
      <w:r w:rsidRPr="00FC383C">
        <w:rPr>
          <w:lang w:val="de-DE"/>
        </w:rPr>
        <w:t xml:space="preserve"> </w:t>
      </w:r>
    </w:p>
    <w:p w14:paraId="39A90CB6" w14:textId="77777777" w:rsidR="000D286F" w:rsidRDefault="000D286F" w:rsidP="000D286F">
      <w:pPr>
        <w:tabs>
          <w:tab w:val="left" w:pos="993"/>
        </w:tabs>
        <w:spacing w:after="120" w:line="264" w:lineRule="auto"/>
        <w:ind w:firstLine="720"/>
        <w:jc w:val="both"/>
        <w:rPr>
          <w:lang w:val="vi-VN"/>
        </w:rPr>
      </w:pPr>
      <w:r w:rsidRPr="00B80651">
        <w:rPr>
          <w:lang w:val="vi-VN"/>
        </w:rPr>
        <w:t xml:space="preserve">Domestic gold prices fluctuate in the same direction as world gold prices. As of August 27, 2024, the average world gold price was at 2,495.53 USD/ounce, up 3.63% compared to July 2024. </w:t>
      </w:r>
      <w:r w:rsidRPr="006255E1">
        <w:rPr>
          <w:color w:val="000000" w:themeColor="text1"/>
          <w:spacing w:val="-3"/>
          <w:lang w:val="de-DE"/>
        </w:rPr>
        <w:t xml:space="preserve">World gold prices increased as investors believed that the US Federal Reserve (FED) could lower interest rates in September </w:t>
      </w:r>
      <w:r w:rsidRPr="00B80651">
        <w:rPr>
          <w:lang w:val="vi-VN"/>
        </w:rPr>
        <w:t>, along with geopolitical conflicts in the world and demand from Central Banks have boosted gold purchases as a safe haven asset. Domestically, the gold price index in August 2024 increased by 1.93% compared to the previous month; increased by 20.4% compared to December 2023; increased by 31.05% compared to the same period last year; on average in the first eight months of 2024, the gold price index increased by 25.54%.</w:t>
      </w:r>
    </w:p>
    <w:p w14:paraId="7390C7B6" w14:textId="699E6B43" w:rsidR="000D286F" w:rsidRPr="000D286F" w:rsidRDefault="000D286F" w:rsidP="000D286F">
      <w:pPr>
        <w:spacing w:after="120" w:line="264" w:lineRule="auto"/>
        <w:ind w:firstLine="720"/>
        <w:jc w:val="both"/>
        <w:rPr>
          <w:spacing w:val="-2"/>
          <w:lang w:val="de-DE"/>
        </w:rPr>
      </w:pPr>
      <w:r w:rsidRPr="00B80651">
        <w:rPr>
          <w:rFonts w:eastAsia="Calibri"/>
          <w:spacing w:val="-2"/>
          <w:lang w:val="de-DE" w:eastAsia="x-none"/>
        </w:rPr>
        <w:t>As of August 27, 2024, the US dollar index in the international market reached 102.38 points, down 1.97% compared to the previous month. Domestically, the average US dollar price in the free market is around 25,329 VND/USD. The US dollar price index in August 2024 decreased by 0.64% compared to the previous month; increased by 3.55% compared to December 2023; increased by 5.86% compared to the same period last year; the average increase in the first eight months of 2024 was 5.85%.</w:t>
      </w:r>
    </w:p>
    <w:p w14:paraId="3E7B3AC5" w14:textId="77777777" w:rsidR="006F7F7E" w:rsidRPr="00BB4D40" w:rsidRDefault="006F7F7E" w:rsidP="006F7F7E">
      <w:pPr>
        <w:spacing w:beforeLines="40" w:before="96" w:afterLines="40" w:after="96" w:line="264" w:lineRule="auto"/>
        <w:ind w:firstLine="567"/>
        <w:jc w:val="both"/>
        <w:rPr>
          <w:bCs/>
          <w:i/>
          <w:lang w:val="it-IT"/>
        </w:rPr>
      </w:pPr>
      <w:r w:rsidRPr="00BB4D40">
        <w:rPr>
          <w:b/>
          <w:bCs/>
          <w:i/>
          <w:iCs/>
          <w:lang w:val="nl-NL"/>
        </w:rPr>
        <w:t xml:space="preserve">d) </w:t>
      </w:r>
      <w:r w:rsidRPr="00BB4D40">
        <w:rPr>
          <w:b/>
          <w:bCs/>
          <w:i/>
          <w:iCs/>
          <w:lang w:val="fr-FR"/>
        </w:rPr>
        <w:t>Transport</w:t>
      </w:r>
      <w:r w:rsidRPr="00BB4D40">
        <w:rPr>
          <w:bCs/>
          <w:i/>
          <w:lang w:val="it-IT"/>
        </w:rPr>
        <w:t xml:space="preserve"> </w:t>
      </w:r>
    </w:p>
    <w:p w14:paraId="188A6AF7" w14:textId="77777777" w:rsidR="006F7F7E" w:rsidRPr="008A7BD1" w:rsidRDefault="006F7F7E" w:rsidP="006F7F7E">
      <w:pPr>
        <w:spacing w:beforeLines="40" w:before="96" w:afterLines="40" w:after="96" w:line="264" w:lineRule="auto"/>
        <w:ind w:firstLine="567"/>
        <w:jc w:val="both"/>
        <w:rPr>
          <w:rFonts w:ascii="Times New Roman Italic" w:eastAsiaTheme="minorHAnsi" w:hAnsi="Times New Roman Italic"/>
          <w:bCs/>
          <w:i/>
          <w:kern w:val="2"/>
          <w:lang w:val="it-IT"/>
          <w14:ligatures w14:val="standardContextual"/>
        </w:rPr>
      </w:pPr>
      <w:r w:rsidRPr="008A7BD1">
        <w:rPr>
          <w:rFonts w:ascii="Times New Roman Italic" w:eastAsiaTheme="minorHAnsi" w:hAnsi="Times New Roman Italic"/>
          <w:bCs/>
          <w:i/>
          <w:kern w:val="2"/>
          <w:lang w:val="it-IT"/>
          <w14:ligatures w14:val="standardContextual"/>
        </w:rPr>
        <w:t>Transport activities in August were vibrant, maintaining a positive growth rate compared to the same period last year due to the strong recovery of tourism and high demand for transportation to serve production and import and export of goods, of which passenger transport increased by 13.2% of passenger carried and increased by 16.2% of  passenger traffic; freight transport increased by 13.2% of  freight carried and up 10.5% of freight traffic.</w:t>
      </w:r>
    </w:p>
    <w:p w14:paraId="11363F94" w14:textId="77777777" w:rsidR="006F7F7E" w:rsidRPr="008A7BD1" w:rsidRDefault="006F7F7E" w:rsidP="006F7F7E">
      <w:pPr>
        <w:spacing w:beforeLines="40" w:before="96" w:afterLines="40" w:after="96" w:line="264" w:lineRule="auto"/>
        <w:ind w:firstLine="567"/>
        <w:jc w:val="both"/>
        <w:rPr>
          <w:rFonts w:ascii="Times New Roman Italic" w:eastAsiaTheme="minorHAnsi" w:hAnsi="Times New Roman Italic"/>
          <w:bCs/>
          <w:i/>
          <w:kern w:val="2"/>
          <w:lang w:val="it-IT"/>
          <w14:ligatures w14:val="standardContextual"/>
        </w:rPr>
      </w:pPr>
      <w:r w:rsidRPr="008A7BD1">
        <w:rPr>
          <w:rFonts w:ascii="Times New Roman Italic" w:eastAsiaTheme="minorHAnsi" w:hAnsi="Times New Roman Italic"/>
          <w:bCs/>
          <w:i/>
          <w:kern w:val="2"/>
          <w:lang w:val="it-IT"/>
          <w14:ligatures w14:val="standardContextual"/>
        </w:rPr>
        <w:t xml:space="preserve">Overall, in eight months of 2024, passenger carried increased by 7.5% and passenger traffic up 12.7% over the same period last year; freight carried increased by 13.0% and freight traffic up 11.8%. </w:t>
      </w:r>
    </w:p>
    <w:p w14:paraId="6931CCEE" w14:textId="77777777" w:rsidR="006F7F7E" w:rsidRPr="00BB4D40" w:rsidRDefault="006F7F7E" w:rsidP="006F7F7E">
      <w:pPr>
        <w:tabs>
          <w:tab w:val="left" w:pos="567"/>
        </w:tabs>
        <w:spacing w:beforeLines="40" w:before="96" w:afterLines="40" w:after="96" w:line="276" w:lineRule="auto"/>
        <w:ind w:firstLine="567"/>
        <w:jc w:val="both"/>
        <w:rPr>
          <w:lang w:val="pl-PL"/>
        </w:rPr>
      </w:pPr>
      <w:r w:rsidRPr="00BB4D40">
        <w:rPr>
          <w:i/>
          <w:lang w:val="pl-PL"/>
        </w:rPr>
        <w:t>Passenger transport</w:t>
      </w:r>
      <w:r w:rsidRPr="00BB4D40">
        <w:rPr>
          <w:lang w:val="pl-PL"/>
        </w:rPr>
        <w:t xml:space="preserve"> in </w:t>
      </w:r>
      <w:r>
        <w:rPr>
          <w:lang w:val="pl-PL"/>
        </w:rPr>
        <w:t>8/2024</w:t>
      </w:r>
      <w:r w:rsidRPr="00BB4D40">
        <w:rPr>
          <w:lang w:val="pl-PL"/>
        </w:rPr>
        <w:t xml:space="preserve"> was estimated at </w:t>
      </w:r>
      <w:r>
        <w:rPr>
          <w:lang w:val="nl-NL"/>
        </w:rPr>
        <w:t>442.0</w:t>
      </w:r>
      <w:r w:rsidRPr="00BB4D40">
        <w:rPr>
          <w:lang w:val="nl-NL"/>
        </w:rPr>
        <w:t xml:space="preserve"> </w:t>
      </w:r>
      <w:r w:rsidRPr="00BB4D40">
        <w:rPr>
          <w:lang w:val="pl-PL"/>
        </w:rPr>
        <w:t xml:space="preserve">million passengers, </w:t>
      </w:r>
      <w:r>
        <w:rPr>
          <w:lang w:val="pl-PL"/>
        </w:rPr>
        <w:t>in</w:t>
      </w:r>
      <w:r w:rsidRPr="00BB4D40">
        <w:rPr>
          <w:lang w:val="pl-PL"/>
        </w:rPr>
        <w:t xml:space="preserve">creased by </w:t>
      </w:r>
      <w:r>
        <w:rPr>
          <w:lang w:val="pl-PL"/>
        </w:rPr>
        <w:t>1.9</w:t>
      </w:r>
      <w:r w:rsidRPr="00BB4D40">
        <w:rPr>
          <w:lang w:val="pl-PL"/>
        </w:rPr>
        <w:t xml:space="preserve">% and passenger traffic was </w:t>
      </w:r>
      <w:r>
        <w:rPr>
          <w:lang w:val="nl-NL"/>
        </w:rPr>
        <w:t>24.9</w:t>
      </w:r>
      <w:r w:rsidRPr="00BB4D40">
        <w:rPr>
          <w:lang w:val="nl-NL"/>
        </w:rPr>
        <w:t xml:space="preserve"> </w:t>
      </w:r>
      <w:r w:rsidRPr="00BB4D40">
        <w:rPr>
          <w:lang w:val="pl-PL"/>
        </w:rPr>
        <w:t xml:space="preserve">billion passengers-kilometers, </w:t>
      </w:r>
      <w:r>
        <w:rPr>
          <w:lang w:val="pl-PL"/>
        </w:rPr>
        <w:t>in</w:t>
      </w:r>
      <w:r w:rsidRPr="00BB4D40">
        <w:rPr>
          <w:lang w:val="pl-PL"/>
        </w:rPr>
        <w:t xml:space="preserve">creased by </w:t>
      </w:r>
      <w:r>
        <w:rPr>
          <w:lang w:val="pl-PL"/>
        </w:rPr>
        <w:t>2.5</w:t>
      </w:r>
      <w:r w:rsidRPr="00BB4D40">
        <w:rPr>
          <w:lang w:val="pl-PL"/>
        </w:rPr>
        <w:t xml:space="preserve">%. </w:t>
      </w:r>
      <w:r>
        <w:rPr>
          <w:lang w:val="pl-PL"/>
        </w:rPr>
        <w:t>In eight months of 2024</w:t>
      </w:r>
      <w:r w:rsidRPr="00BB4D40">
        <w:rPr>
          <w:lang w:val="pl-PL"/>
        </w:rPr>
        <w:t xml:space="preserve">, passenger carried was estimated at </w:t>
      </w:r>
      <w:r>
        <w:rPr>
          <w:lang w:val="nl-NL"/>
        </w:rPr>
        <w:t>3,234.3</w:t>
      </w:r>
      <w:r w:rsidRPr="00BB4D40">
        <w:rPr>
          <w:lang w:val="nl-NL"/>
        </w:rPr>
        <w:t xml:space="preserve"> </w:t>
      </w:r>
      <w:r w:rsidRPr="00BB4D40">
        <w:rPr>
          <w:lang w:val="pl-PL"/>
        </w:rPr>
        <w:t xml:space="preserve">million passengers, up </w:t>
      </w:r>
      <w:r>
        <w:rPr>
          <w:lang w:val="nl-NL"/>
        </w:rPr>
        <w:t>7.5</w:t>
      </w:r>
      <w:r w:rsidRPr="00BB4D40">
        <w:rPr>
          <w:lang w:val="pl-PL"/>
        </w:rPr>
        <w:t xml:space="preserve">% over the same period last year and passenger traffic was </w:t>
      </w:r>
      <w:r>
        <w:rPr>
          <w:lang w:val="nl-NL"/>
        </w:rPr>
        <w:t>183.0</w:t>
      </w:r>
      <w:r w:rsidRPr="00BB4D40">
        <w:rPr>
          <w:lang w:val="nl-NL"/>
        </w:rPr>
        <w:t xml:space="preserve"> </w:t>
      </w:r>
      <w:r w:rsidRPr="00BB4D40">
        <w:rPr>
          <w:lang w:val="pl-PL"/>
        </w:rPr>
        <w:t xml:space="preserve">billion passengers.km, increased by </w:t>
      </w:r>
      <w:r>
        <w:rPr>
          <w:lang w:val="nl-NL"/>
        </w:rPr>
        <w:t>12.7</w:t>
      </w:r>
      <w:r w:rsidRPr="00BB4D40">
        <w:rPr>
          <w:lang w:val="pl-PL"/>
        </w:rPr>
        <w:t xml:space="preserve">%. Of which, domestic transport reached </w:t>
      </w:r>
      <w:r>
        <w:rPr>
          <w:lang w:val="nl-NL"/>
        </w:rPr>
        <w:t>3,222.3</w:t>
      </w:r>
      <w:r w:rsidRPr="00BB4D40">
        <w:rPr>
          <w:lang w:val="nl-NL"/>
        </w:rPr>
        <w:t xml:space="preserve"> </w:t>
      </w:r>
      <w:r w:rsidRPr="00BB4D40">
        <w:rPr>
          <w:lang w:val="pl-PL"/>
        </w:rPr>
        <w:t xml:space="preserve">million passengers, up </w:t>
      </w:r>
      <w:r>
        <w:rPr>
          <w:lang w:val="nl-NL"/>
        </w:rPr>
        <w:t>7.5</w:t>
      </w:r>
      <w:r w:rsidRPr="00BB4D40">
        <w:rPr>
          <w:lang w:val="pl-PL"/>
        </w:rPr>
        <w:t xml:space="preserve">% over the same period last </w:t>
      </w:r>
      <w:r w:rsidRPr="00BB4D40">
        <w:rPr>
          <w:lang w:val="pl-PL"/>
        </w:rPr>
        <w:lastRenderedPageBreak/>
        <w:t xml:space="preserve">year and </w:t>
      </w:r>
      <w:r>
        <w:rPr>
          <w:lang w:val="nl-NL"/>
        </w:rPr>
        <w:t>144.6</w:t>
      </w:r>
      <w:r w:rsidRPr="00BB4D40">
        <w:rPr>
          <w:lang w:val="nl-NL"/>
        </w:rPr>
        <w:t xml:space="preserve"> </w:t>
      </w:r>
      <w:r w:rsidRPr="00BB4D40">
        <w:rPr>
          <w:lang w:val="pl-PL"/>
        </w:rPr>
        <w:t xml:space="preserve">billion passengers-kilometers, up </w:t>
      </w:r>
      <w:r>
        <w:rPr>
          <w:lang w:val="nl-NL"/>
        </w:rPr>
        <w:t>8.6</w:t>
      </w:r>
      <w:r w:rsidRPr="00BB4D40">
        <w:rPr>
          <w:lang w:val="pl-PL"/>
        </w:rPr>
        <w:t xml:space="preserve">%; overseas transport reached </w:t>
      </w:r>
      <w:r>
        <w:rPr>
          <w:lang w:val="nl-NL"/>
        </w:rPr>
        <w:t>12.0</w:t>
      </w:r>
      <w:r w:rsidRPr="00BB4D40">
        <w:rPr>
          <w:lang w:val="nl-NL"/>
        </w:rPr>
        <w:t xml:space="preserve"> </w:t>
      </w:r>
      <w:r w:rsidRPr="00BB4D40">
        <w:rPr>
          <w:lang w:val="pl-PL"/>
        </w:rPr>
        <w:t xml:space="preserve">million passengers, increased by </w:t>
      </w:r>
      <w:r>
        <w:rPr>
          <w:lang w:val="pl-PL"/>
        </w:rPr>
        <w:t>19.7</w:t>
      </w:r>
      <w:r w:rsidRPr="00BB4D40">
        <w:rPr>
          <w:lang w:val="pl-PL"/>
        </w:rPr>
        <w:t xml:space="preserve">% and </w:t>
      </w:r>
      <w:r>
        <w:rPr>
          <w:lang w:val="nl-NL"/>
        </w:rPr>
        <w:t>38.4</w:t>
      </w:r>
      <w:r w:rsidRPr="00BB4D40">
        <w:rPr>
          <w:lang w:val="nl-NL"/>
        </w:rPr>
        <w:t xml:space="preserve"> </w:t>
      </w:r>
      <w:r w:rsidRPr="00BB4D40">
        <w:rPr>
          <w:lang w:val="pl-PL"/>
        </w:rPr>
        <w:t xml:space="preserve">billion passengers-kilometers, </w:t>
      </w:r>
      <w:r w:rsidRPr="00BB4D40">
        <w:rPr>
          <w:lang w:val="nl-NL"/>
        </w:rPr>
        <w:t xml:space="preserve">up </w:t>
      </w:r>
      <w:r>
        <w:rPr>
          <w:lang w:val="nl-NL"/>
        </w:rPr>
        <w:t>31.5</w:t>
      </w:r>
      <w:r w:rsidRPr="00BB4D40">
        <w:rPr>
          <w:lang w:val="nl-NL"/>
        </w:rPr>
        <w:t>% compared to</w:t>
      </w:r>
      <w:r w:rsidRPr="00BB4D40">
        <w:rPr>
          <w:lang w:val="pl-PL"/>
        </w:rPr>
        <w:t xml:space="preserve"> the same period last year. </w:t>
      </w:r>
    </w:p>
    <w:p w14:paraId="368FC132" w14:textId="77777777" w:rsidR="006F7F7E" w:rsidRPr="00BB4D40" w:rsidRDefault="006F7F7E" w:rsidP="006F7F7E">
      <w:pPr>
        <w:spacing w:beforeLines="40" w:before="96" w:afterLines="40" w:after="96" w:line="264" w:lineRule="auto"/>
        <w:jc w:val="center"/>
        <w:rPr>
          <w:rFonts w:ascii="Arial" w:hAnsi="Arial" w:cs="Arial"/>
          <w:b/>
          <w:bCs/>
          <w:sz w:val="24"/>
          <w:szCs w:val="24"/>
          <w:lang w:val="fr-FR"/>
        </w:rPr>
      </w:pPr>
      <w:r w:rsidRPr="00BB4D40">
        <w:rPr>
          <w:rFonts w:ascii="Arial" w:hAnsi="Arial" w:cs="Arial"/>
          <w:b/>
          <w:bCs/>
          <w:iCs/>
          <w:sz w:val="24"/>
          <w:szCs w:val="24"/>
          <w:lang w:val="fr-FR"/>
        </w:rPr>
        <w:t>Table 6</w:t>
      </w:r>
      <w:r w:rsidRPr="00BB4D40">
        <w:rPr>
          <w:rFonts w:ascii="Arial" w:hAnsi="Arial" w:cs="Arial" w:hint="eastAsia"/>
          <w:b/>
          <w:bCs/>
          <w:iCs/>
          <w:sz w:val="24"/>
          <w:szCs w:val="24"/>
          <w:lang w:val="fr-FR"/>
        </w:rPr>
        <w:t> </w:t>
      </w:r>
      <w:r w:rsidRPr="00BB4D40">
        <w:rPr>
          <w:rFonts w:ascii="Arial" w:hAnsi="Arial" w:cs="Arial"/>
          <w:b/>
          <w:bCs/>
          <w:iCs/>
          <w:sz w:val="24"/>
          <w:szCs w:val="24"/>
          <w:lang w:val="fr-FR"/>
        </w:rPr>
        <w:t xml:space="preserve">: Passengers transport </w:t>
      </w:r>
      <w:r>
        <w:rPr>
          <w:rFonts w:ascii="Arial" w:hAnsi="Arial" w:cs="Arial"/>
          <w:b/>
          <w:bCs/>
          <w:iCs/>
          <w:sz w:val="24"/>
          <w:szCs w:val="24"/>
          <w:lang w:val="fr-FR"/>
        </w:rPr>
        <w:t>in 8 months of 2024</w:t>
      </w:r>
      <w:r w:rsidRPr="00BB4D40">
        <w:rPr>
          <w:rFonts w:ascii="Arial" w:hAnsi="Arial" w:cs="Arial"/>
          <w:b/>
          <w:bCs/>
          <w:iCs/>
          <w:sz w:val="24"/>
          <w:szCs w:val="24"/>
          <w:lang w:val="fr-FR"/>
        </w:rPr>
        <w:t xml:space="preserve"> </w:t>
      </w:r>
      <w:r w:rsidRPr="00BB4D40">
        <w:rPr>
          <w:rFonts w:ascii="Arial" w:hAnsi="Arial" w:cs="Arial"/>
          <w:b/>
          <w:bCs/>
          <w:iCs/>
          <w:sz w:val="24"/>
          <w:szCs w:val="24"/>
          <w:lang w:val="fr-FR"/>
        </w:rPr>
        <w:br/>
      </w:r>
      <w:r w:rsidRPr="00BB4D40">
        <w:rPr>
          <w:rFonts w:ascii="Arial" w:hAnsi="Arial" w:cs="Arial"/>
          <w:b/>
          <w:bCs/>
          <w:sz w:val="24"/>
          <w:szCs w:val="24"/>
          <w:lang w:val="fr-FR"/>
        </w:rPr>
        <w:t>by types of transport</w:t>
      </w:r>
    </w:p>
    <w:tbl>
      <w:tblPr>
        <w:tblW w:w="9236" w:type="dxa"/>
        <w:jc w:val="center"/>
        <w:tblBorders>
          <w:top w:val="single" w:sz="4" w:space="0" w:color="auto"/>
        </w:tblBorders>
        <w:tblLook w:val="04A0" w:firstRow="1" w:lastRow="0" w:firstColumn="1" w:lastColumn="0" w:noHBand="0" w:noVBand="1"/>
      </w:tblPr>
      <w:tblGrid>
        <w:gridCol w:w="1887"/>
        <w:gridCol w:w="1886"/>
        <w:gridCol w:w="2394"/>
        <w:gridCol w:w="1666"/>
        <w:gridCol w:w="1403"/>
      </w:tblGrid>
      <w:tr w:rsidR="006F7F7E" w:rsidRPr="00BB4D40" w14:paraId="3B067BA0" w14:textId="77777777" w:rsidTr="00A0607C">
        <w:trPr>
          <w:trHeight w:val="378"/>
          <w:jc w:val="center"/>
        </w:trPr>
        <w:tc>
          <w:tcPr>
            <w:tcW w:w="1887" w:type="dxa"/>
            <w:vAlign w:val="center"/>
            <w:hideMark/>
          </w:tcPr>
          <w:p w14:paraId="43F362DF" w14:textId="77777777" w:rsidR="006F7F7E" w:rsidRPr="00BB4D40" w:rsidRDefault="006F7F7E" w:rsidP="00A0607C">
            <w:pPr>
              <w:spacing w:before="40" w:after="40"/>
              <w:ind w:firstLine="567"/>
              <w:rPr>
                <w:rFonts w:ascii="Times New Roman Bold" w:hAnsi="Times New Roman Bold"/>
                <w:b/>
                <w:bCs/>
                <w:lang w:val="fr-FR"/>
              </w:rPr>
            </w:pPr>
          </w:p>
        </w:tc>
        <w:tc>
          <w:tcPr>
            <w:tcW w:w="4280" w:type="dxa"/>
            <w:gridSpan w:val="2"/>
            <w:tcBorders>
              <w:top w:val="single" w:sz="4" w:space="0" w:color="auto"/>
              <w:bottom w:val="single" w:sz="4" w:space="0" w:color="auto"/>
            </w:tcBorders>
            <w:vAlign w:val="center"/>
            <w:hideMark/>
          </w:tcPr>
          <w:p w14:paraId="6B24D854" w14:textId="77777777" w:rsidR="006F7F7E" w:rsidRPr="00BB4D40" w:rsidRDefault="006F7F7E" w:rsidP="00A0607C">
            <w:pPr>
              <w:spacing w:before="40" w:after="40"/>
              <w:ind w:firstLine="205"/>
              <w:jc w:val="center"/>
              <w:rPr>
                <w:rFonts w:ascii="Arial" w:hAnsi="Arial" w:cs="Arial"/>
                <w:sz w:val="20"/>
                <w:szCs w:val="20"/>
                <w:lang w:eastAsia="vi-VN"/>
              </w:rPr>
            </w:pPr>
            <w:r w:rsidRPr="00BB4D40">
              <w:rPr>
                <w:rFonts w:ascii="Arial" w:hAnsi="Arial" w:cs="Arial"/>
                <w:iCs/>
                <w:sz w:val="20"/>
                <w:szCs w:val="20"/>
                <w:lang w:eastAsia="vi-VN"/>
              </w:rPr>
              <w:t>Number of passengers</w:t>
            </w:r>
          </w:p>
        </w:tc>
        <w:tc>
          <w:tcPr>
            <w:tcW w:w="3069" w:type="dxa"/>
            <w:gridSpan w:val="2"/>
            <w:tcBorders>
              <w:top w:val="single" w:sz="4" w:space="0" w:color="auto"/>
              <w:bottom w:val="single" w:sz="4" w:space="0" w:color="auto"/>
            </w:tcBorders>
            <w:vAlign w:val="center"/>
            <w:hideMark/>
          </w:tcPr>
          <w:p w14:paraId="7F8C0E1D" w14:textId="77777777" w:rsidR="006F7F7E" w:rsidRPr="00BB4D40" w:rsidRDefault="006F7F7E" w:rsidP="00A0607C">
            <w:pPr>
              <w:spacing w:before="40" w:after="40"/>
              <w:ind w:firstLine="77"/>
              <w:jc w:val="center"/>
              <w:rPr>
                <w:rFonts w:ascii="Arial" w:hAnsi="Arial" w:cs="Arial"/>
                <w:color w:val="000000"/>
                <w:sz w:val="20"/>
                <w:szCs w:val="20"/>
                <w:lang w:eastAsia="vi-VN"/>
              </w:rPr>
            </w:pPr>
            <w:r w:rsidRPr="00BB4D40">
              <w:rPr>
                <w:rFonts w:ascii="Arial" w:hAnsi="Arial" w:cs="Arial"/>
                <w:color w:val="000000"/>
                <w:sz w:val="20"/>
                <w:szCs w:val="20"/>
                <w:lang w:eastAsia="vi-VN"/>
              </w:rPr>
              <w:t>Growth rate compared to the same period last year (%)</w:t>
            </w:r>
          </w:p>
        </w:tc>
      </w:tr>
      <w:tr w:rsidR="006F7F7E" w:rsidRPr="00BB4D40" w14:paraId="0666C29D" w14:textId="77777777" w:rsidTr="00A0607C">
        <w:trPr>
          <w:trHeight w:val="376"/>
          <w:jc w:val="center"/>
        </w:trPr>
        <w:tc>
          <w:tcPr>
            <w:tcW w:w="1887" w:type="dxa"/>
            <w:vAlign w:val="center"/>
            <w:hideMark/>
          </w:tcPr>
          <w:p w14:paraId="02C1842B" w14:textId="77777777" w:rsidR="006F7F7E" w:rsidRPr="00BB4D40" w:rsidRDefault="006F7F7E" w:rsidP="00A0607C">
            <w:pPr>
              <w:spacing w:before="40" w:after="40"/>
              <w:ind w:firstLine="567"/>
              <w:rPr>
                <w:rFonts w:ascii="Arial" w:hAnsi="Arial" w:cs="Arial"/>
                <w:color w:val="000000"/>
                <w:sz w:val="20"/>
                <w:szCs w:val="20"/>
                <w:lang w:eastAsia="vi-VN"/>
              </w:rPr>
            </w:pPr>
          </w:p>
        </w:tc>
        <w:tc>
          <w:tcPr>
            <w:tcW w:w="1886" w:type="dxa"/>
            <w:tcBorders>
              <w:top w:val="single" w:sz="4" w:space="0" w:color="auto"/>
              <w:bottom w:val="single" w:sz="4" w:space="0" w:color="auto"/>
            </w:tcBorders>
            <w:vAlign w:val="center"/>
            <w:hideMark/>
          </w:tcPr>
          <w:p w14:paraId="54F80D55" w14:textId="77777777" w:rsidR="006F7F7E" w:rsidRPr="00BB4D40" w:rsidRDefault="006F7F7E" w:rsidP="00A0607C">
            <w:pPr>
              <w:spacing w:before="40" w:after="40"/>
              <w:jc w:val="center"/>
              <w:rPr>
                <w:rFonts w:ascii="Arial" w:hAnsi="Arial" w:cs="Arial"/>
                <w:sz w:val="20"/>
                <w:szCs w:val="20"/>
                <w:lang w:eastAsia="vi-VN"/>
              </w:rPr>
            </w:pPr>
            <w:r w:rsidRPr="00BB4D40">
              <w:rPr>
                <w:rFonts w:ascii="Arial" w:hAnsi="Arial" w:cs="Arial"/>
                <w:sz w:val="20"/>
                <w:szCs w:val="20"/>
                <w:lang w:eastAsia="vi-VN"/>
              </w:rPr>
              <w:t>Carried</w:t>
            </w:r>
            <w:r w:rsidRPr="00BB4D40">
              <w:rPr>
                <w:rFonts w:ascii="Arial" w:hAnsi="Arial" w:cs="Arial"/>
                <w:sz w:val="20"/>
                <w:szCs w:val="20"/>
                <w:lang w:eastAsia="vi-VN"/>
              </w:rPr>
              <w:br/>
              <w:t>(Mill. passengers)</w:t>
            </w:r>
          </w:p>
        </w:tc>
        <w:tc>
          <w:tcPr>
            <w:tcW w:w="2394" w:type="dxa"/>
            <w:tcBorders>
              <w:top w:val="single" w:sz="4" w:space="0" w:color="auto"/>
              <w:bottom w:val="single" w:sz="4" w:space="0" w:color="auto"/>
            </w:tcBorders>
            <w:vAlign w:val="center"/>
            <w:hideMark/>
          </w:tcPr>
          <w:p w14:paraId="4B245A0F" w14:textId="77777777" w:rsidR="006F7F7E" w:rsidRPr="00BB4D40" w:rsidRDefault="006F7F7E" w:rsidP="00A0607C">
            <w:pPr>
              <w:spacing w:before="40" w:after="40"/>
              <w:ind w:hanging="214"/>
              <w:jc w:val="center"/>
              <w:rPr>
                <w:rFonts w:ascii="Arial" w:hAnsi="Arial" w:cs="Arial"/>
                <w:sz w:val="20"/>
                <w:szCs w:val="20"/>
                <w:lang w:eastAsia="vi-VN"/>
              </w:rPr>
            </w:pPr>
            <w:r w:rsidRPr="00BB4D40">
              <w:rPr>
                <w:rFonts w:ascii="Arial" w:hAnsi="Arial" w:cs="Arial"/>
                <w:sz w:val="20"/>
                <w:szCs w:val="20"/>
                <w:lang w:eastAsia="vi-VN"/>
              </w:rPr>
              <w:t>Traffic</w:t>
            </w:r>
            <w:r w:rsidRPr="00BB4D40">
              <w:rPr>
                <w:rFonts w:ascii="Arial" w:hAnsi="Arial" w:cs="Arial"/>
                <w:sz w:val="20"/>
                <w:szCs w:val="20"/>
                <w:lang w:eastAsia="vi-VN"/>
              </w:rPr>
              <w:br/>
              <w:t>(Bill. passengers-km)</w:t>
            </w:r>
          </w:p>
        </w:tc>
        <w:tc>
          <w:tcPr>
            <w:tcW w:w="1666" w:type="dxa"/>
            <w:tcBorders>
              <w:top w:val="single" w:sz="4" w:space="0" w:color="auto"/>
              <w:bottom w:val="single" w:sz="4" w:space="0" w:color="auto"/>
            </w:tcBorders>
            <w:vAlign w:val="center"/>
            <w:hideMark/>
          </w:tcPr>
          <w:p w14:paraId="4C9FDCAC" w14:textId="77777777" w:rsidR="006F7F7E" w:rsidRPr="00BB4D40" w:rsidRDefault="006F7F7E" w:rsidP="00A0607C">
            <w:pPr>
              <w:spacing w:before="40" w:after="40"/>
              <w:jc w:val="center"/>
              <w:rPr>
                <w:rFonts w:ascii="Arial" w:hAnsi="Arial" w:cs="Arial"/>
                <w:sz w:val="20"/>
                <w:szCs w:val="20"/>
                <w:lang w:eastAsia="vi-VN"/>
              </w:rPr>
            </w:pPr>
            <w:bookmarkStart w:id="7" w:name="_Hlk116907733"/>
            <w:r w:rsidRPr="00BB4D40">
              <w:rPr>
                <w:rFonts w:ascii="Arial" w:hAnsi="Arial" w:cs="Arial"/>
                <w:sz w:val="20"/>
                <w:szCs w:val="20"/>
                <w:lang w:eastAsia="vi-VN"/>
              </w:rPr>
              <w:t>Carried</w:t>
            </w:r>
            <w:bookmarkEnd w:id="7"/>
          </w:p>
        </w:tc>
        <w:tc>
          <w:tcPr>
            <w:tcW w:w="1403" w:type="dxa"/>
            <w:tcBorders>
              <w:top w:val="single" w:sz="4" w:space="0" w:color="auto"/>
              <w:bottom w:val="single" w:sz="4" w:space="0" w:color="auto"/>
            </w:tcBorders>
            <w:vAlign w:val="center"/>
            <w:hideMark/>
          </w:tcPr>
          <w:p w14:paraId="2BE1898D" w14:textId="77777777" w:rsidR="006F7F7E" w:rsidRPr="00BB4D40" w:rsidRDefault="006F7F7E" w:rsidP="00A0607C">
            <w:pPr>
              <w:spacing w:before="40" w:after="40"/>
              <w:ind w:hanging="138"/>
              <w:jc w:val="center"/>
              <w:rPr>
                <w:rFonts w:ascii="Arial" w:hAnsi="Arial" w:cs="Arial"/>
                <w:sz w:val="20"/>
                <w:szCs w:val="20"/>
                <w:lang w:eastAsia="vi-VN"/>
              </w:rPr>
            </w:pPr>
            <w:r w:rsidRPr="00BB4D40">
              <w:rPr>
                <w:rFonts w:ascii="Arial" w:hAnsi="Arial" w:cs="Arial"/>
                <w:sz w:val="20"/>
                <w:szCs w:val="20"/>
                <w:lang w:eastAsia="vi-VN"/>
              </w:rPr>
              <w:t>Traffic</w:t>
            </w:r>
          </w:p>
        </w:tc>
      </w:tr>
      <w:tr w:rsidR="006F7F7E" w:rsidRPr="00BB4D40" w14:paraId="058722D8" w14:textId="77777777" w:rsidTr="00A0607C">
        <w:trPr>
          <w:trHeight w:val="250"/>
          <w:jc w:val="center"/>
        </w:trPr>
        <w:tc>
          <w:tcPr>
            <w:tcW w:w="1887" w:type="dxa"/>
            <w:noWrap/>
            <w:vAlign w:val="center"/>
            <w:hideMark/>
          </w:tcPr>
          <w:p w14:paraId="2F44B317" w14:textId="77777777" w:rsidR="006F7F7E" w:rsidRPr="00BB4D40" w:rsidRDefault="006F7F7E" w:rsidP="00A0607C">
            <w:pPr>
              <w:spacing w:before="100" w:after="40"/>
              <w:ind w:firstLine="142"/>
              <w:jc w:val="both"/>
              <w:rPr>
                <w:rFonts w:ascii="Arial" w:hAnsi="Arial" w:cs="Arial"/>
                <w:b/>
                <w:bCs/>
                <w:sz w:val="20"/>
                <w:szCs w:val="20"/>
                <w:lang w:eastAsia="vi-VN"/>
              </w:rPr>
            </w:pPr>
            <w:r w:rsidRPr="00BB4D40">
              <w:rPr>
                <w:rFonts w:ascii="Arial" w:hAnsi="Arial" w:cs="Arial"/>
                <w:b/>
                <w:bCs/>
                <w:sz w:val="20"/>
                <w:szCs w:val="20"/>
                <w:lang w:eastAsia="vi-VN"/>
              </w:rPr>
              <w:t>Total</w:t>
            </w:r>
          </w:p>
        </w:tc>
        <w:tc>
          <w:tcPr>
            <w:tcW w:w="1886" w:type="dxa"/>
            <w:tcBorders>
              <w:top w:val="single" w:sz="4" w:space="0" w:color="auto"/>
            </w:tcBorders>
            <w:shd w:val="clear" w:color="auto" w:fill="auto"/>
            <w:noWrap/>
            <w:vAlign w:val="center"/>
            <w:hideMark/>
          </w:tcPr>
          <w:p w14:paraId="799739B7" w14:textId="77777777" w:rsidR="006F7F7E" w:rsidRPr="00FC383C" w:rsidRDefault="006F7F7E" w:rsidP="00A0607C">
            <w:pPr>
              <w:spacing w:before="40" w:after="40" w:line="257" w:lineRule="auto"/>
              <w:ind w:right="502"/>
              <w:jc w:val="right"/>
              <w:rPr>
                <w:rFonts w:ascii="Arial" w:hAnsi="Arial" w:cs="Arial"/>
                <w:b/>
                <w:bCs/>
                <w:sz w:val="20"/>
                <w:szCs w:val="20"/>
                <w14:ligatures w14:val="standardContextual"/>
              </w:rPr>
            </w:pPr>
            <w:r>
              <w:rPr>
                <w:rFonts w:ascii="Arial" w:hAnsi="Arial" w:cs="Arial"/>
                <w:b/>
                <w:bCs/>
                <w:color w:val="000000"/>
                <w:sz w:val="20"/>
                <w:szCs w:val="20"/>
              </w:rPr>
              <w:t>3,234.3</w:t>
            </w:r>
          </w:p>
        </w:tc>
        <w:tc>
          <w:tcPr>
            <w:tcW w:w="2394" w:type="dxa"/>
            <w:tcBorders>
              <w:top w:val="single" w:sz="4" w:space="0" w:color="auto"/>
            </w:tcBorders>
            <w:shd w:val="clear" w:color="auto" w:fill="auto"/>
            <w:noWrap/>
            <w:vAlign w:val="center"/>
            <w:hideMark/>
          </w:tcPr>
          <w:p w14:paraId="398E22CF" w14:textId="77777777" w:rsidR="006F7F7E" w:rsidRPr="00FC383C" w:rsidRDefault="006F7F7E" w:rsidP="00A0607C">
            <w:pPr>
              <w:spacing w:before="40" w:after="40" w:line="257" w:lineRule="auto"/>
              <w:ind w:right="957"/>
              <w:jc w:val="right"/>
              <w:rPr>
                <w:rFonts w:ascii="Arial" w:hAnsi="Arial" w:cs="Arial"/>
                <w:b/>
                <w:bCs/>
                <w:sz w:val="20"/>
                <w:szCs w:val="20"/>
                <w14:ligatures w14:val="standardContextual"/>
              </w:rPr>
            </w:pPr>
            <w:r>
              <w:rPr>
                <w:rFonts w:ascii="Arial" w:hAnsi="Arial" w:cs="Arial"/>
                <w:b/>
                <w:bCs/>
                <w:color w:val="000000"/>
                <w:sz w:val="20"/>
                <w:szCs w:val="20"/>
              </w:rPr>
              <w:t>183.0</w:t>
            </w:r>
          </w:p>
        </w:tc>
        <w:tc>
          <w:tcPr>
            <w:tcW w:w="1666" w:type="dxa"/>
            <w:tcBorders>
              <w:top w:val="single" w:sz="4" w:space="0" w:color="auto"/>
            </w:tcBorders>
            <w:shd w:val="clear" w:color="auto" w:fill="auto"/>
            <w:noWrap/>
            <w:vAlign w:val="center"/>
            <w:hideMark/>
          </w:tcPr>
          <w:p w14:paraId="1CDA2675" w14:textId="77777777" w:rsidR="006F7F7E" w:rsidRPr="00C52A32" w:rsidRDefault="006F7F7E" w:rsidP="00A0607C">
            <w:pPr>
              <w:spacing w:before="40" w:after="40" w:line="257" w:lineRule="auto"/>
              <w:ind w:right="502"/>
              <w:jc w:val="right"/>
              <w:rPr>
                <w:rFonts w:ascii="Arial" w:hAnsi="Arial" w:cs="Arial"/>
                <w:b/>
                <w:bCs/>
                <w:sz w:val="20"/>
                <w:szCs w:val="20"/>
                <w14:ligatures w14:val="standardContextual"/>
              </w:rPr>
            </w:pPr>
            <w:r w:rsidRPr="00C52A32">
              <w:rPr>
                <w:rFonts w:ascii="Arial" w:hAnsi="Arial" w:cs="Arial"/>
                <w:b/>
                <w:bCs/>
                <w:color w:val="000000"/>
                <w:sz w:val="20"/>
                <w:szCs w:val="20"/>
              </w:rPr>
              <w:t>7</w:t>
            </w:r>
            <w:r>
              <w:rPr>
                <w:rFonts w:ascii="Arial" w:hAnsi="Arial" w:cs="Arial"/>
                <w:b/>
                <w:bCs/>
                <w:color w:val="000000"/>
                <w:sz w:val="20"/>
                <w:szCs w:val="20"/>
              </w:rPr>
              <w:t>.</w:t>
            </w:r>
            <w:r w:rsidRPr="00C52A32">
              <w:rPr>
                <w:rFonts w:ascii="Arial" w:hAnsi="Arial" w:cs="Arial"/>
                <w:b/>
                <w:bCs/>
                <w:color w:val="000000"/>
                <w:sz w:val="20"/>
                <w:szCs w:val="20"/>
              </w:rPr>
              <w:t>5</w:t>
            </w:r>
          </w:p>
        </w:tc>
        <w:tc>
          <w:tcPr>
            <w:tcW w:w="1403" w:type="dxa"/>
            <w:tcBorders>
              <w:top w:val="single" w:sz="4" w:space="0" w:color="auto"/>
            </w:tcBorders>
            <w:shd w:val="clear" w:color="auto" w:fill="auto"/>
            <w:noWrap/>
            <w:vAlign w:val="center"/>
            <w:hideMark/>
          </w:tcPr>
          <w:p w14:paraId="78022660" w14:textId="77777777" w:rsidR="006F7F7E" w:rsidRPr="00C52A32" w:rsidRDefault="006F7F7E" w:rsidP="00A0607C">
            <w:pPr>
              <w:spacing w:before="40" w:after="40" w:line="257" w:lineRule="auto"/>
              <w:ind w:right="502"/>
              <w:jc w:val="right"/>
              <w:rPr>
                <w:rFonts w:ascii="Arial" w:hAnsi="Arial" w:cs="Arial"/>
                <w:b/>
                <w:bCs/>
                <w:sz w:val="20"/>
                <w:szCs w:val="20"/>
                <w14:ligatures w14:val="standardContextual"/>
              </w:rPr>
            </w:pPr>
            <w:r w:rsidRPr="00C52A32">
              <w:rPr>
                <w:rFonts w:ascii="Arial" w:hAnsi="Arial" w:cs="Arial"/>
                <w:b/>
                <w:bCs/>
                <w:color w:val="000000"/>
                <w:sz w:val="20"/>
                <w:szCs w:val="20"/>
              </w:rPr>
              <w:t>12</w:t>
            </w:r>
            <w:r>
              <w:rPr>
                <w:rFonts w:ascii="Arial" w:hAnsi="Arial" w:cs="Arial"/>
                <w:b/>
                <w:bCs/>
                <w:color w:val="000000"/>
                <w:sz w:val="20"/>
                <w:szCs w:val="20"/>
              </w:rPr>
              <w:t>.</w:t>
            </w:r>
            <w:r w:rsidRPr="00C52A32">
              <w:rPr>
                <w:rFonts w:ascii="Arial" w:hAnsi="Arial" w:cs="Arial"/>
                <w:b/>
                <w:bCs/>
                <w:color w:val="000000"/>
                <w:sz w:val="20"/>
                <w:szCs w:val="20"/>
              </w:rPr>
              <w:t>7</w:t>
            </w:r>
          </w:p>
        </w:tc>
      </w:tr>
      <w:tr w:rsidR="006F7F7E" w:rsidRPr="00BB4D40" w14:paraId="6C50787F" w14:textId="77777777" w:rsidTr="00A0607C">
        <w:trPr>
          <w:trHeight w:val="212"/>
          <w:jc w:val="center"/>
        </w:trPr>
        <w:tc>
          <w:tcPr>
            <w:tcW w:w="1887" w:type="dxa"/>
            <w:noWrap/>
            <w:vAlign w:val="center"/>
            <w:hideMark/>
          </w:tcPr>
          <w:p w14:paraId="2C507696" w14:textId="77777777" w:rsidR="006F7F7E" w:rsidRPr="00BB4D40" w:rsidRDefault="006F7F7E" w:rsidP="00A0607C">
            <w:pPr>
              <w:tabs>
                <w:tab w:val="left" w:pos="407"/>
              </w:tabs>
              <w:spacing w:before="40" w:after="40"/>
              <w:ind w:firstLine="142"/>
              <w:jc w:val="both"/>
              <w:rPr>
                <w:rFonts w:ascii="Arial" w:hAnsi="Arial" w:cs="Arial"/>
                <w:sz w:val="20"/>
                <w:szCs w:val="20"/>
                <w:lang w:eastAsia="vi-VN"/>
              </w:rPr>
            </w:pPr>
            <w:proofErr w:type="gramStart"/>
            <w:r w:rsidRPr="00BB4D40">
              <w:rPr>
                <w:rFonts w:ascii="Arial" w:hAnsi="Arial" w:cs="Arial"/>
                <w:sz w:val="20"/>
                <w:szCs w:val="20"/>
                <w:lang w:eastAsia="vi-VN"/>
              </w:rPr>
              <w:t>Rail way</w:t>
            </w:r>
            <w:proofErr w:type="gramEnd"/>
          </w:p>
        </w:tc>
        <w:tc>
          <w:tcPr>
            <w:tcW w:w="1886" w:type="dxa"/>
            <w:shd w:val="clear" w:color="auto" w:fill="auto"/>
            <w:noWrap/>
            <w:vAlign w:val="center"/>
            <w:hideMark/>
          </w:tcPr>
          <w:p w14:paraId="25E22239" w14:textId="77777777" w:rsidR="006F7F7E" w:rsidRPr="00FC383C" w:rsidRDefault="006F7F7E" w:rsidP="00A0607C">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5.4</w:t>
            </w:r>
          </w:p>
        </w:tc>
        <w:tc>
          <w:tcPr>
            <w:tcW w:w="2394" w:type="dxa"/>
            <w:shd w:val="clear" w:color="auto" w:fill="auto"/>
            <w:noWrap/>
            <w:vAlign w:val="center"/>
            <w:hideMark/>
          </w:tcPr>
          <w:p w14:paraId="6F47B45A" w14:textId="77777777" w:rsidR="006F7F7E" w:rsidRPr="00FC383C" w:rsidRDefault="006F7F7E" w:rsidP="00A0607C">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2.1</w:t>
            </w:r>
          </w:p>
        </w:tc>
        <w:tc>
          <w:tcPr>
            <w:tcW w:w="1666" w:type="dxa"/>
            <w:shd w:val="clear" w:color="auto" w:fill="auto"/>
            <w:noWrap/>
            <w:vAlign w:val="center"/>
            <w:hideMark/>
          </w:tcPr>
          <w:p w14:paraId="2CDEE41F"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19</w:t>
            </w:r>
            <w:r>
              <w:rPr>
                <w:rFonts w:ascii="Arial" w:hAnsi="Arial" w:cs="Arial"/>
                <w:color w:val="000000"/>
                <w:sz w:val="20"/>
                <w:szCs w:val="20"/>
              </w:rPr>
              <w:t>.</w:t>
            </w:r>
            <w:r w:rsidRPr="00C52A32">
              <w:rPr>
                <w:rFonts w:ascii="Arial" w:hAnsi="Arial" w:cs="Arial"/>
                <w:color w:val="000000"/>
                <w:sz w:val="20"/>
                <w:szCs w:val="20"/>
              </w:rPr>
              <w:t>9</w:t>
            </w:r>
          </w:p>
        </w:tc>
        <w:tc>
          <w:tcPr>
            <w:tcW w:w="1403" w:type="dxa"/>
            <w:shd w:val="clear" w:color="auto" w:fill="auto"/>
            <w:noWrap/>
            <w:vAlign w:val="center"/>
            <w:hideMark/>
          </w:tcPr>
          <w:p w14:paraId="7DE243D0"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23</w:t>
            </w:r>
            <w:r>
              <w:rPr>
                <w:rFonts w:ascii="Arial" w:hAnsi="Arial" w:cs="Arial"/>
                <w:color w:val="000000"/>
                <w:sz w:val="20"/>
                <w:szCs w:val="20"/>
              </w:rPr>
              <w:t>.</w:t>
            </w:r>
            <w:r w:rsidRPr="00C52A32">
              <w:rPr>
                <w:rFonts w:ascii="Arial" w:hAnsi="Arial" w:cs="Arial"/>
                <w:color w:val="000000"/>
                <w:sz w:val="20"/>
                <w:szCs w:val="20"/>
              </w:rPr>
              <w:t>7</w:t>
            </w:r>
          </w:p>
        </w:tc>
      </w:tr>
      <w:tr w:rsidR="006F7F7E" w:rsidRPr="00BB4D40" w14:paraId="03159569" w14:textId="77777777" w:rsidTr="00A0607C">
        <w:trPr>
          <w:trHeight w:val="212"/>
          <w:jc w:val="center"/>
        </w:trPr>
        <w:tc>
          <w:tcPr>
            <w:tcW w:w="1887" w:type="dxa"/>
            <w:noWrap/>
            <w:vAlign w:val="center"/>
            <w:hideMark/>
          </w:tcPr>
          <w:p w14:paraId="662B9CBE" w14:textId="77777777" w:rsidR="006F7F7E" w:rsidRPr="00BB4D40" w:rsidRDefault="006F7F7E" w:rsidP="00A0607C">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Sea way</w:t>
            </w:r>
          </w:p>
        </w:tc>
        <w:tc>
          <w:tcPr>
            <w:tcW w:w="1886" w:type="dxa"/>
            <w:shd w:val="clear" w:color="auto" w:fill="auto"/>
            <w:noWrap/>
            <w:vAlign w:val="center"/>
            <w:hideMark/>
          </w:tcPr>
          <w:p w14:paraId="32290190" w14:textId="77777777" w:rsidR="006F7F7E" w:rsidRPr="00FC383C" w:rsidRDefault="006F7F7E" w:rsidP="00A0607C">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9.1</w:t>
            </w:r>
          </w:p>
        </w:tc>
        <w:tc>
          <w:tcPr>
            <w:tcW w:w="2394" w:type="dxa"/>
            <w:shd w:val="clear" w:color="auto" w:fill="auto"/>
            <w:noWrap/>
            <w:vAlign w:val="center"/>
            <w:hideMark/>
          </w:tcPr>
          <w:p w14:paraId="6A2DB14D" w14:textId="77777777" w:rsidR="006F7F7E" w:rsidRPr="00FC383C" w:rsidRDefault="006F7F7E" w:rsidP="00A0607C">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0.6</w:t>
            </w:r>
          </w:p>
        </w:tc>
        <w:tc>
          <w:tcPr>
            <w:tcW w:w="1666" w:type="dxa"/>
            <w:shd w:val="clear" w:color="auto" w:fill="auto"/>
            <w:noWrap/>
            <w:vAlign w:val="center"/>
            <w:hideMark/>
          </w:tcPr>
          <w:p w14:paraId="75F7B574"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6</w:t>
            </w:r>
            <w:r>
              <w:rPr>
                <w:rFonts w:ascii="Arial" w:hAnsi="Arial" w:cs="Arial"/>
                <w:color w:val="000000"/>
                <w:sz w:val="20"/>
                <w:szCs w:val="20"/>
              </w:rPr>
              <w:t>.</w:t>
            </w:r>
            <w:r w:rsidRPr="00C52A32">
              <w:rPr>
                <w:rFonts w:ascii="Arial" w:hAnsi="Arial" w:cs="Arial"/>
                <w:color w:val="000000"/>
                <w:sz w:val="20"/>
                <w:szCs w:val="20"/>
              </w:rPr>
              <w:t>6</w:t>
            </w:r>
          </w:p>
        </w:tc>
        <w:tc>
          <w:tcPr>
            <w:tcW w:w="1403" w:type="dxa"/>
            <w:shd w:val="clear" w:color="auto" w:fill="auto"/>
            <w:noWrap/>
            <w:vAlign w:val="center"/>
            <w:hideMark/>
          </w:tcPr>
          <w:p w14:paraId="3AF92537"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13</w:t>
            </w:r>
            <w:r>
              <w:rPr>
                <w:rFonts w:ascii="Arial" w:hAnsi="Arial" w:cs="Arial"/>
                <w:color w:val="000000"/>
                <w:sz w:val="20"/>
                <w:szCs w:val="20"/>
              </w:rPr>
              <w:t>.</w:t>
            </w:r>
            <w:r w:rsidRPr="00C52A32">
              <w:rPr>
                <w:rFonts w:ascii="Arial" w:hAnsi="Arial" w:cs="Arial"/>
                <w:color w:val="000000"/>
                <w:sz w:val="20"/>
                <w:szCs w:val="20"/>
              </w:rPr>
              <w:t>7</w:t>
            </w:r>
          </w:p>
        </w:tc>
      </w:tr>
      <w:tr w:rsidR="006F7F7E" w:rsidRPr="00BB4D40" w14:paraId="1F5A0CB2" w14:textId="77777777" w:rsidTr="00A0607C">
        <w:trPr>
          <w:trHeight w:val="212"/>
          <w:jc w:val="center"/>
        </w:trPr>
        <w:tc>
          <w:tcPr>
            <w:tcW w:w="1887" w:type="dxa"/>
            <w:noWrap/>
            <w:vAlign w:val="center"/>
            <w:hideMark/>
          </w:tcPr>
          <w:p w14:paraId="6E119C3B" w14:textId="77777777" w:rsidR="006F7F7E" w:rsidRPr="00BB4D40" w:rsidRDefault="006F7F7E" w:rsidP="00A0607C">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Inland water way</w:t>
            </w:r>
          </w:p>
        </w:tc>
        <w:tc>
          <w:tcPr>
            <w:tcW w:w="1886" w:type="dxa"/>
            <w:shd w:val="clear" w:color="auto" w:fill="auto"/>
            <w:noWrap/>
            <w:vAlign w:val="center"/>
            <w:hideMark/>
          </w:tcPr>
          <w:p w14:paraId="34A38164" w14:textId="77777777" w:rsidR="006F7F7E" w:rsidRPr="00FC383C" w:rsidRDefault="006F7F7E" w:rsidP="00A0607C">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239.0</w:t>
            </w:r>
          </w:p>
        </w:tc>
        <w:tc>
          <w:tcPr>
            <w:tcW w:w="2394" w:type="dxa"/>
            <w:shd w:val="clear" w:color="auto" w:fill="auto"/>
            <w:noWrap/>
            <w:vAlign w:val="center"/>
            <w:hideMark/>
          </w:tcPr>
          <w:p w14:paraId="7FA7B0C4" w14:textId="77777777" w:rsidR="006F7F7E" w:rsidRPr="00FC383C" w:rsidRDefault="006F7F7E" w:rsidP="00A0607C">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5.1</w:t>
            </w:r>
          </w:p>
        </w:tc>
        <w:tc>
          <w:tcPr>
            <w:tcW w:w="1666" w:type="dxa"/>
            <w:shd w:val="clear" w:color="auto" w:fill="auto"/>
            <w:noWrap/>
            <w:vAlign w:val="center"/>
            <w:hideMark/>
          </w:tcPr>
          <w:p w14:paraId="5F354E6E"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8</w:t>
            </w:r>
            <w:r>
              <w:rPr>
                <w:rFonts w:ascii="Arial" w:hAnsi="Arial" w:cs="Arial"/>
                <w:color w:val="000000"/>
                <w:sz w:val="20"/>
                <w:szCs w:val="20"/>
              </w:rPr>
              <w:t>.</w:t>
            </w:r>
            <w:r w:rsidRPr="00C52A32">
              <w:rPr>
                <w:rFonts w:ascii="Arial" w:hAnsi="Arial" w:cs="Arial"/>
                <w:color w:val="000000"/>
                <w:sz w:val="20"/>
                <w:szCs w:val="20"/>
              </w:rPr>
              <w:t>9</w:t>
            </w:r>
          </w:p>
        </w:tc>
        <w:tc>
          <w:tcPr>
            <w:tcW w:w="1403" w:type="dxa"/>
            <w:shd w:val="clear" w:color="auto" w:fill="auto"/>
            <w:noWrap/>
            <w:vAlign w:val="center"/>
            <w:hideMark/>
          </w:tcPr>
          <w:p w14:paraId="1B0EBC49"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17</w:t>
            </w:r>
            <w:r>
              <w:rPr>
                <w:rFonts w:ascii="Arial" w:hAnsi="Arial" w:cs="Arial"/>
                <w:color w:val="000000"/>
                <w:sz w:val="20"/>
                <w:szCs w:val="20"/>
              </w:rPr>
              <w:t>.</w:t>
            </w:r>
            <w:r w:rsidRPr="00C52A32">
              <w:rPr>
                <w:rFonts w:ascii="Arial" w:hAnsi="Arial" w:cs="Arial"/>
                <w:color w:val="000000"/>
                <w:sz w:val="20"/>
                <w:szCs w:val="20"/>
              </w:rPr>
              <w:t>5</w:t>
            </w:r>
          </w:p>
        </w:tc>
      </w:tr>
      <w:tr w:rsidR="006F7F7E" w:rsidRPr="00BB4D40" w14:paraId="5621234E" w14:textId="77777777" w:rsidTr="00A0607C">
        <w:trPr>
          <w:trHeight w:val="212"/>
          <w:jc w:val="center"/>
        </w:trPr>
        <w:tc>
          <w:tcPr>
            <w:tcW w:w="1887" w:type="dxa"/>
            <w:tcBorders>
              <w:bottom w:val="nil"/>
            </w:tcBorders>
            <w:noWrap/>
            <w:vAlign w:val="center"/>
            <w:hideMark/>
          </w:tcPr>
          <w:p w14:paraId="5CA5C9C6" w14:textId="77777777" w:rsidR="006F7F7E" w:rsidRPr="00BB4D40" w:rsidRDefault="006F7F7E" w:rsidP="00A0607C">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Road</w:t>
            </w:r>
          </w:p>
        </w:tc>
        <w:tc>
          <w:tcPr>
            <w:tcW w:w="1886" w:type="dxa"/>
            <w:tcBorders>
              <w:bottom w:val="nil"/>
            </w:tcBorders>
            <w:shd w:val="clear" w:color="auto" w:fill="auto"/>
            <w:noWrap/>
            <w:vAlign w:val="center"/>
            <w:hideMark/>
          </w:tcPr>
          <w:p w14:paraId="5F3AAB36" w14:textId="77777777" w:rsidR="006F7F7E" w:rsidRPr="00FC383C" w:rsidRDefault="006F7F7E" w:rsidP="00A0607C">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2,943.9</w:t>
            </w:r>
          </w:p>
        </w:tc>
        <w:tc>
          <w:tcPr>
            <w:tcW w:w="2394" w:type="dxa"/>
            <w:tcBorders>
              <w:bottom w:val="nil"/>
            </w:tcBorders>
            <w:shd w:val="clear" w:color="auto" w:fill="auto"/>
            <w:noWrap/>
            <w:vAlign w:val="center"/>
            <w:hideMark/>
          </w:tcPr>
          <w:p w14:paraId="68C7213D" w14:textId="77777777" w:rsidR="006F7F7E" w:rsidRPr="00FC383C" w:rsidRDefault="006F7F7E" w:rsidP="00A0607C">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114.7</w:t>
            </w:r>
          </w:p>
        </w:tc>
        <w:tc>
          <w:tcPr>
            <w:tcW w:w="1666" w:type="dxa"/>
            <w:tcBorders>
              <w:bottom w:val="nil"/>
            </w:tcBorders>
            <w:shd w:val="clear" w:color="auto" w:fill="auto"/>
            <w:noWrap/>
            <w:vAlign w:val="center"/>
            <w:hideMark/>
          </w:tcPr>
          <w:p w14:paraId="3A530D35"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7</w:t>
            </w:r>
            <w:r>
              <w:rPr>
                <w:rFonts w:ascii="Arial" w:hAnsi="Arial" w:cs="Arial"/>
                <w:color w:val="000000"/>
                <w:sz w:val="20"/>
                <w:szCs w:val="20"/>
              </w:rPr>
              <w:t>.</w:t>
            </w:r>
            <w:r w:rsidRPr="00C52A32">
              <w:rPr>
                <w:rFonts w:ascii="Arial" w:hAnsi="Arial" w:cs="Arial"/>
                <w:color w:val="000000"/>
                <w:sz w:val="20"/>
                <w:szCs w:val="20"/>
              </w:rPr>
              <w:t>6</w:t>
            </w:r>
          </w:p>
        </w:tc>
        <w:tc>
          <w:tcPr>
            <w:tcW w:w="1403" w:type="dxa"/>
            <w:tcBorders>
              <w:bottom w:val="nil"/>
            </w:tcBorders>
            <w:shd w:val="clear" w:color="auto" w:fill="auto"/>
            <w:noWrap/>
            <w:vAlign w:val="center"/>
            <w:hideMark/>
          </w:tcPr>
          <w:p w14:paraId="1F2E813F"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12</w:t>
            </w:r>
            <w:r>
              <w:rPr>
                <w:rFonts w:ascii="Arial" w:hAnsi="Arial" w:cs="Arial"/>
                <w:color w:val="000000"/>
                <w:sz w:val="20"/>
                <w:szCs w:val="20"/>
              </w:rPr>
              <w:t>.</w:t>
            </w:r>
            <w:r w:rsidRPr="00C52A32">
              <w:rPr>
                <w:rFonts w:ascii="Arial" w:hAnsi="Arial" w:cs="Arial"/>
                <w:color w:val="000000"/>
                <w:sz w:val="20"/>
                <w:szCs w:val="20"/>
              </w:rPr>
              <w:t>5</w:t>
            </w:r>
          </w:p>
        </w:tc>
      </w:tr>
      <w:tr w:rsidR="006F7F7E" w:rsidRPr="00BB4D40" w14:paraId="0330C04D" w14:textId="77777777" w:rsidTr="00A0607C">
        <w:trPr>
          <w:trHeight w:val="245"/>
          <w:jc w:val="center"/>
        </w:trPr>
        <w:tc>
          <w:tcPr>
            <w:tcW w:w="1887" w:type="dxa"/>
            <w:tcBorders>
              <w:top w:val="nil"/>
              <w:bottom w:val="single" w:sz="4" w:space="0" w:color="auto"/>
            </w:tcBorders>
            <w:noWrap/>
            <w:vAlign w:val="center"/>
            <w:hideMark/>
          </w:tcPr>
          <w:p w14:paraId="505443DF" w14:textId="77777777" w:rsidR="006F7F7E" w:rsidRPr="00BB4D40" w:rsidRDefault="006F7F7E" w:rsidP="00A0607C">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 xml:space="preserve">Airway </w:t>
            </w:r>
          </w:p>
        </w:tc>
        <w:tc>
          <w:tcPr>
            <w:tcW w:w="1886" w:type="dxa"/>
            <w:tcBorders>
              <w:top w:val="nil"/>
              <w:bottom w:val="single" w:sz="4" w:space="0" w:color="auto"/>
            </w:tcBorders>
            <w:shd w:val="clear" w:color="auto" w:fill="auto"/>
            <w:noWrap/>
            <w:vAlign w:val="center"/>
            <w:hideMark/>
          </w:tcPr>
          <w:p w14:paraId="4BBCA85D" w14:textId="77777777" w:rsidR="006F7F7E" w:rsidRPr="00FC383C" w:rsidRDefault="006F7F7E" w:rsidP="00A0607C">
            <w:pPr>
              <w:spacing w:before="40" w:after="40" w:line="257" w:lineRule="auto"/>
              <w:ind w:right="502"/>
              <w:jc w:val="right"/>
              <w:rPr>
                <w:rFonts w:ascii="Arial" w:hAnsi="Arial" w:cs="Arial"/>
                <w:sz w:val="20"/>
                <w:szCs w:val="20"/>
                <w14:ligatures w14:val="standardContextual"/>
              </w:rPr>
            </w:pPr>
            <w:r>
              <w:rPr>
                <w:rFonts w:ascii="Arial" w:hAnsi="Arial" w:cs="Arial"/>
                <w:color w:val="000000"/>
                <w:sz w:val="20"/>
                <w:szCs w:val="20"/>
              </w:rPr>
              <w:t>36.9</w:t>
            </w:r>
          </w:p>
        </w:tc>
        <w:tc>
          <w:tcPr>
            <w:tcW w:w="2394" w:type="dxa"/>
            <w:tcBorders>
              <w:top w:val="nil"/>
              <w:bottom w:val="single" w:sz="4" w:space="0" w:color="auto"/>
            </w:tcBorders>
            <w:shd w:val="clear" w:color="auto" w:fill="auto"/>
            <w:noWrap/>
            <w:vAlign w:val="center"/>
            <w:hideMark/>
          </w:tcPr>
          <w:p w14:paraId="1F93D646" w14:textId="77777777" w:rsidR="006F7F7E" w:rsidRPr="00FC383C" w:rsidRDefault="006F7F7E" w:rsidP="00A0607C">
            <w:pPr>
              <w:spacing w:before="40" w:after="40" w:line="257" w:lineRule="auto"/>
              <w:ind w:right="957"/>
              <w:jc w:val="right"/>
              <w:rPr>
                <w:rFonts w:ascii="Arial" w:hAnsi="Arial" w:cs="Arial"/>
                <w:sz w:val="20"/>
                <w:szCs w:val="20"/>
                <w14:ligatures w14:val="standardContextual"/>
              </w:rPr>
            </w:pPr>
            <w:r>
              <w:rPr>
                <w:rFonts w:ascii="Arial" w:hAnsi="Arial" w:cs="Arial"/>
                <w:color w:val="000000"/>
                <w:sz w:val="20"/>
                <w:szCs w:val="20"/>
              </w:rPr>
              <w:t>60.5</w:t>
            </w:r>
          </w:p>
        </w:tc>
        <w:tc>
          <w:tcPr>
            <w:tcW w:w="1666" w:type="dxa"/>
            <w:tcBorders>
              <w:top w:val="nil"/>
              <w:bottom w:val="single" w:sz="4" w:space="0" w:color="auto"/>
            </w:tcBorders>
            <w:shd w:val="clear" w:color="auto" w:fill="auto"/>
            <w:noWrap/>
            <w:vAlign w:val="center"/>
            <w:hideMark/>
          </w:tcPr>
          <w:p w14:paraId="058FF0C8"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-5</w:t>
            </w:r>
            <w:r>
              <w:rPr>
                <w:rFonts w:ascii="Arial" w:hAnsi="Arial" w:cs="Arial"/>
                <w:color w:val="000000"/>
                <w:sz w:val="20"/>
                <w:szCs w:val="20"/>
              </w:rPr>
              <w:t>.</w:t>
            </w:r>
            <w:r w:rsidRPr="00C52A32">
              <w:rPr>
                <w:rFonts w:ascii="Arial" w:hAnsi="Arial" w:cs="Arial"/>
                <w:color w:val="000000"/>
                <w:sz w:val="20"/>
                <w:szCs w:val="20"/>
              </w:rPr>
              <w:t>8</w:t>
            </w:r>
          </w:p>
        </w:tc>
        <w:tc>
          <w:tcPr>
            <w:tcW w:w="1403" w:type="dxa"/>
            <w:tcBorders>
              <w:top w:val="nil"/>
              <w:bottom w:val="single" w:sz="4" w:space="0" w:color="auto"/>
            </w:tcBorders>
            <w:shd w:val="clear" w:color="auto" w:fill="auto"/>
            <w:noWrap/>
            <w:vAlign w:val="center"/>
            <w:hideMark/>
          </w:tcPr>
          <w:p w14:paraId="7E14E8B7" w14:textId="77777777" w:rsidR="006F7F7E" w:rsidRPr="00C52A32" w:rsidRDefault="006F7F7E" w:rsidP="00A0607C">
            <w:pPr>
              <w:spacing w:before="40" w:after="40" w:line="257" w:lineRule="auto"/>
              <w:ind w:right="502"/>
              <w:jc w:val="right"/>
              <w:rPr>
                <w:rFonts w:ascii="Arial" w:hAnsi="Arial" w:cs="Arial"/>
                <w:sz w:val="20"/>
                <w:szCs w:val="20"/>
                <w14:ligatures w14:val="standardContextual"/>
              </w:rPr>
            </w:pPr>
            <w:r w:rsidRPr="00C52A32">
              <w:rPr>
                <w:rFonts w:ascii="Arial" w:hAnsi="Arial" w:cs="Arial"/>
                <w:color w:val="000000"/>
                <w:sz w:val="20"/>
                <w:szCs w:val="20"/>
              </w:rPr>
              <w:t>12</w:t>
            </w:r>
            <w:r>
              <w:rPr>
                <w:rFonts w:ascii="Arial" w:hAnsi="Arial" w:cs="Arial"/>
                <w:color w:val="000000"/>
                <w:sz w:val="20"/>
                <w:szCs w:val="20"/>
              </w:rPr>
              <w:t>.</w:t>
            </w:r>
            <w:r w:rsidRPr="00C52A32">
              <w:rPr>
                <w:rFonts w:ascii="Arial" w:hAnsi="Arial" w:cs="Arial"/>
                <w:color w:val="000000"/>
                <w:sz w:val="20"/>
                <w:szCs w:val="20"/>
              </w:rPr>
              <w:t>3</w:t>
            </w:r>
          </w:p>
        </w:tc>
      </w:tr>
    </w:tbl>
    <w:p w14:paraId="004DFB5B" w14:textId="77777777" w:rsidR="006F7F7E" w:rsidRPr="00BB4D40" w:rsidRDefault="006F7F7E" w:rsidP="006F7F7E">
      <w:pPr>
        <w:spacing w:beforeLines="40" w:before="96" w:afterLines="40" w:after="96" w:line="264" w:lineRule="auto"/>
        <w:ind w:firstLine="142"/>
        <w:jc w:val="both"/>
        <w:rPr>
          <w:bCs/>
          <w:i/>
          <w:iCs/>
          <w:sz w:val="8"/>
          <w:lang w:val="fr-FR"/>
        </w:rPr>
      </w:pPr>
    </w:p>
    <w:p w14:paraId="4AB07A13" w14:textId="77777777" w:rsidR="006F7F7E" w:rsidRPr="00BB4D40" w:rsidRDefault="006F7F7E" w:rsidP="006F7F7E">
      <w:pPr>
        <w:spacing w:beforeLines="40" w:before="96" w:afterLines="40" w:after="96" w:line="293" w:lineRule="auto"/>
        <w:ind w:firstLine="567"/>
        <w:jc w:val="both"/>
        <w:rPr>
          <w:color w:val="000000" w:themeColor="text1"/>
        </w:rPr>
      </w:pPr>
      <w:r w:rsidRPr="00BB4D40">
        <w:rPr>
          <w:i/>
          <w:lang w:val="pl-PL"/>
        </w:rPr>
        <w:t>Freight transport</w:t>
      </w:r>
      <w:r w:rsidRPr="00BB4D40">
        <w:rPr>
          <w:lang w:val="pl-PL"/>
        </w:rPr>
        <w:t xml:space="preserve"> in </w:t>
      </w:r>
      <w:r>
        <w:rPr>
          <w:lang w:val="pl-PL"/>
        </w:rPr>
        <w:t>8/2024</w:t>
      </w:r>
      <w:r w:rsidRPr="00BB4D40">
        <w:rPr>
          <w:lang w:val="pl-PL"/>
        </w:rPr>
        <w:t xml:space="preserve"> was estimated at </w:t>
      </w:r>
      <w:bookmarkStart w:id="8" w:name="_Hlk149633736"/>
      <w:r>
        <w:rPr>
          <w:lang w:val="fr-FR"/>
        </w:rPr>
        <w:t>215.1</w:t>
      </w:r>
      <w:r w:rsidRPr="00BB4D40">
        <w:rPr>
          <w:lang w:val="fr-FR"/>
        </w:rPr>
        <w:t xml:space="preserve"> </w:t>
      </w:r>
      <w:bookmarkEnd w:id="8"/>
      <w:r w:rsidRPr="00BB4D40">
        <w:rPr>
          <w:lang w:val="pl-PL"/>
        </w:rPr>
        <w:t xml:space="preserve">million tons of </w:t>
      </w:r>
      <w:r w:rsidRPr="00BB4D40">
        <w:rPr>
          <w:color w:val="000000" w:themeColor="text1"/>
        </w:rPr>
        <w:t>freight carried</w:t>
      </w:r>
      <w:r w:rsidRPr="00BB4D40">
        <w:rPr>
          <w:lang w:val="pl-PL"/>
        </w:rPr>
        <w:t xml:space="preserve">, increased by </w:t>
      </w:r>
      <w:r>
        <w:rPr>
          <w:lang w:val="fr-FR"/>
        </w:rPr>
        <w:t>1</w:t>
      </w:r>
      <w:r w:rsidRPr="00BB4D40">
        <w:rPr>
          <w:lang w:val="fr-FR"/>
        </w:rPr>
        <w:t>.</w:t>
      </w:r>
      <w:r>
        <w:rPr>
          <w:lang w:val="fr-FR"/>
        </w:rPr>
        <w:t>3</w:t>
      </w:r>
      <w:r w:rsidRPr="00BB4D40">
        <w:rPr>
          <w:lang w:val="pl-PL"/>
        </w:rPr>
        <w:t xml:space="preserve">% and </w:t>
      </w:r>
      <w:bookmarkStart w:id="9" w:name="_Hlk149633763"/>
      <w:r>
        <w:rPr>
          <w:lang w:val="fr-FR"/>
        </w:rPr>
        <w:t>47.1</w:t>
      </w:r>
      <w:r w:rsidRPr="00BB4D40">
        <w:rPr>
          <w:lang w:val="fr-FR"/>
        </w:rPr>
        <w:t xml:space="preserve"> </w:t>
      </w:r>
      <w:bookmarkEnd w:id="9"/>
      <w:r w:rsidRPr="00BB4D40">
        <w:rPr>
          <w:lang w:val="pl-PL"/>
        </w:rPr>
        <w:t xml:space="preserve">billion tons.km </w:t>
      </w:r>
      <w:r w:rsidRPr="00BB4D40">
        <w:rPr>
          <w:color w:val="000000" w:themeColor="text1"/>
        </w:rPr>
        <w:t>of freight traffic</w:t>
      </w:r>
      <w:r w:rsidRPr="00BB4D40">
        <w:rPr>
          <w:lang w:val="pl-PL"/>
        </w:rPr>
        <w:t xml:space="preserve">, </w:t>
      </w:r>
      <w:r>
        <w:rPr>
          <w:lang w:val="pl-PL"/>
        </w:rPr>
        <w:t>de</w:t>
      </w:r>
      <w:r w:rsidRPr="00BB4D40">
        <w:rPr>
          <w:lang w:val="pl-PL"/>
        </w:rPr>
        <w:t xml:space="preserve">creased by </w:t>
      </w:r>
      <w:r>
        <w:rPr>
          <w:lang w:val="pl-PL"/>
        </w:rPr>
        <w:t>0.5</w:t>
      </w:r>
      <w:r w:rsidRPr="00BB4D40">
        <w:rPr>
          <w:lang w:val="pl-PL"/>
        </w:rPr>
        <w:t>% over the previous month</w:t>
      </w:r>
      <w:r w:rsidRPr="00BB4D40">
        <w:t xml:space="preserve">. </w:t>
      </w:r>
      <w:r w:rsidRPr="00BB4D40">
        <w:rPr>
          <w:lang w:val="pl-PL"/>
        </w:rPr>
        <w:t xml:space="preserve">Generally for </w:t>
      </w:r>
      <w:r>
        <w:rPr>
          <w:lang w:val="pl-PL"/>
        </w:rPr>
        <w:t xml:space="preserve">eight months </w:t>
      </w:r>
      <w:r w:rsidRPr="00BB4D40">
        <w:rPr>
          <w:lang w:val="pl-PL"/>
        </w:rPr>
        <w:t>of 2024, fre</w:t>
      </w:r>
      <w:bookmarkStart w:id="10" w:name="_Hlk149633786"/>
      <w:r w:rsidRPr="00BB4D40">
        <w:rPr>
          <w:lang w:val="pl-PL"/>
        </w:rPr>
        <w:t xml:space="preserve">ight transport was estimated at </w:t>
      </w:r>
      <w:r>
        <w:rPr>
          <w:lang w:val="fr-FR"/>
        </w:rPr>
        <w:t>1,686.3</w:t>
      </w:r>
      <w:r w:rsidRPr="00BB4D40">
        <w:rPr>
          <w:lang w:val="fr-FR"/>
        </w:rPr>
        <w:t xml:space="preserve"> </w:t>
      </w:r>
      <w:bookmarkEnd w:id="10"/>
      <w:r w:rsidRPr="00BB4D40">
        <w:rPr>
          <w:lang w:val="pl-PL"/>
        </w:rPr>
        <w:t xml:space="preserve">million tons of </w:t>
      </w:r>
      <w:r w:rsidRPr="00BB4D40">
        <w:rPr>
          <w:color w:val="000000" w:themeColor="text1"/>
        </w:rPr>
        <w:t>freight carried</w:t>
      </w:r>
      <w:r w:rsidRPr="00BB4D40">
        <w:rPr>
          <w:lang w:val="pl-PL"/>
        </w:rPr>
        <w:t xml:space="preserve">, up </w:t>
      </w:r>
      <w:r>
        <w:rPr>
          <w:lang w:val="fr-FR"/>
        </w:rPr>
        <w:t>13.0</w:t>
      </w:r>
      <w:r w:rsidRPr="00BB4D40">
        <w:rPr>
          <w:lang w:val="pl-PL"/>
        </w:rPr>
        <w:t xml:space="preserve">% over the same period last year and </w:t>
      </w:r>
      <w:r>
        <w:rPr>
          <w:lang w:val="fr-FR"/>
        </w:rPr>
        <w:t>351.2</w:t>
      </w:r>
      <w:r w:rsidRPr="00BB4D40">
        <w:rPr>
          <w:lang w:val="fr-FR"/>
        </w:rPr>
        <w:t xml:space="preserve"> </w:t>
      </w:r>
      <w:r w:rsidRPr="00BB4D40">
        <w:rPr>
          <w:lang w:val="pl-PL"/>
        </w:rPr>
        <w:t xml:space="preserve">billion tons.km </w:t>
      </w:r>
      <w:r w:rsidRPr="00BB4D40">
        <w:rPr>
          <w:color w:val="000000" w:themeColor="text1"/>
        </w:rPr>
        <w:t>of freight traffic</w:t>
      </w:r>
      <w:r w:rsidRPr="00BB4D40">
        <w:rPr>
          <w:lang w:val="pl-PL"/>
        </w:rPr>
        <w:t xml:space="preserve">, an increase of </w:t>
      </w:r>
      <w:r>
        <w:rPr>
          <w:lang w:val="pl-PL"/>
        </w:rPr>
        <w:t>11.8</w:t>
      </w:r>
      <w:r w:rsidRPr="00BB4D40">
        <w:rPr>
          <w:lang w:val="pl-PL"/>
        </w:rPr>
        <w:t xml:space="preserve">%. Of which, domestic transport reached </w:t>
      </w:r>
      <w:r>
        <w:rPr>
          <w:lang w:val="fr-FR"/>
        </w:rPr>
        <w:t>1,655.6</w:t>
      </w:r>
      <w:r w:rsidRPr="00BB4D40">
        <w:rPr>
          <w:lang w:val="fr-FR"/>
        </w:rPr>
        <w:t xml:space="preserve"> </w:t>
      </w:r>
      <w:r w:rsidRPr="00BB4D40">
        <w:rPr>
          <w:lang w:val="pl-PL"/>
        </w:rPr>
        <w:t xml:space="preserve">million tons of </w:t>
      </w:r>
      <w:r w:rsidRPr="00BB4D40">
        <w:rPr>
          <w:color w:val="000000" w:themeColor="text1"/>
        </w:rPr>
        <w:t>freight carried</w:t>
      </w:r>
      <w:r w:rsidRPr="00BB4D40">
        <w:rPr>
          <w:lang w:val="pl-PL"/>
        </w:rPr>
        <w:t xml:space="preserve">, up </w:t>
      </w:r>
      <w:r>
        <w:rPr>
          <w:lang w:val="fr-FR"/>
        </w:rPr>
        <w:t>13.1</w:t>
      </w:r>
      <w:r w:rsidRPr="00BB4D40">
        <w:rPr>
          <w:lang w:val="pl-PL"/>
        </w:rPr>
        <w:t xml:space="preserve">% and </w:t>
      </w:r>
      <w:r>
        <w:rPr>
          <w:lang w:val="fr-FR"/>
        </w:rPr>
        <w:t>212.8</w:t>
      </w:r>
      <w:r w:rsidRPr="00BB4D40">
        <w:rPr>
          <w:lang w:val="fr-FR"/>
        </w:rPr>
        <w:t xml:space="preserve"> </w:t>
      </w:r>
      <w:r w:rsidRPr="00BB4D40">
        <w:rPr>
          <w:lang w:val="pl-PL"/>
        </w:rPr>
        <w:t xml:space="preserve">billion tons.km of </w:t>
      </w:r>
      <w:r w:rsidRPr="00BB4D40">
        <w:rPr>
          <w:color w:val="000000" w:themeColor="text1"/>
        </w:rPr>
        <w:t>freight traffic</w:t>
      </w:r>
      <w:r w:rsidRPr="00BB4D40">
        <w:rPr>
          <w:lang w:val="pl-PL"/>
        </w:rPr>
        <w:t xml:space="preserve">, up </w:t>
      </w:r>
      <w:r>
        <w:rPr>
          <w:lang w:val="fr-FR"/>
        </w:rPr>
        <w:t>7.6</w:t>
      </w:r>
      <w:r w:rsidRPr="00BB4D40">
        <w:rPr>
          <w:lang w:val="pl-PL"/>
        </w:rPr>
        <w:t xml:space="preserve">%; overseas transport reached </w:t>
      </w:r>
      <w:r>
        <w:rPr>
          <w:lang w:val="fr-FR"/>
        </w:rPr>
        <w:t>30.7</w:t>
      </w:r>
      <w:r w:rsidRPr="00BB4D40">
        <w:rPr>
          <w:lang w:val="fr-FR"/>
        </w:rPr>
        <w:t xml:space="preserve"> </w:t>
      </w:r>
      <w:r w:rsidRPr="00BB4D40">
        <w:rPr>
          <w:lang w:val="pl-PL"/>
        </w:rPr>
        <w:t xml:space="preserve">million </w:t>
      </w:r>
      <w:r w:rsidRPr="00BB4D40">
        <w:rPr>
          <w:color w:val="000000" w:themeColor="text1"/>
        </w:rPr>
        <w:t xml:space="preserve">tons of freight carried, up </w:t>
      </w:r>
      <w:r>
        <w:rPr>
          <w:color w:val="000000" w:themeColor="text1"/>
        </w:rPr>
        <w:t>5.0</w:t>
      </w:r>
      <w:r w:rsidRPr="00BB4D40">
        <w:rPr>
          <w:color w:val="000000" w:themeColor="text1"/>
        </w:rPr>
        <w:t xml:space="preserve">% and </w:t>
      </w:r>
      <w:r>
        <w:rPr>
          <w:color w:val="000000" w:themeColor="text1"/>
        </w:rPr>
        <w:t>138.4</w:t>
      </w:r>
      <w:r w:rsidRPr="00BB4D40">
        <w:rPr>
          <w:color w:val="000000" w:themeColor="text1"/>
        </w:rPr>
        <w:t xml:space="preserve"> billion tons.km of freight traffic, up </w:t>
      </w:r>
      <w:r>
        <w:rPr>
          <w:color w:val="000000" w:themeColor="text1"/>
        </w:rPr>
        <w:t>19.1</w:t>
      </w:r>
      <w:r w:rsidRPr="00BB4D40">
        <w:rPr>
          <w:color w:val="000000" w:themeColor="text1"/>
        </w:rPr>
        <w:t xml:space="preserve">%. </w:t>
      </w:r>
    </w:p>
    <w:p w14:paraId="6F47F539" w14:textId="77777777" w:rsidR="006F7F7E" w:rsidRPr="00BB4D40" w:rsidRDefault="006F7F7E" w:rsidP="006F7F7E">
      <w:pPr>
        <w:spacing w:beforeLines="40" w:before="96" w:afterLines="40" w:after="96" w:line="264" w:lineRule="auto"/>
        <w:jc w:val="center"/>
        <w:rPr>
          <w:b/>
          <w:bCs/>
          <w:sz w:val="2"/>
          <w:lang w:val="pt-BR"/>
        </w:rPr>
      </w:pPr>
      <w:r w:rsidRPr="00BB4D40">
        <w:rPr>
          <w:rFonts w:ascii="Arial" w:hAnsi="Arial" w:cs="Arial"/>
          <w:b/>
          <w:bCs/>
          <w:iCs/>
          <w:sz w:val="24"/>
          <w:szCs w:val="24"/>
          <w:lang w:val="fr-FR"/>
        </w:rPr>
        <w:t xml:space="preserve">Table 7. Carriage of freight </w:t>
      </w:r>
      <w:r>
        <w:rPr>
          <w:rFonts w:ascii="Arial" w:hAnsi="Arial" w:cs="Arial"/>
          <w:b/>
          <w:bCs/>
          <w:iCs/>
          <w:sz w:val="24"/>
          <w:szCs w:val="24"/>
          <w:lang w:val="fr-FR"/>
        </w:rPr>
        <w:t>in 8 months of 2024</w:t>
      </w:r>
      <w:r w:rsidRPr="00BB4D40">
        <w:rPr>
          <w:rFonts w:ascii="Arial" w:hAnsi="Arial" w:cs="Arial"/>
          <w:b/>
          <w:bCs/>
          <w:iCs/>
          <w:sz w:val="24"/>
          <w:szCs w:val="24"/>
          <w:lang w:val="fr-FR"/>
        </w:rPr>
        <w:br/>
        <w:t>by types of transport</w:t>
      </w:r>
    </w:p>
    <w:tbl>
      <w:tblPr>
        <w:tblW w:w="8805" w:type="dxa"/>
        <w:tblInd w:w="284" w:type="dxa"/>
        <w:tblLook w:val="04A0" w:firstRow="1" w:lastRow="0" w:firstColumn="1" w:lastColumn="0" w:noHBand="0" w:noVBand="1"/>
      </w:tblPr>
      <w:tblGrid>
        <w:gridCol w:w="2268"/>
        <w:gridCol w:w="1701"/>
        <w:gridCol w:w="1625"/>
        <w:gridCol w:w="294"/>
        <w:gridCol w:w="1499"/>
        <w:gridCol w:w="1418"/>
      </w:tblGrid>
      <w:tr w:rsidR="006F7F7E" w:rsidRPr="00BB4D40" w14:paraId="5990DB6B" w14:textId="77777777" w:rsidTr="00A0607C">
        <w:trPr>
          <w:trHeight w:val="580"/>
        </w:trPr>
        <w:tc>
          <w:tcPr>
            <w:tcW w:w="2268" w:type="dxa"/>
            <w:tcBorders>
              <w:top w:val="single" w:sz="8" w:space="0" w:color="auto"/>
              <w:left w:val="nil"/>
              <w:bottom w:val="nil"/>
              <w:right w:val="nil"/>
            </w:tcBorders>
            <w:shd w:val="clear" w:color="auto" w:fill="auto"/>
            <w:vAlign w:val="center"/>
            <w:hideMark/>
          </w:tcPr>
          <w:p w14:paraId="369782D8" w14:textId="77777777" w:rsidR="006F7F7E" w:rsidRPr="00BB4D40" w:rsidRDefault="006F7F7E" w:rsidP="00A0607C">
            <w:pPr>
              <w:rPr>
                <w:rFonts w:ascii="Arial" w:hAnsi="Arial" w:cs="Arial"/>
                <w:color w:val="000000"/>
                <w:sz w:val="20"/>
                <w:szCs w:val="20"/>
              </w:rPr>
            </w:pPr>
            <w:r w:rsidRPr="00BB4D40">
              <w:rPr>
                <w:rFonts w:ascii="Arial" w:hAnsi="Arial" w:cs="Arial"/>
                <w:color w:val="000000"/>
                <w:sz w:val="20"/>
                <w:szCs w:val="20"/>
                <w:lang w:val="fr-FR"/>
              </w:rPr>
              <w:t> </w:t>
            </w:r>
          </w:p>
        </w:tc>
        <w:tc>
          <w:tcPr>
            <w:tcW w:w="3326" w:type="dxa"/>
            <w:gridSpan w:val="2"/>
            <w:tcBorders>
              <w:top w:val="single" w:sz="8" w:space="0" w:color="auto"/>
              <w:left w:val="nil"/>
              <w:bottom w:val="single" w:sz="8" w:space="0" w:color="auto"/>
              <w:right w:val="nil"/>
            </w:tcBorders>
            <w:shd w:val="clear" w:color="auto" w:fill="auto"/>
            <w:vAlign w:val="center"/>
            <w:hideMark/>
          </w:tcPr>
          <w:p w14:paraId="6D836B1D"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rPr>
              <w:t>Quantity of goods</w:t>
            </w:r>
          </w:p>
        </w:tc>
        <w:tc>
          <w:tcPr>
            <w:tcW w:w="294" w:type="dxa"/>
            <w:tcBorders>
              <w:top w:val="single" w:sz="8" w:space="0" w:color="auto"/>
              <w:left w:val="nil"/>
              <w:bottom w:val="nil"/>
              <w:right w:val="nil"/>
            </w:tcBorders>
            <w:shd w:val="clear" w:color="auto" w:fill="auto"/>
            <w:vAlign w:val="center"/>
            <w:hideMark/>
          </w:tcPr>
          <w:p w14:paraId="65B11EC9"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rPr>
              <w:t> </w:t>
            </w:r>
          </w:p>
        </w:tc>
        <w:tc>
          <w:tcPr>
            <w:tcW w:w="2917" w:type="dxa"/>
            <w:gridSpan w:val="2"/>
            <w:tcBorders>
              <w:top w:val="single" w:sz="8" w:space="0" w:color="auto"/>
              <w:left w:val="nil"/>
              <w:bottom w:val="single" w:sz="8" w:space="0" w:color="auto"/>
              <w:right w:val="nil"/>
            </w:tcBorders>
            <w:shd w:val="clear" w:color="auto" w:fill="auto"/>
            <w:vAlign w:val="center"/>
            <w:hideMark/>
          </w:tcPr>
          <w:p w14:paraId="56F6EA8C"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rPr>
              <w:t>Growth rate compared to the same period last year (%)</w:t>
            </w:r>
          </w:p>
        </w:tc>
      </w:tr>
      <w:tr w:rsidR="006F7F7E" w:rsidRPr="00BB4D40" w14:paraId="626E953E" w14:textId="77777777" w:rsidTr="00A0607C">
        <w:trPr>
          <w:trHeight w:val="372"/>
        </w:trPr>
        <w:tc>
          <w:tcPr>
            <w:tcW w:w="2268" w:type="dxa"/>
            <w:vMerge w:val="restart"/>
            <w:tcBorders>
              <w:top w:val="nil"/>
              <w:left w:val="nil"/>
              <w:bottom w:val="nil"/>
              <w:right w:val="nil"/>
            </w:tcBorders>
            <w:shd w:val="clear" w:color="auto" w:fill="auto"/>
            <w:vAlign w:val="center"/>
            <w:hideMark/>
          </w:tcPr>
          <w:p w14:paraId="253E7A8E" w14:textId="77777777" w:rsidR="006F7F7E" w:rsidRPr="00BB4D40" w:rsidRDefault="006F7F7E" w:rsidP="00A0607C">
            <w:pPr>
              <w:jc w:val="center"/>
              <w:rPr>
                <w:rFonts w:ascii="Arial" w:hAnsi="Arial" w:cs="Arial"/>
                <w:color w:val="000000"/>
                <w:sz w:val="20"/>
                <w:szCs w:val="20"/>
              </w:rPr>
            </w:pPr>
          </w:p>
        </w:tc>
        <w:tc>
          <w:tcPr>
            <w:tcW w:w="1701" w:type="dxa"/>
            <w:tcBorders>
              <w:top w:val="nil"/>
              <w:left w:val="nil"/>
              <w:bottom w:val="nil"/>
              <w:right w:val="nil"/>
            </w:tcBorders>
            <w:shd w:val="clear" w:color="auto" w:fill="auto"/>
            <w:vAlign w:val="center"/>
            <w:hideMark/>
          </w:tcPr>
          <w:p w14:paraId="68F05587"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lang w:eastAsia="vi-VN"/>
              </w:rPr>
              <w:t>Carried</w:t>
            </w:r>
          </w:p>
        </w:tc>
        <w:tc>
          <w:tcPr>
            <w:tcW w:w="1625" w:type="dxa"/>
            <w:tcBorders>
              <w:top w:val="nil"/>
              <w:left w:val="nil"/>
              <w:bottom w:val="nil"/>
              <w:right w:val="nil"/>
            </w:tcBorders>
            <w:shd w:val="clear" w:color="auto" w:fill="auto"/>
            <w:vAlign w:val="center"/>
            <w:hideMark/>
          </w:tcPr>
          <w:p w14:paraId="670E01DE"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lang w:eastAsia="vi-VN"/>
              </w:rPr>
              <w:t>Traffic</w:t>
            </w:r>
          </w:p>
        </w:tc>
        <w:tc>
          <w:tcPr>
            <w:tcW w:w="294" w:type="dxa"/>
            <w:tcBorders>
              <w:top w:val="nil"/>
              <w:left w:val="nil"/>
              <w:bottom w:val="nil"/>
              <w:right w:val="nil"/>
            </w:tcBorders>
            <w:shd w:val="clear" w:color="auto" w:fill="auto"/>
            <w:vAlign w:val="center"/>
            <w:hideMark/>
          </w:tcPr>
          <w:p w14:paraId="1F6A9C15" w14:textId="77777777" w:rsidR="006F7F7E" w:rsidRPr="00BB4D40" w:rsidRDefault="006F7F7E" w:rsidP="00A0607C">
            <w:pPr>
              <w:jc w:val="center"/>
              <w:rPr>
                <w:rFonts w:ascii="Arial" w:hAnsi="Arial" w:cs="Arial"/>
                <w:color w:val="000000"/>
                <w:sz w:val="20"/>
                <w:szCs w:val="20"/>
              </w:rPr>
            </w:pPr>
          </w:p>
        </w:tc>
        <w:tc>
          <w:tcPr>
            <w:tcW w:w="1499" w:type="dxa"/>
            <w:vMerge w:val="restart"/>
            <w:tcBorders>
              <w:top w:val="nil"/>
              <w:left w:val="nil"/>
              <w:bottom w:val="single" w:sz="4" w:space="0" w:color="000000"/>
              <w:right w:val="nil"/>
            </w:tcBorders>
            <w:shd w:val="clear" w:color="auto" w:fill="auto"/>
            <w:vAlign w:val="center"/>
            <w:hideMark/>
          </w:tcPr>
          <w:p w14:paraId="57F2A3D3"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lang w:eastAsia="vi-VN"/>
              </w:rPr>
              <w:t>Carried</w:t>
            </w:r>
          </w:p>
        </w:tc>
        <w:tc>
          <w:tcPr>
            <w:tcW w:w="1418" w:type="dxa"/>
            <w:vMerge w:val="restart"/>
            <w:tcBorders>
              <w:top w:val="nil"/>
              <w:left w:val="nil"/>
              <w:bottom w:val="single" w:sz="4" w:space="0" w:color="000000"/>
              <w:right w:val="nil"/>
            </w:tcBorders>
            <w:shd w:val="clear" w:color="auto" w:fill="auto"/>
            <w:vAlign w:val="center"/>
            <w:hideMark/>
          </w:tcPr>
          <w:p w14:paraId="1283B976"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lang w:eastAsia="vi-VN"/>
              </w:rPr>
              <w:t>Traffic</w:t>
            </w:r>
          </w:p>
        </w:tc>
      </w:tr>
      <w:tr w:rsidR="006F7F7E" w:rsidRPr="00BB4D40" w14:paraId="1BFFD5DB" w14:textId="77777777" w:rsidTr="00A0607C">
        <w:trPr>
          <w:trHeight w:val="165"/>
        </w:trPr>
        <w:tc>
          <w:tcPr>
            <w:tcW w:w="2268" w:type="dxa"/>
            <w:vMerge/>
            <w:tcBorders>
              <w:top w:val="nil"/>
              <w:left w:val="nil"/>
              <w:bottom w:val="nil"/>
              <w:right w:val="nil"/>
            </w:tcBorders>
            <w:vAlign w:val="center"/>
            <w:hideMark/>
          </w:tcPr>
          <w:p w14:paraId="47606043" w14:textId="77777777" w:rsidR="006F7F7E" w:rsidRPr="00BB4D40" w:rsidRDefault="006F7F7E" w:rsidP="00A0607C">
            <w:pPr>
              <w:rPr>
                <w:rFonts w:ascii="Arial" w:hAnsi="Arial" w:cs="Arial"/>
                <w:color w:val="000000"/>
                <w:sz w:val="20"/>
                <w:szCs w:val="20"/>
              </w:rPr>
            </w:pPr>
          </w:p>
        </w:tc>
        <w:tc>
          <w:tcPr>
            <w:tcW w:w="1701" w:type="dxa"/>
            <w:tcBorders>
              <w:top w:val="nil"/>
              <w:left w:val="nil"/>
              <w:bottom w:val="single" w:sz="4" w:space="0" w:color="auto"/>
              <w:right w:val="nil"/>
            </w:tcBorders>
            <w:shd w:val="clear" w:color="auto" w:fill="auto"/>
            <w:vAlign w:val="center"/>
            <w:hideMark/>
          </w:tcPr>
          <w:p w14:paraId="5759C407"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rPr>
              <w:t>(Mill. tons)</w:t>
            </w:r>
          </w:p>
        </w:tc>
        <w:tc>
          <w:tcPr>
            <w:tcW w:w="1625" w:type="dxa"/>
            <w:tcBorders>
              <w:top w:val="nil"/>
              <w:left w:val="nil"/>
              <w:bottom w:val="single" w:sz="4" w:space="0" w:color="auto"/>
              <w:right w:val="nil"/>
            </w:tcBorders>
            <w:shd w:val="clear" w:color="auto" w:fill="auto"/>
            <w:vAlign w:val="center"/>
            <w:hideMark/>
          </w:tcPr>
          <w:p w14:paraId="29C22AA5"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rPr>
              <w:t>(Bill. tons-km)</w:t>
            </w:r>
          </w:p>
        </w:tc>
        <w:tc>
          <w:tcPr>
            <w:tcW w:w="294" w:type="dxa"/>
            <w:tcBorders>
              <w:top w:val="nil"/>
              <w:left w:val="nil"/>
              <w:bottom w:val="single" w:sz="4" w:space="0" w:color="auto"/>
              <w:right w:val="nil"/>
            </w:tcBorders>
            <w:shd w:val="clear" w:color="auto" w:fill="auto"/>
            <w:vAlign w:val="center"/>
            <w:hideMark/>
          </w:tcPr>
          <w:p w14:paraId="18EAB736" w14:textId="77777777" w:rsidR="006F7F7E" w:rsidRPr="00BB4D40" w:rsidRDefault="006F7F7E" w:rsidP="00A0607C">
            <w:pPr>
              <w:jc w:val="center"/>
              <w:rPr>
                <w:rFonts w:ascii="Arial" w:hAnsi="Arial" w:cs="Arial"/>
                <w:color w:val="000000"/>
                <w:sz w:val="20"/>
                <w:szCs w:val="20"/>
              </w:rPr>
            </w:pPr>
            <w:r w:rsidRPr="00BB4D40">
              <w:rPr>
                <w:rFonts w:ascii="Arial" w:hAnsi="Arial" w:cs="Arial"/>
                <w:color w:val="000000"/>
                <w:sz w:val="20"/>
                <w:szCs w:val="20"/>
              </w:rPr>
              <w:t> </w:t>
            </w:r>
          </w:p>
        </w:tc>
        <w:tc>
          <w:tcPr>
            <w:tcW w:w="1499" w:type="dxa"/>
            <w:vMerge/>
            <w:tcBorders>
              <w:top w:val="nil"/>
              <w:left w:val="nil"/>
              <w:bottom w:val="single" w:sz="4" w:space="0" w:color="000000"/>
              <w:right w:val="nil"/>
            </w:tcBorders>
            <w:vAlign w:val="center"/>
            <w:hideMark/>
          </w:tcPr>
          <w:p w14:paraId="7F836017" w14:textId="77777777" w:rsidR="006F7F7E" w:rsidRPr="00BB4D40" w:rsidRDefault="006F7F7E" w:rsidP="00A0607C">
            <w:pPr>
              <w:jc w:val="center"/>
              <w:rPr>
                <w:rFonts w:ascii="Arial" w:hAnsi="Arial" w:cs="Arial"/>
                <w:color w:val="000000"/>
                <w:sz w:val="20"/>
                <w:szCs w:val="20"/>
              </w:rPr>
            </w:pPr>
          </w:p>
        </w:tc>
        <w:tc>
          <w:tcPr>
            <w:tcW w:w="1418" w:type="dxa"/>
            <w:vMerge/>
            <w:tcBorders>
              <w:top w:val="nil"/>
              <w:left w:val="nil"/>
              <w:bottom w:val="single" w:sz="4" w:space="0" w:color="000000"/>
              <w:right w:val="nil"/>
            </w:tcBorders>
            <w:vAlign w:val="center"/>
            <w:hideMark/>
          </w:tcPr>
          <w:p w14:paraId="6E0A4B83" w14:textId="77777777" w:rsidR="006F7F7E" w:rsidRPr="00BB4D40" w:rsidRDefault="006F7F7E" w:rsidP="00A0607C">
            <w:pPr>
              <w:jc w:val="right"/>
              <w:rPr>
                <w:rFonts w:ascii="Arial" w:hAnsi="Arial" w:cs="Arial"/>
                <w:color w:val="000000"/>
                <w:sz w:val="20"/>
                <w:szCs w:val="20"/>
              </w:rPr>
            </w:pPr>
          </w:p>
        </w:tc>
      </w:tr>
      <w:tr w:rsidR="006F7F7E" w:rsidRPr="00BB4D40" w14:paraId="30F06471" w14:textId="77777777" w:rsidTr="00A0607C">
        <w:trPr>
          <w:cantSplit/>
          <w:trHeight w:val="372"/>
        </w:trPr>
        <w:tc>
          <w:tcPr>
            <w:tcW w:w="2268" w:type="dxa"/>
            <w:tcBorders>
              <w:top w:val="nil"/>
              <w:left w:val="nil"/>
              <w:bottom w:val="nil"/>
              <w:right w:val="nil"/>
            </w:tcBorders>
            <w:shd w:val="clear" w:color="auto" w:fill="auto"/>
            <w:noWrap/>
            <w:vAlign w:val="center"/>
            <w:hideMark/>
          </w:tcPr>
          <w:p w14:paraId="40BBF060" w14:textId="77777777" w:rsidR="006F7F7E" w:rsidRPr="00BB4D40" w:rsidRDefault="006F7F7E" w:rsidP="00A0607C">
            <w:pPr>
              <w:rPr>
                <w:rFonts w:ascii="Arial" w:hAnsi="Arial" w:cs="Arial"/>
                <w:b/>
                <w:bCs/>
                <w:color w:val="000000"/>
                <w:sz w:val="20"/>
                <w:szCs w:val="20"/>
              </w:rPr>
            </w:pPr>
            <w:r w:rsidRPr="00BB4D40">
              <w:rPr>
                <w:rFonts w:ascii="Arial" w:hAnsi="Arial" w:cs="Arial"/>
                <w:b/>
                <w:bCs/>
                <w:color w:val="000000"/>
                <w:sz w:val="20"/>
                <w:szCs w:val="20"/>
              </w:rPr>
              <w:t>Total</w:t>
            </w:r>
          </w:p>
        </w:tc>
        <w:tc>
          <w:tcPr>
            <w:tcW w:w="1701" w:type="dxa"/>
            <w:tcBorders>
              <w:top w:val="nil"/>
              <w:left w:val="nil"/>
              <w:bottom w:val="nil"/>
              <w:right w:val="nil"/>
            </w:tcBorders>
            <w:shd w:val="clear" w:color="auto" w:fill="auto"/>
            <w:noWrap/>
            <w:vAlign w:val="center"/>
            <w:hideMark/>
          </w:tcPr>
          <w:p w14:paraId="05016719" w14:textId="77777777" w:rsidR="006F7F7E" w:rsidRPr="00F04784" w:rsidRDefault="006F7F7E" w:rsidP="00A0607C">
            <w:pPr>
              <w:spacing w:beforeLines="40" w:before="96"/>
              <w:ind w:right="447"/>
              <w:jc w:val="right"/>
              <w:rPr>
                <w:rFonts w:ascii="Arial" w:hAnsi="Arial" w:cs="Arial"/>
                <w:b/>
                <w:bCs/>
                <w:sz w:val="20"/>
                <w:szCs w:val="20"/>
                <w14:ligatures w14:val="standardContextual"/>
              </w:rPr>
            </w:pPr>
            <w:r w:rsidRPr="00F04784">
              <w:rPr>
                <w:rFonts w:ascii="Arial" w:hAnsi="Arial" w:cs="Arial"/>
                <w:b/>
                <w:bCs/>
                <w:color w:val="000000"/>
                <w:sz w:val="20"/>
                <w:szCs w:val="20"/>
              </w:rPr>
              <w:t xml:space="preserve"> 1</w:t>
            </w:r>
            <w:r>
              <w:rPr>
                <w:rFonts w:ascii="Arial" w:hAnsi="Arial" w:cs="Arial"/>
                <w:b/>
                <w:bCs/>
                <w:color w:val="000000"/>
                <w:sz w:val="20"/>
                <w:szCs w:val="20"/>
              </w:rPr>
              <w:t>,</w:t>
            </w:r>
            <w:r w:rsidRPr="00F04784">
              <w:rPr>
                <w:rFonts w:ascii="Arial" w:hAnsi="Arial" w:cs="Arial"/>
                <w:b/>
                <w:bCs/>
                <w:color w:val="000000"/>
                <w:sz w:val="20"/>
                <w:szCs w:val="20"/>
              </w:rPr>
              <w:t>686</w:t>
            </w:r>
            <w:r>
              <w:rPr>
                <w:rFonts w:ascii="Arial" w:hAnsi="Arial" w:cs="Arial"/>
                <w:b/>
                <w:bCs/>
                <w:color w:val="000000"/>
                <w:sz w:val="20"/>
                <w:szCs w:val="20"/>
              </w:rPr>
              <w:t>.</w:t>
            </w:r>
            <w:r w:rsidRPr="00F04784">
              <w:rPr>
                <w:rFonts w:ascii="Arial" w:hAnsi="Arial" w:cs="Arial"/>
                <w:b/>
                <w:bCs/>
                <w:color w:val="000000"/>
                <w:sz w:val="20"/>
                <w:szCs w:val="20"/>
              </w:rPr>
              <w:t xml:space="preserve">3 </w:t>
            </w:r>
          </w:p>
        </w:tc>
        <w:tc>
          <w:tcPr>
            <w:tcW w:w="1625" w:type="dxa"/>
            <w:tcBorders>
              <w:top w:val="nil"/>
              <w:left w:val="nil"/>
              <w:bottom w:val="nil"/>
              <w:right w:val="nil"/>
            </w:tcBorders>
            <w:shd w:val="clear" w:color="auto" w:fill="auto"/>
            <w:noWrap/>
            <w:vAlign w:val="center"/>
            <w:hideMark/>
          </w:tcPr>
          <w:p w14:paraId="21DCE3DB" w14:textId="77777777" w:rsidR="006F7F7E" w:rsidRPr="00F04784" w:rsidRDefault="006F7F7E" w:rsidP="00A0607C">
            <w:pPr>
              <w:spacing w:beforeLines="40" w:before="96"/>
              <w:ind w:right="447"/>
              <w:jc w:val="right"/>
              <w:rPr>
                <w:rFonts w:ascii="Arial" w:hAnsi="Arial" w:cs="Arial"/>
                <w:b/>
                <w:bCs/>
                <w:sz w:val="20"/>
                <w:szCs w:val="20"/>
                <w14:ligatures w14:val="standardContextual"/>
              </w:rPr>
            </w:pPr>
            <w:r w:rsidRPr="00F04784">
              <w:rPr>
                <w:rFonts w:ascii="Arial" w:hAnsi="Arial" w:cs="Arial"/>
                <w:b/>
                <w:bCs/>
                <w:color w:val="000000"/>
                <w:sz w:val="20"/>
                <w:szCs w:val="20"/>
              </w:rPr>
              <w:t xml:space="preserve">       351</w:t>
            </w:r>
            <w:r>
              <w:rPr>
                <w:rFonts w:ascii="Arial" w:hAnsi="Arial" w:cs="Arial"/>
                <w:b/>
                <w:bCs/>
                <w:color w:val="000000"/>
                <w:sz w:val="20"/>
                <w:szCs w:val="20"/>
              </w:rPr>
              <w:t>.</w:t>
            </w:r>
            <w:r w:rsidRPr="00F04784">
              <w:rPr>
                <w:rFonts w:ascii="Arial" w:hAnsi="Arial" w:cs="Arial"/>
                <w:b/>
                <w:bCs/>
                <w:color w:val="000000"/>
                <w:sz w:val="20"/>
                <w:szCs w:val="20"/>
              </w:rPr>
              <w:t xml:space="preserve">2 </w:t>
            </w:r>
          </w:p>
        </w:tc>
        <w:tc>
          <w:tcPr>
            <w:tcW w:w="294" w:type="dxa"/>
            <w:tcBorders>
              <w:top w:val="nil"/>
              <w:left w:val="nil"/>
              <w:bottom w:val="nil"/>
              <w:right w:val="nil"/>
            </w:tcBorders>
            <w:shd w:val="clear" w:color="auto" w:fill="auto"/>
            <w:noWrap/>
            <w:vAlign w:val="center"/>
          </w:tcPr>
          <w:p w14:paraId="321DFDC2" w14:textId="77777777" w:rsidR="006F7F7E" w:rsidRPr="00F04784" w:rsidRDefault="006F7F7E" w:rsidP="00A0607C">
            <w:pPr>
              <w:spacing w:beforeLines="40" w:before="96"/>
              <w:ind w:right="447"/>
              <w:jc w:val="right"/>
              <w:rPr>
                <w:rFonts w:ascii="Arial" w:hAnsi="Arial" w:cs="Arial"/>
                <w:b/>
                <w:bCs/>
                <w:sz w:val="20"/>
                <w:szCs w:val="20"/>
                <w14:ligatures w14:val="standardContextual"/>
              </w:rPr>
            </w:pPr>
          </w:p>
        </w:tc>
        <w:tc>
          <w:tcPr>
            <w:tcW w:w="1499" w:type="dxa"/>
            <w:tcBorders>
              <w:top w:val="nil"/>
              <w:left w:val="nil"/>
              <w:bottom w:val="nil"/>
              <w:right w:val="nil"/>
            </w:tcBorders>
            <w:shd w:val="clear" w:color="auto" w:fill="auto"/>
            <w:noWrap/>
            <w:vAlign w:val="center"/>
          </w:tcPr>
          <w:p w14:paraId="439CD3F8" w14:textId="77777777" w:rsidR="006F7F7E" w:rsidRPr="00F04784" w:rsidRDefault="006F7F7E" w:rsidP="00A0607C">
            <w:pPr>
              <w:spacing w:beforeLines="40" w:before="96"/>
              <w:ind w:right="447"/>
              <w:jc w:val="right"/>
              <w:rPr>
                <w:rFonts w:ascii="Arial" w:hAnsi="Arial" w:cs="Arial"/>
                <w:b/>
                <w:bCs/>
                <w:sz w:val="20"/>
                <w:szCs w:val="20"/>
                <w14:ligatures w14:val="standardContextual"/>
              </w:rPr>
            </w:pPr>
            <w:r w:rsidRPr="00F04784">
              <w:rPr>
                <w:rFonts w:ascii="Arial" w:hAnsi="Arial" w:cs="Arial"/>
                <w:b/>
                <w:bCs/>
                <w:color w:val="000000"/>
                <w:sz w:val="20"/>
                <w:szCs w:val="20"/>
              </w:rPr>
              <w:t>13</w:t>
            </w:r>
            <w:r>
              <w:rPr>
                <w:rFonts w:ascii="Arial" w:hAnsi="Arial" w:cs="Arial"/>
                <w:b/>
                <w:bCs/>
                <w:color w:val="000000"/>
                <w:sz w:val="20"/>
                <w:szCs w:val="20"/>
              </w:rPr>
              <w:t>.</w:t>
            </w:r>
            <w:r w:rsidRPr="00F04784">
              <w:rPr>
                <w:rFonts w:ascii="Arial" w:hAnsi="Arial" w:cs="Arial"/>
                <w:b/>
                <w:bCs/>
                <w:color w:val="000000"/>
                <w:sz w:val="20"/>
                <w:szCs w:val="20"/>
              </w:rPr>
              <w:t xml:space="preserve">0 </w:t>
            </w:r>
          </w:p>
        </w:tc>
        <w:tc>
          <w:tcPr>
            <w:tcW w:w="1418" w:type="dxa"/>
            <w:tcBorders>
              <w:top w:val="nil"/>
              <w:left w:val="nil"/>
              <w:bottom w:val="nil"/>
              <w:right w:val="nil"/>
            </w:tcBorders>
            <w:shd w:val="clear" w:color="auto" w:fill="auto"/>
            <w:noWrap/>
            <w:vAlign w:val="center"/>
            <w:hideMark/>
          </w:tcPr>
          <w:p w14:paraId="727C986C" w14:textId="77777777" w:rsidR="006F7F7E" w:rsidRPr="00F04784" w:rsidRDefault="006F7F7E" w:rsidP="00A0607C">
            <w:pPr>
              <w:spacing w:beforeLines="40" w:before="96"/>
              <w:ind w:right="447"/>
              <w:jc w:val="right"/>
              <w:rPr>
                <w:rFonts w:ascii="Arial" w:hAnsi="Arial" w:cs="Arial"/>
                <w:b/>
                <w:bCs/>
                <w:sz w:val="20"/>
                <w:szCs w:val="20"/>
                <w14:ligatures w14:val="standardContextual"/>
              </w:rPr>
            </w:pPr>
            <w:r w:rsidRPr="00F04784">
              <w:rPr>
                <w:rFonts w:ascii="Arial" w:hAnsi="Arial" w:cs="Arial"/>
                <w:b/>
                <w:bCs/>
                <w:color w:val="000000"/>
                <w:sz w:val="20"/>
                <w:szCs w:val="20"/>
              </w:rPr>
              <w:t xml:space="preserve">      11</w:t>
            </w:r>
            <w:r>
              <w:rPr>
                <w:rFonts w:ascii="Arial" w:hAnsi="Arial" w:cs="Arial"/>
                <w:b/>
                <w:bCs/>
                <w:color w:val="000000"/>
                <w:sz w:val="20"/>
                <w:szCs w:val="20"/>
              </w:rPr>
              <w:t>.</w:t>
            </w:r>
            <w:r w:rsidRPr="00F04784">
              <w:rPr>
                <w:rFonts w:ascii="Arial" w:hAnsi="Arial" w:cs="Arial"/>
                <w:b/>
                <w:bCs/>
                <w:color w:val="000000"/>
                <w:sz w:val="20"/>
                <w:szCs w:val="20"/>
              </w:rPr>
              <w:t xml:space="preserve">8 </w:t>
            </w:r>
          </w:p>
        </w:tc>
      </w:tr>
      <w:tr w:rsidR="006F7F7E" w:rsidRPr="00BB4D40" w14:paraId="7638D4B1" w14:textId="77777777" w:rsidTr="00A0607C">
        <w:trPr>
          <w:cantSplit/>
          <w:trHeight w:val="372"/>
        </w:trPr>
        <w:tc>
          <w:tcPr>
            <w:tcW w:w="2268" w:type="dxa"/>
            <w:tcBorders>
              <w:top w:val="nil"/>
              <w:left w:val="nil"/>
              <w:bottom w:val="nil"/>
              <w:right w:val="nil"/>
            </w:tcBorders>
            <w:shd w:val="clear" w:color="auto" w:fill="auto"/>
            <w:noWrap/>
            <w:vAlign w:val="center"/>
            <w:hideMark/>
          </w:tcPr>
          <w:p w14:paraId="114A0A9C" w14:textId="77777777" w:rsidR="006F7F7E" w:rsidRPr="00BB4D40" w:rsidRDefault="006F7F7E" w:rsidP="00A0607C">
            <w:pPr>
              <w:ind w:firstLine="319"/>
              <w:rPr>
                <w:rFonts w:ascii="Arial" w:hAnsi="Arial" w:cs="Arial"/>
                <w:color w:val="000000"/>
                <w:sz w:val="20"/>
                <w:szCs w:val="20"/>
              </w:rPr>
            </w:pPr>
            <w:proofErr w:type="gramStart"/>
            <w:r w:rsidRPr="00BB4D40">
              <w:rPr>
                <w:rFonts w:ascii="Arial" w:hAnsi="Arial" w:cs="Arial"/>
                <w:color w:val="000000"/>
                <w:sz w:val="20"/>
                <w:szCs w:val="20"/>
                <w:lang w:eastAsia="vi-VN"/>
              </w:rPr>
              <w:t>Rail way</w:t>
            </w:r>
            <w:proofErr w:type="gramEnd"/>
          </w:p>
        </w:tc>
        <w:tc>
          <w:tcPr>
            <w:tcW w:w="1701" w:type="dxa"/>
            <w:tcBorders>
              <w:top w:val="nil"/>
              <w:left w:val="nil"/>
              <w:bottom w:val="nil"/>
              <w:right w:val="nil"/>
            </w:tcBorders>
            <w:shd w:val="clear" w:color="auto" w:fill="auto"/>
            <w:noWrap/>
            <w:vAlign w:val="center"/>
            <w:hideMark/>
          </w:tcPr>
          <w:p w14:paraId="6085C80E"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3</w:t>
            </w:r>
            <w:r>
              <w:rPr>
                <w:rFonts w:ascii="Arial" w:hAnsi="Arial" w:cs="Arial"/>
                <w:color w:val="000000"/>
                <w:sz w:val="20"/>
                <w:szCs w:val="20"/>
              </w:rPr>
              <w:t>.</w:t>
            </w:r>
            <w:r w:rsidRPr="00F04784">
              <w:rPr>
                <w:rFonts w:ascii="Arial" w:hAnsi="Arial" w:cs="Arial"/>
                <w:color w:val="000000"/>
                <w:sz w:val="20"/>
                <w:szCs w:val="20"/>
              </w:rPr>
              <w:t xml:space="preserve">4 </w:t>
            </w:r>
          </w:p>
        </w:tc>
        <w:tc>
          <w:tcPr>
            <w:tcW w:w="1625" w:type="dxa"/>
            <w:tcBorders>
              <w:top w:val="nil"/>
              <w:left w:val="nil"/>
              <w:bottom w:val="nil"/>
              <w:right w:val="nil"/>
            </w:tcBorders>
            <w:shd w:val="clear" w:color="auto" w:fill="auto"/>
            <w:noWrap/>
            <w:vAlign w:val="center"/>
            <w:hideMark/>
          </w:tcPr>
          <w:p w14:paraId="0758A292"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2</w:t>
            </w:r>
            <w:r>
              <w:rPr>
                <w:rFonts w:ascii="Arial" w:hAnsi="Arial" w:cs="Arial"/>
                <w:color w:val="000000"/>
                <w:sz w:val="20"/>
                <w:szCs w:val="20"/>
              </w:rPr>
              <w:t>.</w:t>
            </w:r>
            <w:r w:rsidRPr="00F04784">
              <w:rPr>
                <w:rFonts w:ascii="Arial" w:hAnsi="Arial" w:cs="Arial"/>
                <w:color w:val="000000"/>
                <w:sz w:val="20"/>
                <w:szCs w:val="20"/>
              </w:rPr>
              <w:t xml:space="preserve">5 </w:t>
            </w:r>
          </w:p>
        </w:tc>
        <w:tc>
          <w:tcPr>
            <w:tcW w:w="294" w:type="dxa"/>
            <w:tcBorders>
              <w:top w:val="nil"/>
              <w:left w:val="nil"/>
              <w:bottom w:val="nil"/>
              <w:right w:val="nil"/>
            </w:tcBorders>
            <w:shd w:val="clear" w:color="auto" w:fill="auto"/>
            <w:noWrap/>
            <w:vAlign w:val="center"/>
          </w:tcPr>
          <w:p w14:paraId="6E617A93" w14:textId="77777777" w:rsidR="006F7F7E" w:rsidRPr="00F04784" w:rsidRDefault="006F7F7E" w:rsidP="00A0607C">
            <w:pPr>
              <w:spacing w:beforeLines="40" w:before="96"/>
              <w:ind w:right="447"/>
              <w:jc w:val="right"/>
              <w:rPr>
                <w:rFonts w:ascii="Arial" w:hAnsi="Arial" w:cs="Arial"/>
                <w:sz w:val="20"/>
                <w:szCs w:val="20"/>
                <w14:ligatures w14:val="standardContextual"/>
              </w:rPr>
            </w:pPr>
          </w:p>
        </w:tc>
        <w:tc>
          <w:tcPr>
            <w:tcW w:w="1499" w:type="dxa"/>
            <w:tcBorders>
              <w:top w:val="nil"/>
              <w:left w:val="nil"/>
              <w:bottom w:val="nil"/>
              <w:right w:val="nil"/>
            </w:tcBorders>
            <w:shd w:val="clear" w:color="auto" w:fill="auto"/>
            <w:noWrap/>
            <w:vAlign w:val="center"/>
          </w:tcPr>
          <w:p w14:paraId="2CA85ACE"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11</w:t>
            </w:r>
            <w:r>
              <w:rPr>
                <w:rFonts w:ascii="Arial" w:hAnsi="Arial" w:cs="Arial"/>
                <w:color w:val="000000"/>
                <w:sz w:val="20"/>
                <w:szCs w:val="20"/>
              </w:rPr>
              <w:t>.</w:t>
            </w:r>
            <w:r w:rsidRPr="00F04784">
              <w:rPr>
                <w:rFonts w:ascii="Arial" w:hAnsi="Arial" w:cs="Arial"/>
                <w:color w:val="000000"/>
                <w:sz w:val="20"/>
                <w:szCs w:val="20"/>
              </w:rPr>
              <w:t xml:space="preserve">8 </w:t>
            </w:r>
          </w:p>
        </w:tc>
        <w:tc>
          <w:tcPr>
            <w:tcW w:w="1418" w:type="dxa"/>
            <w:tcBorders>
              <w:top w:val="nil"/>
              <w:left w:val="nil"/>
              <w:bottom w:val="nil"/>
              <w:right w:val="nil"/>
            </w:tcBorders>
            <w:shd w:val="clear" w:color="auto" w:fill="auto"/>
            <w:noWrap/>
            <w:vAlign w:val="center"/>
            <w:hideMark/>
          </w:tcPr>
          <w:p w14:paraId="51B05EFC"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4</w:t>
            </w:r>
            <w:r>
              <w:rPr>
                <w:rFonts w:ascii="Arial" w:hAnsi="Arial" w:cs="Arial"/>
                <w:color w:val="000000"/>
                <w:sz w:val="20"/>
                <w:szCs w:val="20"/>
              </w:rPr>
              <w:t>.</w:t>
            </w:r>
            <w:r w:rsidRPr="00F04784">
              <w:rPr>
                <w:rFonts w:ascii="Arial" w:hAnsi="Arial" w:cs="Arial"/>
                <w:color w:val="000000"/>
                <w:sz w:val="20"/>
                <w:szCs w:val="20"/>
              </w:rPr>
              <w:t xml:space="preserve">3 </w:t>
            </w:r>
          </w:p>
        </w:tc>
      </w:tr>
      <w:tr w:rsidR="006F7F7E" w:rsidRPr="00BB4D40" w14:paraId="278FE50B" w14:textId="77777777" w:rsidTr="00A0607C">
        <w:trPr>
          <w:cantSplit/>
          <w:trHeight w:val="372"/>
        </w:trPr>
        <w:tc>
          <w:tcPr>
            <w:tcW w:w="2268" w:type="dxa"/>
            <w:tcBorders>
              <w:top w:val="nil"/>
              <w:left w:val="nil"/>
              <w:bottom w:val="nil"/>
              <w:right w:val="nil"/>
            </w:tcBorders>
            <w:shd w:val="clear" w:color="auto" w:fill="auto"/>
            <w:noWrap/>
            <w:vAlign w:val="center"/>
            <w:hideMark/>
          </w:tcPr>
          <w:p w14:paraId="7D4480C2" w14:textId="77777777" w:rsidR="006F7F7E" w:rsidRPr="00BB4D40" w:rsidRDefault="006F7F7E" w:rsidP="00A0607C">
            <w:pPr>
              <w:ind w:firstLine="319"/>
              <w:rPr>
                <w:rFonts w:ascii="Arial" w:hAnsi="Arial" w:cs="Arial"/>
                <w:color w:val="000000"/>
                <w:sz w:val="20"/>
                <w:szCs w:val="20"/>
              </w:rPr>
            </w:pPr>
            <w:r w:rsidRPr="00BB4D40">
              <w:rPr>
                <w:rFonts w:ascii="Arial" w:hAnsi="Arial" w:cs="Arial"/>
                <w:color w:val="000000"/>
                <w:sz w:val="20"/>
                <w:szCs w:val="20"/>
                <w:lang w:eastAsia="vi-VN"/>
              </w:rPr>
              <w:t>Sea way</w:t>
            </w:r>
          </w:p>
        </w:tc>
        <w:tc>
          <w:tcPr>
            <w:tcW w:w="1701" w:type="dxa"/>
            <w:tcBorders>
              <w:top w:val="nil"/>
              <w:left w:val="nil"/>
              <w:bottom w:val="nil"/>
              <w:right w:val="nil"/>
            </w:tcBorders>
            <w:shd w:val="clear" w:color="auto" w:fill="auto"/>
            <w:noWrap/>
            <w:vAlign w:val="center"/>
            <w:hideMark/>
          </w:tcPr>
          <w:p w14:paraId="480C996C"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88</w:t>
            </w:r>
            <w:r>
              <w:rPr>
                <w:rFonts w:ascii="Arial" w:hAnsi="Arial" w:cs="Arial"/>
                <w:color w:val="000000"/>
                <w:sz w:val="20"/>
                <w:szCs w:val="20"/>
              </w:rPr>
              <w:t>.</w:t>
            </w:r>
            <w:r w:rsidRPr="00F04784">
              <w:rPr>
                <w:rFonts w:ascii="Arial" w:hAnsi="Arial" w:cs="Arial"/>
                <w:color w:val="000000"/>
                <w:sz w:val="20"/>
                <w:szCs w:val="20"/>
              </w:rPr>
              <w:t xml:space="preserve">5 </w:t>
            </w:r>
          </w:p>
        </w:tc>
        <w:tc>
          <w:tcPr>
            <w:tcW w:w="1625" w:type="dxa"/>
            <w:tcBorders>
              <w:top w:val="nil"/>
              <w:left w:val="nil"/>
              <w:bottom w:val="nil"/>
              <w:right w:val="nil"/>
            </w:tcBorders>
            <w:shd w:val="clear" w:color="auto" w:fill="auto"/>
            <w:noWrap/>
            <w:vAlign w:val="center"/>
            <w:hideMark/>
          </w:tcPr>
          <w:p w14:paraId="2666A352"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181</w:t>
            </w:r>
            <w:r>
              <w:rPr>
                <w:rFonts w:ascii="Arial" w:hAnsi="Arial" w:cs="Arial"/>
                <w:color w:val="000000"/>
                <w:sz w:val="20"/>
                <w:szCs w:val="20"/>
              </w:rPr>
              <w:t>.</w:t>
            </w:r>
            <w:r w:rsidRPr="00F04784">
              <w:rPr>
                <w:rFonts w:ascii="Arial" w:hAnsi="Arial" w:cs="Arial"/>
                <w:color w:val="000000"/>
                <w:sz w:val="20"/>
                <w:szCs w:val="20"/>
              </w:rPr>
              <w:t xml:space="preserve">7 </w:t>
            </w:r>
          </w:p>
        </w:tc>
        <w:tc>
          <w:tcPr>
            <w:tcW w:w="294" w:type="dxa"/>
            <w:tcBorders>
              <w:top w:val="nil"/>
              <w:left w:val="nil"/>
              <w:bottom w:val="nil"/>
              <w:right w:val="nil"/>
            </w:tcBorders>
            <w:shd w:val="clear" w:color="auto" w:fill="auto"/>
            <w:noWrap/>
            <w:vAlign w:val="center"/>
          </w:tcPr>
          <w:p w14:paraId="4A944785" w14:textId="77777777" w:rsidR="006F7F7E" w:rsidRPr="00F04784" w:rsidRDefault="006F7F7E" w:rsidP="00A0607C">
            <w:pPr>
              <w:spacing w:beforeLines="40" w:before="96"/>
              <w:ind w:right="447"/>
              <w:jc w:val="right"/>
              <w:rPr>
                <w:rFonts w:ascii="Arial" w:hAnsi="Arial" w:cs="Arial"/>
                <w:sz w:val="20"/>
                <w:szCs w:val="20"/>
                <w14:ligatures w14:val="standardContextual"/>
              </w:rPr>
            </w:pPr>
          </w:p>
        </w:tc>
        <w:tc>
          <w:tcPr>
            <w:tcW w:w="1499" w:type="dxa"/>
            <w:tcBorders>
              <w:top w:val="nil"/>
              <w:left w:val="nil"/>
              <w:bottom w:val="nil"/>
              <w:right w:val="nil"/>
            </w:tcBorders>
            <w:shd w:val="clear" w:color="auto" w:fill="auto"/>
            <w:noWrap/>
            <w:vAlign w:val="center"/>
          </w:tcPr>
          <w:p w14:paraId="3588A524"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15</w:t>
            </w:r>
            <w:r>
              <w:rPr>
                <w:rFonts w:ascii="Arial" w:hAnsi="Arial" w:cs="Arial"/>
                <w:color w:val="000000"/>
                <w:sz w:val="20"/>
                <w:szCs w:val="20"/>
              </w:rPr>
              <w:t>.</w:t>
            </w:r>
            <w:r w:rsidRPr="00F04784">
              <w:rPr>
                <w:rFonts w:ascii="Arial" w:hAnsi="Arial" w:cs="Arial"/>
                <w:color w:val="000000"/>
                <w:sz w:val="20"/>
                <w:szCs w:val="20"/>
              </w:rPr>
              <w:t xml:space="preserve">2 </w:t>
            </w:r>
          </w:p>
        </w:tc>
        <w:tc>
          <w:tcPr>
            <w:tcW w:w="1418" w:type="dxa"/>
            <w:tcBorders>
              <w:top w:val="nil"/>
              <w:left w:val="nil"/>
              <w:bottom w:val="nil"/>
              <w:right w:val="nil"/>
            </w:tcBorders>
            <w:shd w:val="clear" w:color="auto" w:fill="auto"/>
            <w:noWrap/>
            <w:vAlign w:val="center"/>
            <w:hideMark/>
          </w:tcPr>
          <w:p w14:paraId="5634182A"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10</w:t>
            </w:r>
            <w:r>
              <w:rPr>
                <w:rFonts w:ascii="Arial" w:hAnsi="Arial" w:cs="Arial"/>
                <w:color w:val="000000"/>
                <w:sz w:val="20"/>
                <w:szCs w:val="20"/>
              </w:rPr>
              <w:t>.</w:t>
            </w:r>
            <w:r w:rsidRPr="00F04784">
              <w:rPr>
                <w:rFonts w:ascii="Arial" w:hAnsi="Arial" w:cs="Arial"/>
                <w:color w:val="000000"/>
                <w:sz w:val="20"/>
                <w:szCs w:val="20"/>
              </w:rPr>
              <w:t xml:space="preserve">7 </w:t>
            </w:r>
          </w:p>
        </w:tc>
      </w:tr>
      <w:tr w:rsidR="006F7F7E" w:rsidRPr="00BB4D40" w14:paraId="1FF5A14F" w14:textId="77777777" w:rsidTr="00A0607C">
        <w:trPr>
          <w:cantSplit/>
          <w:trHeight w:val="372"/>
        </w:trPr>
        <w:tc>
          <w:tcPr>
            <w:tcW w:w="2268" w:type="dxa"/>
            <w:tcBorders>
              <w:top w:val="nil"/>
              <w:left w:val="nil"/>
              <w:bottom w:val="nil"/>
              <w:right w:val="nil"/>
            </w:tcBorders>
            <w:shd w:val="clear" w:color="auto" w:fill="auto"/>
            <w:noWrap/>
            <w:vAlign w:val="center"/>
            <w:hideMark/>
          </w:tcPr>
          <w:p w14:paraId="56528C0B" w14:textId="77777777" w:rsidR="006F7F7E" w:rsidRPr="00BB4D40" w:rsidRDefault="006F7F7E" w:rsidP="00A0607C">
            <w:pPr>
              <w:ind w:firstLine="319"/>
              <w:rPr>
                <w:rFonts w:ascii="Arial" w:hAnsi="Arial" w:cs="Arial"/>
                <w:color w:val="000000"/>
                <w:sz w:val="20"/>
                <w:szCs w:val="20"/>
              </w:rPr>
            </w:pPr>
            <w:r w:rsidRPr="00BB4D40">
              <w:rPr>
                <w:rFonts w:ascii="Arial" w:hAnsi="Arial" w:cs="Arial"/>
                <w:color w:val="000000"/>
                <w:sz w:val="20"/>
                <w:szCs w:val="20"/>
                <w:lang w:eastAsia="vi-VN"/>
              </w:rPr>
              <w:t>Inland water way</w:t>
            </w:r>
          </w:p>
        </w:tc>
        <w:tc>
          <w:tcPr>
            <w:tcW w:w="1701" w:type="dxa"/>
            <w:tcBorders>
              <w:top w:val="nil"/>
              <w:left w:val="nil"/>
              <w:bottom w:val="nil"/>
              <w:right w:val="nil"/>
            </w:tcBorders>
            <w:shd w:val="clear" w:color="auto" w:fill="auto"/>
            <w:noWrap/>
            <w:vAlign w:val="center"/>
            <w:hideMark/>
          </w:tcPr>
          <w:p w14:paraId="37D372EA"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363</w:t>
            </w:r>
            <w:r>
              <w:rPr>
                <w:rFonts w:ascii="Arial" w:hAnsi="Arial" w:cs="Arial"/>
                <w:color w:val="000000"/>
                <w:sz w:val="20"/>
                <w:szCs w:val="20"/>
              </w:rPr>
              <w:t>.</w:t>
            </w:r>
            <w:r w:rsidRPr="00F04784">
              <w:rPr>
                <w:rFonts w:ascii="Arial" w:hAnsi="Arial" w:cs="Arial"/>
                <w:color w:val="000000"/>
                <w:sz w:val="20"/>
                <w:szCs w:val="20"/>
              </w:rPr>
              <w:t xml:space="preserve">5 </w:t>
            </w:r>
          </w:p>
        </w:tc>
        <w:tc>
          <w:tcPr>
            <w:tcW w:w="1625" w:type="dxa"/>
            <w:tcBorders>
              <w:top w:val="nil"/>
              <w:left w:val="nil"/>
              <w:bottom w:val="nil"/>
              <w:right w:val="nil"/>
            </w:tcBorders>
            <w:shd w:val="clear" w:color="auto" w:fill="auto"/>
            <w:noWrap/>
            <w:vAlign w:val="center"/>
            <w:hideMark/>
          </w:tcPr>
          <w:p w14:paraId="45EC4A95"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80</w:t>
            </w:r>
            <w:r>
              <w:rPr>
                <w:rFonts w:ascii="Arial" w:hAnsi="Arial" w:cs="Arial"/>
                <w:color w:val="000000"/>
                <w:sz w:val="20"/>
                <w:szCs w:val="20"/>
              </w:rPr>
              <w:t>.</w:t>
            </w:r>
            <w:r w:rsidRPr="00F04784">
              <w:rPr>
                <w:rFonts w:ascii="Arial" w:hAnsi="Arial" w:cs="Arial"/>
                <w:color w:val="000000"/>
                <w:sz w:val="20"/>
                <w:szCs w:val="20"/>
              </w:rPr>
              <w:t xml:space="preserve">4 </w:t>
            </w:r>
          </w:p>
        </w:tc>
        <w:tc>
          <w:tcPr>
            <w:tcW w:w="294" w:type="dxa"/>
            <w:tcBorders>
              <w:top w:val="nil"/>
              <w:left w:val="nil"/>
              <w:bottom w:val="nil"/>
              <w:right w:val="nil"/>
            </w:tcBorders>
            <w:shd w:val="clear" w:color="auto" w:fill="auto"/>
            <w:noWrap/>
            <w:vAlign w:val="center"/>
          </w:tcPr>
          <w:p w14:paraId="14F60C39" w14:textId="77777777" w:rsidR="006F7F7E" w:rsidRPr="00F04784" w:rsidRDefault="006F7F7E" w:rsidP="00A0607C">
            <w:pPr>
              <w:spacing w:beforeLines="40" w:before="96"/>
              <w:ind w:right="447"/>
              <w:jc w:val="right"/>
              <w:rPr>
                <w:rFonts w:ascii="Arial" w:hAnsi="Arial" w:cs="Arial"/>
                <w:sz w:val="20"/>
                <w:szCs w:val="20"/>
                <w14:ligatures w14:val="standardContextual"/>
              </w:rPr>
            </w:pPr>
          </w:p>
        </w:tc>
        <w:tc>
          <w:tcPr>
            <w:tcW w:w="1499" w:type="dxa"/>
            <w:tcBorders>
              <w:top w:val="nil"/>
              <w:left w:val="nil"/>
              <w:bottom w:val="nil"/>
              <w:right w:val="nil"/>
            </w:tcBorders>
            <w:shd w:val="clear" w:color="auto" w:fill="auto"/>
            <w:noWrap/>
            <w:vAlign w:val="center"/>
          </w:tcPr>
          <w:p w14:paraId="3E3FB53B"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13</w:t>
            </w:r>
            <w:r>
              <w:rPr>
                <w:rFonts w:ascii="Arial" w:hAnsi="Arial" w:cs="Arial"/>
                <w:color w:val="000000"/>
                <w:sz w:val="20"/>
                <w:szCs w:val="20"/>
              </w:rPr>
              <w:t>.</w:t>
            </w:r>
            <w:r w:rsidRPr="00F04784">
              <w:rPr>
                <w:rFonts w:ascii="Arial" w:hAnsi="Arial" w:cs="Arial"/>
                <w:color w:val="000000"/>
                <w:sz w:val="20"/>
                <w:szCs w:val="20"/>
              </w:rPr>
              <w:t xml:space="preserve">0 </w:t>
            </w:r>
          </w:p>
        </w:tc>
        <w:tc>
          <w:tcPr>
            <w:tcW w:w="1418" w:type="dxa"/>
            <w:tcBorders>
              <w:top w:val="nil"/>
              <w:left w:val="nil"/>
              <w:bottom w:val="nil"/>
              <w:right w:val="nil"/>
            </w:tcBorders>
            <w:shd w:val="clear" w:color="auto" w:fill="auto"/>
            <w:noWrap/>
            <w:vAlign w:val="center"/>
            <w:hideMark/>
          </w:tcPr>
          <w:p w14:paraId="2D188010"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14</w:t>
            </w:r>
            <w:r>
              <w:rPr>
                <w:rFonts w:ascii="Arial" w:hAnsi="Arial" w:cs="Arial"/>
                <w:color w:val="000000"/>
                <w:sz w:val="20"/>
                <w:szCs w:val="20"/>
              </w:rPr>
              <w:t>.</w:t>
            </w:r>
            <w:r w:rsidRPr="00F04784">
              <w:rPr>
                <w:rFonts w:ascii="Arial" w:hAnsi="Arial" w:cs="Arial"/>
                <w:color w:val="000000"/>
                <w:sz w:val="20"/>
                <w:szCs w:val="20"/>
              </w:rPr>
              <w:t xml:space="preserve">0 </w:t>
            </w:r>
          </w:p>
        </w:tc>
      </w:tr>
      <w:tr w:rsidR="006F7F7E" w:rsidRPr="00BB4D40" w14:paraId="21F0DD40" w14:textId="77777777" w:rsidTr="00A0607C">
        <w:trPr>
          <w:cantSplit/>
          <w:trHeight w:val="372"/>
        </w:trPr>
        <w:tc>
          <w:tcPr>
            <w:tcW w:w="2268" w:type="dxa"/>
            <w:tcBorders>
              <w:top w:val="nil"/>
              <w:left w:val="nil"/>
              <w:bottom w:val="nil"/>
              <w:right w:val="nil"/>
            </w:tcBorders>
            <w:shd w:val="clear" w:color="auto" w:fill="auto"/>
            <w:noWrap/>
            <w:vAlign w:val="center"/>
            <w:hideMark/>
          </w:tcPr>
          <w:p w14:paraId="2D3A0FB8" w14:textId="77777777" w:rsidR="006F7F7E" w:rsidRPr="00BB4D40" w:rsidRDefault="006F7F7E" w:rsidP="00A0607C">
            <w:pPr>
              <w:ind w:firstLine="319"/>
              <w:rPr>
                <w:rFonts w:ascii="Arial" w:hAnsi="Arial" w:cs="Arial"/>
                <w:color w:val="000000"/>
                <w:sz w:val="20"/>
                <w:szCs w:val="20"/>
              </w:rPr>
            </w:pPr>
            <w:r w:rsidRPr="00BB4D40">
              <w:rPr>
                <w:rFonts w:ascii="Arial" w:hAnsi="Arial" w:cs="Arial"/>
                <w:color w:val="000000"/>
                <w:sz w:val="20"/>
                <w:szCs w:val="20"/>
                <w:lang w:eastAsia="vi-VN"/>
              </w:rPr>
              <w:t>Road</w:t>
            </w:r>
          </w:p>
        </w:tc>
        <w:tc>
          <w:tcPr>
            <w:tcW w:w="1701" w:type="dxa"/>
            <w:tcBorders>
              <w:top w:val="nil"/>
              <w:left w:val="nil"/>
              <w:bottom w:val="nil"/>
              <w:right w:val="nil"/>
            </w:tcBorders>
            <w:shd w:val="clear" w:color="auto" w:fill="auto"/>
            <w:noWrap/>
            <w:vAlign w:val="center"/>
            <w:hideMark/>
          </w:tcPr>
          <w:p w14:paraId="2779CC47"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1</w:t>
            </w:r>
            <w:r>
              <w:rPr>
                <w:rFonts w:ascii="Arial" w:hAnsi="Arial" w:cs="Arial"/>
                <w:color w:val="000000"/>
                <w:sz w:val="20"/>
                <w:szCs w:val="20"/>
              </w:rPr>
              <w:t>,</w:t>
            </w:r>
            <w:r w:rsidRPr="00F04784">
              <w:rPr>
                <w:rFonts w:ascii="Arial" w:hAnsi="Arial" w:cs="Arial"/>
                <w:color w:val="000000"/>
                <w:sz w:val="20"/>
                <w:szCs w:val="20"/>
              </w:rPr>
              <w:t>230</w:t>
            </w:r>
            <w:r>
              <w:rPr>
                <w:rFonts w:ascii="Arial" w:hAnsi="Arial" w:cs="Arial"/>
                <w:color w:val="000000"/>
                <w:sz w:val="20"/>
                <w:szCs w:val="20"/>
              </w:rPr>
              <w:t>.</w:t>
            </w:r>
            <w:r w:rsidRPr="00F04784">
              <w:rPr>
                <w:rFonts w:ascii="Arial" w:hAnsi="Arial" w:cs="Arial"/>
                <w:color w:val="000000"/>
                <w:sz w:val="20"/>
                <w:szCs w:val="20"/>
              </w:rPr>
              <w:t xml:space="preserve">6 </w:t>
            </w:r>
          </w:p>
        </w:tc>
        <w:tc>
          <w:tcPr>
            <w:tcW w:w="1625" w:type="dxa"/>
            <w:tcBorders>
              <w:top w:val="nil"/>
              <w:left w:val="nil"/>
              <w:bottom w:val="nil"/>
              <w:right w:val="nil"/>
            </w:tcBorders>
            <w:shd w:val="clear" w:color="auto" w:fill="auto"/>
            <w:noWrap/>
            <w:vAlign w:val="center"/>
            <w:hideMark/>
          </w:tcPr>
          <w:p w14:paraId="069E8FBF"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79</w:t>
            </w:r>
            <w:r>
              <w:rPr>
                <w:rFonts w:ascii="Arial" w:hAnsi="Arial" w:cs="Arial"/>
                <w:color w:val="000000"/>
                <w:sz w:val="20"/>
                <w:szCs w:val="20"/>
              </w:rPr>
              <w:t>.</w:t>
            </w:r>
            <w:r w:rsidRPr="00F04784">
              <w:rPr>
                <w:rFonts w:ascii="Arial" w:hAnsi="Arial" w:cs="Arial"/>
                <w:color w:val="000000"/>
                <w:sz w:val="20"/>
                <w:szCs w:val="20"/>
              </w:rPr>
              <w:t xml:space="preserve">7 </w:t>
            </w:r>
          </w:p>
        </w:tc>
        <w:tc>
          <w:tcPr>
            <w:tcW w:w="294" w:type="dxa"/>
            <w:tcBorders>
              <w:top w:val="nil"/>
              <w:left w:val="nil"/>
              <w:bottom w:val="nil"/>
              <w:right w:val="nil"/>
            </w:tcBorders>
            <w:shd w:val="clear" w:color="auto" w:fill="auto"/>
            <w:noWrap/>
            <w:vAlign w:val="center"/>
          </w:tcPr>
          <w:p w14:paraId="0BFD3E99" w14:textId="77777777" w:rsidR="006F7F7E" w:rsidRPr="00F04784" w:rsidRDefault="006F7F7E" w:rsidP="00A0607C">
            <w:pPr>
              <w:spacing w:beforeLines="40" w:before="96"/>
              <w:ind w:right="447"/>
              <w:jc w:val="right"/>
              <w:rPr>
                <w:rFonts w:ascii="Arial" w:hAnsi="Arial" w:cs="Arial"/>
                <w:sz w:val="20"/>
                <w:szCs w:val="20"/>
                <w14:ligatures w14:val="standardContextual"/>
              </w:rPr>
            </w:pPr>
          </w:p>
        </w:tc>
        <w:tc>
          <w:tcPr>
            <w:tcW w:w="1499" w:type="dxa"/>
            <w:tcBorders>
              <w:top w:val="nil"/>
              <w:left w:val="nil"/>
              <w:bottom w:val="nil"/>
              <w:right w:val="nil"/>
            </w:tcBorders>
            <w:shd w:val="clear" w:color="auto" w:fill="auto"/>
            <w:noWrap/>
            <w:vAlign w:val="center"/>
          </w:tcPr>
          <w:p w14:paraId="0D572D81"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12</w:t>
            </w:r>
            <w:r>
              <w:rPr>
                <w:rFonts w:ascii="Arial" w:hAnsi="Arial" w:cs="Arial"/>
                <w:color w:val="000000"/>
                <w:sz w:val="20"/>
                <w:szCs w:val="20"/>
              </w:rPr>
              <w:t>.</w:t>
            </w:r>
            <w:r w:rsidRPr="00F04784">
              <w:rPr>
                <w:rFonts w:ascii="Arial" w:hAnsi="Arial" w:cs="Arial"/>
                <w:color w:val="000000"/>
                <w:sz w:val="20"/>
                <w:szCs w:val="20"/>
              </w:rPr>
              <w:t xml:space="preserve">8 </w:t>
            </w:r>
          </w:p>
        </w:tc>
        <w:tc>
          <w:tcPr>
            <w:tcW w:w="1418" w:type="dxa"/>
            <w:tcBorders>
              <w:top w:val="nil"/>
              <w:left w:val="nil"/>
              <w:bottom w:val="nil"/>
              <w:right w:val="nil"/>
            </w:tcBorders>
            <w:shd w:val="clear" w:color="auto" w:fill="auto"/>
            <w:noWrap/>
            <w:vAlign w:val="center"/>
            <w:hideMark/>
          </w:tcPr>
          <w:p w14:paraId="647970FF"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11</w:t>
            </w:r>
            <w:r>
              <w:rPr>
                <w:rFonts w:ascii="Arial" w:hAnsi="Arial" w:cs="Arial"/>
                <w:color w:val="000000"/>
                <w:sz w:val="20"/>
                <w:szCs w:val="20"/>
              </w:rPr>
              <w:t>.</w:t>
            </w:r>
            <w:r w:rsidRPr="00F04784">
              <w:rPr>
                <w:rFonts w:ascii="Arial" w:hAnsi="Arial" w:cs="Arial"/>
                <w:color w:val="000000"/>
                <w:sz w:val="20"/>
                <w:szCs w:val="20"/>
              </w:rPr>
              <w:t xml:space="preserve">5 </w:t>
            </w:r>
          </w:p>
        </w:tc>
      </w:tr>
      <w:tr w:rsidR="006F7F7E" w:rsidRPr="00BB4D40" w14:paraId="4C98FFF6" w14:textId="77777777" w:rsidTr="00A0607C">
        <w:trPr>
          <w:cantSplit/>
          <w:trHeight w:val="372"/>
        </w:trPr>
        <w:tc>
          <w:tcPr>
            <w:tcW w:w="2268" w:type="dxa"/>
            <w:tcBorders>
              <w:top w:val="nil"/>
              <w:left w:val="nil"/>
              <w:bottom w:val="single" w:sz="4" w:space="0" w:color="auto"/>
              <w:right w:val="nil"/>
            </w:tcBorders>
            <w:shd w:val="clear" w:color="auto" w:fill="auto"/>
            <w:noWrap/>
            <w:vAlign w:val="center"/>
            <w:hideMark/>
          </w:tcPr>
          <w:p w14:paraId="3064A855" w14:textId="77777777" w:rsidR="006F7F7E" w:rsidRPr="00BB4D40" w:rsidRDefault="006F7F7E" w:rsidP="00A0607C">
            <w:pPr>
              <w:ind w:firstLine="319"/>
              <w:rPr>
                <w:rFonts w:ascii="Arial" w:hAnsi="Arial" w:cs="Arial"/>
                <w:color w:val="000000"/>
                <w:sz w:val="20"/>
                <w:szCs w:val="20"/>
              </w:rPr>
            </w:pPr>
            <w:r w:rsidRPr="00BB4D40">
              <w:rPr>
                <w:rFonts w:ascii="Arial" w:hAnsi="Arial" w:cs="Arial"/>
                <w:color w:val="000000"/>
                <w:sz w:val="20"/>
                <w:szCs w:val="20"/>
                <w:lang w:eastAsia="vi-VN"/>
              </w:rPr>
              <w:t xml:space="preserve">Airway </w:t>
            </w:r>
          </w:p>
        </w:tc>
        <w:tc>
          <w:tcPr>
            <w:tcW w:w="1701" w:type="dxa"/>
            <w:tcBorders>
              <w:top w:val="nil"/>
              <w:left w:val="nil"/>
              <w:bottom w:val="single" w:sz="4" w:space="0" w:color="auto"/>
              <w:right w:val="nil"/>
            </w:tcBorders>
            <w:shd w:val="clear" w:color="auto" w:fill="auto"/>
            <w:noWrap/>
            <w:vAlign w:val="center"/>
            <w:hideMark/>
          </w:tcPr>
          <w:p w14:paraId="209A94AE"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0</w:t>
            </w:r>
            <w:r>
              <w:rPr>
                <w:rFonts w:ascii="Arial" w:hAnsi="Arial" w:cs="Arial"/>
                <w:color w:val="000000"/>
                <w:sz w:val="20"/>
                <w:szCs w:val="20"/>
              </w:rPr>
              <w:t>.</w:t>
            </w:r>
            <w:r w:rsidRPr="00F04784">
              <w:rPr>
                <w:rFonts w:ascii="Arial" w:hAnsi="Arial" w:cs="Arial"/>
                <w:color w:val="000000"/>
                <w:sz w:val="20"/>
                <w:szCs w:val="20"/>
              </w:rPr>
              <w:t xml:space="preserve">3 </w:t>
            </w:r>
          </w:p>
        </w:tc>
        <w:tc>
          <w:tcPr>
            <w:tcW w:w="1625" w:type="dxa"/>
            <w:tcBorders>
              <w:top w:val="nil"/>
              <w:left w:val="nil"/>
              <w:bottom w:val="single" w:sz="4" w:space="0" w:color="auto"/>
              <w:right w:val="nil"/>
            </w:tcBorders>
            <w:shd w:val="clear" w:color="auto" w:fill="auto"/>
            <w:noWrap/>
            <w:vAlign w:val="center"/>
            <w:hideMark/>
          </w:tcPr>
          <w:p w14:paraId="65469BD8"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6</w:t>
            </w:r>
            <w:r>
              <w:rPr>
                <w:rFonts w:ascii="Arial" w:hAnsi="Arial" w:cs="Arial"/>
                <w:color w:val="000000"/>
                <w:sz w:val="20"/>
                <w:szCs w:val="20"/>
              </w:rPr>
              <w:t>.</w:t>
            </w:r>
            <w:r w:rsidRPr="00F04784">
              <w:rPr>
                <w:rFonts w:ascii="Arial" w:hAnsi="Arial" w:cs="Arial"/>
                <w:color w:val="000000"/>
                <w:sz w:val="20"/>
                <w:szCs w:val="20"/>
              </w:rPr>
              <w:t xml:space="preserve">9 </w:t>
            </w:r>
          </w:p>
        </w:tc>
        <w:tc>
          <w:tcPr>
            <w:tcW w:w="294" w:type="dxa"/>
            <w:tcBorders>
              <w:top w:val="nil"/>
              <w:left w:val="nil"/>
              <w:bottom w:val="single" w:sz="4" w:space="0" w:color="auto"/>
              <w:right w:val="nil"/>
            </w:tcBorders>
            <w:shd w:val="clear" w:color="auto" w:fill="auto"/>
            <w:noWrap/>
            <w:vAlign w:val="center"/>
          </w:tcPr>
          <w:p w14:paraId="60D595FE" w14:textId="77777777" w:rsidR="006F7F7E" w:rsidRPr="00F04784" w:rsidRDefault="006F7F7E" w:rsidP="00A0607C">
            <w:pPr>
              <w:spacing w:beforeLines="40" w:before="96"/>
              <w:ind w:right="447"/>
              <w:jc w:val="right"/>
              <w:rPr>
                <w:rFonts w:ascii="Arial" w:hAnsi="Arial" w:cs="Arial"/>
                <w:sz w:val="20"/>
                <w:szCs w:val="20"/>
                <w14:ligatures w14:val="standardContextual"/>
              </w:rPr>
            </w:pPr>
          </w:p>
        </w:tc>
        <w:tc>
          <w:tcPr>
            <w:tcW w:w="1499" w:type="dxa"/>
            <w:tcBorders>
              <w:top w:val="nil"/>
              <w:left w:val="nil"/>
              <w:bottom w:val="single" w:sz="4" w:space="0" w:color="auto"/>
              <w:right w:val="nil"/>
            </w:tcBorders>
            <w:shd w:val="clear" w:color="auto" w:fill="auto"/>
            <w:noWrap/>
            <w:vAlign w:val="center"/>
          </w:tcPr>
          <w:p w14:paraId="7CE81A05"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42</w:t>
            </w:r>
            <w:r>
              <w:rPr>
                <w:rFonts w:ascii="Arial" w:hAnsi="Arial" w:cs="Arial"/>
                <w:color w:val="000000"/>
                <w:sz w:val="20"/>
                <w:szCs w:val="20"/>
              </w:rPr>
              <w:t>.</w:t>
            </w:r>
            <w:r w:rsidRPr="00F04784">
              <w:rPr>
                <w:rFonts w:ascii="Arial" w:hAnsi="Arial" w:cs="Arial"/>
                <w:color w:val="000000"/>
                <w:sz w:val="20"/>
                <w:szCs w:val="20"/>
              </w:rPr>
              <w:t xml:space="preserve">7 </w:t>
            </w:r>
          </w:p>
        </w:tc>
        <w:tc>
          <w:tcPr>
            <w:tcW w:w="1418" w:type="dxa"/>
            <w:tcBorders>
              <w:top w:val="nil"/>
              <w:left w:val="nil"/>
              <w:bottom w:val="single" w:sz="4" w:space="0" w:color="auto"/>
              <w:right w:val="nil"/>
            </w:tcBorders>
            <w:shd w:val="clear" w:color="auto" w:fill="auto"/>
            <w:noWrap/>
            <w:vAlign w:val="center"/>
            <w:hideMark/>
          </w:tcPr>
          <w:p w14:paraId="6F3B2F78" w14:textId="77777777" w:rsidR="006F7F7E" w:rsidRPr="00F04784" w:rsidRDefault="006F7F7E" w:rsidP="00A0607C">
            <w:pPr>
              <w:spacing w:beforeLines="40" w:before="96"/>
              <w:ind w:right="447"/>
              <w:jc w:val="right"/>
              <w:rPr>
                <w:rFonts w:ascii="Arial" w:hAnsi="Arial" w:cs="Arial"/>
                <w:sz w:val="20"/>
                <w:szCs w:val="20"/>
                <w14:ligatures w14:val="standardContextual"/>
              </w:rPr>
            </w:pPr>
            <w:r w:rsidRPr="00F04784">
              <w:rPr>
                <w:rFonts w:ascii="Arial" w:hAnsi="Arial" w:cs="Arial"/>
                <w:color w:val="000000"/>
                <w:sz w:val="20"/>
                <w:szCs w:val="20"/>
              </w:rPr>
              <w:t xml:space="preserve">      26</w:t>
            </w:r>
            <w:r>
              <w:rPr>
                <w:rFonts w:ascii="Arial" w:hAnsi="Arial" w:cs="Arial"/>
                <w:color w:val="000000"/>
                <w:sz w:val="20"/>
                <w:szCs w:val="20"/>
              </w:rPr>
              <w:t>.</w:t>
            </w:r>
            <w:r w:rsidRPr="00F04784">
              <w:rPr>
                <w:rFonts w:ascii="Arial" w:hAnsi="Arial" w:cs="Arial"/>
                <w:color w:val="000000"/>
                <w:sz w:val="20"/>
                <w:szCs w:val="20"/>
              </w:rPr>
              <w:t xml:space="preserve">6 </w:t>
            </w:r>
          </w:p>
        </w:tc>
      </w:tr>
    </w:tbl>
    <w:p w14:paraId="24A05377" w14:textId="77777777" w:rsidR="006F7F7E" w:rsidRPr="00BB4D40" w:rsidRDefault="006F7F7E" w:rsidP="006F7F7E">
      <w:pPr>
        <w:spacing w:beforeLines="40" w:before="96" w:afterLines="40" w:after="96" w:line="264" w:lineRule="auto"/>
        <w:ind w:firstLine="567"/>
        <w:jc w:val="center"/>
        <w:rPr>
          <w:rFonts w:ascii="Arial" w:hAnsi="Arial" w:cs="Arial"/>
          <w:b/>
          <w:bCs/>
          <w:sz w:val="2"/>
          <w:szCs w:val="24"/>
          <w:lang w:val="fr-FR"/>
        </w:rPr>
      </w:pPr>
    </w:p>
    <w:p w14:paraId="35AEC091" w14:textId="77777777" w:rsidR="006F7F7E" w:rsidRPr="00BB4D40" w:rsidRDefault="006F7F7E" w:rsidP="006F7F7E">
      <w:pPr>
        <w:spacing w:beforeLines="40" w:before="96" w:afterLines="40" w:after="96" w:line="293" w:lineRule="auto"/>
        <w:jc w:val="both"/>
        <w:rPr>
          <w:b/>
          <w:bCs/>
          <w:i/>
        </w:rPr>
      </w:pPr>
      <w:r w:rsidRPr="00BB4D40">
        <w:rPr>
          <w:b/>
          <w:bCs/>
          <w:i/>
          <w:iCs/>
          <w:lang w:val="pt-BR"/>
        </w:rPr>
        <w:lastRenderedPageBreak/>
        <w:t xml:space="preserve">đ) </w:t>
      </w:r>
      <w:r w:rsidRPr="00BB4D40">
        <w:rPr>
          <w:rFonts w:ascii="Times New Roman Bold Italic" w:hAnsi="Times New Roman Bold Italic"/>
          <w:b/>
          <w:i/>
          <w:iCs/>
          <w:lang w:val="fr-FR"/>
        </w:rPr>
        <w:t>International visitors to Viet Nam</w:t>
      </w:r>
      <w:r w:rsidRPr="00BB4D40">
        <w:rPr>
          <w:rStyle w:val="FootnoteReference"/>
          <w:rFonts w:ascii="Times New Roman Bold Italic" w:eastAsiaTheme="majorEastAsia" w:hAnsi="Times New Roman Bold Italic"/>
          <w:b/>
          <w:i/>
          <w:iCs/>
        </w:rPr>
        <w:footnoteReference w:id="25"/>
      </w:r>
    </w:p>
    <w:p w14:paraId="0C1E4755" w14:textId="77777777" w:rsidR="006F7F7E" w:rsidRDefault="006F7F7E" w:rsidP="006F7F7E">
      <w:pPr>
        <w:shd w:val="clear" w:color="auto" w:fill="FFFFFF"/>
        <w:spacing w:beforeLines="40" w:before="96" w:afterLines="40" w:after="96" w:line="293" w:lineRule="auto"/>
        <w:ind w:firstLine="567"/>
        <w:jc w:val="both"/>
        <w:rPr>
          <w:i/>
          <w:iCs/>
          <w:lang w:val="fr-FR"/>
        </w:rPr>
      </w:pPr>
      <w:r w:rsidRPr="008A7BD1">
        <w:rPr>
          <w:i/>
          <w:iCs/>
          <w:lang w:val="fr-FR"/>
        </w:rPr>
        <w:t>Favorable visa policies, enhanced tourism promotion programs, and prestigious tourism awards presented by international organizations have attracted an increasing number of international visitors to Vietnam.</w:t>
      </w:r>
    </w:p>
    <w:p w14:paraId="00A33464" w14:textId="77777777" w:rsidR="006F7F7E" w:rsidRPr="003A2BF7" w:rsidRDefault="006F7F7E" w:rsidP="006F7F7E">
      <w:pPr>
        <w:shd w:val="clear" w:color="auto" w:fill="FFFFFF"/>
        <w:spacing w:beforeLines="40" w:before="96" w:afterLines="40" w:after="96" w:line="293" w:lineRule="auto"/>
        <w:ind w:firstLine="567"/>
        <w:jc w:val="both"/>
        <w:rPr>
          <w:lang w:val="fr-FR"/>
        </w:rPr>
      </w:pPr>
      <w:r w:rsidRPr="003A2BF7">
        <w:rPr>
          <w:lang w:val="fr-FR"/>
        </w:rPr>
        <w:t xml:space="preserve">In </w:t>
      </w:r>
      <w:r>
        <w:rPr>
          <w:lang w:val="fr-FR"/>
        </w:rPr>
        <w:t>8/2024</w:t>
      </w:r>
      <w:r w:rsidRPr="003A2BF7">
        <w:rPr>
          <w:rStyle w:val="FootnoteReference"/>
          <w:rFonts w:eastAsiaTheme="majorEastAsia"/>
          <w:lang w:val="fr-FR"/>
        </w:rPr>
        <w:footnoteReference w:id="26"/>
      </w:r>
      <w:r w:rsidRPr="003A2BF7">
        <w:rPr>
          <w:lang w:val="fr-FR"/>
        </w:rPr>
        <w:t>, the number of international visitors to Viet Nam reached 1.</w:t>
      </w:r>
      <w:r>
        <w:rPr>
          <w:lang w:val="fr-FR"/>
        </w:rPr>
        <w:t>43</w:t>
      </w:r>
      <w:r w:rsidRPr="003A2BF7">
        <w:rPr>
          <w:lang w:val="fr-FR"/>
        </w:rPr>
        <w:t xml:space="preserve"> million</w:t>
      </w:r>
      <w:r>
        <w:rPr>
          <w:lang w:val="fr-FR"/>
        </w:rPr>
        <w:t>,</w:t>
      </w:r>
      <w:r w:rsidRPr="003A2BF7">
        <w:rPr>
          <w:lang w:val="fr-FR"/>
        </w:rPr>
        <w:t xml:space="preserve"> </w:t>
      </w:r>
      <w:bookmarkStart w:id="11" w:name="_Hlk149633866"/>
      <w:r w:rsidRPr="003A2BF7">
        <w:rPr>
          <w:lang w:val="fr-FR"/>
        </w:rPr>
        <w:t xml:space="preserve">increased by </w:t>
      </w:r>
      <w:r>
        <w:rPr>
          <w:lang w:val="fr-FR"/>
        </w:rPr>
        <w:t>17.7</w:t>
      </w:r>
      <w:r w:rsidRPr="003A2BF7">
        <w:rPr>
          <w:lang w:val="fr-FR"/>
        </w:rPr>
        <w:t xml:space="preserve">% </w:t>
      </w:r>
      <w:bookmarkEnd w:id="11"/>
      <w:r w:rsidRPr="003A2BF7">
        <w:rPr>
          <w:lang w:val="fr-FR"/>
        </w:rPr>
        <w:t xml:space="preserve">compared to the same period last year. In </w:t>
      </w:r>
      <w:r>
        <w:rPr>
          <w:lang w:val="fr-FR"/>
        </w:rPr>
        <w:t xml:space="preserve">eight months </w:t>
      </w:r>
      <w:r w:rsidRPr="003A2BF7">
        <w:rPr>
          <w:lang w:val="fr-FR"/>
        </w:rPr>
        <w:t xml:space="preserve">of </w:t>
      </w:r>
      <w:proofErr w:type="gramStart"/>
      <w:r w:rsidRPr="003A2BF7">
        <w:rPr>
          <w:lang w:val="fr-FR"/>
        </w:rPr>
        <w:t>2024,  international</w:t>
      </w:r>
      <w:proofErr w:type="gramEnd"/>
      <w:r w:rsidRPr="003A2BF7">
        <w:rPr>
          <w:lang w:val="fr-FR"/>
        </w:rPr>
        <w:t xml:space="preserve"> visitors to our country reached</w:t>
      </w:r>
      <w:bookmarkStart w:id="12" w:name="_Hlk149633887"/>
      <w:r w:rsidRPr="003A2BF7">
        <w:rPr>
          <w:lang w:val="fr-FR"/>
        </w:rPr>
        <w:t xml:space="preserve"> nearly </w:t>
      </w:r>
      <w:r>
        <w:rPr>
          <w:lang w:val="fr-FR"/>
        </w:rPr>
        <w:t>11.4</w:t>
      </w:r>
      <w:r w:rsidRPr="003A2BF7">
        <w:rPr>
          <w:lang w:val="fr-FR"/>
        </w:rPr>
        <w:t xml:space="preserve"> million arrivals</w:t>
      </w:r>
      <w:bookmarkEnd w:id="12"/>
      <w:r w:rsidRPr="003A2BF7">
        <w:rPr>
          <w:lang w:val="fr-FR"/>
        </w:rPr>
        <w:t xml:space="preserve">, up </w:t>
      </w:r>
      <w:r>
        <w:rPr>
          <w:lang w:val="fr-FR"/>
        </w:rPr>
        <w:t>45.8</w:t>
      </w:r>
      <w:r w:rsidRPr="003A2BF7">
        <w:rPr>
          <w:lang w:val="fr-FR"/>
        </w:rPr>
        <w:t xml:space="preserve">% compared to the same period last year and up </w:t>
      </w:r>
      <w:r>
        <w:rPr>
          <w:lang w:val="fr-FR"/>
        </w:rPr>
        <w:t>1</w:t>
      </w:r>
      <w:r w:rsidRPr="003A2BF7">
        <w:rPr>
          <w:lang w:val="fr-FR"/>
        </w:rPr>
        <w:t>.</w:t>
      </w:r>
      <w:r>
        <w:rPr>
          <w:lang w:val="fr-FR"/>
        </w:rPr>
        <w:t>0</w:t>
      </w:r>
      <w:r w:rsidRPr="003A2BF7">
        <w:rPr>
          <w:lang w:val="fr-FR"/>
        </w:rPr>
        <w:t>% compared to the same period of 2019 - the year before the Covid-19 pandemic.</w:t>
      </w:r>
    </w:p>
    <w:p w14:paraId="101D8FC3" w14:textId="77777777" w:rsidR="006F7F7E" w:rsidRPr="00BB4D40" w:rsidRDefault="006F7F7E" w:rsidP="006F7F7E">
      <w:pPr>
        <w:shd w:val="clear" w:color="auto" w:fill="FFFFFF"/>
        <w:spacing w:beforeLines="40" w:before="96" w:afterLines="40" w:after="96" w:line="300" w:lineRule="auto"/>
        <w:ind w:firstLine="567"/>
        <w:jc w:val="both"/>
        <w:rPr>
          <w:lang w:val="fr-FR"/>
        </w:rPr>
      </w:pPr>
      <w:r w:rsidRPr="00BB4D40">
        <w:rPr>
          <w:lang w:val="fr-FR"/>
        </w:rPr>
        <w:t xml:space="preserve">Out of a total of </w:t>
      </w:r>
      <w:r>
        <w:rPr>
          <w:lang w:val="fr-FR"/>
        </w:rPr>
        <w:t>nearly 11.4</w:t>
      </w:r>
      <w:r w:rsidRPr="00BB4D40">
        <w:rPr>
          <w:lang w:val="fr-FR"/>
        </w:rPr>
        <w:t xml:space="preserve"> million international arrivals to Viet Nam in </w:t>
      </w:r>
      <w:r>
        <w:rPr>
          <w:lang w:val="fr-FR"/>
        </w:rPr>
        <w:t xml:space="preserve">eight months </w:t>
      </w:r>
      <w:r w:rsidRPr="00BB4D40">
        <w:rPr>
          <w:lang w:val="fr-FR"/>
        </w:rPr>
        <w:t xml:space="preserve">of this year, arrivals by air reached nearly </w:t>
      </w:r>
      <w:r>
        <w:rPr>
          <w:lang w:val="fr-FR"/>
        </w:rPr>
        <w:t>9.7</w:t>
      </w:r>
      <w:r w:rsidRPr="00BB4D40">
        <w:rPr>
          <w:lang w:val="fr-FR"/>
        </w:rPr>
        <w:t xml:space="preserve"> million arrivals, accounting for </w:t>
      </w:r>
      <w:r>
        <w:rPr>
          <w:lang w:val="fr-FR"/>
        </w:rPr>
        <w:t>84.7</w:t>
      </w:r>
      <w:r w:rsidRPr="00BB4D40">
        <w:rPr>
          <w:lang w:val="fr-FR"/>
        </w:rPr>
        <w:t xml:space="preserve">% of international arrivals to Viet Nam and </w:t>
      </w:r>
      <w:r>
        <w:rPr>
          <w:lang w:val="fr-FR"/>
        </w:rPr>
        <w:t xml:space="preserve">up 41.0% over </w:t>
      </w:r>
      <w:r w:rsidRPr="00BB4D40">
        <w:rPr>
          <w:lang w:val="fr-FR"/>
        </w:rPr>
        <w:t xml:space="preserve">the same period last </w:t>
      </w:r>
      <w:proofErr w:type="gramStart"/>
      <w:r w:rsidRPr="00BB4D40">
        <w:rPr>
          <w:lang w:val="fr-FR"/>
        </w:rPr>
        <w:t>year;</w:t>
      </w:r>
      <w:proofErr w:type="gramEnd"/>
      <w:r w:rsidRPr="00BB4D40">
        <w:rPr>
          <w:lang w:val="fr-FR"/>
        </w:rPr>
        <w:t xml:space="preserve"> by road reached </w:t>
      </w:r>
      <w:r>
        <w:rPr>
          <w:lang w:val="fr-FR"/>
        </w:rPr>
        <w:t>1.6</w:t>
      </w:r>
      <w:r w:rsidRPr="00BB4D40">
        <w:rPr>
          <w:bCs/>
          <w:lang w:val="pt-BR" w:eastAsia="en-GB"/>
        </w:rPr>
        <w:t xml:space="preserve"> </w:t>
      </w:r>
      <w:r w:rsidRPr="00BB4D40">
        <w:rPr>
          <w:lang w:val="fr-FR"/>
        </w:rPr>
        <w:t xml:space="preserve">million arrivals, accounting for </w:t>
      </w:r>
      <w:r>
        <w:rPr>
          <w:lang w:val="fr-FR"/>
        </w:rPr>
        <w:t>13.8</w:t>
      </w:r>
      <w:r w:rsidRPr="00BB4D40">
        <w:rPr>
          <w:lang w:val="fr-FR"/>
        </w:rPr>
        <w:t xml:space="preserve">% and </w:t>
      </w:r>
      <w:r>
        <w:rPr>
          <w:lang w:val="fr-FR"/>
        </w:rPr>
        <w:t xml:space="preserve">up 73.3% ; </w:t>
      </w:r>
      <w:r w:rsidRPr="00BB4D40">
        <w:rPr>
          <w:lang w:val="fr-FR"/>
        </w:rPr>
        <w:t xml:space="preserve">by sea reached </w:t>
      </w:r>
      <w:r>
        <w:rPr>
          <w:bCs/>
          <w:lang w:val="pt-BR" w:eastAsia="en-GB"/>
        </w:rPr>
        <w:t>165.6</w:t>
      </w:r>
      <w:r w:rsidRPr="00BB4D40">
        <w:rPr>
          <w:bCs/>
          <w:lang w:val="pt-BR" w:eastAsia="en-GB"/>
        </w:rPr>
        <w:t xml:space="preserve"> </w:t>
      </w:r>
      <w:r w:rsidRPr="00BB4D40">
        <w:rPr>
          <w:lang w:val="fr-FR"/>
        </w:rPr>
        <w:t xml:space="preserve">thousand arrivals, accounting for </w:t>
      </w:r>
      <w:r>
        <w:rPr>
          <w:lang w:val="fr-FR"/>
        </w:rPr>
        <w:t>1.5</w:t>
      </w:r>
      <w:r w:rsidRPr="00BB4D40">
        <w:rPr>
          <w:lang w:val="fr-FR"/>
        </w:rPr>
        <w:t xml:space="preserve">% and </w:t>
      </w:r>
      <w:r>
        <w:rPr>
          <w:bCs/>
          <w:lang w:val="pt-BR" w:eastAsia="en-GB"/>
        </w:rPr>
        <w:t>2.8</w:t>
      </w:r>
      <w:r w:rsidRPr="00BB4D40">
        <w:rPr>
          <w:bCs/>
          <w:lang w:val="pt-BR" w:eastAsia="en-GB"/>
        </w:rPr>
        <w:t xml:space="preserve"> </w:t>
      </w:r>
      <w:r w:rsidRPr="00BB4D40">
        <w:rPr>
          <w:lang w:val="fr-FR"/>
        </w:rPr>
        <w:t>times higher.</w:t>
      </w:r>
    </w:p>
    <w:p w14:paraId="5920DE7E" w14:textId="77777777" w:rsidR="006F7F7E" w:rsidRPr="00BB4D40" w:rsidRDefault="006F7F7E" w:rsidP="006F7F7E">
      <w:pPr>
        <w:spacing w:beforeLines="40" w:before="96" w:afterLines="40" w:after="96" w:line="264" w:lineRule="auto"/>
        <w:jc w:val="center"/>
        <w:rPr>
          <w:rFonts w:ascii="Arial" w:hAnsi="Arial" w:cs="Arial"/>
          <w:b/>
          <w:bCs/>
          <w:iCs/>
          <w:sz w:val="24"/>
          <w:szCs w:val="24"/>
          <w:lang w:val="fr-FR"/>
        </w:rPr>
      </w:pPr>
      <w:r w:rsidRPr="00BB4D40">
        <w:rPr>
          <w:rFonts w:ascii="Arial" w:hAnsi="Arial" w:cs="Arial"/>
          <w:b/>
          <w:bCs/>
          <w:iCs/>
          <w:sz w:val="24"/>
          <w:szCs w:val="24"/>
          <w:lang w:val="fr-FR"/>
        </w:rPr>
        <w:t xml:space="preserve">Figure 17. International visitors to Viet Nam in </w:t>
      </w:r>
      <w:r>
        <w:rPr>
          <w:rFonts w:ascii="Arial" w:hAnsi="Arial" w:cs="Arial"/>
          <w:b/>
          <w:bCs/>
          <w:iCs/>
          <w:sz w:val="24"/>
          <w:szCs w:val="24"/>
          <w:lang w:val="fr-FR"/>
        </w:rPr>
        <w:t xml:space="preserve">8 months </w:t>
      </w:r>
      <w:r w:rsidRPr="00BB4D40">
        <w:rPr>
          <w:rFonts w:ascii="Arial" w:hAnsi="Arial" w:cs="Arial"/>
          <w:b/>
          <w:bCs/>
          <w:iCs/>
          <w:sz w:val="24"/>
          <w:szCs w:val="24"/>
          <w:lang w:val="fr-FR"/>
        </w:rPr>
        <w:br/>
        <w:t>of 2024 by territories</w:t>
      </w:r>
    </w:p>
    <w:p w14:paraId="5D046505" w14:textId="77777777" w:rsidR="006F7F7E" w:rsidRDefault="006F7F7E" w:rsidP="006F7F7E">
      <w:r>
        <w:rPr>
          <w:noProof/>
        </w:rPr>
        <w:drawing>
          <wp:inline distT="0" distB="0" distL="0" distR="0" wp14:anchorId="0CA45FDD" wp14:editId="5E22FD54">
            <wp:extent cx="5972175" cy="2990850"/>
            <wp:effectExtent l="0" t="0" r="9525" b="0"/>
            <wp:docPr id="116706730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67306" name="Picture 1" descr="A screenshot of a graph&#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2175" cy="2990850"/>
                    </a:xfrm>
                    <a:prstGeom prst="rect">
                      <a:avLst/>
                    </a:prstGeom>
                    <a:noFill/>
                    <a:ln>
                      <a:noFill/>
                    </a:ln>
                  </pic:spPr>
                </pic:pic>
              </a:graphicData>
            </a:graphic>
          </wp:inline>
        </w:drawing>
      </w:r>
    </w:p>
    <w:p w14:paraId="282AC212" w14:textId="77777777" w:rsidR="001A4AA8" w:rsidRPr="00914312" w:rsidRDefault="001A4AA8" w:rsidP="001A4AA8">
      <w:pPr>
        <w:ind w:firstLine="720"/>
        <w:jc w:val="both"/>
        <w:rPr>
          <w:b/>
        </w:rPr>
      </w:pPr>
      <w:r w:rsidRPr="00914312">
        <w:rPr>
          <w:b/>
        </w:rPr>
        <w:t>7. Some social situations</w:t>
      </w:r>
    </w:p>
    <w:p w14:paraId="0B63E44A" w14:textId="77777777" w:rsidR="001A4AA8" w:rsidRPr="00914312" w:rsidRDefault="001A4AA8" w:rsidP="001A4AA8">
      <w:pPr>
        <w:ind w:firstLine="720"/>
        <w:jc w:val="both"/>
        <w:rPr>
          <w:b/>
          <w:i/>
        </w:rPr>
      </w:pPr>
      <w:r w:rsidRPr="00914312">
        <w:rPr>
          <w:b/>
          <w:i/>
        </w:rPr>
        <w:t xml:space="preserve">a) Residential life </w:t>
      </w:r>
    </w:p>
    <w:p w14:paraId="1239A3C2" w14:textId="77777777" w:rsidR="001A4AA8" w:rsidRPr="00914312" w:rsidRDefault="001A4AA8" w:rsidP="001A4AA8">
      <w:pPr>
        <w:ind w:firstLine="720"/>
        <w:jc w:val="both"/>
      </w:pPr>
      <w:r w:rsidRPr="00914312">
        <w:t xml:space="preserve">According to the survey on the life situation of households in August 2024, the proportion of households assessed to have income during the month remained unchanged and increased compared to the same period last year was 96.1% (an </w:t>
      </w:r>
      <w:r w:rsidRPr="00914312">
        <w:lastRenderedPageBreak/>
        <w:t>increase of 0.3 percentage points). percent compared to the July 2024 reporting period and increased by 1.9 percentage points compared to the same period last year); The proportion of households assessed to have reduced income and unknown compared to the same month in 2023 is 3.9%.</w:t>
      </w:r>
    </w:p>
    <w:p w14:paraId="484BF7C8" w14:textId="77777777" w:rsidR="001A4AA8" w:rsidRPr="00914312" w:rsidRDefault="001A4AA8" w:rsidP="001A4AA8">
      <w:pPr>
        <w:ind w:firstLine="720"/>
        <w:jc w:val="both"/>
      </w:pPr>
      <w:r w:rsidRPr="00914312">
        <w:t>Households whose income in August decreased compared to the same period last year identified the main reasons</w:t>
      </w:r>
      <w:r w:rsidRPr="00DE0776">
        <w:rPr>
          <w:rStyle w:val="FootnoteReference"/>
          <w:bCs/>
          <w:snapToGrid w:val="0"/>
          <w:spacing w:val="-4"/>
          <w:lang w:val="nl-NL"/>
        </w:rPr>
        <w:footnoteReference w:id="27"/>
      </w:r>
      <w:r w:rsidRPr="00914312">
        <w:t xml:space="preserve"> as: Some household members lost their jobs or temporarily quit their jobs (rate of 45.7%); due to the decrease in the scale of household production and business activities (28.8%); due to increased input costs for household production and business activities (26.0%); due to the decrease in selling prices of products from household production and business activities (20.2%).</w:t>
      </w:r>
    </w:p>
    <w:p w14:paraId="256D973D" w14:textId="77777777" w:rsidR="001A4AA8" w:rsidRPr="00914312" w:rsidRDefault="001A4AA8" w:rsidP="001A4AA8">
      <w:pPr>
        <w:ind w:firstLine="720"/>
        <w:jc w:val="both"/>
      </w:pPr>
      <w:r w:rsidRPr="00914312">
        <w:t>In the eight months of 2024, 30.8% of households reported experiencing at least one event that negatively affected family life</w:t>
      </w:r>
      <w:proofErr w:type="gramStart"/>
      <w:r w:rsidRPr="00914312">
        <w:t>, this</w:t>
      </w:r>
      <w:proofErr w:type="gramEnd"/>
      <w:r w:rsidRPr="00914312">
        <w:t xml:space="preserve"> rate remained unchanged compared to the previous month and decreased by 1 percentage point compared to the previous month. </w:t>
      </w:r>
      <w:proofErr w:type="gramStart"/>
      <w:r w:rsidRPr="00914312">
        <w:t>with the</w:t>
      </w:r>
      <w:proofErr w:type="gramEnd"/>
      <w:r w:rsidRPr="00914312">
        <w:t xml:space="preserve"> same period last year. Among the households negatively affected by the events: 30.1% of households are suffering from the effects of rising prices of goods and services; 2.5% of households are negatively affected by epidemics on humans and 1.8% of households are negatively affected by epidemics on livestock and crops.</w:t>
      </w:r>
    </w:p>
    <w:p w14:paraId="784FC1FE" w14:textId="77777777" w:rsidR="001A4AA8" w:rsidRPr="00914312" w:rsidRDefault="001A4AA8" w:rsidP="001A4AA8">
      <w:pPr>
        <w:ind w:firstLine="720"/>
        <w:jc w:val="both"/>
      </w:pPr>
      <w:r w:rsidRPr="00914312">
        <w:t>During the eight months of 2024, 12.4% of households interviewed received assistance from various sources of support. Of which, the proportion of households receiving assistance from relatives is 8.4%; from local programs and policies is 4.5%; from general national programs and policies is 4.1%; from charitable activities of other organizations and individuals is 1.6% and from other sources is 0.02%.</w:t>
      </w:r>
    </w:p>
    <w:p w14:paraId="26D22E60" w14:textId="77777777" w:rsidR="001A4AA8" w:rsidRPr="00914312" w:rsidRDefault="001A4AA8" w:rsidP="001A4AA8">
      <w:pPr>
        <w:ind w:firstLine="720"/>
        <w:jc w:val="both"/>
      </w:pPr>
      <w:r w:rsidRPr="00914312">
        <w:t>The work of ensuring social security is always carried out promptly and effectively by all levels and sectors. According to a report from the Ministry of Labor, War Invalids and Social Affairs, in eight months of this year, the Government, ministries, branches and localities have supported people with more than 21.3 thousand tons of rice, of which: provided 10.4 thousand tons of rice for hunger relief on the occasion of the Lunar New Year Giap Thin for 693.4 thousand people; supporting more than 5.9 thousand tons of rice to relieve hunger in 2024 for 396.3 thousand people; Localities also developed plans and proactively allocated local budgets and socialization resources to support nearly 5 thousand tons of rice for poor, near-poor households and people in difficult circumstances.</w:t>
      </w:r>
    </w:p>
    <w:p w14:paraId="6849F183" w14:textId="77777777" w:rsidR="001A4AA8" w:rsidRPr="00914312" w:rsidRDefault="001A4AA8" w:rsidP="001A4AA8">
      <w:pPr>
        <w:ind w:firstLine="720"/>
        <w:jc w:val="both"/>
        <w:rPr>
          <w:b/>
          <w:i/>
        </w:rPr>
      </w:pPr>
      <w:r w:rsidRPr="00914312">
        <w:rPr>
          <w:b/>
          <w:i/>
        </w:rPr>
        <w:t>b) Disease situation and food poisoning</w:t>
      </w:r>
    </w:p>
    <w:p w14:paraId="77C32A38" w14:textId="77777777" w:rsidR="001A4AA8" w:rsidRPr="00914312" w:rsidRDefault="001A4AA8" w:rsidP="001A4AA8">
      <w:pPr>
        <w:ind w:firstLine="720"/>
        <w:jc w:val="both"/>
      </w:pPr>
      <w:r w:rsidRPr="00914312">
        <w:t xml:space="preserve">According to a report from the Ministry of Health, in the month (from July 19 to August 18, 2024), the whole country had 18,636 cases of dengue fever (02 deaths); 7,087 cases of hand, foot and mouth disease; 859 cases of typhus suspected of measles; 07 deaths due to rabies; 51 cases of viral encephalitis; 01 case of meningococcal meningitis. In the eight months of 2024, the whole country has 53.9 thousand cases of dengue fever (06 deaths); 41.7 thousand cases of hand, foot and mouth disease; 1,746 cases of typhus suspected of measles; 60 deaths </w:t>
      </w:r>
      <w:r w:rsidRPr="00914312">
        <w:lastRenderedPageBreak/>
        <w:t>due to rabies; 307 cases of viral encephalitis (06 deaths); 13 cases of meningococcal meningitis; 09 cases of diphtheria (01 death); 01 case of influenza A and death.</w:t>
      </w:r>
    </w:p>
    <w:p w14:paraId="15379B4F" w14:textId="77777777" w:rsidR="001A4AA8" w:rsidRPr="00914312" w:rsidRDefault="001A4AA8" w:rsidP="001A4AA8">
      <w:pPr>
        <w:ind w:firstLine="720"/>
        <w:jc w:val="both"/>
      </w:pPr>
      <w:r w:rsidRPr="00914312">
        <w:t xml:space="preserve">The total number of people living with HIV in the country as of August 18, </w:t>
      </w:r>
      <w:proofErr w:type="gramStart"/>
      <w:r w:rsidRPr="00914312">
        <w:t>2024</w:t>
      </w:r>
      <w:proofErr w:type="gramEnd"/>
      <w:r w:rsidRPr="00914312">
        <w:t xml:space="preserve"> is more than 242.3 thousand people; The number of d</w:t>
      </w:r>
      <w:r>
        <w:t xml:space="preserve">eaths due to HIV/AIDS is 115.2 </w:t>
      </w:r>
      <w:r w:rsidRPr="00914312">
        <w:t>thousand people.</w:t>
      </w:r>
    </w:p>
    <w:p w14:paraId="114DEE02" w14:textId="77777777" w:rsidR="001A4AA8" w:rsidRPr="00914312" w:rsidRDefault="001A4AA8" w:rsidP="001A4AA8">
      <w:pPr>
        <w:ind w:firstLine="720"/>
        <w:jc w:val="both"/>
      </w:pPr>
      <w:r w:rsidRPr="00914312">
        <w:t xml:space="preserve">Regarding food poisoning, in August 2024, there were 15 cases with 503 people being poisoned and 1 person died. In the eight months of 2024 (from December 19, </w:t>
      </w:r>
      <w:proofErr w:type="gramStart"/>
      <w:r w:rsidRPr="00914312">
        <w:t>2023</w:t>
      </w:r>
      <w:proofErr w:type="gramEnd"/>
      <w:r w:rsidRPr="00914312">
        <w:t xml:space="preserve"> to August 18, 2024), there were 77 cases nationwide with 3,164 people being poisoned (10 people died).</w:t>
      </w:r>
    </w:p>
    <w:p w14:paraId="75B08110" w14:textId="77777777" w:rsidR="001A4AA8" w:rsidRPr="00914312" w:rsidRDefault="001A4AA8" w:rsidP="001A4AA8">
      <w:pPr>
        <w:ind w:firstLine="720"/>
        <w:jc w:val="both"/>
        <w:rPr>
          <w:b/>
          <w:i/>
        </w:rPr>
      </w:pPr>
      <w:r w:rsidRPr="00914312">
        <w:rPr>
          <w:b/>
          <w:i/>
        </w:rPr>
        <w:t>c) Sports activities</w:t>
      </w:r>
    </w:p>
    <w:p w14:paraId="0F5447D0" w14:textId="77777777" w:rsidR="001A4AA8" w:rsidRPr="00914312" w:rsidRDefault="001A4AA8" w:rsidP="001A4AA8">
      <w:pPr>
        <w:ind w:firstLine="720"/>
        <w:jc w:val="both"/>
      </w:pPr>
      <w:r w:rsidRPr="00914312">
        <w:t>Regarding the mass sports movement, some outstanding activities taking place during the month include: National Youth Aerobic Gymnastics Championship 2024 from August 24-25, 2024 in Hai Duong; Vietnam Chess Prodigy Award 2024 from August 23-24, 2024 in Binh Dinh; GreenUP Marathon 2024 on August 24 in Long An; SeaStar Nha Trang Bay 2024 swimming tournament in Khanh Hoa from August 24-25, 2024; The 2nd National Tug of War Youth and Teen Championship 2024 from August 20-26, 2024 in Bac Kan.</w:t>
      </w:r>
    </w:p>
    <w:p w14:paraId="2F53B9ED" w14:textId="77777777" w:rsidR="001A4AA8" w:rsidRPr="00914312" w:rsidRDefault="001A4AA8" w:rsidP="001A4AA8">
      <w:pPr>
        <w:ind w:firstLine="720"/>
        <w:jc w:val="both"/>
      </w:pPr>
      <w:r w:rsidRPr="00914312">
        <w:t>Regarding high-performance sports, in August, a number of outstanding events took place such as: The Vietnamese wushu team won 4 gold medals, ranked 4th at the 2024 world tai chi tournament in Singapore. ; National Women's Futsal Championship 2024 from August 28 to September 2, 2024 in Ha Nam; Vietnam leads the 2024 Asian Shuttlecock Championship and the 2024 Asian Youth Championship with 8 gold medals and 6 silver medals taking place in Thua Thien - Hue; 2024 Asian Short Track Speed ​​Skating Championship in Indonesia; ASEAN Age Group Chess Open 2024 in Laos from August 22-31, 2024; 3x3 Youth Basketball Championship from August 20-30, 2024 in Binh Dinh; National Excellence Chess Championship 2024 from August 9-19, 2024 in Hai Phong; National Youth Shooting Championship 2024 from August 10-20, 2024 in Ho Chi Minh City; The VTV Ferroli Cup 2024 International Women's Volleyball Tournament will be held from August 24-31, 2024 in Ninh Binh.</w:t>
      </w:r>
    </w:p>
    <w:p w14:paraId="3A1077E3" w14:textId="77777777" w:rsidR="001A4AA8" w:rsidRPr="00914312" w:rsidRDefault="001A4AA8" w:rsidP="001A4AA8">
      <w:pPr>
        <w:ind w:firstLine="720"/>
        <w:jc w:val="both"/>
        <w:rPr>
          <w:b/>
          <w:i/>
        </w:rPr>
      </w:pPr>
      <w:r w:rsidRPr="00914312">
        <w:rPr>
          <w:b/>
          <w:i/>
        </w:rPr>
        <w:t>d) Traffic accident</w:t>
      </w:r>
      <w:r w:rsidRPr="00DE0776">
        <w:rPr>
          <w:b/>
          <w:i/>
          <w:vertAlign w:val="superscript"/>
        </w:rPr>
        <w:footnoteReference w:id="28"/>
      </w:r>
      <w:r w:rsidRPr="00914312">
        <w:rPr>
          <w:b/>
          <w:i/>
        </w:rPr>
        <w:t xml:space="preserve"> </w:t>
      </w:r>
    </w:p>
    <w:p w14:paraId="24D4218C" w14:textId="77777777" w:rsidR="001A4AA8" w:rsidRPr="00914312" w:rsidRDefault="001A4AA8" w:rsidP="001A4AA8">
      <w:pPr>
        <w:ind w:firstLine="720"/>
        <w:jc w:val="both"/>
      </w:pPr>
      <w:r w:rsidRPr="00914312">
        <w:t xml:space="preserve">During the month (from July 15 to August 14, 2024), there were 1,801 traffic accidents nationwide, including 1,333 traffic accidents from less serious or more (causing 873 deaths, 746 deaths). injured people) and 468 traffic collisions caused 526 people with minor injuries. Compared to the previous month, the number of traffic accidents decreased by 4.7% (the number of traffic accidents from less serious or more decreased by 1.6% and the number of traffic collisions decreased by 12.4%); number of deaths increased by 1.5%; The number of injured people decreased by 10.9% and the number of people with minor injuries decreased by 10.4%. Compared to the same period last year, the number of traffic accidents in August decreased by 0.4% (the number of traffic accidents from less </w:t>
      </w:r>
      <w:r w:rsidRPr="00914312">
        <w:lastRenderedPageBreak/>
        <w:t>serious or more decreased by 2.8% and the number of traffic collisions increased by 7.1%</w:t>
      </w:r>
      <w:proofErr w:type="gramStart"/>
      <w:r w:rsidRPr="00914312">
        <w:t>. )</w:t>
      </w:r>
      <w:proofErr w:type="gramEnd"/>
      <w:r w:rsidRPr="00914312">
        <w:t>; number of deaths decreased by 12%; The number of injured people decreased by 2.7% and the number of people with minor injuries increased by 14.1%.</w:t>
      </w:r>
    </w:p>
    <w:p w14:paraId="7917C8C7" w14:textId="77777777" w:rsidR="001A4AA8" w:rsidRPr="00914312" w:rsidRDefault="001A4AA8" w:rsidP="001A4AA8">
      <w:pPr>
        <w:ind w:firstLine="720"/>
        <w:jc w:val="both"/>
      </w:pPr>
      <w:r w:rsidRPr="00914312">
        <w:t>In eight months of this year, there were 16,052 traffic accidents nationwide, including 11,441 less serious traffic accidents and 4,611 traffic collisions, killing 7,108 people and 7,134 others. injured and 5,090 people suffered minor injuries. Compared to the same period last year, the number of traffic accidents in eight months of this year increased by 13.1% (the number of traffic accidents from less serious or more increased by 6.3%; the number of traffic collisions increased by 34. 4%); number of deaths decreased by 10.2%; The number of injured people increased by 19.2% and the number of people with minor injuries increased by 45.4%. On average, every day in eight months of this year, there were 66 traffic accidents nationwide, including 47 traffic accidents of less serious or more severity and 19 traffic collisions, killing 29 people. 29 people were injured and 21 people suffered minor injuries.</w:t>
      </w:r>
    </w:p>
    <w:p w14:paraId="207E8117" w14:textId="77777777" w:rsidR="001A4AA8" w:rsidRPr="00914312" w:rsidRDefault="001A4AA8" w:rsidP="001A4AA8">
      <w:pPr>
        <w:ind w:firstLine="720"/>
        <w:jc w:val="both"/>
        <w:rPr>
          <w:b/>
          <w:i/>
        </w:rPr>
      </w:pPr>
      <w:r w:rsidRPr="00914312">
        <w:rPr>
          <w:b/>
          <w:i/>
        </w:rPr>
        <w:t>d) Damage caused by natural disasters</w:t>
      </w:r>
      <w:r w:rsidRPr="00DE0776">
        <w:rPr>
          <w:rStyle w:val="FootnoteReference"/>
          <w:b/>
          <w:bCs/>
          <w:i/>
          <w:lang w:val="pl-PL"/>
        </w:rPr>
        <w:footnoteReference w:id="29"/>
      </w:r>
      <w:r w:rsidRPr="00914312">
        <w:rPr>
          <w:b/>
          <w:i/>
        </w:rPr>
        <w:t xml:space="preserve"> </w:t>
      </w:r>
    </w:p>
    <w:p w14:paraId="302B2081" w14:textId="77777777" w:rsidR="001A4AA8" w:rsidRPr="00914312" w:rsidRDefault="001A4AA8" w:rsidP="001A4AA8">
      <w:pPr>
        <w:ind w:firstLine="720"/>
        <w:jc w:val="both"/>
      </w:pPr>
      <w:r w:rsidRPr="00914312">
        <w:t>Damage caused by natural disasters in August was mainly due to the impact of heavy rains, floods, and inundation, causing 56 people to die or go missing, and 37 people to be injured; 4 thousand houses collapsed, swept away and damaged; 230.9 thousand cattle and poultry died; 25.3 thousand hectares of rice and crops were flooded and damaged; The total value of property damage caused by natural disasters in the month was 1,168 billion VND, down 10.1% over the same period last year. In eight months of this year, natural disasters left 147 people dead or missing, and 104 injured; 32.9 thousand houses collapsed and damaged; 259.3 thousand cattle and poultry died; 30.8 thousand hectares of crops and 84.5 thousand hectares of rice were flooded and damaged; The total value of property damage is estimated at 3,374.6 billion VND, more than 1.5 times higher than the same period in 2023.</w:t>
      </w:r>
    </w:p>
    <w:p w14:paraId="018AC3D8" w14:textId="77777777" w:rsidR="001A4AA8" w:rsidRPr="00914312" w:rsidRDefault="001A4AA8" w:rsidP="001A4AA8">
      <w:pPr>
        <w:ind w:firstLine="720"/>
        <w:jc w:val="both"/>
        <w:rPr>
          <w:b/>
          <w:i/>
        </w:rPr>
      </w:pPr>
      <w:r w:rsidRPr="00914312">
        <w:rPr>
          <w:b/>
          <w:i/>
        </w:rPr>
        <w:t>e) Environmental protection and fire and explosion prevention</w:t>
      </w:r>
    </w:p>
    <w:p w14:paraId="4387D3D1" w14:textId="77777777" w:rsidR="001A4AA8" w:rsidRPr="00914312" w:rsidRDefault="001A4AA8" w:rsidP="001A4AA8">
      <w:pPr>
        <w:ind w:firstLine="720"/>
        <w:jc w:val="both"/>
      </w:pPr>
      <w:r w:rsidRPr="00914312">
        <w:t>During the month (from July 18 to August 17, 2024)</w:t>
      </w:r>
      <w:r w:rsidRPr="00DE0776">
        <w:rPr>
          <w:rStyle w:val="FootnoteReference"/>
          <w:lang w:val="de-DE"/>
        </w:rPr>
        <w:footnoteReference w:id="30"/>
      </w:r>
      <w:r w:rsidRPr="00914312">
        <w:t>, the authorities discovered 1,649 cases of environmental violations in 52/63 localities</w:t>
      </w:r>
      <w:r w:rsidRPr="00DE0776">
        <w:rPr>
          <w:rStyle w:val="FootnoteReference"/>
          <w:noProof/>
        </w:rPr>
        <w:footnoteReference w:id="31"/>
      </w:r>
      <w:r w:rsidRPr="00914312">
        <w:t>, of which 1,538 cases were handled with a total fine of 27.3 billion VND. VND, up 35.4% over the previous month and up 26.2% over the same period last year. In eight months of this year, the authorities detected 15,812 cases of environmental violations, of which 14,515 cases were handled with a total fine of more than 204.3 billion VND, an increase of 3.0% over the same period last year.</w:t>
      </w:r>
    </w:p>
    <w:p w14:paraId="15B7AFA2" w14:textId="03E164E4" w:rsidR="001F1D77" w:rsidRPr="001A4AA8" w:rsidRDefault="001A4AA8" w:rsidP="001A4AA8">
      <w:pPr>
        <w:ind w:firstLine="720"/>
        <w:jc w:val="both"/>
      </w:pPr>
      <w:r w:rsidRPr="00914312">
        <w:lastRenderedPageBreak/>
        <w:t>During the month</w:t>
      </w:r>
      <w:r w:rsidRPr="00DE0776">
        <w:rPr>
          <w:rStyle w:val="FootnoteReference"/>
          <w:lang w:val="de-DE"/>
        </w:rPr>
        <w:footnoteReference w:id="32"/>
      </w:r>
      <w:r w:rsidRPr="00914312">
        <w:t>, there were 317 fires and explosions nationwide, killing 5 people and injuring 16 people, with an estimated loss of 10.7 billion VND, down 3.9% compared to the previous month and down 90.8% compared to the previous month. same period last year. In eight months of this year, there were 2,857 fires and explosions nationwide, killing 80 people and injuring 81 people, with an estimated loss of 149.7 billion VND, down 56.6% over the same period last year./.</w:t>
      </w:r>
    </w:p>
    <w:p w14:paraId="06263C5C" w14:textId="77777777" w:rsidR="008B6F3F" w:rsidRDefault="008B6F3F" w:rsidP="008B6F3F">
      <w:pPr>
        <w:tabs>
          <w:tab w:val="left" w:pos="426"/>
          <w:tab w:val="left" w:pos="900"/>
        </w:tabs>
        <w:spacing w:before="40"/>
        <w:ind w:firstLine="567"/>
        <w:jc w:val="center"/>
        <w:rPr>
          <w:b/>
          <w:bCs/>
        </w:rPr>
      </w:pPr>
      <w:r>
        <w:rPr>
          <w:b/>
          <w:bCs/>
          <w:iCs/>
          <w:lang w:val="nl-NL"/>
        </w:rPr>
        <w:t>GENERAL STATISTICS OFFICE</w:t>
      </w:r>
    </w:p>
    <w:p w14:paraId="792ABAA2" w14:textId="77777777" w:rsidR="00222D6D" w:rsidRPr="00552BC7" w:rsidRDefault="00222D6D"/>
    <w:sectPr w:rsidR="00222D6D" w:rsidRPr="00552BC7" w:rsidSect="00552BC7">
      <w:headerReference w:type="default" r:id="rId27"/>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B4695" w14:textId="77777777" w:rsidR="00B05CD3" w:rsidRDefault="00B05CD3" w:rsidP="00677D50">
      <w:r>
        <w:separator/>
      </w:r>
    </w:p>
  </w:endnote>
  <w:endnote w:type="continuationSeparator" w:id="0">
    <w:p w14:paraId="68A9190C" w14:textId="77777777" w:rsidR="00B05CD3" w:rsidRDefault="00B05CD3" w:rsidP="0067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Italic">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Times New Roman Bold Italic">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D0A52" w14:textId="77777777" w:rsidR="00B05CD3" w:rsidRDefault="00B05CD3" w:rsidP="00677D50">
      <w:r>
        <w:separator/>
      </w:r>
    </w:p>
  </w:footnote>
  <w:footnote w:type="continuationSeparator" w:id="0">
    <w:p w14:paraId="36EFFD6A" w14:textId="77777777" w:rsidR="00B05CD3" w:rsidRDefault="00B05CD3" w:rsidP="00677D50">
      <w:r>
        <w:continuationSeparator/>
      </w:r>
    </w:p>
  </w:footnote>
  <w:footnote w:id="1">
    <w:p w14:paraId="5B408B9C" w14:textId="77777777" w:rsidR="006F7F7E" w:rsidRPr="00821168" w:rsidRDefault="006F7F7E" w:rsidP="006F7F7E">
      <w:pPr>
        <w:pStyle w:val="HTMLPreformatted"/>
        <w:jc w:val="both"/>
        <w:rPr>
          <w:rFonts w:ascii="Times New Roman" w:hAnsi="Times New Roman" w:cs="Times New Roman"/>
          <w:color w:val="1F1F1F"/>
          <w:lang w:val="en"/>
        </w:rPr>
      </w:pPr>
      <w:r w:rsidRPr="00821168">
        <w:rPr>
          <w:rStyle w:val="FootnoteReference"/>
          <w:rFonts w:ascii="Times New Roman" w:hAnsi="Times New Roman" w:cs="Times New Roman"/>
        </w:rPr>
        <w:footnoteRef/>
      </w:r>
      <w:r w:rsidRPr="00821168">
        <w:rPr>
          <w:rFonts w:ascii="Times New Roman" w:hAnsi="Times New Roman" w:cs="Times New Roman"/>
        </w:rPr>
        <w:t xml:space="preserve"> </w:t>
      </w:r>
      <w:r w:rsidRPr="00821168">
        <w:rPr>
          <w:rFonts w:ascii="Times New Roman" w:hAnsi="Times New Roman" w:cs="Times New Roman"/>
          <w:color w:val="1F1F1F"/>
          <w:lang w:val="en"/>
        </w:rPr>
        <w:t>Raising buffaloes and cows for meat has decreased mainly due to difficult farming conditions, high farming costs, and low profits, leading to a decrease in the number of animals. However, the dairy herd is still growing steadily.</w:t>
      </w:r>
    </w:p>
  </w:footnote>
  <w:footnote w:id="2">
    <w:p w14:paraId="5638D2D6" w14:textId="77777777" w:rsidR="006F7F7E" w:rsidRPr="00821168" w:rsidRDefault="006F7F7E" w:rsidP="006F7F7E">
      <w:pPr>
        <w:pStyle w:val="HTMLPreformatted"/>
        <w:rPr>
          <w:rFonts w:ascii="Times New Roman" w:hAnsi="Times New Roman" w:cs="Times New Roman"/>
          <w:color w:val="1F1F1F"/>
          <w:lang w:val="en"/>
        </w:rPr>
      </w:pPr>
      <w:r w:rsidRPr="00821168">
        <w:rPr>
          <w:rFonts w:ascii="Times New Roman" w:hAnsi="Times New Roman" w:cs="Times New Roman"/>
          <w:color w:val="1F1F1F"/>
          <w:lang w:val="en"/>
        </w:rPr>
        <w:footnoteRef/>
      </w:r>
      <w:r w:rsidRPr="00821168">
        <w:rPr>
          <w:rFonts w:ascii="Times New Roman" w:hAnsi="Times New Roman" w:cs="Times New Roman"/>
          <w:color w:val="1F1F1F"/>
          <w:lang w:val="en"/>
        </w:rPr>
        <w:t xml:space="preserve"> The live pork price index in August 2024 increased by 4.28% over the same period last year.</w:t>
      </w:r>
    </w:p>
  </w:footnote>
  <w:footnote w:id="3">
    <w:p w14:paraId="33E73F4B" w14:textId="77777777" w:rsidR="006F7F7E" w:rsidRPr="00FC4ACE" w:rsidRDefault="006F7F7E" w:rsidP="006F7F7E">
      <w:pPr>
        <w:pStyle w:val="FootnoteText"/>
        <w:jc w:val="both"/>
        <w:rPr>
          <w:lang w:val="en-GB"/>
        </w:rPr>
      </w:pPr>
      <w:r>
        <w:rPr>
          <w:rStyle w:val="FootnoteReference"/>
        </w:rPr>
        <w:footnoteRef/>
      </w:r>
      <w:r>
        <w:t xml:space="preserve"> </w:t>
      </w:r>
      <w:r w:rsidRPr="00ED4E1E">
        <w:t>Due to the province's new forest planting plan this year being reduced compared to last year and due to the severe hot weather.</w:t>
      </w:r>
    </w:p>
  </w:footnote>
  <w:footnote w:id="4">
    <w:p w14:paraId="4973F956" w14:textId="77777777" w:rsidR="006F7F7E" w:rsidRPr="004302EF" w:rsidRDefault="006F7F7E" w:rsidP="006F7F7E">
      <w:pPr>
        <w:pStyle w:val="FootnoteText"/>
        <w:spacing w:after="40"/>
        <w:ind w:left="198" w:hanging="198"/>
      </w:pPr>
      <w:r w:rsidRPr="004302EF">
        <w:rPr>
          <w:rStyle w:val="FootnoteReference"/>
        </w:rPr>
        <w:footnoteRef/>
      </w:r>
      <w:r w:rsidRPr="004302EF">
        <w:t xml:space="preserve"> </w:t>
      </w:r>
      <w:r w:rsidRPr="00ED4E1E">
        <w:t>Data from the Ministry of Agriculture and Rural Development as of August 15, 2024.</w:t>
      </w:r>
    </w:p>
  </w:footnote>
  <w:footnote w:id="5">
    <w:p w14:paraId="013130F6" w14:textId="77777777" w:rsidR="006F7F7E" w:rsidRPr="00FC4ACE" w:rsidRDefault="006F7F7E" w:rsidP="006F7F7E">
      <w:pPr>
        <w:pStyle w:val="FootnoteText"/>
        <w:rPr>
          <w:lang w:val="en-GB"/>
        </w:rPr>
      </w:pPr>
      <w:r>
        <w:rPr>
          <w:rStyle w:val="FootnoteReference"/>
        </w:rPr>
        <w:footnoteRef/>
      </w:r>
      <w:r>
        <w:t xml:space="preserve"> </w:t>
      </w:r>
      <w:r w:rsidRPr="00CA64CB">
        <w:t>http://agromonitor.vn/category/48/ca-tra</w:t>
      </w:r>
      <w:r w:rsidRPr="007369DF">
        <w:t>:</w:t>
      </w:r>
      <w:r w:rsidRPr="00FC4ACE">
        <w:t xml:space="preserve"> </w:t>
      </w:r>
      <w:r w:rsidRPr="008F1196">
        <w:t>As of August 21, 2024, the price of raw pangasius fish of size 800gr-1.1kg purchased at the pond fluctuated from 26-26.5 thousand VND/kg.</w:t>
      </w:r>
    </w:p>
  </w:footnote>
  <w:footnote w:id="6">
    <w:p w14:paraId="3DB068B9" w14:textId="19502BC7" w:rsidR="00264E47" w:rsidRPr="008868D9" w:rsidRDefault="00264E47" w:rsidP="00264E47">
      <w:pPr>
        <w:pStyle w:val="FootnoteText"/>
        <w:spacing w:after="60"/>
        <w:ind w:left="142" w:hanging="142"/>
        <w:jc w:val="both"/>
        <w:rPr>
          <w:lang w:val="en-US"/>
        </w:rPr>
      </w:pPr>
      <w:r w:rsidRPr="008868D9">
        <w:rPr>
          <w:rStyle w:val="FootnoteReference"/>
        </w:rPr>
        <w:footnoteRef/>
      </w:r>
      <w:r w:rsidRPr="008868D9">
        <w:t xml:space="preserve"> </w:t>
      </w:r>
      <w:r w:rsidR="007657D1" w:rsidRPr="007657D1">
        <w:rPr>
          <w:lang w:val="en-US"/>
        </w:rPr>
        <w:t>The rate of increase/decrease of the industrial production index in the eight months of 2020-2024 compared to the same period last year was: 2.2%; 5,5%; 9,2%; -0.2% and 8.6%.</w:t>
      </w:r>
    </w:p>
  </w:footnote>
  <w:footnote w:id="7">
    <w:p w14:paraId="6E1F8A55" w14:textId="4B97986B" w:rsidR="007657D1" w:rsidRPr="007657D1" w:rsidRDefault="007657D1">
      <w:pPr>
        <w:pStyle w:val="FootnoteText"/>
        <w:rPr>
          <w:lang w:val="en-US"/>
        </w:rPr>
      </w:pPr>
      <w:r>
        <w:rPr>
          <w:rStyle w:val="FootnoteReference"/>
        </w:rPr>
        <w:footnoteRef/>
      </w:r>
      <w:r>
        <w:t xml:space="preserve"> </w:t>
      </w:r>
      <w:r w:rsidRPr="007657D1">
        <w:t>The rate of increase/decrease in the IIP index in August 2024 compared to the previous month of some localities with large industrial scale is: Hai Phong increased by 17.2%; Binh Duong increased by 5.1%; Long An increased by 4.9%; Vinh Long increased by 2.3%; Ho Chi Minh City increased by 2.2%; Bac Giang increased by 1.7%; Hai Duong increased by 1.4%; Thai Nguyen increased by 0.8%; Vinh Phuc increased by 0.1%; Bac Ninh decreased by 9.6%.</w:t>
      </w:r>
    </w:p>
  </w:footnote>
  <w:footnote w:id="8">
    <w:p w14:paraId="247E48FC" w14:textId="38BA3798" w:rsidR="00845E7A" w:rsidRPr="00845E7A" w:rsidRDefault="00845E7A">
      <w:pPr>
        <w:pStyle w:val="FootnoteText"/>
        <w:rPr>
          <w:lang w:val="en-US"/>
        </w:rPr>
      </w:pPr>
      <w:r>
        <w:rPr>
          <w:rStyle w:val="FootnoteReference"/>
        </w:rPr>
        <w:footnoteRef/>
      </w:r>
      <w:r>
        <w:t xml:space="preserve"> </w:t>
      </w:r>
      <w:r w:rsidRPr="00845E7A">
        <w:t>Localities with a high production index of the processing and manufacturing industry in the first eight months of 2024 compared to the same period last year are: Lai Chau increased by 45.4%; Phu Tho increased by 40.0%; Bac Giang increased by 28.1%; Binh Phuoc increased by 17.2%; Thanh Hoa increased by 16.6%. Localities with high indicators of electricity production and distribution: Khanh Hoa increased by 204.3%; Tra Vinh increased by 59.6%; Cao Bang increased by 44.2%; Lai Chau increased by 37.5%; Dien Bien increased by 36.8%; Son La increased by 32.7%; Thanh Hoa increased by 29.7%.</w:t>
      </w:r>
    </w:p>
  </w:footnote>
  <w:footnote w:id="9">
    <w:p w14:paraId="1961CCD2" w14:textId="38B464D0" w:rsidR="00264E47" w:rsidRPr="008868D9" w:rsidRDefault="00264E47" w:rsidP="00264E47">
      <w:pPr>
        <w:pStyle w:val="FootnoteText"/>
        <w:spacing w:line="264" w:lineRule="auto"/>
        <w:ind w:left="142" w:hanging="142"/>
        <w:jc w:val="both"/>
        <w:rPr>
          <w:color w:val="FF0000"/>
          <w:spacing w:val="-4"/>
          <w:lang w:val="en-GB"/>
        </w:rPr>
      </w:pPr>
      <w:r w:rsidRPr="00487009">
        <w:rPr>
          <w:rStyle w:val="FootnoteReference"/>
        </w:rPr>
        <w:footnoteRef/>
      </w:r>
      <w:r w:rsidR="00845E7A" w:rsidRPr="00845E7A">
        <w:rPr>
          <w:spacing w:val="-4"/>
          <w:lang w:val="en-GB"/>
        </w:rPr>
        <w:t>Localities with a decrease in the production index of the processing and manufacturing industry in the first eight months of 2024 compared to the same period last year are: Ha Tinh decreased by 4.4%; Quang Ngai decreased by 3.2%; Gia Lai decreased by 1.6%. Localities have a decrease in the index of the electricity production and distribution industry in the first eight months of 2024 compared to the same period last year: Lang Son decreased by 16.4%; Quang Ngai decreased by 13.1%; Thua Thien - Hue decreased by 7.8%; Lam Dong decreased by 5.7%; Gia Lai decreased by 1.8%. Localities with a decrease in the mining industry production index: Ba Ria - Vung Tau decreased by 12.9%; Lam Dong decreased by 11.1%; Quang Tri decreased by 1.8%.</w:t>
      </w:r>
    </w:p>
  </w:footnote>
  <w:footnote w:id="10">
    <w:p w14:paraId="3B57CC77" w14:textId="77777777" w:rsidR="00195090" w:rsidRPr="00DE5763" w:rsidRDefault="00195090" w:rsidP="00195090">
      <w:pPr>
        <w:pStyle w:val="HTMLPreformatted"/>
        <w:jc w:val="both"/>
        <w:rPr>
          <w:rFonts w:ascii="Times New Roman" w:hAnsi="Times New Roman" w:cs="Times New Roman"/>
          <w:spacing w:val="-4"/>
        </w:rPr>
      </w:pPr>
      <w:r w:rsidRPr="00837379">
        <w:rPr>
          <w:rStyle w:val="FootnoteReference"/>
          <w:rFonts w:ascii="Times New Roman" w:hAnsi="Times New Roman"/>
        </w:rPr>
        <w:footnoteRef/>
      </w:r>
      <w:r w:rsidRPr="00837379">
        <w:rPr>
          <w:rFonts w:ascii="Times New Roman" w:hAnsi="Times New Roman" w:cs="Times New Roman"/>
          <w:lang w:val="vi-VN"/>
        </w:rPr>
        <w:t xml:space="preserve"> </w:t>
      </w:r>
      <w:r w:rsidRPr="008417C7">
        <w:rPr>
          <w:rFonts w:ascii="Times New Roman" w:hAnsi="Times New Roman" w:cs="Times New Roman"/>
          <w:spacing w:val="-4"/>
        </w:rPr>
        <w:t xml:space="preserve">Source: National Enterprise Registration Information System, Business Registration Management Agency, Ministry of Planning and Investment on </w:t>
      </w:r>
      <w:r>
        <w:rPr>
          <w:rFonts w:ascii="Times New Roman" w:hAnsi="Times New Roman" w:cs="Times New Roman"/>
          <w:spacing w:val="-4"/>
        </w:rPr>
        <w:t>September 02</w:t>
      </w:r>
      <w:r>
        <w:rPr>
          <w:rFonts w:ascii="Times New Roman" w:hAnsi="Times New Roman" w:cs="Times New Roman"/>
          <w:spacing w:val="-4"/>
          <w:vertAlign w:val="superscript"/>
        </w:rPr>
        <w:t>nd</w:t>
      </w:r>
      <w:r w:rsidRPr="008417C7">
        <w:rPr>
          <w:rFonts w:ascii="Times New Roman" w:hAnsi="Times New Roman" w:cs="Times New Roman"/>
          <w:spacing w:val="-4"/>
        </w:rPr>
        <w:t>, 202</w:t>
      </w:r>
      <w:r>
        <w:rPr>
          <w:rFonts w:ascii="Times New Roman" w:hAnsi="Times New Roman" w:cs="Times New Roman"/>
          <w:spacing w:val="-4"/>
        </w:rPr>
        <w:t>4</w:t>
      </w:r>
      <w:r w:rsidRPr="00DE5763">
        <w:rPr>
          <w:rFonts w:ascii="Times New Roman" w:hAnsi="Times New Roman" w:cs="Times New Roman"/>
          <w:spacing w:val="-4"/>
        </w:rPr>
        <w:t xml:space="preserve">. </w:t>
      </w:r>
      <w:r>
        <w:rPr>
          <w:rFonts w:ascii="Times New Roman" w:hAnsi="Times New Roman" w:cs="Times New Roman"/>
          <w:spacing w:val="-4"/>
        </w:rPr>
        <w:t>Based on the</w:t>
      </w:r>
      <w:r w:rsidRPr="00DE5763">
        <w:rPr>
          <w:rFonts w:ascii="Times New Roman" w:hAnsi="Times New Roman" w:cs="Times New Roman"/>
          <w:spacing w:val="-4"/>
        </w:rPr>
        <w:t xml:space="preserve"> Decree No. 62/2024/ND-CP dated June </w:t>
      </w:r>
      <w:r>
        <w:rPr>
          <w:rFonts w:ascii="Times New Roman" w:hAnsi="Times New Roman" w:cs="Times New Roman"/>
          <w:spacing w:val="-4"/>
        </w:rPr>
        <w:t>0</w:t>
      </w:r>
      <w:r w:rsidRPr="00DE5763">
        <w:rPr>
          <w:rFonts w:ascii="Times New Roman" w:hAnsi="Times New Roman" w:cs="Times New Roman"/>
          <w:spacing w:val="-4"/>
        </w:rPr>
        <w:t>7</w:t>
      </w:r>
      <w:r>
        <w:rPr>
          <w:rFonts w:ascii="Times New Roman" w:hAnsi="Times New Roman" w:cs="Times New Roman"/>
          <w:spacing w:val="-4"/>
          <w:vertAlign w:val="superscript"/>
        </w:rPr>
        <w:t>th</w:t>
      </w:r>
      <w:r w:rsidRPr="00DE5763">
        <w:rPr>
          <w:rFonts w:ascii="Times New Roman" w:hAnsi="Times New Roman" w:cs="Times New Roman"/>
          <w:spacing w:val="-4"/>
        </w:rPr>
        <w:t xml:space="preserve">, 2024 (effective from August </w:t>
      </w:r>
      <w:r>
        <w:rPr>
          <w:rFonts w:ascii="Times New Roman" w:hAnsi="Times New Roman" w:cs="Times New Roman"/>
          <w:spacing w:val="-4"/>
        </w:rPr>
        <w:t>01</w:t>
      </w:r>
      <w:r>
        <w:rPr>
          <w:rFonts w:ascii="Times New Roman" w:hAnsi="Times New Roman" w:cs="Times New Roman"/>
          <w:spacing w:val="-4"/>
          <w:vertAlign w:val="superscript"/>
        </w:rPr>
        <w:t>st</w:t>
      </w:r>
      <w:r w:rsidRPr="00DE5763">
        <w:rPr>
          <w:rFonts w:ascii="Times New Roman" w:hAnsi="Times New Roman" w:cs="Times New Roman"/>
          <w:spacing w:val="-4"/>
        </w:rPr>
        <w:t>, 2024), the data period on business registration of August 2024 is from 01</w:t>
      </w:r>
      <w:r>
        <w:rPr>
          <w:rFonts w:ascii="Times New Roman" w:hAnsi="Times New Roman" w:cs="Times New Roman"/>
          <w:spacing w:val="-4"/>
          <w:vertAlign w:val="superscript"/>
        </w:rPr>
        <w:t>st</w:t>
      </w:r>
      <w:r w:rsidRPr="00DE5763">
        <w:rPr>
          <w:rFonts w:ascii="Times New Roman" w:hAnsi="Times New Roman" w:cs="Times New Roman"/>
          <w:spacing w:val="-4"/>
        </w:rPr>
        <w:t>-31</w:t>
      </w:r>
      <w:r>
        <w:rPr>
          <w:rFonts w:ascii="Times New Roman" w:hAnsi="Times New Roman" w:cs="Times New Roman"/>
          <w:spacing w:val="-4"/>
          <w:vertAlign w:val="superscript"/>
        </w:rPr>
        <w:t>st</w:t>
      </w:r>
      <w:r w:rsidRPr="00DE5763">
        <w:rPr>
          <w:rFonts w:ascii="Times New Roman" w:hAnsi="Times New Roman" w:cs="Times New Roman"/>
          <w:spacing w:val="-4"/>
        </w:rPr>
        <w:t xml:space="preserve"> August 2024. The data period of the time indicator</w:t>
      </w:r>
      <w:r>
        <w:rPr>
          <w:rFonts w:ascii="Times New Roman" w:hAnsi="Times New Roman" w:cs="Times New Roman"/>
          <w:spacing w:val="-4"/>
        </w:rPr>
        <w:t>s</w:t>
      </w:r>
      <w:r w:rsidRPr="00DE5763">
        <w:rPr>
          <w:rFonts w:ascii="Times New Roman" w:hAnsi="Times New Roman" w:cs="Times New Roman"/>
          <w:spacing w:val="-4"/>
        </w:rPr>
        <w:t xml:space="preserve"> (enterprises returning to operations, temporarily </w:t>
      </w:r>
      <w:r>
        <w:rPr>
          <w:rFonts w:ascii="Times New Roman" w:hAnsi="Times New Roman" w:cs="Times New Roman"/>
          <w:spacing w:val="-4"/>
        </w:rPr>
        <w:t>inactive</w:t>
      </w:r>
      <w:r w:rsidRPr="00DE5763">
        <w:rPr>
          <w:rFonts w:ascii="Times New Roman" w:hAnsi="Times New Roman" w:cs="Times New Roman"/>
          <w:spacing w:val="-4"/>
        </w:rPr>
        <w:t xml:space="preserve"> enterprises, enterprises </w:t>
      </w:r>
      <w:r>
        <w:rPr>
          <w:rFonts w:ascii="Times New Roman" w:hAnsi="Times New Roman" w:cs="Times New Roman"/>
          <w:spacing w:val="-4"/>
        </w:rPr>
        <w:t>ceasing and</w:t>
      </w:r>
      <w:r w:rsidRPr="00DE5763">
        <w:rPr>
          <w:rFonts w:ascii="Times New Roman" w:hAnsi="Times New Roman" w:cs="Times New Roman"/>
          <w:spacing w:val="-4"/>
        </w:rPr>
        <w:t xml:space="preserve"> awaiting dissolu</w:t>
      </w:r>
      <w:r>
        <w:rPr>
          <w:rFonts w:ascii="Times New Roman" w:hAnsi="Times New Roman" w:cs="Times New Roman"/>
          <w:spacing w:val="-4"/>
        </w:rPr>
        <w:t>tion procedures) before August 01</w:t>
      </w:r>
      <w:r>
        <w:rPr>
          <w:rFonts w:ascii="Times New Roman" w:hAnsi="Times New Roman" w:cs="Times New Roman"/>
          <w:spacing w:val="-4"/>
          <w:vertAlign w:val="superscript"/>
        </w:rPr>
        <w:t>st</w:t>
      </w:r>
      <w:r w:rsidRPr="00DE5763">
        <w:rPr>
          <w:rFonts w:ascii="Times New Roman" w:hAnsi="Times New Roman" w:cs="Times New Roman"/>
          <w:spacing w:val="-4"/>
        </w:rPr>
        <w:t>, 2024 is from the 21</w:t>
      </w:r>
      <w:r w:rsidRPr="00DE5763">
        <w:rPr>
          <w:rFonts w:ascii="Times New Roman" w:hAnsi="Times New Roman" w:cs="Times New Roman"/>
          <w:spacing w:val="-4"/>
          <w:vertAlign w:val="superscript"/>
        </w:rPr>
        <w:t>st</w:t>
      </w:r>
      <w:r w:rsidRPr="00DE5763">
        <w:rPr>
          <w:rFonts w:ascii="Times New Roman" w:hAnsi="Times New Roman" w:cs="Times New Roman"/>
          <w:spacing w:val="-4"/>
        </w:rPr>
        <w:t xml:space="preserve"> day of the </w:t>
      </w:r>
      <w:r>
        <w:rPr>
          <w:rFonts w:ascii="Times New Roman" w:hAnsi="Times New Roman" w:cs="Times New Roman"/>
          <w:spacing w:val="-4"/>
        </w:rPr>
        <w:t xml:space="preserve">previous </w:t>
      </w:r>
      <w:r w:rsidRPr="00DE5763">
        <w:rPr>
          <w:rFonts w:ascii="Times New Roman" w:hAnsi="Times New Roman" w:cs="Times New Roman"/>
          <w:spacing w:val="-4"/>
        </w:rPr>
        <w:t xml:space="preserve">month </w:t>
      </w:r>
      <w:r>
        <w:rPr>
          <w:rFonts w:ascii="Times New Roman" w:hAnsi="Times New Roman" w:cs="Times New Roman"/>
          <w:spacing w:val="-4"/>
        </w:rPr>
        <w:t>of</w:t>
      </w:r>
      <w:r w:rsidRPr="00DE5763">
        <w:rPr>
          <w:rFonts w:ascii="Times New Roman" w:hAnsi="Times New Roman" w:cs="Times New Roman"/>
          <w:spacing w:val="-4"/>
        </w:rPr>
        <w:t xml:space="preserve"> the reporting month to the 20</w:t>
      </w:r>
      <w:r w:rsidRPr="00DE5763">
        <w:rPr>
          <w:rFonts w:ascii="Times New Roman" w:hAnsi="Times New Roman" w:cs="Times New Roman"/>
          <w:spacing w:val="-4"/>
          <w:vertAlign w:val="superscript"/>
        </w:rPr>
        <w:t>th</w:t>
      </w:r>
      <w:r w:rsidRPr="00DE5763">
        <w:rPr>
          <w:rFonts w:ascii="Times New Roman" w:hAnsi="Times New Roman" w:cs="Times New Roman"/>
          <w:spacing w:val="-4"/>
        </w:rPr>
        <w:t xml:space="preserve"> day of the reporting month.</w:t>
      </w:r>
    </w:p>
    <w:p w14:paraId="324BD556" w14:textId="77777777" w:rsidR="00195090" w:rsidRPr="00837379" w:rsidRDefault="00195090" w:rsidP="00195090">
      <w:pPr>
        <w:pStyle w:val="FootnoteText"/>
        <w:jc w:val="both"/>
        <w:rPr>
          <w:spacing w:val="-4"/>
          <w:lang w:val="vi-VN"/>
        </w:rPr>
      </w:pPr>
    </w:p>
  </w:footnote>
  <w:footnote w:id="11">
    <w:p w14:paraId="3D4BF0AE" w14:textId="77777777" w:rsidR="000D286F" w:rsidRPr="00FC383C" w:rsidRDefault="000D286F" w:rsidP="000D286F">
      <w:pPr>
        <w:pStyle w:val="FootnoteText"/>
      </w:pPr>
      <w:r w:rsidRPr="00FC383C">
        <w:rPr>
          <w:rStyle w:val="FootnoteReference"/>
        </w:rPr>
        <w:footnoteRef/>
      </w:r>
      <w:r w:rsidRPr="00FC383C">
        <w:t xml:space="preserve">According to the report of the Foreign Investment Agency, Ministry of Planning and Investment, received on August </w:t>
      </w:r>
      <w:r>
        <w:rPr>
          <w:lang w:val="en-US"/>
        </w:rPr>
        <w:t xml:space="preserve">31 , </w:t>
      </w:r>
      <w:r w:rsidRPr="00FC383C">
        <w:t>2024.</w:t>
      </w:r>
    </w:p>
  </w:footnote>
  <w:footnote w:id="12">
    <w:p w14:paraId="255D23A5" w14:textId="77777777" w:rsidR="000D286F" w:rsidRPr="005E6AD7" w:rsidRDefault="000D286F" w:rsidP="000D286F">
      <w:pPr>
        <w:pStyle w:val="FootnoteText"/>
        <w:rPr>
          <w:lang w:val="en-US"/>
        </w:rPr>
      </w:pPr>
      <w:r>
        <w:rPr>
          <w:rStyle w:val="FootnoteReference"/>
        </w:rPr>
        <w:footnoteRef/>
      </w:r>
      <w:r>
        <w:t xml:space="preserve"> 2020-2022 </w:t>
      </w:r>
      <w:r>
        <w:rPr>
          <w:lang w:val="en-US"/>
        </w:rPr>
        <w:t xml:space="preserve">years </w:t>
      </w:r>
      <w:r w:rsidRPr="006657A9">
        <w:t xml:space="preserve">up to August 20 every year </w:t>
      </w:r>
      <w:r>
        <w:rPr>
          <w:lang w:val="en-US"/>
        </w:rPr>
        <w:t>,</w:t>
      </w:r>
      <w:r w:rsidRPr="005E6AD7">
        <w:t xml:space="preserve"> </w:t>
      </w:r>
      <w:r>
        <w:rPr>
          <w:lang w:val="en-US"/>
        </w:rPr>
        <w:t>2023 and 2024 up to August 31.</w:t>
      </w:r>
    </w:p>
  </w:footnote>
  <w:footnote w:id="13">
    <w:p w14:paraId="1C6223DB" w14:textId="77777777" w:rsidR="00CE6F92" w:rsidRDefault="00CE6F92" w:rsidP="00CE6F92">
      <w:r w:rsidRPr="00CA6292">
        <w:rPr>
          <w:rStyle w:val="FootnoteReference"/>
          <w:sz w:val="22"/>
          <w:szCs w:val="22"/>
        </w:rPr>
        <w:footnoteRef/>
      </w:r>
      <w:r w:rsidRPr="00CA6292">
        <w:rPr>
          <w:sz w:val="22"/>
          <w:szCs w:val="22"/>
          <w:lang w:val="vi-VN"/>
        </w:rPr>
        <w:t xml:space="preserve">According to the Report on the implementation of Resolution No. 01/NQ-CP of the Government in the field of finance - State budget in August </w:t>
      </w:r>
      <w:r w:rsidRPr="00CA6292">
        <w:rPr>
          <w:sz w:val="22"/>
          <w:szCs w:val="22"/>
        </w:rPr>
        <w:t xml:space="preserve">and </w:t>
      </w:r>
      <w:r w:rsidRPr="00CA6292">
        <w:rPr>
          <w:sz w:val="22"/>
          <w:szCs w:val="22"/>
          <w:lang w:val="vi-VN"/>
        </w:rPr>
        <w:t xml:space="preserve">8 </w:t>
      </w:r>
      <w:r w:rsidRPr="00CA6292">
        <w:rPr>
          <w:sz w:val="22"/>
          <w:szCs w:val="22"/>
        </w:rPr>
        <w:t xml:space="preserve">months </w:t>
      </w:r>
      <w:r w:rsidRPr="00CA6292">
        <w:rPr>
          <w:sz w:val="22"/>
          <w:szCs w:val="22"/>
          <w:lang w:val="vi-VN"/>
        </w:rPr>
        <w:t xml:space="preserve">of 2024 sent by the Ministry of Finance on </w:t>
      </w:r>
      <w:r>
        <w:rPr>
          <w:sz w:val="22"/>
          <w:szCs w:val="22"/>
        </w:rPr>
        <w:t>August 28, 2024.</w:t>
      </w:r>
    </w:p>
  </w:footnote>
  <w:footnote w:id="14">
    <w:p w14:paraId="104A8EEE" w14:textId="77777777" w:rsidR="000D286F" w:rsidRPr="00F351F4" w:rsidRDefault="000D286F" w:rsidP="000D286F">
      <w:pPr>
        <w:pStyle w:val="FootnoteText"/>
        <w:ind w:left="142" w:hanging="142"/>
        <w:jc w:val="both"/>
        <w:rPr>
          <w:lang w:val="en-US"/>
        </w:rPr>
      </w:pPr>
      <w:r>
        <w:rPr>
          <w:rStyle w:val="FootnoteReference"/>
        </w:rPr>
        <w:footnoteRef/>
      </w:r>
      <w:r>
        <w:t xml:space="preserve"> </w:t>
      </w:r>
      <w:r w:rsidRPr="009C5B6D">
        <w:t>The value of export</w:t>
      </w:r>
      <w:r w:rsidRPr="00F7354A">
        <w:t xml:space="preserve"> turnover is calculated at F.O.B price and import turnover is calculated at C.I.F price (including transportation and insurance costs of imported goods).</w:t>
      </w:r>
    </w:p>
  </w:footnote>
  <w:footnote w:id="15">
    <w:p w14:paraId="1759FDD4" w14:textId="77777777" w:rsidR="000D286F" w:rsidRPr="00A25D0E" w:rsidRDefault="000D286F" w:rsidP="000D286F">
      <w:pPr>
        <w:pStyle w:val="FootnoteText"/>
        <w:ind w:left="142" w:hanging="142"/>
        <w:jc w:val="both"/>
        <w:rPr>
          <w:lang w:val="en-US"/>
        </w:rPr>
      </w:pPr>
      <w:r>
        <w:rPr>
          <w:rStyle w:val="FootnoteReference"/>
        </w:rPr>
        <w:footnoteRef/>
      </w:r>
      <w:r>
        <w:t xml:space="preserve"> </w:t>
      </w:r>
      <w:r w:rsidRPr="00AE72B5">
        <w:t>Total turnover and value of preliminary export and import goods in August 2024 provided by the General Department of Customs on September 5, 2024.</w:t>
      </w:r>
    </w:p>
  </w:footnote>
  <w:footnote w:id="16">
    <w:p w14:paraId="726B7EC9" w14:textId="77777777" w:rsidR="000D286F" w:rsidRPr="00ED71AE" w:rsidRDefault="000D286F" w:rsidP="000D286F">
      <w:pPr>
        <w:pStyle w:val="FootnoteText"/>
        <w:ind w:left="142" w:hanging="142"/>
        <w:jc w:val="both"/>
      </w:pPr>
      <w:r>
        <w:rPr>
          <w:rStyle w:val="FootnoteReference"/>
        </w:rPr>
        <w:footnoteRef/>
      </w:r>
      <w:r>
        <w:t xml:space="preserve"> </w:t>
      </w:r>
      <w:r w:rsidRPr="00ED71AE">
        <w:t xml:space="preserve">Total import and export turnover of goods in </w:t>
      </w:r>
      <w:r>
        <w:t>eight</w:t>
      </w:r>
      <w:r w:rsidRPr="00ED71AE">
        <w:t xml:space="preserve"> months of 2023 reached </w:t>
      </w:r>
      <w:r>
        <w:t>438.03</w:t>
      </w:r>
      <w:r w:rsidRPr="00ED71AE">
        <w:t xml:space="preserve"> billion USD, down 1</w:t>
      </w:r>
      <w:r>
        <w:t>2.5</w:t>
      </w:r>
      <w:r w:rsidRPr="00ED71AE">
        <w:t xml:space="preserve">% over the same period last year, of which exports reached </w:t>
      </w:r>
      <w:r>
        <w:t>228.96</w:t>
      </w:r>
      <w:r w:rsidRPr="00ED71AE">
        <w:t xml:space="preserve"> billion USD, down </w:t>
      </w:r>
      <w:r>
        <w:t>9.5</w:t>
      </w:r>
      <w:r w:rsidRPr="00ED71AE">
        <w:t xml:space="preserve">%; imports reached </w:t>
      </w:r>
      <w:r>
        <w:t>209.07</w:t>
      </w:r>
      <w:r w:rsidRPr="00ED71AE">
        <w:t xml:space="preserve"> billion USD, down 1</w:t>
      </w:r>
      <w:r>
        <w:t>5.6</w:t>
      </w:r>
      <w:r w:rsidRPr="00ED71AE">
        <w:t>%.</w:t>
      </w:r>
    </w:p>
  </w:footnote>
  <w:footnote w:id="17">
    <w:p w14:paraId="20EBDDE2" w14:textId="77777777" w:rsidR="000D286F" w:rsidRPr="004C7CF5" w:rsidRDefault="000D286F" w:rsidP="000D286F">
      <w:pPr>
        <w:pStyle w:val="FootnoteText"/>
        <w:ind w:left="720" w:hanging="720"/>
        <w:jc w:val="both"/>
        <w:rPr>
          <w:lang w:val="vi-VN"/>
        </w:rPr>
      </w:pPr>
      <w:r w:rsidRPr="004C7CF5">
        <w:rPr>
          <w:rStyle w:val="FootnoteReference"/>
        </w:rPr>
        <w:footnoteRef/>
      </w:r>
      <w:r w:rsidRPr="004C7CF5">
        <w:rPr>
          <w:lang w:val="vi-VN"/>
        </w:rPr>
        <w:t xml:space="preserve"> </w:t>
      </w:r>
      <w:r w:rsidRPr="004C7CF5">
        <w:rPr>
          <w:lang w:val="en-US"/>
        </w:rPr>
        <w:t>June is estimated to have a trade surplus of 2.94 billion USD</w:t>
      </w:r>
      <w:r w:rsidRPr="004C7CF5">
        <w:rPr>
          <w:lang w:val="vi-VN"/>
        </w:rPr>
        <w:t>.</w:t>
      </w:r>
    </w:p>
  </w:footnote>
  <w:footnote w:id="18">
    <w:p w14:paraId="5A7CA2D5" w14:textId="77777777" w:rsidR="000D286F" w:rsidRPr="00D86931" w:rsidRDefault="000D286F" w:rsidP="000D286F">
      <w:pPr>
        <w:pStyle w:val="FootnoteText"/>
        <w:spacing w:before="20" w:after="20"/>
        <w:ind w:left="142" w:hanging="142"/>
        <w:jc w:val="both"/>
        <w:rPr>
          <w:lang w:val="vi-VN"/>
        </w:rPr>
      </w:pPr>
      <w:r>
        <w:rPr>
          <w:lang w:val="en-US"/>
        </w:rPr>
        <w:t xml:space="preserve"> </w:t>
      </w:r>
      <w:r>
        <w:rPr>
          <w:rStyle w:val="FootnoteReference"/>
        </w:rPr>
        <w:t xml:space="preserve">1 </w:t>
      </w:r>
      <w:r>
        <w:rPr>
          <w:lang w:val="en-US"/>
        </w:rPr>
        <w:t>O</w:t>
      </w:r>
      <w:r>
        <w:rPr>
          <w:lang w:val="vi-VN"/>
        </w:rPr>
        <w:t xml:space="preserve">ther </w:t>
      </w:r>
      <w:r>
        <w:t>commodities because it is calculated based on revenue and consumption output of July 2024.</w:t>
      </w:r>
    </w:p>
  </w:footnote>
  <w:footnote w:id="19">
    <w:p w14:paraId="7A7FA44F" w14:textId="77777777" w:rsidR="000D286F" w:rsidRPr="00B80651" w:rsidRDefault="000D286F" w:rsidP="000D286F">
      <w:pPr>
        <w:pStyle w:val="FootnoteText"/>
        <w:spacing w:before="20" w:after="20"/>
        <w:ind w:left="198" w:hanging="198"/>
        <w:jc w:val="both"/>
        <w:rPr>
          <w:lang w:val="vi-VN"/>
        </w:rPr>
      </w:pPr>
      <w:r w:rsidRPr="00FC383C">
        <w:rPr>
          <w:rStyle w:val="FootnoteReference"/>
        </w:rPr>
        <w:footnoteRef/>
      </w:r>
      <w:r>
        <w:rPr>
          <w:lang w:val="en-US"/>
        </w:rPr>
        <w:t xml:space="preserve"> </w:t>
      </w:r>
      <w:r w:rsidRPr="00FC383C">
        <w:rPr>
          <w:lang w:val="vi-VN"/>
        </w:rPr>
        <w:t>Domestic rice prices increased following export rice prices, along with the summer-autumn rice crop coming to an end, which also affected rice supply. The price index of the rice group increased slightly by 0.03% (regular rice decreased by 0.02%; premium rice increased by 0.19%; sticky rice increased by 0.24%). In addition, some food items increased in price in August compared to the previous month, such as potato prices increased by 4.95%; corn increased by 1.27%; vermicelli increased by 0.31%; vermicelli, pho, rice paper increased by 0.26%; corn flour increased by 0.22%; instant cereal increased by 0.13%.</w:t>
      </w:r>
    </w:p>
  </w:footnote>
  <w:footnote w:id="20">
    <w:p w14:paraId="0DCF703A" w14:textId="77777777" w:rsidR="000D286F" w:rsidRPr="00F20E9F" w:rsidRDefault="000D286F" w:rsidP="000D286F">
      <w:pPr>
        <w:pStyle w:val="FootnoteText"/>
        <w:spacing w:before="20" w:after="20"/>
        <w:ind w:left="198" w:hanging="198"/>
        <w:jc w:val="both"/>
        <w:rPr>
          <w:lang w:val="vi-VN"/>
        </w:rPr>
      </w:pPr>
      <w:r w:rsidRPr="00FC383C">
        <w:rPr>
          <w:rStyle w:val="FootnoteReference"/>
        </w:rPr>
        <w:footnoteRef/>
      </w:r>
      <w:r>
        <w:t xml:space="preserve"> </w:t>
      </w:r>
      <w:r w:rsidRPr="00FC383C">
        <w:t xml:space="preserve">Prices of fresh, dried and processed vegetables increased by 2.02% </w:t>
      </w:r>
      <w:r>
        <w:rPr>
          <w:lang w:val="vi-VN"/>
        </w:rPr>
        <w:t>; poultry prices increased by 0.21%; spices increased by 0.59%; tea, coffee, cocoa increased by 0.26%; milk, butter, cheese increased by 0.15%; sugar, molasses increased by 0.04%; cakes, jams, candies increased by 0.02%; prices of cooking oil and other fats increased by 0.13%. In addition to the items that increased in price, some food items in August 2024 had prices that decreased compared to the previous month: Fresh seafood prices decreased by 0.15%; pork prices decreased slightly by 0.06% due to the complicated developments of African swine fever in some localities, causing consumers to worry about food safety and origin.</w:t>
      </w:r>
    </w:p>
  </w:footnote>
  <w:footnote w:id="21">
    <w:p w14:paraId="6A11088E" w14:textId="77777777" w:rsidR="000D286F" w:rsidRPr="00FC383C" w:rsidRDefault="000D286F" w:rsidP="000D286F">
      <w:pPr>
        <w:pStyle w:val="FootnoteText"/>
        <w:spacing w:before="20" w:after="20"/>
        <w:ind w:left="198" w:hanging="198"/>
        <w:jc w:val="both"/>
        <w:rPr>
          <w:lang w:val="vi-VN"/>
        </w:rPr>
      </w:pPr>
      <w:r w:rsidRPr="00FC383C">
        <w:rPr>
          <w:rStyle w:val="FootnoteReference"/>
        </w:rPr>
        <w:footnoteRef/>
      </w:r>
      <w:r w:rsidRPr="00FC383C">
        <w:t xml:space="preserve"> </w:t>
      </w:r>
      <w:r>
        <w:rPr>
          <w:lang w:val="vi-VN"/>
        </w:rPr>
        <w:t>Due to the high demand for eating out during the tourist season. Of which, the price of drinking out increased by 0.45%; eating out increased by 0.25%; and fast food take-away increased by 0.16%.</w:t>
      </w:r>
    </w:p>
  </w:footnote>
  <w:footnote w:id="22">
    <w:p w14:paraId="2A82253A" w14:textId="77777777" w:rsidR="000D286F" w:rsidRDefault="000D286F" w:rsidP="000D286F">
      <w:pPr>
        <w:pStyle w:val="FootnoteText"/>
        <w:ind w:left="142" w:hanging="142"/>
      </w:pPr>
      <w:r>
        <w:rPr>
          <w:rStyle w:val="FootnoteReference"/>
        </w:rPr>
        <w:footnoteRef/>
      </w:r>
      <w:r>
        <w:t xml:space="preserve"> The price index of the health service group in Nam Dinh province in August 2024 increased by 11.85% compared to the previous month.</w:t>
      </w:r>
    </w:p>
  </w:footnote>
  <w:footnote w:id="23">
    <w:p w14:paraId="5DDADC4A" w14:textId="77777777" w:rsidR="000D286F" w:rsidRDefault="000D286F" w:rsidP="000D286F">
      <w:pPr>
        <w:pStyle w:val="FootnoteText"/>
        <w:ind w:left="142" w:hanging="142"/>
        <w:jc w:val="both"/>
      </w:pPr>
      <w:r>
        <w:rPr>
          <w:rStyle w:val="FootnoteReference"/>
        </w:rPr>
        <w:footnoteRef/>
      </w:r>
      <w:r>
        <w:t xml:space="preserve"> Some localities have an increase in the education service price index in August 2024 compared to the previous month: Dak Lak increased by 6.33%; Vinh Phuc increased by 2.91%; Hai Phong increased by 2.5%; Dong Nai increased by 0.76%; Hanoi increased by 0.25%; Ha Tinh increased by 0.18%; Ho Chi Minh City increased by 0.07%. In particular, Hau Giang province decreased by 23.21% according to Resolution No. 12/2024/NQ-HDND dated July 24, 2024.</w:t>
      </w:r>
    </w:p>
  </w:footnote>
  <w:footnote w:id="24">
    <w:p w14:paraId="3041E1E5" w14:textId="77777777" w:rsidR="000D286F" w:rsidRPr="00FC383C" w:rsidRDefault="000D286F" w:rsidP="000D286F">
      <w:pPr>
        <w:pStyle w:val="FootnoteText"/>
        <w:spacing w:before="20" w:after="20"/>
        <w:ind w:left="142" w:hanging="142"/>
        <w:jc w:val="both"/>
      </w:pPr>
      <w:r w:rsidRPr="00FC383C">
        <w:rPr>
          <w:rStyle w:val="FootnoteReference"/>
        </w:rPr>
        <w:footnoteRef/>
      </w:r>
      <w:r>
        <w:t xml:space="preserve"> </w:t>
      </w:r>
      <w:r w:rsidRPr="00FC383C">
        <w:t>CPI after excluding food, fresh food, energy and state-managed goods including medical services and education.</w:t>
      </w:r>
    </w:p>
  </w:footnote>
  <w:footnote w:id="25">
    <w:p w14:paraId="712041D6" w14:textId="77777777" w:rsidR="006F7F7E" w:rsidRDefault="006F7F7E" w:rsidP="006F7F7E">
      <w:pPr>
        <w:pStyle w:val="FootnoteText"/>
        <w:jc w:val="both"/>
        <w:rPr>
          <w:sz w:val="18"/>
          <w:szCs w:val="18"/>
        </w:rPr>
      </w:pPr>
      <w:r>
        <w:rPr>
          <w:rStyle w:val="FootnoteReference"/>
        </w:rPr>
        <w:footnoteRef/>
      </w:r>
      <w:r>
        <w:rPr>
          <w:spacing w:val="2"/>
        </w:rPr>
        <w:t xml:space="preserve"> According to the report of the Border Gate Department, the Border Guard Command, the Ministry of National Defense and the Immigration Department </w:t>
      </w:r>
      <w:r w:rsidRPr="008A7BD1">
        <w:rPr>
          <w:spacing w:val="2"/>
        </w:rPr>
        <w:t>on August 27, 2024.</w:t>
      </w:r>
    </w:p>
  </w:footnote>
  <w:footnote w:id="26">
    <w:p w14:paraId="7D8A9A43" w14:textId="77777777" w:rsidR="006F7F7E" w:rsidRPr="00672651" w:rsidRDefault="006F7F7E" w:rsidP="006F7F7E">
      <w:pPr>
        <w:pStyle w:val="FootnoteText"/>
        <w:rPr>
          <w:lang w:val="en-US"/>
        </w:rPr>
      </w:pPr>
      <w:r>
        <w:rPr>
          <w:rStyle w:val="FootnoteReference"/>
        </w:rPr>
        <w:footnoteRef/>
      </w:r>
      <w:r>
        <w:t xml:space="preserve"> </w:t>
      </w:r>
      <w:r>
        <w:rPr>
          <w:lang w:val="en-US"/>
        </w:rPr>
        <w:t>T</w:t>
      </w:r>
      <w:r>
        <w:rPr>
          <w:lang w:val="nl-NL"/>
        </w:rPr>
        <w:t xml:space="preserve">he reporting period was from July 26, </w:t>
      </w:r>
      <w:proofErr w:type="gramStart"/>
      <w:r>
        <w:rPr>
          <w:lang w:val="nl-NL"/>
        </w:rPr>
        <w:t>2024</w:t>
      </w:r>
      <w:proofErr w:type="gramEnd"/>
      <w:r>
        <w:rPr>
          <w:lang w:val="nl-NL"/>
        </w:rPr>
        <w:t xml:space="preserve"> to August 25, 2024.</w:t>
      </w:r>
    </w:p>
  </w:footnote>
  <w:footnote w:id="27">
    <w:p w14:paraId="0CEF4B5D" w14:textId="77777777" w:rsidR="001A4AA8" w:rsidRPr="00FC383C" w:rsidRDefault="001A4AA8" w:rsidP="001A4AA8">
      <w:pPr>
        <w:pStyle w:val="FootnoteText"/>
        <w:rPr>
          <w:lang w:val="nl-NL"/>
        </w:rPr>
      </w:pPr>
      <w:r w:rsidRPr="00FC383C">
        <w:rPr>
          <w:rStyle w:val="FootnoteReference"/>
        </w:rPr>
        <w:footnoteRef/>
      </w:r>
      <w:r w:rsidRPr="00FC383C">
        <w:t xml:space="preserve"> </w:t>
      </w:r>
      <w:r w:rsidRPr="00914312">
        <w:t>A household can choose many reasons to reduce income.</w:t>
      </w:r>
    </w:p>
  </w:footnote>
  <w:footnote w:id="28">
    <w:p w14:paraId="532AE57B" w14:textId="77777777" w:rsidR="001A4AA8" w:rsidRPr="006F40C3" w:rsidRDefault="001A4AA8" w:rsidP="001A4AA8">
      <w:pPr>
        <w:pStyle w:val="FootnoteText"/>
        <w:spacing w:after="40"/>
        <w:ind w:left="198" w:hanging="198"/>
        <w:jc w:val="both"/>
        <w:rPr>
          <w:color w:val="FF0000"/>
        </w:rPr>
      </w:pPr>
      <w:r w:rsidRPr="00335DC4">
        <w:rPr>
          <w:rStyle w:val="FootnoteReference"/>
        </w:rPr>
        <w:footnoteRef/>
      </w:r>
      <w:r w:rsidRPr="00335DC4">
        <w:t xml:space="preserve"> </w:t>
      </w:r>
      <w:r w:rsidRPr="00914312">
        <w:t>According to a quick report from the Office of the Ministry of Public Security and the Vietnam Maritime Administration (Ministry of Transport) on August 23, 2024.</w:t>
      </w:r>
    </w:p>
  </w:footnote>
  <w:footnote w:id="29">
    <w:p w14:paraId="2FB29074" w14:textId="77777777" w:rsidR="001A4AA8" w:rsidRPr="00335DC4" w:rsidRDefault="001A4AA8" w:rsidP="001A4AA8">
      <w:pPr>
        <w:pStyle w:val="FootnoteText"/>
        <w:spacing w:after="40"/>
        <w:ind w:left="198" w:hanging="198"/>
        <w:jc w:val="both"/>
        <w:rPr>
          <w:spacing w:val="-2"/>
        </w:rPr>
      </w:pPr>
      <w:r w:rsidRPr="00FC383C">
        <w:rPr>
          <w:rStyle w:val="FootnoteReference"/>
        </w:rPr>
        <w:footnoteRef/>
      </w:r>
      <w:r w:rsidRPr="00FC383C">
        <w:t xml:space="preserve"> </w:t>
      </w:r>
      <w:r w:rsidRPr="00914312">
        <w:t>Summary of reports from 63 Departments of Agriculture and Rural Development, reporting period from July 19 to August 18, 2024.</w:t>
      </w:r>
    </w:p>
  </w:footnote>
  <w:footnote w:id="30">
    <w:p w14:paraId="705C73C6" w14:textId="77777777" w:rsidR="001A4AA8" w:rsidRPr="00335DC4" w:rsidRDefault="001A4AA8" w:rsidP="001A4AA8">
      <w:pPr>
        <w:pStyle w:val="FootnoteText"/>
        <w:spacing w:after="40"/>
        <w:ind w:left="198" w:hanging="198"/>
        <w:jc w:val="both"/>
        <w:rPr>
          <w:lang w:val="en-US"/>
        </w:rPr>
      </w:pPr>
      <w:r w:rsidRPr="00335DC4">
        <w:rPr>
          <w:rStyle w:val="FootnoteReference"/>
        </w:rPr>
        <w:footnoteRef/>
      </w:r>
      <w:r w:rsidRPr="00914312">
        <w:rPr>
          <w:lang w:val="en-US"/>
        </w:rPr>
        <w:t>According to a report from the Department of Natural Resources and Environment, the Police of prov</w:t>
      </w:r>
      <w:r>
        <w:rPr>
          <w:lang w:val="en-US"/>
        </w:rPr>
        <w:t xml:space="preserve">inces and centrally run cities </w:t>
      </w:r>
      <w:r w:rsidRPr="00914312">
        <w:rPr>
          <w:lang w:val="en-US"/>
        </w:rPr>
        <w:t>Department of General Statistics.</w:t>
      </w:r>
    </w:p>
  </w:footnote>
  <w:footnote w:id="31">
    <w:p w14:paraId="25D277A1" w14:textId="77777777" w:rsidR="001A4AA8" w:rsidRPr="00335DC4" w:rsidRDefault="001A4AA8" w:rsidP="001A4AA8">
      <w:pPr>
        <w:tabs>
          <w:tab w:val="left" w:pos="426"/>
          <w:tab w:val="left" w:pos="900"/>
        </w:tabs>
        <w:spacing w:after="40"/>
        <w:ind w:left="198" w:hanging="198"/>
        <w:jc w:val="both"/>
        <w:rPr>
          <w:sz w:val="20"/>
          <w:szCs w:val="20"/>
        </w:rPr>
      </w:pPr>
      <w:r w:rsidRPr="00335DC4">
        <w:rPr>
          <w:rStyle w:val="FootnoteReference"/>
          <w:sz w:val="20"/>
          <w:szCs w:val="20"/>
        </w:rPr>
        <w:footnoteRef/>
      </w:r>
      <w:r w:rsidRPr="00335DC4">
        <w:rPr>
          <w:sz w:val="20"/>
          <w:szCs w:val="20"/>
        </w:rPr>
        <w:t xml:space="preserve"> </w:t>
      </w:r>
      <w:r w:rsidRPr="00914312">
        <w:rPr>
          <w:sz w:val="20"/>
          <w:szCs w:val="20"/>
        </w:rPr>
        <w:t xml:space="preserve">There are 11 localities that did not detect environmental violations in August 2024: Tuyen Quang, Lao Cai, Thanh Hoa, Khanh Hoa, Ninh Thuan, Dak Nong, Ba Ria-Vung Tau, Dong Thap, </w:t>
      </w:r>
      <w:proofErr w:type="gramStart"/>
      <w:r w:rsidRPr="00914312">
        <w:rPr>
          <w:sz w:val="20"/>
          <w:szCs w:val="20"/>
        </w:rPr>
        <w:t>An</w:t>
      </w:r>
      <w:proofErr w:type="gramEnd"/>
      <w:r w:rsidRPr="00914312">
        <w:rPr>
          <w:sz w:val="20"/>
          <w:szCs w:val="20"/>
        </w:rPr>
        <w:t xml:space="preserve"> Giang, Can Tho and Hau Giang.</w:t>
      </w:r>
    </w:p>
  </w:footnote>
  <w:footnote w:id="32">
    <w:p w14:paraId="16442957" w14:textId="77777777" w:rsidR="001A4AA8" w:rsidRPr="00C274F1" w:rsidRDefault="001A4AA8" w:rsidP="001A4AA8">
      <w:pPr>
        <w:pStyle w:val="FootnoteText"/>
        <w:spacing w:after="40"/>
        <w:ind w:left="198" w:hanging="198"/>
        <w:rPr>
          <w:color w:val="FF0000"/>
        </w:rPr>
      </w:pPr>
      <w:r w:rsidRPr="00335DC4">
        <w:rPr>
          <w:rStyle w:val="FootnoteReference"/>
        </w:rPr>
        <w:footnoteRef/>
      </w:r>
      <w:r w:rsidRPr="00335DC4">
        <w:t xml:space="preserve"> </w:t>
      </w:r>
      <w:r w:rsidRPr="00914312">
        <w:t>According to a quick report from the Ministry of Public Security on August 23,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EF328" w14:textId="28AF1239" w:rsidR="00B05CD3" w:rsidRPr="00AC7FFB" w:rsidRDefault="00B05CD3">
    <w:pPr>
      <w:pStyle w:val="Header"/>
      <w:jc w:val="center"/>
      <w:rPr>
        <w:sz w:val="26"/>
        <w:szCs w:val="26"/>
      </w:rPr>
    </w:pPr>
    <w:r w:rsidRPr="00AC7FFB">
      <w:rPr>
        <w:sz w:val="26"/>
        <w:szCs w:val="26"/>
      </w:rPr>
      <w:fldChar w:fldCharType="begin"/>
    </w:r>
    <w:r w:rsidRPr="00AC7FFB">
      <w:rPr>
        <w:sz w:val="26"/>
        <w:szCs w:val="26"/>
      </w:rPr>
      <w:instrText xml:space="preserve"> PAGE   \* MERGEFORMAT </w:instrText>
    </w:r>
    <w:r w:rsidRPr="00AC7FFB">
      <w:rPr>
        <w:sz w:val="26"/>
        <w:szCs w:val="26"/>
      </w:rPr>
      <w:fldChar w:fldCharType="separate"/>
    </w:r>
    <w:r w:rsidR="00C41F24">
      <w:rPr>
        <w:noProof/>
        <w:sz w:val="26"/>
        <w:szCs w:val="26"/>
      </w:rPr>
      <w:t>21</w:t>
    </w:r>
    <w:r w:rsidRPr="00AC7FFB">
      <w:rPr>
        <w:sz w:val="26"/>
        <w:szCs w:val="26"/>
      </w:rPr>
      <w:fldChar w:fldCharType="end"/>
    </w:r>
  </w:p>
  <w:p w14:paraId="57233147" w14:textId="77777777" w:rsidR="00B05CD3" w:rsidRDefault="00B05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B20F8"/>
    <w:multiLevelType w:val="hybridMultilevel"/>
    <w:tmpl w:val="49DCEC6A"/>
    <w:lvl w:ilvl="0" w:tplc="AC7EED9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45F76734"/>
    <w:multiLevelType w:val="hybridMultilevel"/>
    <w:tmpl w:val="F1E6B188"/>
    <w:lvl w:ilvl="0" w:tplc="2C702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0047D20"/>
    <w:multiLevelType w:val="hybridMultilevel"/>
    <w:tmpl w:val="8B78EE34"/>
    <w:lvl w:ilvl="0" w:tplc="D43EE31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57195414">
    <w:abstractNumId w:val="0"/>
  </w:num>
  <w:num w:numId="2" w16cid:durableId="747196492">
    <w:abstractNumId w:val="1"/>
  </w:num>
  <w:num w:numId="3" w16cid:durableId="1161964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D50"/>
    <w:rsid w:val="0000220A"/>
    <w:rsid w:val="000062FC"/>
    <w:rsid w:val="000127BA"/>
    <w:rsid w:val="00026D35"/>
    <w:rsid w:val="00034929"/>
    <w:rsid w:val="00035542"/>
    <w:rsid w:val="00046DE0"/>
    <w:rsid w:val="000479E4"/>
    <w:rsid w:val="00090FE9"/>
    <w:rsid w:val="00093CBD"/>
    <w:rsid w:val="000C3E5B"/>
    <w:rsid w:val="000C4093"/>
    <w:rsid w:val="000D286F"/>
    <w:rsid w:val="000F2B52"/>
    <w:rsid w:val="000F3944"/>
    <w:rsid w:val="000F6D3D"/>
    <w:rsid w:val="00104B8E"/>
    <w:rsid w:val="00105859"/>
    <w:rsid w:val="00117F87"/>
    <w:rsid w:val="00126277"/>
    <w:rsid w:val="0012646F"/>
    <w:rsid w:val="001362C8"/>
    <w:rsid w:val="0014448B"/>
    <w:rsid w:val="0015153E"/>
    <w:rsid w:val="001605EB"/>
    <w:rsid w:val="00166AD0"/>
    <w:rsid w:val="001858E1"/>
    <w:rsid w:val="00186FD6"/>
    <w:rsid w:val="00195090"/>
    <w:rsid w:val="001A4AA8"/>
    <w:rsid w:val="001A6033"/>
    <w:rsid w:val="001D429F"/>
    <w:rsid w:val="001D6003"/>
    <w:rsid w:val="001F09D8"/>
    <w:rsid w:val="001F1D77"/>
    <w:rsid w:val="00212317"/>
    <w:rsid w:val="002177D1"/>
    <w:rsid w:val="00222D6D"/>
    <w:rsid w:val="0022469F"/>
    <w:rsid w:val="002253A1"/>
    <w:rsid w:val="00226CD6"/>
    <w:rsid w:val="002432CD"/>
    <w:rsid w:val="00252842"/>
    <w:rsid w:val="00264E47"/>
    <w:rsid w:val="0027029B"/>
    <w:rsid w:val="002873A7"/>
    <w:rsid w:val="002902C0"/>
    <w:rsid w:val="002A0CEE"/>
    <w:rsid w:val="002C2791"/>
    <w:rsid w:val="002C5F17"/>
    <w:rsid w:val="002D047E"/>
    <w:rsid w:val="002D3ACC"/>
    <w:rsid w:val="002E04A9"/>
    <w:rsid w:val="002E18D2"/>
    <w:rsid w:val="002E23F6"/>
    <w:rsid w:val="002E4343"/>
    <w:rsid w:val="0030254F"/>
    <w:rsid w:val="00313380"/>
    <w:rsid w:val="00330C5F"/>
    <w:rsid w:val="00333859"/>
    <w:rsid w:val="0034305D"/>
    <w:rsid w:val="003625D2"/>
    <w:rsid w:val="00382FCB"/>
    <w:rsid w:val="00385FBB"/>
    <w:rsid w:val="003A70F1"/>
    <w:rsid w:val="003E26D1"/>
    <w:rsid w:val="003E71C8"/>
    <w:rsid w:val="003F1CF3"/>
    <w:rsid w:val="00403DB3"/>
    <w:rsid w:val="00415F29"/>
    <w:rsid w:val="00430E27"/>
    <w:rsid w:val="00431A54"/>
    <w:rsid w:val="004447CB"/>
    <w:rsid w:val="004449AC"/>
    <w:rsid w:val="00447EA4"/>
    <w:rsid w:val="00461D50"/>
    <w:rsid w:val="00470FDA"/>
    <w:rsid w:val="00475ABB"/>
    <w:rsid w:val="00487009"/>
    <w:rsid w:val="00490328"/>
    <w:rsid w:val="00492E9B"/>
    <w:rsid w:val="004A3E45"/>
    <w:rsid w:val="004A707D"/>
    <w:rsid w:val="004B7E99"/>
    <w:rsid w:val="00514FB3"/>
    <w:rsid w:val="00521E97"/>
    <w:rsid w:val="00536910"/>
    <w:rsid w:val="00540FB0"/>
    <w:rsid w:val="00544745"/>
    <w:rsid w:val="00546B6D"/>
    <w:rsid w:val="005519FF"/>
    <w:rsid w:val="005528FA"/>
    <w:rsid w:val="00552BC7"/>
    <w:rsid w:val="0058793D"/>
    <w:rsid w:val="00594393"/>
    <w:rsid w:val="005F19EC"/>
    <w:rsid w:val="005F1CE6"/>
    <w:rsid w:val="00602B88"/>
    <w:rsid w:val="0061625C"/>
    <w:rsid w:val="00640BCE"/>
    <w:rsid w:val="00647585"/>
    <w:rsid w:val="00651C86"/>
    <w:rsid w:val="006740E0"/>
    <w:rsid w:val="00674258"/>
    <w:rsid w:val="00677D50"/>
    <w:rsid w:val="0069482B"/>
    <w:rsid w:val="006A34CF"/>
    <w:rsid w:val="006A3E99"/>
    <w:rsid w:val="006A422C"/>
    <w:rsid w:val="006A609E"/>
    <w:rsid w:val="006B444F"/>
    <w:rsid w:val="006C083F"/>
    <w:rsid w:val="006C1D0A"/>
    <w:rsid w:val="006D19D8"/>
    <w:rsid w:val="006E07D7"/>
    <w:rsid w:val="006E332B"/>
    <w:rsid w:val="006F4397"/>
    <w:rsid w:val="006F7F7E"/>
    <w:rsid w:val="00703898"/>
    <w:rsid w:val="00710EB7"/>
    <w:rsid w:val="00715C5D"/>
    <w:rsid w:val="00740F97"/>
    <w:rsid w:val="00741181"/>
    <w:rsid w:val="00743DDA"/>
    <w:rsid w:val="0074672C"/>
    <w:rsid w:val="007657D1"/>
    <w:rsid w:val="00767632"/>
    <w:rsid w:val="007750EF"/>
    <w:rsid w:val="00781A12"/>
    <w:rsid w:val="0078304D"/>
    <w:rsid w:val="007858C2"/>
    <w:rsid w:val="0078741D"/>
    <w:rsid w:val="00790BBF"/>
    <w:rsid w:val="007A5DF5"/>
    <w:rsid w:val="007B0000"/>
    <w:rsid w:val="007B47E6"/>
    <w:rsid w:val="007C0768"/>
    <w:rsid w:val="007D0882"/>
    <w:rsid w:val="008234F5"/>
    <w:rsid w:val="008439C2"/>
    <w:rsid w:val="00845E7A"/>
    <w:rsid w:val="008608B5"/>
    <w:rsid w:val="0086148A"/>
    <w:rsid w:val="00861F8B"/>
    <w:rsid w:val="00866103"/>
    <w:rsid w:val="008717AC"/>
    <w:rsid w:val="00875350"/>
    <w:rsid w:val="00891D55"/>
    <w:rsid w:val="008A5E46"/>
    <w:rsid w:val="008B0180"/>
    <w:rsid w:val="008B57D0"/>
    <w:rsid w:val="008B6F3F"/>
    <w:rsid w:val="008C1BB1"/>
    <w:rsid w:val="00901A7D"/>
    <w:rsid w:val="00914277"/>
    <w:rsid w:val="00956BEA"/>
    <w:rsid w:val="00963714"/>
    <w:rsid w:val="00970F4E"/>
    <w:rsid w:val="0097134A"/>
    <w:rsid w:val="009912C4"/>
    <w:rsid w:val="009959BE"/>
    <w:rsid w:val="00996A29"/>
    <w:rsid w:val="00997C94"/>
    <w:rsid w:val="009A22B9"/>
    <w:rsid w:val="009A2D8A"/>
    <w:rsid w:val="009C697E"/>
    <w:rsid w:val="009D274D"/>
    <w:rsid w:val="009D2A47"/>
    <w:rsid w:val="009E3E06"/>
    <w:rsid w:val="009E550D"/>
    <w:rsid w:val="009E6057"/>
    <w:rsid w:val="009E77C4"/>
    <w:rsid w:val="00A062B1"/>
    <w:rsid w:val="00A21D95"/>
    <w:rsid w:val="00A31D19"/>
    <w:rsid w:val="00A718AB"/>
    <w:rsid w:val="00A85047"/>
    <w:rsid w:val="00A8558D"/>
    <w:rsid w:val="00A9508E"/>
    <w:rsid w:val="00AA27AC"/>
    <w:rsid w:val="00AA6288"/>
    <w:rsid w:val="00AC73BB"/>
    <w:rsid w:val="00AD107C"/>
    <w:rsid w:val="00AD4CF5"/>
    <w:rsid w:val="00AF1136"/>
    <w:rsid w:val="00AF366E"/>
    <w:rsid w:val="00AF36A8"/>
    <w:rsid w:val="00B0096D"/>
    <w:rsid w:val="00B05CD3"/>
    <w:rsid w:val="00B41F90"/>
    <w:rsid w:val="00B458C4"/>
    <w:rsid w:val="00B92078"/>
    <w:rsid w:val="00BB08DB"/>
    <w:rsid w:val="00BB1FF1"/>
    <w:rsid w:val="00BB386B"/>
    <w:rsid w:val="00BC1DB5"/>
    <w:rsid w:val="00BC3020"/>
    <w:rsid w:val="00BC6A57"/>
    <w:rsid w:val="00C05018"/>
    <w:rsid w:val="00C11B05"/>
    <w:rsid w:val="00C150AF"/>
    <w:rsid w:val="00C315FF"/>
    <w:rsid w:val="00C35B25"/>
    <w:rsid w:val="00C41F24"/>
    <w:rsid w:val="00C55FB4"/>
    <w:rsid w:val="00C6170C"/>
    <w:rsid w:val="00C63F45"/>
    <w:rsid w:val="00C66EEF"/>
    <w:rsid w:val="00C83B31"/>
    <w:rsid w:val="00C84632"/>
    <w:rsid w:val="00C862DA"/>
    <w:rsid w:val="00C9132A"/>
    <w:rsid w:val="00C92160"/>
    <w:rsid w:val="00CA7DF4"/>
    <w:rsid w:val="00CB393F"/>
    <w:rsid w:val="00CC6658"/>
    <w:rsid w:val="00CE6F92"/>
    <w:rsid w:val="00D15CA5"/>
    <w:rsid w:val="00D511F8"/>
    <w:rsid w:val="00D57605"/>
    <w:rsid w:val="00D67189"/>
    <w:rsid w:val="00D75BE7"/>
    <w:rsid w:val="00D80269"/>
    <w:rsid w:val="00D811E2"/>
    <w:rsid w:val="00DB0EA8"/>
    <w:rsid w:val="00DB606A"/>
    <w:rsid w:val="00DB61F8"/>
    <w:rsid w:val="00DB72BB"/>
    <w:rsid w:val="00DC07E3"/>
    <w:rsid w:val="00DC2B9A"/>
    <w:rsid w:val="00DC45AD"/>
    <w:rsid w:val="00DC7225"/>
    <w:rsid w:val="00DD41DA"/>
    <w:rsid w:val="00E02A46"/>
    <w:rsid w:val="00E02A7F"/>
    <w:rsid w:val="00E14444"/>
    <w:rsid w:val="00E15FE7"/>
    <w:rsid w:val="00E20F19"/>
    <w:rsid w:val="00E27DF6"/>
    <w:rsid w:val="00E510C6"/>
    <w:rsid w:val="00E66872"/>
    <w:rsid w:val="00E84F51"/>
    <w:rsid w:val="00E90F8F"/>
    <w:rsid w:val="00EA06A4"/>
    <w:rsid w:val="00EB1797"/>
    <w:rsid w:val="00EF5483"/>
    <w:rsid w:val="00EF58BF"/>
    <w:rsid w:val="00F05EAD"/>
    <w:rsid w:val="00F15E0E"/>
    <w:rsid w:val="00F2632C"/>
    <w:rsid w:val="00F308E2"/>
    <w:rsid w:val="00F925E7"/>
    <w:rsid w:val="00FB5835"/>
    <w:rsid w:val="00FC0969"/>
    <w:rsid w:val="00FC72E8"/>
    <w:rsid w:val="00FE04BC"/>
    <w:rsid w:val="00FF0FA4"/>
    <w:rsid w:val="00FF55C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6BB7"/>
  <w15:chartTrackingRefBased/>
  <w15:docId w15:val="{F88BB761-C846-4C0D-8ECF-95A949CD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D50"/>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677D50"/>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9D274D"/>
    <w:pPr>
      <w:keepNext/>
      <w:spacing w:before="240" w:after="60"/>
      <w:outlineLvl w:val="1"/>
    </w:pPr>
    <w:rPr>
      <w:rFonts w:ascii="Calibri Light" w:hAnsi="Calibri Light"/>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7D50"/>
    <w:rPr>
      <w:rFonts w:ascii="Cambria" w:eastAsia="Times New Roman" w:hAnsi="Cambria" w:cs="Times New Roman"/>
      <w:b/>
      <w:bCs/>
      <w:kern w:val="32"/>
      <w:sz w:val="32"/>
      <w:szCs w:val="32"/>
      <w:lang w:val="x-none" w:eastAsia="x-none"/>
    </w:rPr>
  </w:style>
  <w:style w:type="character" w:styleId="Strong">
    <w:name w:val="Strong"/>
    <w:qFormat/>
    <w:rsid w:val="00677D50"/>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677D50"/>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677D50"/>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677D50"/>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677D50"/>
    <w:pPr>
      <w:spacing w:before="100" w:beforeAutospacing="1" w:after="100" w:afterAutospacing="1"/>
    </w:pPr>
    <w:rPr>
      <w:rFonts w:eastAsia="Calibri"/>
      <w:sz w:val="24"/>
      <w:szCs w:val="24"/>
      <w:lang w:val="x-none" w:eastAsia="x-none"/>
    </w:rPr>
  </w:style>
  <w:style w:type="character" w:customStyle="1" w:styleId="normalchar">
    <w:name w:val="normal__char"/>
    <w:basedOn w:val="DefaultParagraphFont"/>
    <w:rsid w:val="00677D50"/>
  </w:style>
  <w:style w:type="paragraph" w:styleId="Header">
    <w:name w:val="header"/>
    <w:basedOn w:val="Normal"/>
    <w:link w:val="HeaderChar"/>
    <w:uiPriority w:val="99"/>
    <w:rsid w:val="00677D50"/>
    <w:pPr>
      <w:tabs>
        <w:tab w:val="center" w:pos="4680"/>
        <w:tab w:val="right" w:pos="9360"/>
      </w:tabs>
    </w:pPr>
    <w:rPr>
      <w:rFonts w:eastAsia="Calibri"/>
      <w:lang w:val="x-none" w:eastAsia="x-none"/>
    </w:rPr>
  </w:style>
  <w:style w:type="character" w:customStyle="1" w:styleId="HeaderChar">
    <w:name w:val="Header Char"/>
    <w:basedOn w:val="DefaultParagraphFont"/>
    <w:link w:val="Header"/>
    <w:uiPriority w:val="99"/>
    <w:rsid w:val="00677D50"/>
    <w:rPr>
      <w:rFonts w:ascii="Times New Roman" w:eastAsia="Calibri" w:hAnsi="Times New Roman" w:cs="Times New Roman"/>
      <w:sz w:val="28"/>
      <w:szCs w:val="28"/>
      <w:lang w:val="x-none" w:eastAsia="x-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677D50"/>
    <w:pPr>
      <w:spacing w:after="200" w:line="276" w:lineRule="auto"/>
      <w:ind w:left="720"/>
      <w:contextualSpacing/>
    </w:pPr>
    <w:rPr>
      <w:rFonts w:eastAsia="Calibri"/>
    </w:rPr>
  </w:style>
  <w:style w:type="paragraph" w:customStyle="1" w:styleId="Normal1">
    <w:name w:val="Normal1"/>
    <w:basedOn w:val="Normal"/>
    <w:uiPriority w:val="99"/>
    <w:rsid w:val="00677D50"/>
    <w:pPr>
      <w:spacing w:before="100" w:beforeAutospacing="1" w:after="100" w:afterAutospacing="1"/>
    </w:pPr>
    <w:rPr>
      <w:rFonts w:ascii="Calibri" w:hAnsi="Calibri" w:cs="Calibri"/>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677D50"/>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677D50"/>
    <w:rPr>
      <w:rFonts w:ascii="Times New Roman" w:eastAsia="Calibri" w:hAnsi="Times New Roman" w:cs="Times New Roman"/>
      <w:sz w:val="24"/>
      <w:szCs w:val="24"/>
      <w:lang w:val="x-none" w:eastAsia="x-none"/>
    </w:rPr>
  </w:style>
  <w:style w:type="character" w:styleId="CommentReference">
    <w:name w:val="annotation reference"/>
    <w:basedOn w:val="DefaultParagraphFont"/>
    <w:uiPriority w:val="99"/>
    <w:semiHidden/>
    <w:unhideWhenUsed/>
    <w:rsid w:val="00677D50"/>
    <w:rPr>
      <w:sz w:val="16"/>
      <w:szCs w:val="16"/>
    </w:rPr>
  </w:style>
  <w:style w:type="paragraph" w:styleId="CommentText">
    <w:name w:val="annotation text"/>
    <w:basedOn w:val="Normal"/>
    <w:link w:val="CommentTextChar"/>
    <w:uiPriority w:val="99"/>
    <w:unhideWhenUsed/>
    <w:rsid w:val="00677D50"/>
    <w:rPr>
      <w:sz w:val="20"/>
      <w:szCs w:val="20"/>
      <w:lang w:val="vi-VN"/>
    </w:rPr>
  </w:style>
  <w:style w:type="character" w:customStyle="1" w:styleId="CommentTextChar">
    <w:name w:val="Comment Text Char"/>
    <w:basedOn w:val="DefaultParagraphFont"/>
    <w:link w:val="CommentText"/>
    <w:uiPriority w:val="99"/>
    <w:rsid w:val="00677D50"/>
    <w:rPr>
      <w:rFonts w:ascii="Times New Roman" w:eastAsia="Times New Roman" w:hAnsi="Times New Roman" w:cs="Times New Roman"/>
      <w:sz w:val="20"/>
      <w:szCs w:val="20"/>
      <w:lang w:val="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677D50"/>
    <w:rPr>
      <w:rFonts w:ascii="Times New Roman" w:eastAsia="Calibri" w:hAnsi="Times New Roman" w:cs="Times New Roman"/>
      <w:sz w:val="28"/>
      <w:szCs w:val="28"/>
    </w:rPr>
  </w:style>
  <w:style w:type="paragraph" w:customStyle="1" w:styleId="Normal11">
    <w:name w:val="Normal11"/>
    <w:basedOn w:val="Normal"/>
    <w:rsid w:val="00677D50"/>
    <w:pPr>
      <w:spacing w:before="100" w:beforeAutospacing="1" w:after="100" w:afterAutospacing="1"/>
    </w:pPr>
    <w:rPr>
      <w:rFonts w:ascii="Calibri" w:hAnsi="Calibri" w:cs="Calibri"/>
      <w:sz w:val="24"/>
      <w:szCs w:val="24"/>
    </w:rPr>
  </w:style>
  <w:style w:type="paragraph" w:styleId="BalloonText">
    <w:name w:val="Balloon Text"/>
    <w:basedOn w:val="Normal"/>
    <w:link w:val="BalloonTextChar"/>
    <w:uiPriority w:val="99"/>
    <w:semiHidden/>
    <w:unhideWhenUsed/>
    <w:rsid w:val="00677D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D50"/>
    <w:rPr>
      <w:rFonts w:ascii="Segoe UI" w:eastAsia="Times New Roman" w:hAnsi="Segoe UI" w:cs="Segoe UI"/>
      <w:sz w:val="18"/>
      <w:szCs w:val="18"/>
    </w:rPr>
  </w:style>
  <w:style w:type="table" w:styleId="TableGrid">
    <w:name w:val="Table Grid"/>
    <w:basedOn w:val="TableNormal"/>
    <w:uiPriority w:val="39"/>
    <w:rsid w:val="00A718AB"/>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9D274D"/>
    <w:pPr>
      <w:spacing w:before="100" w:beforeAutospacing="1" w:after="100" w:afterAutospacing="1"/>
    </w:pPr>
    <w:rPr>
      <w:rFonts w:ascii="Calibri" w:hAnsi="Calibri" w:cs="Calibri"/>
      <w:sz w:val="24"/>
      <w:szCs w:val="24"/>
    </w:rPr>
  </w:style>
  <w:style w:type="character" w:customStyle="1" w:styleId="Heading2Char">
    <w:name w:val="Heading 2 Char"/>
    <w:basedOn w:val="DefaultParagraphFont"/>
    <w:link w:val="Heading2"/>
    <w:uiPriority w:val="9"/>
    <w:rsid w:val="009D274D"/>
    <w:rPr>
      <w:rFonts w:ascii="Calibri Light" w:eastAsia="Times New Roman" w:hAnsi="Calibri Light" w:cs="Times New Roman"/>
      <w:b/>
      <w:bCs/>
      <w:i/>
      <w:iCs/>
      <w:sz w:val="28"/>
      <w:szCs w:val="28"/>
    </w:rPr>
  </w:style>
  <w:style w:type="paragraph" w:styleId="BodyTextIndent">
    <w:name w:val="Body Text Indent"/>
    <w:basedOn w:val="Normal"/>
    <w:link w:val="BodyTextIndentChar"/>
    <w:unhideWhenUsed/>
    <w:rsid w:val="009D274D"/>
    <w:pPr>
      <w:spacing w:after="120"/>
      <w:ind w:left="360"/>
    </w:pPr>
    <w:rPr>
      <w:lang w:val="x-none" w:eastAsia="x-none"/>
    </w:rPr>
  </w:style>
  <w:style w:type="character" w:customStyle="1" w:styleId="BodyTextIndentChar">
    <w:name w:val="Body Text Indent Char"/>
    <w:basedOn w:val="DefaultParagraphFont"/>
    <w:link w:val="BodyTextIndent"/>
    <w:rsid w:val="009D274D"/>
    <w:rPr>
      <w:rFonts w:ascii="Times New Roman" w:eastAsia="Times New Roman" w:hAnsi="Times New Roman" w:cs="Times New Roman"/>
      <w:sz w:val="28"/>
      <w:szCs w:val="28"/>
      <w:lang w:val="x-none" w:eastAsia="x-none"/>
    </w:rPr>
  </w:style>
  <w:style w:type="character" w:customStyle="1" w:styleId="fontstyle01">
    <w:name w:val="fontstyle01"/>
    <w:rsid w:val="009D274D"/>
    <w:rPr>
      <w:rFonts w:ascii="Times New Roman" w:hAnsi="Times New Roman" w:cs="Times New Roman" w:hint="default"/>
      <w:color w:val="000000"/>
      <w:sz w:val="28"/>
    </w:rPr>
  </w:style>
  <w:style w:type="paragraph" w:styleId="CommentSubject">
    <w:name w:val="annotation subject"/>
    <w:basedOn w:val="CommentText"/>
    <w:next w:val="CommentText"/>
    <w:link w:val="CommentSubjectChar"/>
    <w:uiPriority w:val="99"/>
    <w:semiHidden/>
    <w:unhideWhenUsed/>
    <w:rsid w:val="00D80269"/>
    <w:rPr>
      <w:b/>
      <w:bCs/>
      <w:lang w:val="en-US"/>
    </w:rPr>
  </w:style>
  <w:style w:type="character" w:customStyle="1" w:styleId="CommentSubjectChar">
    <w:name w:val="Comment Subject Char"/>
    <w:basedOn w:val="CommentTextChar"/>
    <w:link w:val="CommentSubject"/>
    <w:uiPriority w:val="99"/>
    <w:semiHidden/>
    <w:rsid w:val="00D80269"/>
    <w:rPr>
      <w:rFonts w:ascii="Times New Roman" w:eastAsia="Times New Roman" w:hAnsi="Times New Roman" w:cs="Times New Roman"/>
      <w:b/>
      <w:bCs/>
      <w:sz w:val="20"/>
      <w:szCs w:val="20"/>
      <w:lang w:val="vi-VN"/>
    </w:rPr>
  </w:style>
  <w:style w:type="paragraph" w:styleId="Revision">
    <w:name w:val="Revision"/>
    <w:hidden/>
    <w:uiPriority w:val="99"/>
    <w:semiHidden/>
    <w:rsid w:val="00D80269"/>
    <w:pPr>
      <w:spacing w:after="0" w:line="240" w:lineRule="auto"/>
    </w:pPr>
    <w:rPr>
      <w:rFonts w:ascii="Times New Roman" w:eastAsia="Times New Roman" w:hAnsi="Times New Roman" w:cs="Times New Roman"/>
      <w:sz w:val="28"/>
      <w:szCs w:val="28"/>
    </w:rPr>
  </w:style>
  <w:style w:type="character" w:customStyle="1" w:styleId="a21">
    <w:name w:val="a21"/>
    <w:rsid w:val="001858E1"/>
    <w:rPr>
      <w:rFonts w:ascii="Arial" w:hAnsi="Arial" w:cs="Arial" w:hint="default"/>
      <w:strike w:val="0"/>
      <w:dstrike w:val="0"/>
      <w:sz w:val="20"/>
      <w:szCs w:val="20"/>
      <w:u w:val="none"/>
      <w:effect w:val="none"/>
    </w:rPr>
  </w:style>
  <w:style w:type="character" w:customStyle="1" w:styleId="y2iqfc">
    <w:name w:val="y2iqfc"/>
    <w:basedOn w:val="DefaultParagraphFont"/>
    <w:rsid w:val="00E02A7F"/>
  </w:style>
  <w:style w:type="paragraph" w:styleId="HTMLPreformatted">
    <w:name w:val="HTML Preformatted"/>
    <w:basedOn w:val="Normal"/>
    <w:link w:val="HTMLPreformattedChar"/>
    <w:uiPriority w:val="99"/>
    <w:unhideWhenUsed/>
    <w:rsid w:val="00E02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02A7F"/>
    <w:rPr>
      <w:rFonts w:ascii="Courier New" w:eastAsia="Times New Roman" w:hAnsi="Courier New" w:cs="Courier New"/>
      <w:sz w:val="20"/>
      <w:szCs w:val="20"/>
    </w:rPr>
  </w:style>
  <w:style w:type="paragraph" w:styleId="List3">
    <w:name w:val="List 3"/>
    <w:basedOn w:val="Normal"/>
    <w:rsid w:val="00AF1136"/>
    <w:pPr>
      <w:spacing w:before="100" w:beforeAutospacing="1" w:after="100" w:afterAutospacing="1"/>
    </w:pPr>
    <w:rPr>
      <w:rFonts w:eastAsia="MS Mincho"/>
      <w:sz w:val="24"/>
      <w:szCs w:val="24"/>
      <w:lang w:val="vi-VN"/>
    </w:rPr>
  </w:style>
  <w:style w:type="character" w:customStyle="1" w:styleId="rynqvb">
    <w:name w:val="rynqvb"/>
    <w:basedOn w:val="DefaultParagraphFont"/>
    <w:rsid w:val="000D286F"/>
  </w:style>
  <w:style w:type="table" w:customStyle="1" w:styleId="TableGrid1">
    <w:name w:val="Table Grid1"/>
    <w:basedOn w:val="TableNormal"/>
    <w:next w:val="TableGrid"/>
    <w:uiPriority w:val="39"/>
    <w:locked/>
    <w:rsid w:val="000D286F"/>
    <w:pPr>
      <w:spacing w:after="0" w:line="240" w:lineRule="auto"/>
    </w:pPr>
    <w:rPr>
      <w:rFonts w:ascii="Calibri" w:eastAsia="Calibri" w:hAnsi="Calibri" w:cs="Times New Roman"/>
      <w:lang w:val="e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0D286F"/>
    <w:pPr>
      <w:spacing w:after="0" w:line="240" w:lineRule="auto"/>
    </w:pPr>
    <w:rPr>
      <w:rFonts w:ascii="Calibri" w:eastAsia="Calibri" w:hAnsi="Calibri" w:cs="Times New Roman"/>
      <w:lang w:val="e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20106">
      <w:bodyDiv w:val="1"/>
      <w:marLeft w:val="0"/>
      <w:marRight w:val="0"/>
      <w:marTop w:val="0"/>
      <w:marBottom w:val="0"/>
      <w:divBdr>
        <w:top w:val="none" w:sz="0" w:space="0" w:color="auto"/>
        <w:left w:val="none" w:sz="0" w:space="0" w:color="auto"/>
        <w:bottom w:val="none" w:sz="0" w:space="0" w:color="auto"/>
        <w:right w:val="none" w:sz="0" w:space="0" w:color="auto"/>
      </w:divBdr>
    </w:div>
    <w:div w:id="79715151">
      <w:bodyDiv w:val="1"/>
      <w:marLeft w:val="0"/>
      <w:marRight w:val="0"/>
      <w:marTop w:val="0"/>
      <w:marBottom w:val="0"/>
      <w:divBdr>
        <w:top w:val="none" w:sz="0" w:space="0" w:color="auto"/>
        <w:left w:val="none" w:sz="0" w:space="0" w:color="auto"/>
        <w:bottom w:val="none" w:sz="0" w:space="0" w:color="auto"/>
        <w:right w:val="none" w:sz="0" w:space="0" w:color="auto"/>
      </w:divBdr>
    </w:div>
    <w:div w:id="851070552">
      <w:bodyDiv w:val="1"/>
      <w:marLeft w:val="0"/>
      <w:marRight w:val="0"/>
      <w:marTop w:val="0"/>
      <w:marBottom w:val="0"/>
      <w:divBdr>
        <w:top w:val="none" w:sz="0" w:space="0" w:color="auto"/>
        <w:left w:val="none" w:sz="0" w:space="0" w:color="auto"/>
        <w:bottom w:val="none" w:sz="0" w:space="0" w:color="auto"/>
        <w:right w:val="none" w:sz="0" w:space="0" w:color="auto"/>
      </w:divBdr>
    </w:div>
    <w:div w:id="910382844">
      <w:bodyDiv w:val="1"/>
      <w:marLeft w:val="0"/>
      <w:marRight w:val="0"/>
      <w:marTop w:val="0"/>
      <w:marBottom w:val="0"/>
      <w:divBdr>
        <w:top w:val="none" w:sz="0" w:space="0" w:color="auto"/>
        <w:left w:val="none" w:sz="0" w:space="0" w:color="auto"/>
        <w:bottom w:val="none" w:sz="0" w:space="0" w:color="auto"/>
        <w:right w:val="none" w:sz="0" w:space="0" w:color="auto"/>
      </w:divBdr>
    </w:div>
    <w:div w:id="1008826200">
      <w:bodyDiv w:val="1"/>
      <w:marLeft w:val="0"/>
      <w:marRight w:val="0"/>
      <w:marTop w:val="0"/>
      <w:marBottom w:val="0"/>
      <w:divBdr>
        <w:top w:val="none" w:sz="0" w:space="0" w:color="auto"/>
        <w:left w:val="none" w:sz="0" w:space="0" w:color="auto"/>
        <w:bottom w:val="none" w:sz="0" w:space="0" w:color="auto"/>
        <w:right w:val="none" w:sz="0" w:space="0" w:color="auto"/>
      </w:divBdr>
    </w:div>
    <w:div w:id="1194462024">
      <w:bodyDiv w:val="1"/>
      <w:marLeft w:val="0"/>
      <w:marRight w:val="0"/>
      <w:marTop w:val="0"/>
      <w:marBottom w:val="0"/>
      <w:divBdr>
        <w:top w:val="none" w:sz="0" w:space="0" w:color="auto"/>
        <w:left w:val="none" w:sz="0" w:space="0" w:color="auto"/>
        <w:bottom w:val="none" w:sz="0" w:space="0" w:color="auto"/>
        <w:right w:val="none" w:sz="0" w:space="0" w:color="auto"/>
      </w:divBdr>
    </w:div>
    <w:div w:id="1452242706">
      <w:bodyDiv w:val="1"/>
      <w:marLeft w:val="0"/>
      <w:marRight w:val="0"/>
      <w:marTop w:val="0"/>
      <w:marBottom w:val="0"/>
      <w:divBdr>
        <w:top w:val="none" w:sz="0" w:space="0" w:color="auto"/>
        <w:left w:val="none" w:sz="0" w:space="0" w:color="auto"/>
        <w:bottom w:val="none" w:sz="0" w:space="0" w:color="auto"/>
        <w:right w:val="none" w:sz="0" w:space="0" w:color="auto"/>
      </w:divBdr>
    </w:div>
    <w:div w:id="162248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9.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5.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1.wmf"/><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btphuong\Desktop\Ph&#432;&#7907;ng%202024\B&#225;o%20c&#225;o%20th&#225;ng\T7%202024\Bi&#7875;u%20&#273;&#7891;%20th&#225;ng%20ti&#7871;ng%20T7%202024.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btphuong\Desktop\Ph&#432;&#7907;ng%202024\B&#225;o%20c&#225;o%20th&#225;ng\T8%202024\bi&#7875;u%20&#273;&#7891;%20FDI%20T7%202024.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btphuong\Desktop\Ph&#432;&#7907;ng%202024\B&#225;o%20c&#225;o%20th&#225;ng\T7%202024\bi&#7875;u%20&#273;&#7891;%20FDI%202.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gsofs05\tkth02\01%20Bao%20cao%20thang\2024\Thang%208\Chuyen%20vien\&#272;&#244;&#768;%20thi&#803;%20t&#244;&#777;ng%20m&#432;&#769;c%208.2024.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D:\02%20BAO%20CAO\NAM2024\Th&#225;ng%208.2024\V&#7909;%20TH\Bi&#7875;u%20&#273;&#7891;%20XNK%20T8.202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02%20BAO%20CAO\NAM2024\Th&#225;ng%208.2024\V&#7909;%20TH\Bi&#7875;u%20&#273;&#7891;%20XNK%20T8.2024.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D:\BAO%20CAO%20THANG\Loi%20van\2024\T8\&#273;&#7891;%20th&#7883;%20gi&#225;%20CPI.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888066191141331E-2"/>
          <c:y val="7.8401720034694422E-2"/>
          <c:w val="0.89996767604437333"/>
          <c:h val="0.66574137320055682"/>
        </c:manualLayout>
      </c:layout>
      <c:barChart>
        <c:barDir val="col"/>
        <c:grouping val="clustered"/>
        <c:varyColors val="0"/>
        <c:ser>
          <c:idx val="0"/>
          <c:order val="0"/>
          <c:tx>
            <c:strRef>
              <c:f>'Hình 7. Địa phương'!$D$4</c:f>
              <c:strCache>
                <c:ptCount val="1"/>
                <c:pt idx="0">
                  <c:v>8 months of 2023</c:v>
                </c:pt>
              </c:strCache>
            </c:strRef>
          </c:tx>
          <c:spPr>
            <a:solidFill>
              <a:srgbClr val="CFB09D"/>
            </a:solidFill>
            <a:ln>
              <a:noFill/>
            </a:ln>
            <a:effectLst/>
          </c:spPr>
          <c:invertIfNegative val="0"/>
          <c:cat>
            <c:strRef>
              <c:f>'Hình 7. Địa phương'!$C$5:$C$13</c:f>
              <c:strCache>
                <c:ptCount val="9"/>
                <c:pt idx="0">
                  <c:v>Ha Noi</c:v>
                </c:pt>
                <c:pt idx="1">
                  <c:v>Ho Chi Minh</c:v>
                </c:pt>
                <c:pt idx="2">
                  <c:v>Binh Duong</c:v>
                </c:pt>
                <c:pt idx="3">
                  <c:v>Ba Ria - Vung Tau</c:v>
                </c:pt>
                <c:pt idx="4">
                  <c:v>Hai Phong</c:v>
                </c:pt>
                <c:pt idx="5">
                  <c:v>Hung Yen</c:v>
                </c:pt>
                <c:pt idx="6">
                  <c:v>Thanh Hoa</c:v>
                </c:pt>
                <c:pt idx="7">
                  <c:v>Quang Ninh</c:v>
                </c:pt>
                <c:pt idx="8">
                  <c:v>Dong Nai</c:v>
                </c:pt>
              </c:strCache>
            </c:strRef>
          </c:cat>
          <c:val>
            <c:numRef>
              <c:f>'Hình 7. Địa phương'!$D$5:$D$13</c:f>
              <c:numCache>
                <c:formatCode>0.0</c:formatCode>
                <c:ptCount val="9"/>
                <c:pt idx="0">
                  <c:v>28472.866000000002</c:v>
                </c:pt>
                <c:pt idx="1">
                  <c:v>24943.353999999999</c:v>
                </c:pt>
                <c:pt idx="2">
                  <c:v>11178.634</c:v>
                </c:pt>
                <c:pt idx="3">
                  <c:v>9840.693299999999</c:v>
                </c:pt>
                <c:pt idx="4">
                  <c:v>10412.246999999999</c:v>
                </c:pt>
                <c:pt idx="5">
                  <c:v>8499.06</c:v>
                </c:pt>
                <c:pt idx="6">
                  <c:v>6592.7089999999998</c:v>
                </c:pt>
                <c:pt idx="7">
                  <c:v>7905.1750000000002</c:v>
                </c:pt>
                <c:pt idx="8">
                  <c:v>6107.4489999999996</c:v>
                </c:pt>
              </c:numCache>
            </c:numRef>
          </c:val>
          <c:extLst>
            <c:ext xmlns:c16="http://schemas.microsoft.com/office/drawing/2014/chart" uri="{C3380CC4-5D6E-409C-BE32-E72D297353CC}">
              <c16:uniqueId val="{00000000-F44D-4B55-8446-420A6AADC2FE}"/>
            </c:ext>
          </c:extLst>
        </c:ser>
        <c:ser>
          <c:idx val="1"/>
          <c:order val="1"/>
          <c:tx>
            <c:strRef>
              <c:f>'Hình 7. Địa phương'!$E$4</c:f>
              <c:strCache>
                <c:ptCount val="1"/>
                <c:pt idx="0">
                  <c:v> 8 months of 2024</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4D-4B55-8446-420A6AADC2FE}"/>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Ha Noi</c:v>
                </c:pt>
                <c:pt idx="1">
                  <c:v>Ho Chi Minh</c:v>
                </c:pt>
                <c:pt idx="2">
                  <c:v>Binh Duong</c:v>
                </c:pt>
                <c:pt idx="3">
                  <c:v>Ba Ria - Vung Tau</c:v>
                </c:pt>
                <c:pt idx="4">
                  <c:v>Hai Phong</c:v>
                </c:pt>
                <c:pt idx="5">
                  <c:v>Hung Yen</c:v>
                </c:pt>
                <c:pt idx="6">
                  <c:v>Thanh Hoa</c:v>
                </c:pt>
                <c:pt idx="7">
                  <c:v>Quang Ninh</c:v>
                </c:pt>
                <c:pt idx="8">
                  <c:v>Dong Nai</c:v>
                </c:pt>
              </c:strCache>
            </c:strRef>
          </c:cat>
          <c:val>
            <c:numRef>
              <c:f>'Hình 7. Địa phương'!$E$5:$E$13</c:f>
              <c:numCache>
                <c:formatCode>0.0</c:formatCode>
                <c:ptCount val="9"/>
                <c:pt idx="0">
                  <c:v>38113.089</c:v>
                </c:pt>
                <c:pt idx="1">
                  <c:v>25256.25</c:v>
                </c:pt>
                <c:pt idx="2">
                  <c:v>11850.281999999999</c:v>
                </c:pt>
                <c:pt idx="3">
                  <c:v>10964.965850000001</c:v>
                </c:pt>
                <c:pt idx="4">
                  <c:v>9948.5210000000006</c:v>
                </c:pt>
                <c:pt idx="5">
                  <c:v>9010.5560000000005</c:v>
                </c:pt>
                <c:pt idx="6">
                  <c:v>8245.7389999999996</c:v>
                </c:pt>
                <c:pt idx="7">
                  <c:v>7762.0240000000003</c:v>
                </c:pt>
                <c:pt idx="8">
                  <c:v>7250.5020000000004</c:v>
                </c:pt>
              </c:numCache>
            </c:numRef>
          </c:val>
          <c:extLst>
            <c:ext xmlns:c16="http://schemas.microsoft.com/office/drawing/2014/chart" uri="{C3380CC4-5D6E-409C-BE32-E72D297353CC}">
              <c16:uniqueId val="{00000002-F44D-4B55-8446-420A6AADC2FE}"/>
            </c:ext>
          </c:extLst>
        </c:ser>
        <c:dLbls>
          <c:showLegendKey val="0"/>
          <c:showVal val="0"/>
          <c:showCatName val="0"/>
          <c:showSerName val="0"/>
          <c:showPercent val="0"/>
          <c:showBubbleSize val="0"/>
        </c:dLbls>
        <c:gapWidth val="36"/>
        <c:axId val="1071631488"/>
        <c:axId val="1071632032"/>
      </c:barChart>
      <c:catAx>
        <c:axId val="107163148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71632032"/>
        <c:crosses val="autoZero"/>
        <c:auto val="1"/>
        <c:lblAlgn val="ctr"/>
        <c:lblOffset val="100"/>
        <c:noMultiLvlLbl val="0"/>
      </c:catAx>
      <c:valAx>
        <c:axId val="10716320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71631488"/>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Newly register capital</c:v>
                </c:pt>
              </c:strCache>
            </c:strRef>
          </c:tx>
          <c:invertIfNegative val="0"/>
          <c:dLbls>
            <c:dLbl>
              <c:idx val="0"/>
              <c:tx>
                <c:rich>
                  <a:bodyPr/>
                  <a:lstStyle/>
                  <a:p>
                    <a:r>
                      <a:rPr lang="en-US"/>
                      <a:t>9,73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6E7-4BFE-9901-A7FEB8EF57E6}"/>
                </c:ext>
              </c:extLst>
            </c:dLbl>
            <c:dLbl>
              <c:idx val="1"/>
              <c:tx>
                <c:rich>
                  <a:bodyPr/>
                  <a:lstStyle/>
                  <a:p>
                    <a:r>
                      <a:rPr lang="en-US"/>
                      <a:t>11,33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6E7-4BFE-9901-A7FEB8EF57E6}"/>
                </c:ext>
              </c:extLst>
            </c:dLbl>
            <c:dLbl>
              <c:idx val="2"/>
              <c:tx>
                <c:rich>
                  <a:bodyPr/>
                  <a:lstStyle/>
                  <a:p>
                    <a:r>
                      <a:rPr lang="en-US"/>
                      <a:t>6,35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6E7-4BFE-9901-A7FEB8EF57E6}"/>
                </c:ext>
              </c:extLst>
            </c:dLbl>
            <c:dLbl>
              <c:idx val="3"/>
              <c:tx>
                <c:rich>
                  <a:bodyPr/>
                  <a:lstStyle/>
                  <a:p>
                    <a:r>
                      <a:rPr lang="en-US"/>
                      <a:t>9,45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6E7-4BFE-9901-A7FEB8EF57E6}"/>
                </c:ext>
              </c:extLst>
            </c:dLbl>
            <c:dLbl>
              <c:idx val="4"/>
              <c:tx>
                <c:rich>
                  <a:bodyPr/>
                  <a:lstStyle/>
                  <a:p>
                    <a:r>
                      <a:rPr lang="en-US"/>
                      <a:t>12,00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6E7-4BFE-9901-A7FEB8EF57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2020</c:v>
                </c:pt>
                <c:pt idx="1">
                  <c:v>2021</c:v>
                </c:pt>
                <c:pt idx="2">
                  <c:v>2022</c:v>
                </c:pt>
                <c:pt idx="3">
                  <c:v>2023</c:v>
                </c:pt>
                <c:pt idx="4">
                  <c:v>2024</c:v>
                </c:pt>
              </c:numCache>
            </c:numRef>
          </c:cat>
          <c:val>
            <c:numRef>
              <c:f>'04. FDI SO SANH '!$B$16:$F$16</c:f>
              <c:numCache>
                <c:formatCode>0.00</c:formatCode>
                <c:ptCount val="5"/>
                <c:pt idx="0">
                  <c:v>9.7344880199999988</c:v>
                </c:pt>
                <c:pt idx="1">
                  <c:v>11.325195552799999</c:v>
                </c:pt>
                <c:pt idx="2">
                  <c:v>6.3503575074699983</c:v>
                </c:pt>
                <c:pt idx="3">
                  <c:v>9.4479592217799979</c:v>
                </c:pt>
                <c:pt idx="4">
                  <c:v>11.998534015790002</c:v>
                </c:pt>
              </c:numCache>
            </c:numRef>
          </c:val>
          <c:extLst>
            <c:ext xmlns:c16="http://schemas.microsoft.com/office/drawing/2014/chart" uri="{C3380CC4-5D6E-409C-BE32-E72D297353CC}">
              <c16:uniqueId val="{00000005-56E7-4BFE-9901-A7FEB8EF57E6}"/>
            </c:ext>
          </c:extLst>
        </c:ser>
        <c:ser>
          <c:idx val="1"/>
          <c:order val="1"/>
          <c:tx>
            <c:strRef>
              <c:f>'04. FDI SO SANH '!$A$17</c:f>
              <c:strCache>
                <c:ptCount val="1"/>
                <c:pt idx="0">
                  <c:v>Adjust register capital</c:v>
                </c:pt>
              </c:strCache>
            </c:strRef>
          </c:tx>
          <c:invertIfNegative val="0"/>
          <c:dLbls>
            <c:dLbl>
              <c:idx val="0"/>
              <c:tx>
                <c:rich>
                  <a:bodyPr/>
                  <a:lstStyle/>
                  <a:p>
                    <a:r>
                      <a:rPr lang="en-US"/>
                      <a:t>4,87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6E7-4BFE-9901-A7FEB8EF57E6}"/>
                </c:ext>
              </c:extLst>
            </c:dLbl>
            <c:dLbl>
              <c:idx val="1"/>
              <c:tx>
                <c:rich>
                  <a:bodyPr/>
                  <a:lstStyle/>
                  <a:p>
                    <a:r>
                      <a:rPr lang="en-US"/>
                      <a:t>4,98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6E7-4BFE-9901-A7FEB8EF57E6}"/>
                </c:ext>
              </c:extLst>
            </c:dLbl>
            <c:dLbl>
              <c:idx val="2"/>
              <c:tx>
                <c:rich>
                  <a:bodyPr wrap="square" lIns="38100" tIns="19050" rIns="38100" bIns="19050" anchor="ctr">
                    <a:noAutofit/>
                  </a:bodyPr>
                  <a:lstStyle/>
                  <a:p>
                    <a:pPr>
                      <a:defRPr/>
                    </a:pPr>
                    <a:r>
                      <a:rPr lang="en-US"/>
                      <a:t>7,52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56E7-4BFE-9901-A7FEB8EF57E6}"/>
                </c:ext>
              </c:extLst>
            </c:dLbl>
            <c:dLbl>
              <c:idx val="3"/>
              <c:layout>
                <c:manualLayout>
                  <c:x val="7.207205843852202E-3"/>
                  <c:y val="0"/>
                </c:manualLayout>
              </c:layout>
              <c:tx>
                <c:rich>
                  <a:bodyPr/>
                  <a:lstStyle/>
                  <a:p>
                    <a:r>
                      <a:rPr lang="en-US"/>
                      <a:t>4,98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6E7-4BFE-9901-A7FEB8EF57E6}"/>
                </c:ext>
              </c:extLst>
            </c:dLbl>
            <c:dLbl>
              <c:idx val="4"/>
              <c:tx>
                <c:rich>
                  <a:bodyPr/>
                  <a:lstStyle/>
                  <a:p>
                    <a:r>
                      <a:rPr lang="en-US"/>
                      <a:t>5,71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6E7-4BFE-9901-A7FEB8EF57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'!$B$17:$F$17</c:f>
              <c:numCache>
                <c:formatCode>0.00</c:formatCode>
                <c:ptCount val="5"/>
                <c:pt idx="0">
                  <c:v>4.8748025384687512</c:v>
                </c:pt>
                <c:pt idx="1">
                  <c:v>4.9850320655865623</c:v>
                </c:pt>
                <c:pt idx="2">
                  <c:v>7.5120932238554712</c:v>
                </c:pt>
                <c:pt idx="3">
                  <c:v>4.9770498985379694</c:v>
                </c:pt>
                <c:pt idx="4">
                  <c:v>5.7127388460693203</c:v>
                </c:pt>
              </c:numCache>
            </c:numRef>
          </c:val>
          <c:extLst>
            <c:ext xmlns:c16="http://schemas.microsoft.com/office/drawing/2014/chart" uri="{C3380CC4-5D6E-409C-BE32-E72D297353CC}">
              <c16:uniqueId val="{0000000B-56E7-4BFE-9901-A7FEB8EF57E6}"/>
            </c:ext>
          </c:extLst>
        </c:ser>
        <c:ser>
          <c:idx val="2"/>
          <c:order val="2"/>
          <c:tx>
            <c:strRef>
              <c:f>'04. FDI SO SANH '!$A$18</c:f>
              <c:strCache>
                <c:ptCount val="1"/>
                <c:pt idx="0">
                  <c:v>Total value of capital contribution and share purchases of foreign investor</c:v>
                </c:pt>
              </c:strCache>
            </c:strRef>
          </c:tx>
          <c:invertIfNegative val="0"/>
          <c:dLbls>
            <c:dLbl>
              <c:idx val="0"/>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6E7-4BFE-9901-A7FEB8EF57E6}"/>
                </c:ext>
              </c:extLst>
            </c:dLbl>
            <c:dLbl>
              <c:idx val="1"/>
              <c:tx>
                <c:rich>
                  <a:bodyPr/>
                  <a:lstStyle/>
                  <a:p>
                    <a:r>
                      <a:rPr lang="en-US" baseline="0"/>
                      <a:t>2,81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56E7-4BFE-9901-A7FEB8EF57E6}"/>
                </c:ext>
              </c:extLst>
            </c:dLbl>
            <c:dLbl>
              <c:idx val="2"/>
              <c:tx>
                <c:rich>
                  <a:bodyPr/>
                  <a:lstStyle/>
                  <a:p>
                    <a:r>
                      <a:rPr lang="en-US"/>
                      <a:t>2,91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56E7-4BFE-9901-A7FEB8EF57E6}"/>
                </c:ext>
              </c:extLst>
            </c:dLbl>
            <c:dLbl>
              <c:idx val="3"/>
              <c:tx>
                <c:rich>
                  <a:bodyPr wrap="square" lIns="38100" tIns="19050" rIns="38100" bIns="19050" anchor="ctr">
                    <a:noAutofit/>
                  </a:bodyPr>
                  <a:lstStyle/>
                  <a:p>
                    <a:pPr>
                      <a:defRPr/>
                    </a:pPr>
                    <a:r>
                      <a:rPr lang="en-US"/>
                      <a:t>4,76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56E7-4BFE-9901-A7FEB8EF57E6}"/>
                </c:ext>
              </c:extLst>
            </c:dLbl>
            <c:dLbl>
              <c:idx val="4"/>
              <c:layout>
                <c:manualLayout>
                  <c:x val="2.4024019479507323E-2"/>
                  <c:y val="0"/>
                </c:manualLayout>
              </c:layout>
              <c:tx>
                <c:rich>
                  <a:bodyPr/>
                  <a:lstStyle/>
                  <a:p>
                    <a:r>
                      <a:rPr lang="en-US"/>
                      <a:t> 2,81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56E7-4BFE-9901-A7FEB8EF57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'!$B$18:$F$18</c:f>
              <c:numCache>
                <c:formatCode>0.00</c:formatCode>
                <c:ptCount val="5"/>
                <c:pt idx="0">
                  <c:v>4.9290455109316342</c:v>
                </c:pt>
                <c:pt idx="1">
                  <c:v>2.8120504657243477</c:v>
                </c:pt>
                <c:pt idx="2">
                  <c:v>2.9132771835199978</c:v>
                </c:pt>
                <c:pt idx="3">
                  <c:v>4.7639476822499995</c:v>
                </c:pt>
                <c:pt idx="4">
                  <c:v>2.8132105012999991</c:v>
                </c:pt>
              </c:numCache>
            </c:numRef>
          </c:val>
          <c:extLst>
            <c:ext xmlns:c16="http://schemas.microsoft.com/office/drawing/2014/chart" uri="{C3380CC4-5D6E-409C-BE32-E72D297353CC}">
              <c16:uniqueId val="{00000011-56E7-4BFE-9901-A7FEB8EF57E6}"/>
            </c:ext>
          </c:extLst>
        </c:ser>
        <c:dLbls>
          <c:showLegendKey val="0"/>
          <c:showVal val="0"/>
          <c:showCatName val="0"/>
          <c:showSerName val="0"/>
          <c:showPercent val="0"/>
          <c:showBubbleSize val="0"/>
        </c:dLbls>
        <c:gapWidth val="150"/>
        <c:overlap val="100"/>
        <c:axId val="-1874218784"/>
        <c:axId val="-1874232928"/>
      </c:barChart>
      <c:catAx>
        <c:axId val="-1874218784"/>
        <c:scaling>
          <c:orientation val="minMax"/>
        </c:scaling>
        <c:delete val="0"/>
        <c:axPos val="l"/>
        <c:numFmt formatCode="General" sourceLinked="1"/>
        <c:majorTickMark val="out"/>
        <c:minorTickMark val="none"/>
        <c:tickLblPos val="nextTo"/>
        <c:crossAx val="-1874232928"/>
        <c:crosses val="autoZero"/>
        <c:auto val="1"/>
        <c:lblAlgn val="ctr"/>
        <c:lblOffset val="100"/>
        <c:noMultiLvlLbl val="0"/>
      </c:catAx>
      <c:valAx>
        <c:axId val="-1874232928"/>
        <c:scaling>
          <c:orientation val="minMax"/>
        </c:scaling>
        <c:delete val="0"/>
        <c:axPos val="b"/>
        <c:majorGridlines/>
        <c:numFmt formatCode="0.00" sourceLinked="1"/>
        <c:majorTickMark val="out"/>
        <c:minorTickMark val="none"/>
        <c:tickLblPos val="nextTo"/>
        <c:crossAx val="-1874218784"/>
        <c:crosses val="autoZero"/>
        <c:crossBetween val="between"/>
      </c:valAx>
    </c:plotArea>
    <c:legend>
      <c:legendPos val="b"/>
      <c:overlay val="0"/>
    </c:legend>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2020</c:v>
                </c:pt>
                <c:pt idx="1">
                  <c:v>2021</c:v>
                </c:pt>
                <c:pt idx="2">
                  <c:v>2022</c:v>
                </c:pt>
                <c:pt idx="3">
                  <c:v>2023</c:v>
                </c:pt>
                <c:pt idx="4">
                  <c:v>2024</c:v>
                </c:pt>
              </c:numCache>
            </c:numRef>
          </c:cat>
          <c:val>
            <c:numRef>
              <c:f>Sheet1!$B$5:$F$5</c:f>
              <c:numCache>
                <c:formatCode>0.00</c:formatCode>
                <c:ptCount val="5"/>
                <c:pt idx="0">
                  <c:v>11.35</c:v>
                </c:pt>
                <c:pt idx="1">
                  <c:v>11.58</c:v>
                </c:pt>
                <c:pt idx="2">
                  <c:v>12.935</c:v>
                </c:pt>
                <c:pt idx="3">
                  <c:v>13.1</c:v>
                </c:pt>
                <c:pt idx="4">
                  <c:v>14.15</c:v>
                </c:pt>
              </c:numCache>
            </c:numRef>
          </c:val>
          <c:extLst>
            <c:ext xmlns:c16="http://schemas.microsoft.com/office/drawing/2014/chart" uri="{C3380CC4-5D6E-409C-BE32-E72D297353CC}">
              <c16:uniqueId val="{00000000-257A-48AB-A729-817FEEEBCBE4}"/>
            </c:ext>
          </c:extLst>
        </c:ser>
        <c:dLbls>
          <c:showLegendKey val="0"/>
          <c:showVal val="0"/>
          <c:showCatName val="0"/>
          <c:showSerName val="0"/>
          <c:showPercent val="0"/>
          <c:showBubbleSize val="0"/>
        </c:dLbls>
        <c:gapWidth val="219"/>
        <c:overlap val="-27"/>
        <c:axId val="108849792"/>
        <c:axId val="108971136"/>
      </c:barChart>
      <c:catAx>
        <c:axId val="10884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971136"/>
        <c:crosses val="autoZero"/>
        <c:auto val="1"/>
        <c:lblAlgn val="ctr"/>
        <c:lblOffset val="100"/>
        <c:noMultiLvlLbl val="0"/>
      </c:catAx>
      <c:valAx>
        <c:axId val="1089711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884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EN!$A$4</c:f>
              <c:strCache>
                <c:ptCount val="1"/>
                <c:pt idx="0">
                  <c:v>Total (Trillion dongs)</c:v>
                </c:pt>
              </c:strCache>
            </c:strRef>
          </c:tx>
          <c:spPr>
            <a:solidFill>
              <a:schemeClr val="accent2"/>
            </a:solidFill>
            <a:ln>
              <a:noFill/>
            </a:ln>
            <a:effectLst/>
          </c:spPr>
          <c:invertIfNegative val="0"/>
          <c:dLbls>
            <c:dLbl>
              <c:idx val="2"/>
              <c:layout>
                <c:manualLayout>
                  <c:x val="-2.3557126030625129E-3"/>
                  <c:y val="-8.79629629629629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92-429E-AB01-D7BA305A86C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2020</c:v>
                </c:pt>
                <c:pt idx="1">
                  <c:v>2021</c:v>
                </c:pt>
                <c:pt idx="2">
                  <c:v>2022</c:v>
                </c:pt>
                <c:pt idx="3">
                  <c:v>2023</c:v>
                </c:pt>
                <c:pt idx="4">
                  <c:v>2024</c:v>
                </c:pt>
              </c:numCache>
            </c:numRef>
          </c:cat>
          <c:val>
            <c:numRef>
              <c:f>EN!$B$4:$F$4</c:f>
              <c:numCache>
                <c:formatCode>0.0</c:formatCode>
                <c:ptCount val="5"/>
                <c:pt idx="0">
                  <c:v>3111.5835912409352</c:v>
                </c:pt>
                <c:pt idx="1">
                  <c:v>2868.4440961885157</c:v>
                </c:pt>
                <c:pt idx="2">
                  <c:v>3467.3100137966576</c:v>
                </c:pt>
                <c:pt idx="3">
                  <c:v>3824.8187111876864</c:v>
                </c:pt>
                <c:pt idx="4">
                  <c:v>4148.354881803134</c:v>
                </c:pt>
              </c:numCache>
            </c:numRef>
          </c:val>
          <c:extLst>
            <c:ext xmlns:c16="http://schemas.microsoft.com/office/drawing/2014/chart" uri="{C3380CC4-5D6E-409C-BE32-E72D297353CC}">
              <c16:uniqueId val="{00000001-AE92-429E-AB01-D7BA305A86C3}"/>
            </c:ext>
          </c:extLst>
        </c:ser>
        <c:dLbls>
          <c:showLegendKey val="0"/>
          <c:showVal val="0"/>
          <c:showCatName val="0"/>
          <c:showSerName val="0"/>
          <c:showPercent val="0"/>
          <c:showBubbleSize val="0"/>
        </c:dLbls>
        <c:gapWidth val="122"/>
        <c:overlap val="-27"/>
        <c:axId val="-1088186544"/>
        <c:axId val="-1088186000"/>
      </c:barChart>
      <c:lineChart>
        <c:grouping val="stacked"/>
        <c:varyColors val="0"/>
        <c:ser>
          <c:idx val="1"/>
          <c:order val="1"/>
          <c:tx>
            <c:strRef>
              <c:f>EN!$A$5</c:f>
              <c:strCache>
                <c:ptCount val="1"/>
                <c:pt idx="0">
                  <c:v>Growth rate over the same period last year (%)</c:v>
                </c:pt>
              </c:strCache>
            </c:strRef>
          </c:tx>
          <c:spPr>
            <a:ln w="28575" cap="rnd">
              <a:solidFill>
                <a:srgbClr val="002060"/>
              </a:solidFill>
              <a:round/>
            </a:ln>
            <a:effectLst/>
          </c:spPr>
          <c:marker>
            <c:symbol val="circle"/>
            <c:size val="7"/>
            <c:spPr>
              <a:solidFill>
                <a:srgbClr val="002060"/>
              </a:solidFill>
              <a:ln w="9525">
                <a:noFill/>
              </a:ln>
              <a:effectLst/>
            </c:spPr>
          </c:marker>
          <c:dLbls>
            <c:dLbl>
              <c:idx val="0"/>
              <c:layout>
                <c:manualLayout>
                  <c:x val="-4.240282685512365E-2"/>
                  <c:y val="-6.0185185185185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92-429E-AB01-D7BA305A86C3}"/>
                </c:ext>
              </c:extLst>
            </c:dLbl>
            <c:dLbl>
              <c:idx val="1"/>
              <c:layout>
                <c:manualLayout>
                  <c:x val="-4.7114252061248529E-2"/>
                  <c:y val="-9.7222222222222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92-429E-AB01-D7BA305A86C3}"/>
                </c:ext>
              </c:extLst>
            </c:dLbl>
            <c:dLbl>
              <c:idx val="2"/>
              <c:layout>
                <c:manualLayout>
                  <c:x val="-4.2402826855123678E-2"/>
                  <c:y val="0.129629629629629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92-429E-AB01-D7BA305A86C3}"/>
                </c:ext>
              </c:extLst>
            </c:dLbl>
            <c:dLbl>
              <c:idx val="3"/>
              <c:layout>
                <c:manualLayout>
                  <c:x val="-4.3178171633139584E-2"/>
                  <c:y val="7.4074074074073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92-429E-AB01-D7BA305A86C3}"/>
                </c:ext>
              </c:extLst>
            </c:dLbl>
            <c:dLbl>
              <c:idx val="4"/>
              <c:layout>
                <c:manualLayout>
                  <c:x val="-3.7691401648998819E-2"/>
                  <c:y val="-6.4814814814814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92-429E-AB01-D7BA305A86C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2020</c:v>
                </c:pt>
                <c:pt idx="1">
                  <c:v>2021</c:v>
                </c:pt>
                <c:pt idx="2">
                  <c:v>2022</c:v>
                </c:pt>
                <c:pt idx="3">
                  <c:v>2023</c:v>
                </c:pt>
                <c:pt idx="4">
                  <c:v>2024</c:v>
                </c:pt>
              </c:numCache>
            </c:numRef>
          </c:cat>
          <c:val>
            <c:numRef>
              <c:f>EN!$B$5:$F$5</c:f>
              <c:numCache>
                <c:formatCode>0.0</c:formatCode>
                <c:ptCount val="5"/>
                <c:pt idx="0">
                  <c:v>-3.6806478565420946</c:v>
                </c:pt>
                <c:pt idx="1">
                  <c:v>-7.8140113521890839</c:v>
                </c:pt>
                <c:pt idx="2">
                  <c:v>20.877726653410917</c:v>
                </c:pt>
                <c:pt idx="3">
                  <c:v>10.310837391767038</c:v>
                </c:pt>
                <c:pt idx="4">
                  <c:v>8.458862891176949</c:v>
                </c:pt>
              </c:numCache>
            </c:numRef>
          </c:val>
          <c:smooth val="0"/>
          <c:extLst>
            <c:ext xmlns:c16="http://schemas.microsoft.com/office/drawing/2014/chart" uri="{C3380CC4-5D6E-409C-BE32-E72D297353CC}">
              <c16:uniqueId val="{00000007-AE92-429E-AB01-D7BA305A86C3}"/>
            </c:ext>
          </c:extLst>
        </c:ser>
        <c:dLbls>
          <c:showLegendKey val="0"/>
          <c:showVal val="0"/>
          <c:showCatName val="0"/>
          <c:showSerName val="0"/>
          <c:showPercent val="0"/>
          <c:showBubbleSize val="0"/>
        </c:dLbls>
        <c:marker val="1"/>
        <c:smooth val="0"/>
        <c:axId val="-1088179472"/>
        <c:axId val="-1088185456"/>
      </c:lineChart>
      <c:catAx>
        <c:axId val="-108818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8186000"/>
        <c:crosses val="autoZero"/>
        <c:auto val="1"/>
        <c:lblAlgn val="ctr"/>
        <c:lblOffset val="100"/>
        <c:noMultiLvlLbl val="0"/>
      </c:catAx>
      <c:valAx>
        <c:axId val="-10881860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crossAx val="-1088186544"/>
        <c:crosses val="autoZero"/>
        <c:crossBetween val="between"/>
      </c:valAx>
      <c:valAx>
        <c:axId val="-108818545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088179472"/>
        <c:crosses val="max"/>
        <c:crossBetween val="between"/>
      </c:valAx>
      <c:catAx>
        <c:axId val="-1088179472"/>
        <c:scaling>
          <c:orientation val="minMax"/>
        </c:scaling>
        <c:delete val="1"/>
        <c:axPos val="b"/>
        <c:numFmt formatCode="General" sourceLinked="1"/>
        <c:majorTickMark val="out"/>
        <c:minorTickMark val="none"/>
        <c:tickLblPos val="nextTo"/>
        <c:crossAx val="-1088185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37.9</c:v>
                </c:pt>
                <c:pt idx="1">
                  <c:v>77.900000000000006</c:v>
                </c:pt>
                <c:pt idx="2">
                  <c:v>24.497</c:v>
                </c:pt>
                <c:pt idx="3">
                  <c:v>16.899999999999999</c:v>
                </c:pt>
                <c:pt idx="4">
                  <c:v>34.4</c:v>
                </c:pt>
                <c:pt idx="5">
                  <c:v>16.100000000000001</c:v>
                </c:pt>
              </c:numCache>
            </c:numRef>
          </c:val>
          <c:extLst>
            <c:ext xmlns:c16="http://schemas.microsoft.com/office/drawing/2014/chart" uri="{C3380CC4-5D6E-409C-BE32-E72D297353CC}">
              <c16:uniqueId val="{00000000-6BC0-4DA5-8D70-FD45768B206D}"/>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C0-4DA5-8D70-FD45768B206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92.3</c:v>
                </c:pt>
                <c:pt idx="1">
                  <c:v>9.8000000000000007</c:v>
                </c:pt>
                <c:pt idx="2">
                  <c:v>30.268000000000001</c:v>
                </c:pt>
                <c:pt idx="3">
                  <c:v>36.9</c:v>
                </c:pt>
                <c:pt idx="4">
                  <c:v>10.8</c:v>
                </c:pt>
                <c:pt idx="5">
                  <c:v>14.4</c:v>
                </c:pt>
              </c:numCache>
            </c:numRef>
          </c:val>
          <c:extLst>
            <c:ext xmlns:c16="http://schemas.microsoft.com/office/drawing/2014/chart" uri="{C3380CC4-5D6E-409C-BE32-E72D297353CC}">
              <c16:uniqueId val="{00000002-6BC0-4DA5-8D70-FD45768B206D}"/>
            </c:ext>
          </c:extLst>
        </c:ser>
        <c:dLbls>
          <c:showLegendKey val="0"/>
          <c:showVal val="0"/>
          <c:showCatName val="0"/>
          <c:showSerName val="0"/>
          <c:showPercent val="0"/>
          <c:showBubbleSize val="0"/>
        </c:dLbls>
        <c:gapWidth val="75"/>
        <c:overlap val="100"/>
        <c:axId val="91483136"/>
        <c:axId val="91505408"/>
      </c:barChart>
      <c:catAx>
        <c:axId val="9148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1505408"/>
        <c:crosses val="autoZero"/>
        <c:auto val="1"/>
        <c:lblAlgn val="ctr"/>
        <c:lblOffset val="100"/>
        <c:noMultiLvlLbl val="0"/>
      </c:catAx>
      <c:valAx>
        <c:axId val="915054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91483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 (%)</a:t>
            </a:r>
          </a:p>
        </c:rich>
      </c:tx>
      <c:overlay val="0"/>
      <c:spPr>
        <a:noFill/>
        <a:ln>
          <a:noFill/>
        </a:ln>
        <a:effectLst/>
      </c:sp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2"/>
              <c:layout>
                <c:manualLayout>
                  <c:x val="-8.9086859688195588E-3"/>
                  <c:y val="2.1965952773201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51-4459-9F89-ACE72B027D0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formatCode="General">
                  <c:v>2.8</c:v>
                </c:pt>
                <c:pt idx="1">
                  <c:v>25.4</c:v>
                </c:pt>
                <c:pt idx="2">
                  <c:v>11.941000000000001</c:v>
                </c:pt>
                <c:pt idx="3">
                  <c:v>8.3000000000000007</c:v>
                </c:pt>
                <c:pt idx="4" formatCode="General">
                  <c:v>18.5</c:v>
                </c:pt>
                <c:pt idx="5">
                  <c:v>5.6</c:v>
                </c:pt>
              </c:numCache>
            </c:numRef>
          </c:val>
          <c:extLst>
            <c:ext xmlns:c16="http://schemas.microsoft.com/office/drawing/2014/chart" uri="{C3380CC4-5D6E-409C-BE32-E72D297353CC}">
              <c16:uniqueId val="{00000001-0C51-4459-9F89-ACE72B027D00}"/>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3.5813458100346151E-4"/>
                  <c:y val="-3.78668575518969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51-4459-9F89-ACE72B027D00}"/>
                </c:ext>
              </c:extLst>
            </c:dLbl>
            <c:dLbl>
              <c:idx val="4"/>
              <c:layout>
                <c:manualLayout>
                  <c:x val="7.6045627376424927E-3"/>
                  <c:y val="1.1364829396325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51-4459-9F89-ACE72B027D0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General</c:formatCode>
                <c:ptCount val="6"/>
                <c:pt idx="0" formatCode="0.0">
                  <c:v>33.9</c:v>
                </c:pt>
                <c:pt idx="1">
                  <c:v>6.9</c:v>
                </c:pt>
                <c:pt idx="2" formatCode="0.0">
                  <c:v>12.468999999999999</c:v>
                </c:pt>
                <c:pt idx="3">
                  <c:v>10.3</c:v>
                </c:pt>
                <c:pt idx="4" formatCode="0.0">
                  <c:v>11.4</c:v>
                </c:pt>
                <c:pt idx="5" formatCode="0.0">
                  <c:v>3.1</c:v>
                </c:pt>
              </c:numCache>
            </c:numRef>
          </c:val>
          <c:extLst>
            <c:ext xmlns:c16="http://schemas.microsoft.com/office/drawing/2014/chart" uri="{C3380CC4-5D6E-409C-BE32-E72D297353CC}">
              <c16:uniqueId val="{00000004-0C51-4459-9F89-ACE72B027D00}"/>
            </c:ext>
          </c:extLst>
        </c:ser>
        <c:dLbls>
          <c:showLegendKey val="0"/>
          <c:showVal val="0"/>
          <c:showCatName val="0"/>
          <c:showSerName val="0"/>
          <c:showPercent val="0"/>
          <c:showBubbleSize val="0"/>
        </c:dLbls>
        <c:gapWidth val="50"/>
        <c:overlap val="-27"/>
        <c:axId val="91393024"/>
        <c:axId val="91415296"/>
      </c:barChart>
      <c:catAx>
        <c:axId val="9139302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1415296"/>
        <c:crosses val="autoZero"/>
        <c:auto val="1"/>
        <c:lblAlgn val="ctr"/>
        <c:lblOffset val="100"/>
        <c:noMultiLvlLbl val="0"/>
      </c:catAx>
      <c:valAx>
        <c:axId val="91415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91393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99129165145748"/>
          <c:y val="2.4169503564529682E-2"/>
          <c:w val="0.85555161565069271"/>
          <c:h val="0.53272246909730347"/>
        </c:manualLayout>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7908-4823-BA7E-CB1373B1E205}"/>
              </c:ext>
            </c:extLst>
          </c:dPt>
          <c:dPt>
            <c:idx val="1"/>
            <c:invertIfNegative val="0"/>
            <c:bubble3D val="0"/>
            <c:spPr>
              <a:solidFill>
                <a:srgbClr val="FF0000"/>
              </a:solidFill>
              <a:ln>
                <a:noFill/>
              </a:ln>
              <a:effectLst/>
            </c:spPr>
            <c:extLst>
              <c:ext xmlns:c16="http://schemas.microsoft.com/office/drawing/2014/chart" uri="{C3380CC4-5D6E-409C-BE32-E72D297353CC}">
                <c16:uniqueId val="{00000003-7908-4823-BA7E-CB1373B1E205}"/>
              </c:ext>
            </c:extLst>
          </c:dPt>
          <c:dPt>
            <c:idx val="2"/>
            <c:invertIfNegative val="0"/>
            <c:bubble3D val="0"/>
            <c:spPr>
              <a:solidFill>
                <a:srgbClr val="FF0000"/>
              </a:solidFill>
              <a:ln>
                <a:noFill/>
              </a:ln>
              <a:effectLst/>
            </c:spPr>
            <c:extLst>
              <c:ext xmlns:c16="http://schemas.microsoft.com/office/drawing/2014/chart" uri="{C3380CC4-5D6E-409C-BE32-E72D297353CC}">
                <c16:uniqueId val="{00000005-7908-4823-BA7E-CB1373B1E205}"/>
              </c:ext>
            </c:extLst>
          </c:dPt>
          <c:dPt>
            <c:idx val="3"/>
            <c:invertIfNegative val="0"/>
            <c:bubble3D val="0"/>
            <c:spPr>
              <a:solidFill>
                <a:srgbClr val="FF0000"/>
              </a:solidFill>
              <a:ln>
                <a:noFill/>
              </a:ln>
              <a:effectLst/>
            </c:spPr>
            <c:extLst>
              <c:ext xmlns:c16="http://schemas.microsoft.com/office/drawing/2014/chart" uri="{C3380CC4-5D6E-409C-BE32-E72D297353CC}">
                <c16:uniqueId val="{00000007-7908-4823-BA7E-CB1373B1E205}"/>
              </c:ext>
            </c:extLst>
          </c:dPt>
          <c:dPt>
            <c:idx val="4"/>
            <c:invertIfNegative val="0"/>
            <c:bubble3D val="0"/>
            <c:spPr>
              <a:solidFill>
                <a:srgbClr val="FF0000"/>
              </a:solidFill>
              <a:ln>
                <a:solidFill>
                  <a:srgbClr val="FF0000"/>
                </a:solidFill>
              </a:ln>
              <a:effectLst/>
            </c:spPr>
            <c:extLst>
              <c:ext xmlns:c16="http://schemas.microsoft.com/office/drawing/2014/chart" uri="{C3380CC4-5D6E-409C-BE32-E72D297353CC}">
                <c16:uniqueId val="{00000009-7908-4823-BA7E-CB1373B1E205}"/>
              </c:ext>
            </c:extLst>
          </c:dPt>
          <c:dPt>
            <c:idx val="6"/>
            <c:invertIfNegative val="0"/>
            <c:bubble3D val="0"/>
            <c:spPr>
              <a:solidFill>
                <a:srgbClr val="FF0000"/>
              </a:solidFill>
              <a:ln>
                <a:noFill/>
              </a:ln>
              <a:effectLst/>
            </c:spPr>
            <c:extLst>
              <c:ext xmlns:c16="http://schemas.microsoft.com/office/drawing/2014/chart" uri="{C3380CC4-5D6E-409C-BE32-E72D297353CC}">
                <c16:uniqueId val="{0000000B-7908-4823-BA7E-CB1373B1E205}"/>
              </c:ext>
            </c:extLst>
          </c:dPt>
          <c:dPt>
            <c:idx val="8"/>
            <c:invertIfNegative val="0"/>
            <c:bubble3D val="0"/>
            <c:spPr>
              <a:solidFill>
                <a:srgbClr val="FF0000"/>
              </a:solidFill>
              <a:ln>
                <a:noFill/>
              </a:ln>
              <a:effectLst/>
            </c:spPr>
            <c:extLst>
              <c:ext xmlns:c16="http://schemas.microsoft.com/office/drawing/2014/chart" uri="{C3380CC4-5D6E-409C-BE32-E72D297353CC}">
                <c16:uniqueId val="{0000000D-7908-4823-BA7E-CB1373B1E205}"/>
              </c:ext>
            </c:extLst>
          </c:dPt>
          <c:dPt>
            <c:idx val="9"/>
            <c:invertIfNegative val="0"/>
            <c:bubble3D val="0"/>
            <c:spPr>
              <a:solidFill>
                <a:srgbClr val="FF0000"/>
              </a:solidFill>
              <a:ln>
                <a:noFill/>
              </a:ln>
              <a:effectLst/>
            </c:spPr>
            <c:extLst>
              <c:ext xmlns:c16="http://schemas.microsoft.com/office/drawing/2014/chart" uri="{C3380CC4-5D6E-409C-BE32-E72D297353CC}">
                <c16:uniqueId val="{0000000F-7908-4823-BA7E-CB1373B1E205}"/>
              </c:ext>
            </c:extLst>
          </c:dPt>
          <c:dPt>
            <c:idx val="10"/>
            <c:invertIfNegative val="0"/>
            <c:bubble3D val="0"/>
            <c:spPr>
              <a:solidFill>
                <a:srgbClr val="FF0000"/>
              </a:solidFill>
              <a:ln>
                <a:noFill/>
              </a:ln>
              <a:effectLst/>
            </c:spPr>
            <c:extLst>
              <c:ext xmlns:c16="http://schemas.microsoft.com/office/drawing/2014/chart" uri="{C3380CC4-5D6E-409C-BE32-E72D297353CC}">
                <c16:uniqueId val="{00000011-7908-4823-BA7E-CB1373B1E205}"/>
              </c:ext>
            </c:extLst>
          </c:dPt>
          <c:dPt>
            <c:idx val="11"/>
            <c:invertIfNegative val="0"/>
            <c:bubble3D val="0"/>
            <c:spPr>
              <a:solidFill>
                <a:srgbClr val="00B050"/>
              </a:solidFill>
              <a:ln>
                <a:noFill/>
              </a:ln>
              <a:effectLst/>
            </c:spPr>
            <c:extLst>
              <c:ext xmlns:c16="http://schemas.microsoft.com/office/drawing/2014/chart" uri="{C3380CC4-5D6E-409C-BE32-E72D297353CC}">
                <c16:uniqueId val="{00000013-7908-4823-BA7E-CB1373B1E205}"/>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Sheet2!$B$2:$B$13</c:f>
              <c:strCache>
                <c:ptCount val="12"/>
                <c:pt idx="0">
                  <c:v>Consumer price index</c:v>
                </c:pt>
                <c:pt idx="1">
                  <c:v>IV. Housing and construction materials</c:v>
                </c:pt>
                <c:pt idx="2">
                  <c:v>I. Food and foodstuff</c:v>
                </c:pt>
                <c:pt idx="3">
                  <c:v>XI. Other consumer goods and services</c:v>
                </c:pt>
                <c:pt idx="4">
                  <c:v>VI. Medicine and health care services</c:v>
                </c:pt>
                <c:pt idx="5">
                  <c:v>II. Beverage and cigarette</c:v>
                </c:pt>
                <c:pt idx="6">
                  <c:v>VIII. Post and communication</c:v>
                </c:pt>
                <c:pt idx="7">
                  <c:v>IX. Education </c:v>
                </c:pt>
                <c:pt idx="8">
                  <c:v>X. Culture, entertainments and tourism</c:v>
                </c:pt>
                <c:pt idx="9">
                  <c:v>V. Household equipment and goods</c:v>
                </c:pt>
                <c:pt idx="10">
                  <c:v>III. Garment, hat, footwear</c:v>
                </c:pt>
                <c:pt idx="11">
                  <c:v>VII. Transport</c:v>
                </c:pt>
              </c:strCache>
            </c:strRef>
          </c:cat>
          <c:val>
            <c:numRef>
              <c:f>Sheet2!$C$2:$C$13</c:f>
              <c:numCache>
                <c:formatCode>0.00%</c:formatCode>
                <c:ptCount val="12"/>
                <c:pt idx="0">
                  <c:v>0</c:v>
                </c:pt>
                <c:pt idx="1">
                  <c:v>2.9000000000000627E-3</c:v>
                </c:pt>
                <c:pt idx="2">
                  <c:v>2.6999999999999602E-3</c:v>
                </c:pt>
                <c:pt idx="3">
                  <c:v>2.0000000000000282E-3</c:v>
                </c:pt>
                <c:pt idx="4">
                  <c:v>1.8000000000000683E-3</c:v>
                </c:pt>
                <c:pt idx="5">
                  <c:v>1.5000000000000568E-3</c:v>
                </c:pt>
                <c:pt idx="6">
                  <c:v>1.5000000000000568E-3</c:v>
                </c:pt>
                <c:pt idx="7">
                  <c:v>1.4000000000000056E-3</c:v>
                </c:pt>
                <c:pt idx="8">
                  <c:v>1.2000000000000454E-3</c:v>
                </c:pt>
                <c:pt idx="9">
                  <c:v>9.0000000000003413E-4</c:v>
                </c:pt>
                <c:pt idx="10">
                  <c:v>4.999999999999716E-4</c:v>
                </c:pt>
                <c:pt idx="11">
                  <c:v>-1.980000000000004E-2</c:v>
                </c:pt>
              </c:numCache>
            </c:numRef>
          </c:val>
          <c:extLst>
            <c:ext xmlns:c16="http://schemas.microsoft.com/office/drawing/2014/chart" uri="{C3380CC4-5D6E-409C-BE32-E72D297353CC}">
              <c16:uniqueId val="{00000014-7908-4823-BA7E-CB1373B1E205}"/>
            </c:ext>
          </c:extLst>
        </c:ser>
        <c:dLbls>
          <c:showLegendKey val="0"/>
          <c:showVal val="0"/>
          <c:showCatName val="0"/>
          <c:showSerName val="0"/>
          <c:showPercent val="0"/>
          <c:showBubbleSize val="0"/>
        </c:dLbls>
        <c:gapWidth val="112"/>
        <c:overlap val="-27"/>
        <c:axId val="124467008"/>
        <c:axId val="120957152"/>
      </c:barChart>
      <c:catAx>
        <c:axId val="1244670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0957152"/>
        <c:crosses val="autoZero"/>
        <c:auto val="1"/>
        <c:lblAlgn val="ctr"/>
        <c:lblOffset val="100"/>
        <c:noMultiLvlLbl val="0"/>
      </c:catAx>
      <c:valAx>
        <c:axId val="120957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67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0.15249</cdr:x>
      <cdr:y>0.11207</cdr:y>
    </cdr:from>
    <cdr:to>
      <cdr:x>0.23558</cdr:x>
      <cdr:y>0.17544</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906340" y="425918"/>
          <a:ext cx="493835" cy="24083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33,9%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0.72303</cdr:x>
      <cdr:y>0.52151</cdr:y>
    </cdr:from>
    <cdr:to>
      <cdr:x>0.80449</cdr:x>
      <cdr:y>0.57394</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297400" y="1981996"/>
          <a:ext cx="484149" cy="19923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25,1%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Billion</a:t>
          </a:r>
          <a:r>
            <a:rPr lang="en-US" sz="900" b="1" i="1" baseline="0">
              <a:latin typeface="Arial" panose="020B0604020202020204" pitchFamily="34" charset="0"/>
              <a:cs typeface="Arial" panose="020B0604020202020204" pitchFamily="34" charset="0"/>
            </a:rPr>
            <a:t> VND</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0.14216</cdr:x>
      <cdr:y>0.11177</cdr:y>
    </cdr:from>
    <cdr:to>
      <cdr:x>0.16134</cdr:x>
      <cdr:y>0.14718</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344235" y="453422"/>
          <a:ext cx="148522"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0.42463</cdr:x>
      <cdr:y>0.48254</cdr:y>
    </cdr:from>
    <cdr:to>
      <cdr:x>0.44381</cdr:x>
      <cdr:y>0.51795</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2513558" y="1844184"/>
          <a:ext cx="134575"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0.62327</cdr:x>
      <cdr:y>0.51039</cdr:y>
    </cdr:from>
    <cdr:to>
      <cdr:x>0.64245</cdr:x>
      <cdr:y>0.5458</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5839111" y="2200796"/>
          <a:ext cx="153581"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0.25745</cdr:x>
      <cdr:y>0.28489</cdr:y>
    </cdr:from>
    <cdr:to>
      <cdr:x>0.33816</cdr:x>
      <cdr:y>0.30986</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2406566" y="1235635"/>
          <a:ext cx="754464" cy="1083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0.34347</cdr:x>
      <cdr:y>0.46217</cdr:y>
    </cdr:from>
    <cdr:to>
      <cdr:x>0.44104</cdr:x>
      <cdr:y>0.56229</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210702" y="2004525"/>
          <a:ext cx="912068" cy="43424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0.43077</cdr:x>
      <cdr:y>0.48787</cdr:y>
    </cdr:from>
    <cdr:to>
      <cdr:x>0.52834</cdr:x>
      <cdr:y>0.56574</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560354" y="1854133"/>
          <a:ext cx="579917" cy="29594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11,4%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0.54095</cdr:x>
      <cdr:y>0.50948</cdr:y>
    </cdr:from>
    <cdr:to>
      <cdr:x>0.63852</cdr:x>
      <cdr:y>0.60168</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056712" y="2136934"/>
          <a:ext cx="912069" cy="38671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4</a:t>
          </a:r>
          <a:r>
            <a:rPr lang="en-US" sz="800">
              <a:solidFill>
                <a:sysClr val="windowText" lastClr="000000"/>
              </a:solidFill>
              <a:latin typeface="Arial" panose="020B0604020202020204" pitchFamily="34" charset="0"/>
              <a:cs typeface="Arial" panose="020B0604020202020204" pitchFamily="34" charset="0"/>
            </a:rPr>
            <a:t>,5%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0.63829</cdr:x>
      <cdr:y>0.51742</cdr:y>
    </cdr:from>
    <cdr:to>
      <cdr:x>0.73586</cdr:x>
      <cdr:y>0.59333</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966592" y="2244151"/>
          <a:ext cx="912068" cy="32923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0.83519</cdr:x>
      <cdr:y>0.52915</cdr:y>
    </cdr:from>
    <cdr:to>
      <cdr:x>0.9432</cdr:x>
      <cdr:y>0.59003</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7807191" y="2295024"/>
          <a:ext cx="1009659" cy="2640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0.91186</cdr:x>
      <cdr:y>0.53383</cdr:y>
    </cdr:from>
    <cdr:to>
      <cdr:x>1</cdr:x>
      <cdr:y>0.59148</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419725" y="2028825"/>
          <a:ext cx="523875" cy="21907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18,7%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0.33111</cdr:x>
      <cdr:y>0.46365</cdr:y>
    </cdr:from>
    <cdr:to>
      <cdr:x>0.35029</cdr:x>
      <cdr:y>0.49906</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3110577" y="1929329"/>
          <a:ext cx="148521"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0.24591</cdr:x>
      <cdr:y>0.29144</cdr:y>
    </cdr:from>
    <cdr:to>
      <cdr:x>0.26509</cdr:x>
      <cdr:y>0.32685</cdr:y>
    </cdr:to>
    <cdr:sp macro="" textlink="">
      <cdr:nvSpPr>
        <cdr:cNvPr id="21"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2314131" y="1206999"/>
          <a:ext cx="148521"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0.71269</cdr:x>
      <cdr:y>0.52735</cdr:y>
    </cdr:from>
    <cdr:to>
      <cdr:x>0.73187</cdr:x>
      <cdr:y>0.56276</cdr:y>
    </cdr:to>
    <cdr:sp macro="" textlink="">
      <cdr:nvSpPr>
        <cdr:cNvPr id="22"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225656" y="2014487"/>
          <a:ext cx="134575" cy="11399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0.81786</cdr:x>
      <cdr:y>0.54101</cdr:y>
    </cdr:from>
    <cdr:to>
      <cdr:x>0.84232</cdr:x>
      <cdr:y>0.58054</cdr:y>
    </cdr:to>
    <cdr:sp macro="" textlink="">
      <cdr:nvSpPr>
        <cdr:cNvPr id="27"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flipH="1">
          <a:off x="7673820" y="2317910"/>
          <a:ext cx="171453" cy="228599"/>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0.90221</cdr:x>
      <cdr:y>0.54379</cdr:y>
    </cdr:from>
    <cdr:to>
      <cdr:x>0.92139</cdr:x>
      <cdr:y>0.5792</cdr:y>
    </cdr:to>
    <cdr:sp macro="" textlink="">
      <cdr:nvSpPr>
        <cdr:cNvPr id="29"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5352100" y="2076954"/>
          <a:ext cx="134575"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0.53036</cdr:x>
      <cdr:y>0.51055</cdr:y>
    </cdr:from>
    <cdr:to>
      <cdr:x>0.55128</cdr:x>
      <cdr:y>0.53885</cdr:y>
    </cdr:to>
    <cdr:sp macro="" textlink="">
      <cdr:nvSpPr>
        <cdr:cNvPr id="23" name="Arrow: Right 7">
          <a:extLst xmlns:a="http://schemas.openxmlformats.org/drawingml/2006/main">
            <a:ext uri="{FF2B5EF4-FFF2-40B4-BE49-F238E27FC236}">
              <a16:creationId xmlns:a16="http://schemas.microsoft.com/office/drawing/2014/main" id="{8BB99AF5-FCD0-994D-69B8-2CDC4BC79AA2}"/>
            </a:ext>
          </a:extLst>
        </cdr:cNvPr>
        <cdr:cNvSpPr/>
      </cdr:nvSpPr>
      <cdr:spPr>
        <a:xfrm xmlns:a="http://schemas.openxmlformats.org/drawingml/2006/main" rot="5400000" flipV="1">
          <a:off x="3160667" y="1931944"/>
          <a:ext cx="107540" cy="124323"/>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0.84865</cdr:x>
      <cdr:y>0.05278</cdr:y>
    </cdr:from>
    <cdr:to>
      <cdr:x>0.96577</cdr:x>
      <cdr:y>0.13872</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486274" y="160873"/>
          <a:ext cx="619126"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20,52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0.7964</cdr:x>
      <cdr:y>0.19444</cdr:y>
    </cdr:from>
    <cdr:to>
      <cdr:x>0.95495</cdr:x>
      <cdr:y>0.28038</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210050" y="592654"/>
          <a:ext cx="838199"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19,19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0.81081</cdr:x>
      <cdr:y>0.32188</cdr:y>
    </cdr:from>
    <cdr:to>
      <cdr:x>0.91712</cdr:x>
      <cdr:y>0.40782</cdr:y>
    </cdr:to>
    <cdr:sp macro="" textlink="">
      <cdr:nvSpPr>
        <cdr:cNvPr id="4" name="Text Box 2"/>
        <cdr:cNvSpPr txBox="1">
          <a:spLocks xmlns:a="http://schemas.openxmlformats.org/drawingml/2006/main" noChangeArrowheads="1"/>
        </cdr:cNvSpPr>
      </cdr:nvSpPr>
      <cdr:spPr bwMode="auto">
        <a:xfrm xmlns:a="http://schemas.openxmlformats.org/drawingml/2006/main">
          <a:off x="4286246" y="981090"/>
          <a:ext cx="56198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16,78</a:t>
          </a:r>
        </a:p>
      </cdr:txBody>
    </cdr:sp>
  </cdr:relSizeAnchor>
  <cdr:relSizeAnchor xmlns:cdr="http://schemas.openxmlformats.org/drawingml/2006/chartDrawing">
    <cdr:from>
      <cdr:x>0.81441</cdr:x>
      <cdr:y>0.46367</cdr:y>
    </cdr:from>
    <cdr:to>
      <cdr:x>0.92613</cdr:x>
      <cdr:y>0.54961</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305301" y="1413266"/>
          <a:ext cx="590548"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19,12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0.89189</cdr:x>
      <cdr:y>0.60625</cdr:y>
    </cdr:from>
    <cdr:to>
      <cdr:x>1</cdr:x>
      <cdr:y>0.69219</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714876" y="1847851"/>
          <a:ext cx="57150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19,54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61969-5F0F-4F76-A7C0-C883DA88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32</Pages>
  <Words>8967</Words>
  <Characters>51113</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Thị Ngọc</dc:creator>
  <cp:keywords/>
  <dc:description/>
  <cp:lastModifiedBy>Bùi Trâm Anh</cp:lastModifiedBy>
  <cp:revision>6</cp:revision>
  <cp:lastPrinted>2023-08-28T10:12:00Z</cp:lastPrinted>
  <dcterms:created xsi:type="dcterms:W3CDTF">2024-09-13T02:44:00Z</dcterms:created>
  <dcterms:modified xsi:type="dcterms:W3CDTF">2024-09-20T06:44:00Z</dcterms:modified>
</cp:coreProperties>
</file>