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6A19E" w14:textId="77777777" w:rsidR="0063307A" w:rsidRDefault="0063307A" w:rsidP="0063307A">
      <w:pPr>
        <w:spacing w:line="276" w:lineRule="auto"/>
        <w:jc w:val="center"/>
        <w:rPr>
          <w:b/>
          <w:bCs/>
          <w:sz w:val="40"/>
          <w:szCs w:val="40"/>
        </w:rPr>
      </w:pPr>
    </w:p>
    <w:tbl>
      <w:tblPr>
        <w:tblpPr w:leftFromText="180" w:rightFromText="180" w:vertAnchor="text" w:horzAnchor="margin" w:tblpXSpec="center" w:tblpY="-386"/>
        <w:tblW w:w="10474" w:type="dxa"/>
        <w:tblLayout w:type="fixed"/>
        <w:tblLook w:val="0000" w:firstRow="0" w:lastRow="0" w:firstColumn="0" w:lastColumn="0" w:noHBand="0" w:noVBand="0"/>
      </w:tblPr>
      <w:tblGrid>
        <w:gridCol w:w="5369"/>
        <w:gridCol w:w="5105"/>
      </w:tblGrid>
      <w:tr w:rsidR="0063307A" w:rsidRPr="00974B69" w14:paraId="5DFB5D8F" w14:textId="77777777" w:rsidTr="00B73CE3">
        <w:trPr>
          <w:trHeight w:val="1402"/>
        </w:trPr>
        <w:tc>
          <w:tcPr>
            <w:tcW w:w="5369" w:type="dxa"/>
          </w:tcPr>
          <w:p w14:paraId="0BE309C9" w14:textId="77777777" w:rsidR="0063307A" w:rsidRDefault="0063307A" w:rsidP="00B73CE3">
            <w:pPr>
              <w:spacing w:line="276" w:lineRule="auto"/>
              <w:ind w:left="72" w:right="-115"/>
              <w:jc w:val="center"/>
              <w:rPr>
                <w:spacing w:val="-6"/>
                <w:sz w:val="24"/>
                <w:szCs w:val="24"/>
              </w:rPr>
            </w:pPr>
            <w:r w:rsidRPr="00974B69">
              <w:rPr>
                <w:spacing w:val="-6"/>
                <w:sz w:val="24"/>
                <w:szCs w:val="24"/>
              </w:rPr>
              <w:softHyphen/>
            </w:r>
            <w:r w:rsidRPr="00974B69">
              <w:rPr>
                <w:spacing w:val="-6"/>
                <w:sz w:val="24"/>
                <w:szCs w:val="24"/>
              </w:rPr>
              <w:softHyphen/>
            </w:r>
            <w:r w:rsidRPr="00974B69">
              <w:rPr>
                <w:spacing w:val="-6"/>
                <w:sz w:val="24"/>
                <w:szCs w:val="24"/>
              </w:rPr>
              <w:softHyphen/>
            </w:r>
            <w:r w:rsidRPr="00974B69">
              <w:rPr>
                <w:spacing w:val="-6"/>
                <w:sz w:val="24"/>
                <w:szCs w:val="24"/>
              </w:rPr>
              <w:softHyphen/>
              <w:t>MINISTRY OF PLANNING AND INVESTMENT</w:t>
            </w:r>
          </w:p>
          <w:p w14:paraId="1FFB2044" w14:textId="77777777" w:rsidR="0063307A" w:rsidRPr="00974B69" w:rsidRDefault="0063307A" w:rsidP="00B73CE3">
            <w:pPr>
              <w:spacing w:line="276" w:lineRule="auto"/>
              <w:ind w:left="72" w:right="-115"/>
              <w:jc w:val="center"/>
              <w:rPr>
                <w:b/>
                <w:bCs/>
                <w:spacing w:val="-6"/>
                <w:sz w:val="24"/>
                <w:szCs w:val="24"/>
              </w:rPr>
            </w:pPr>
            <w:r>
              <w:rPr>
                <w:rFonts w:ascii="Calibri" w:hAnsi="Calibri" w:cs="Calibri"/>
                <w:noProof/>
                <w:sz w:val="22"/>
                <w:szCs w:val="22"/>
              </w:rPr>
              <mc:AlternateContent>
                <mc:Choice Requires="wps">
                  <w:drawing>
                    <wp:anchor distT="4294967291" distB="4294967291" distL="114300" distR="114300" simplePos="0" relativeHeight="251660288" behindDoc="0" locked="0" layoutInCell="1" allowOverlap="1" wp14:anchorId="5D8990C9" wp14:editId="01846470">
                      <wp:simplePos x="0" y="0"/>
                      <wp:positionH relativeFrom="column">
                        <wp:posOffset>1145540</wp:posOffset>
                      </wp:positionH>
                      <wp:positionV relativeFrom="paragraph">
                        <wp:posOffset>203199</wp:posOffset>
                      </wp:positionV>
                      <wp:extent cx="9715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70BCC8" id="Straight Connector 28"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974B69">
              <w:rPr>
                <w:b/>
                <w:bCs/>
                <w:spacing w:val="-6"/>
                <w:sz w:val="24"/>
                <w:szCs w:val="24"/>
              </w:rPr>
              <w:t>GENERAL STATISTICS OFFICE</w:t>
            </w:r>
          </w:p>
          <w:p w14:paraId="001185AF" w14:textId="1D1896EC" w:rsidR="0063307A" w:rsidRPr="00974B69" w:rsidRDefault="0063307A" w:rsidP="00B73CE3">
            <w:pPr>
              <w:spacing w:before="120" w:line="276" w:lineRule="auto"/>
              <w:ind w:left="16" w:right="-18"/>
              <w:jc w:val="center"/>
              <w:rPr>
                <w:sz w:val="26"/>
                <w:szCs w:val="26"/>
              </w:rPr>
            </w:pPr>
            <w:r w:rsidRPr="00974B69">
              <w:rPr>
                <w:sz w:val="26"/>
                <w:szCs w:val="26"/>
              </w:rPr>
              <w:t xml:space="preserve">No: </w:t>
            </w:r>
            <w:r>
              <w:rPr>
                <w:sz w:val="26"/>
                <w:szCs w:val="26"/>
              </w:rPr>
              <w:t xml:space="preserve">      </w:t>
            </w:r>
            <w:r w:rsidRPr="00974B69">
              <w:rPr>
                <w:sz w:val="26"/>
                <w:szCs w:val="26"/>
              </w:rPr>
              <w:t>/BC-TCTK</w:t>
            </w:r>
          </w:p>
        </w:tc>
        <w:tc>
          <w:tcPr>
            <w:tcW w:w="5105" w:type="dxa"/>
          </w:tcPr>
          <w:p w14:paraId="3B4227CC" w14:textId="77777777" w:rsidR="0063307A" w:rsidRPr="00974B69" w:rsidRDefault="0063307A" w:rsidP="00B73CE3">
            <w:pPr>
              <w:spacing w:line="276" w:lineRule="auto"/>
              <w:rPr>
                <w:b/>
                <w:bCs/>
                <w:sz w:val="24"/>
                <w:szCs w:val="24"/>
              </w:rPr>
            </w:pPr>
            <w:r w:rsidRPr="00974B69">
              <w:rPr>
                <w:b/>
                <w:bCs/>
                <w:sz w:val="24"/>
                <w:szCs w:val="24"/>
              </w:rPr>
              <w:t>SOCIALIST REPUBLIC OF VIET NAM</w:t>
            </w:r>
          </w:p>
          <w:p w14:paraId="73FD90CE" w14:textId="77777777" w:rsidR="0063307A" w:rsidRPr="00974B69" w:rsidRDefault="0063307A" w:rsidP="00B73CE3">
            <w:pPr>
              <w:spacing w:line="276" w:lineRule="auto"/>
              <w:rPr>
                <w:b/>
                <w:bCs/>
                <w:sz w:val="24"/>
                <w:szCs w:val="24"/>
              </w:rPr>
            </w:pPr>
            <w:r>
              <w:rPr>
                <w:rFonts w:ascii="Calibri" w:hAnsi="Calibri" w:cs="Calibri"/>
                <w:noProof/>
                <w:sz w:val="22"/>
                <w:szCs w:val="22"/>
              </w:rPr>
              <mc:AlternateContent>
                <mc:Choice Requires="wps">
                  <w:drawing>
                    <wp:anchor distT="4294967291" distB="4294967291" distL="114300" distR="114300" simplePos="0" relativeHeight="251661312" behindDoc="0" locked="0" layoutInCell="1" allowOverlap="1" wp14:anchorId="4F0DC200" wp14:editId="5DD8655F">
                      <wp:simplePos x="0" y="0"/>
                      <wp:positionH relativeFrom="column">
                        <wp:posOffset>336550</wp:posOffset>
                      </wp:positionH>
                      <wp:positionV relativeFrom="paragraph">
                        <wp:posOffset>203199</wp:posOffset>
                      </wp:positionV>
                      <wp:extent cx="1884045" cy="0"/>
                      <wp:effectExtent l="0" t="0" r="0" b="0"/>
                      <wp:wrapNone/>
                      <wp:docPr id="457587038" name="Straight Connector 4575870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66667F" id="Straight Connector 457587038"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sidRPr="00974B69">
              <w:rPr>
                <w:b/>
                <w:bCs/>
                <w:sz w:val="24"/>
                <w:szCs w:val="24"/>
              </w:rPr>
              <w:t>Independence-Freedom-Happiness</w:t>
            </w:r>
          </w:p>
          <w:p w14:paraId="61A91230" w14:textId="77777777" w:rsidR="0063307A" w:rsidRDefault="0063307A" w:rsidP="00B73CE3">
            <w:pPr>
              <w:spacing w:line="276" w:lineRule="auto"/>
              <w:ind w:left="72"/>
              <w:jc w:val="center"/>
              <w:rPr>
                <w:i/>
                <w:iCs/>
                <w:sz w:val="26"/>
                <w:szCs w:val="26"/>
              </w:rPr>
            </w:pPr>
          </w:p>
          <w:p w14:paraId="2E2BB63F" w14:textId="766F8942" w:rsidR="0063307A" w:rsidRPr="00974B69" w:rsidRDefault="0063307A" w:rsidP="00B73CE3">
            <w:pPr>
              <w:spacing w:line="276" w:lineRule="auto"/>
              <w:ind w:left="72" w:right="849"/>
              <w:jc w:val="center"/>
              <w:rPr>
                <w:b/>
                <w:bCs/>
                <w:i/>
                <w:iCs/>
                <w:sz w:val="26"/>
                <w:szCs w:val="26"/>
              </w:rPr>
            </w:pPr>
            <w:r w:rsidRPr="00974B69">
              <w:rPr>
                <w:i/>
                <w:iCs/>
                <w:sz w:val="26"/>
                <w:szCs w:val="26"/>
              </w:rPr>
              <w:t xml:space="preserve">Ha Noi, </w:t>
            </w:r>
            <w:r>
              <w:rPr>
                <w:i/>
                <w:iCs/>
                <w:sz w:val="26"/>
                <w:szCs w:val="26"/>
              </w:rPr>
              <w:t>6</w:t>
            </w:r>
            <w:r w:rsidRPr="00974B69">
              <w:rPr>
                <w:i/>
                <w:iCs/>
                <w:sz w:val="26"/>
                <w:szCs w:val="26"/>
                <w:vertAlign w:val="superscript"/>
              </w:rPr>
              <w:t>th</w:t>
            </w:r>
            <w:r w:rsidRPr="00974B69">
              <w:rPr>
                <w:i/>
                <w:iCs/>
                <w:sz w:val="26"/>
                <w:szCs w:val="26"/>
              </w:rPr>
              <w:t xml:space="preserve"> </w:t>
            </w:r>
            <w:r>
              <w:rPr>
                <w:i/>
                <w:iCs/>
                <w:sz w:val="26"/>
                <w:szCs w:val="26"/>
              </w:rPr>
              <w:t>September</w:t>
            </w:r>
            <w:r w:rsidRPr="00974B69">
              <w:rPr>
                <w:i/>
                <w:iCs/>
                <w:sz w:val="26"/>
                <w:szCs w:val="26"/>
              </w:rPr>
              <w:t xml:space="preserve"> 202</w:t>
            </w:r>
            <w:r>
              <w:rPr>
                <w:i/>
                <w:iCs/>
                <w:sz w:val="26"/>
                <w:szCs w:val="26"/>
              </w:rPr>
              <w:t>3</w:t>
            </w:r>
          </w:p>
        </w:tc>
      </w:tr>
    </w:tbl>
    <w:p w14:paraId="0F412C84" w14:textId="77777777" w:rsidR="0063307A" w:rsidRDefault="0063307A" w:rsidP="0063307A">
      <w:pPr>
        <w:spacing w:line="276" w:lineRule="auto"/>
        <w:jc w:val="center"/>
        <w:rPr>
          <w:b/>
          <w:bCs/>
          <w:sz w:val="32"/>
          <w:szCs w:val="32"/>
          <w:lang w:val="pt-BR"/>
        </w:rPr>
      </w:pPr>
      <w:r w:rsidRPr="006D7720">
        <w:rPr>
          <w:b/>
          <w:bCs/>
          <w:sz w:val="32"/>
          <w:szCs w:val="32"/>
          <w:lang w:val="pt-BR"/>
        </w:rPr>
        <w:t xml:space="preserve">Socio-economic situation report </w:t>
      </w:r>
    </w:p>
    <w:p w14:paraId="52557734" w14:textId="645BC263" w:rsidR="0063307A" w:rsidRPr="00D2474C" w:rsidRDefault="0063307A" w:rsidP="0063307A">
      <w:pPr>
        <w:spacing w:line="276" w:lineRule="auto"/>
        <w:jc w:val="center"/>
        <w:rPr>
          <w:b/>
          <w:bCs/>
          <w:sz w:val="34"/>
          <w:szCs w:val="34"/>
        </w:rPr>
      </w:pPr>
      <w:r>
        <w:rPr>
          <w:b/>
          <w:bCs/>
          <w:sz w:val="32"/>
          <w:szCs w:val="32"/>
          <w:lang w:val="pt-BR"/>
        </w:rPr>
        <w:t>in October and the 10 months of 2024</w:t>
      </w:r>
    </w:p>
    <w:p w14:paraId="33CAE906" w14:textId="77777777" w:rsidR="0063307A" w:rsidRPr="007D42A5" w:rsidRDefault="0063307A" w:rsidP="0063307A">
      <w:pPr>
        <w:spacing w:before="20" w:line="276" w:lineRule="auto"/>
        <w:jc w:val="center"/>
        <w:rPr>
          <w:rFonts w:ascii="Arial" w:hAnsi="Arial" w:cs="Arial"/>
          <w:b/>
          <w:bCs/>
          <w:sz w:val="30"/>
          <w:szCs w:val="52"/>
        </w:rPr>
      </w:pPr>
      <w:r w:rsidRPr="007D42A5">
        <w:rPr>
          <w:rFonts w:ascii="Arial" w:hAnsi="Arial" w:cs="Arial"/>
          <w:b/>
          <w:bCs/>
          <w:noProof/>
          <w:sz w:val="50"/>
          <w:szCs w:val="52"/>
          <w:lang w:val="en-GB" w:eastAsia="en-GB"/>
        </w:rPr>
        <mc:AlternateContent>
          <mc:Choice Requires="wps">
            <w:drawing>
              <wp:anchor distT="0" distB="0" distL="114300" distR="114300" simplePos="0" relativeHeight="251659264" behindDoc="0" locked="0" layoutInCell="1" allowOverlap="1" wp14:anchorId="51B5DDFA" wp14:editId="4911B24F">
                <wp:simplePos x="0" y="0"/>
                <wp:positionH relativeFrom="margin">
                  <wp:align>center</wp:align>
                </wp:positionH>
                <wp:positionV relativeFrom="paragraph">
                  <wp:posOffset>26035</wp:posOffset>
                </wp:positionV>
                <wp:extent cx="1412875" cy="0"/>
                <wp:effectExtent l="0" t="0" r="3492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4E55E9" id="_x0000_t32" coordsize="21600,21600" o:spt="32" o:oned="t" path="m,l21600,21600e" filled="f">
                <v:path arrowok="t" fillok="f" o:connecttype="none"/>
                <o:lock v:ext="edit" shapetype="t"/>
              </v:shapetype>
              <v:shape id="AutoShape 4" o:spid="_x0000_s1026" type="#_x0000_t32" style="position:absolute;margin-left:0;margin-top:2.05pt;width:111.25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">
                <w10:wrap anchorx="margin"/>
              </v:shape>
            </w:pict>
          </mc:Fallback>
        </mc:AlternateContent>
      </w:r>
    </w:p>
    <w:p w14:paraId="0A5A4A93" w14:textId="77777777" w:rsidR="0063307A" w:rsidRDefault="0063307A" w:rsidP="0063307A">
      <w:pPr>
        <w:spacing w:after="40" w:line="276" w:lineRule="auto"/>
        <w:ind w:firstLine="567"/>
        <w:jc w:val="both"/>
        <w:rPr>
          <w:b/>
          <w:lang w:val="fr-FR"/>
        </w:rPr>
      </w:pPr>
    </w:p>
    <w:p w14:paraId="6C3A2A0C" w14:textId="77777777" w:rsidR="0063307A" w:rsidRPr="00C15289" w:rsidRDefault="0063307A" w:rsidP="0063307A">
      <w:pPr>
        <w:spacing w:before="120" w:after="120" w:line="271" w:lineRule="auto"/>
        <w:ind w:firstLine="567"/>
        <w:jc w:val="both"/>
        <w:rPr>
          <w:b/>
          <w:lang w:val="fr-FR"/>
        </w:rPr>
      </w:pPr>
      <w:r w:rsidRPr="00C15289">
        <w:rPr>
          <w:b/>
          <w:lang w:val="fr-FR"/>
        </w:rPr>
        <w:t>1. Agriculture, forestry, and fishery</w:t>
      </w:r>
    </w:p>
    <w:p w14:paraId="0E6C068C" w14:textId="77777777" w:rsidR="0063307A" w:rsidRDefault="0063307A" w:rsidP="0063307A">
      <w:pPr>
        <w:spacing w:after="120" w:line="276" w:lineRule="auto"/>
        <w:ind w:firstLine="720"/>
        <w:jc w:val="both"/>
        <w:rPr>
          <w:bCs/>
          <w:i/>
          <w:lang w:val="pt-BR"/>
        </w:rPr>
      </w:pPr>
      <w:r w:rsidRPr="00943EB2">
        <w:rPr>
          <w:bCs/>
          <w:i/>
          <w:lang w:val="pt-BR"/>
        </w:rPr>
        <w:t>Agricultural production in October focused on tending and harvesting winter rice and autumn-winter rice across the country and planting winter crops in the North. Livestock development was stable, and localities focused on recovering production after the impact of storm No. 3.</w:t>
      </w:r>
    </w:p>
    <w:p w14:paraId="6143E9D2" w14:textId="77777777" w:rsidR="0063307A" w:rsidRPr="00943EB2" w:rsidRDefault="0063307A" w:rsidP="0063307A">
      <w:pPr>
        <w:spacing w:after="120" w:line="276" w:lineRule="auto"/>
        <w:ind w:firstLine="720"/>
        <w:jc w:val="both"/>
        <w:rPr>
          <w:b/>
          <w:bCs/>
          <w:i/>
          <w:iCs/>
          <w:lang w:val="pt-BR"/>
        </w:rPr>
      </w:pPr>
      <w:r w:rsidRPr="00943EB2">
        <w:rPr>
          <w:b/>
          <w:bCs/>
          <w:i/>
          <w:iCs/>
          <w:lang w:val="pt-BR"/>
        </w:rPr>
        <w:t xml:space="preserve">a) </w:t>
      </w:r>
      <w:r w:rsidRPr="00943EB2">
        <w:rPr>
          <w:b/>
          <w:i/>
          <w:lang w:val="fr-FR"/>
        </w:rPr>
        <w:t>Agriculture</w:t>
      </w:r>
    </w:p>
    <w:p w14:paraId="056E09A4" w14:textId="77777777" w:rsidR="0063307A" w:rsidRPr="00211080" w:rsidRDefault="0063307A" w:rsidP="0063307A">
      <w:pPr>
        <w:spacing w:after="120" w:line="276" w:lineRule="auto"/>
        <w:ind w:firstLine="720"/>
        <w:jc w:val="both"/>
        <w:rPr>
          <w:bCs/>
          <w:i/>
          <w:lang w:val="pt-BR"/>
        </w:rPr>
      </w:pPr>
      <w:r>
        <w:rPr>
          <w:bCs/>
          <w:i/>
          <w:lang w:val="pt-BR"/>
        </w:rPr>
        <w:t>W</w:t>
      </w:r>
      <w:r w:rsidRPr="00943EB2">
        <w:rPr>
          <w:bCs/>
          <w:i/>
          <w:lang w:val="pt-BR"/>
        </w:rPr>
        <w:t>inter rice</w:t>
      </w:r>
    </w:p>
    <w:p w14:paraId="69747EB7" w14:textId="77777777" w:rsidR="0063307A" w:rsidRDefault="0063307A" w:rsidP="0063307A">
      <w:pPr>
        <w:spacing w:after="120" w:line="276" w:lineRule="auto"/>
        <w:ind w:firstLine="720"/>
        <w:jc w:val="both"/>
        <w:rPr>
          <w:bCs/>
          <w:lang w:val="pt-BR"/>
        </w:rPr>
      </w:pPr>
      <w:r w:rsidRPr="00943EB2">
        <w:rPr>
          <w:bCs/>
          <w:lang w:val="pt-BR"/>
        </w:rPr>
        <w:t xml:space="preserve">In the 2024 winter crop, the whole country has cultivated 1,540.9 thousand hectares, equal to 99.9% of the previous winter crop, of which: Northern localities have reached 997.2 thousand hectares, equal to 99.2%; Southern localities have reached 543.7 thousand hectares, equal to 101.1%. </w:t>
      </w:r>
    </w:p>
    <w:p w14:paraId="352E1DC7" w14:textId="77777777" w:rsidR="0063307A" w:rsidRPr="00211080" w:rsidRDefault="0063307A" w:rsidP="0063307A">
      <w:pPr>
        <w:spacing w:after="120" w:line="276" w:lineRule="auto"/>
        <w:ind w:firstLine="720"/>
        <w:jc w:val="both"/>
        <w:rPr>
          <w:b/>
          <w:lang w:val="pt-BR"/>
        </w:rPr>
      </w:pPr>
      <w:r w:rsidRPr="00943EB2">
        <w:rPr>
          <w:bCs/>
          <w:lang w:val="pt-BR"/>
        </w:rPr>
        <w:t>As of October 20, 2024, the whole country has harvested 1,198.8 thousand hectares of winter rice, down 28.3 thousand hectares compared to the same period last year due to the heavy impact of storm No. 3 in early September, causing damage to many rice areas near harvest time, of which about 75 thousand hectares were completely lost</w:t>
      </w:r>
      <w:r w:rsidRPr="00ED45E2">
        <w:rPr>
          <w:rStyle w:val="FootnoteReference"/>
          <w:rFonts w:eastAsiaTheme="majorEastAsia"/>
          <w:color w:val="000000"/>
          <w:lang w:val="af-ZA"/>
        </w:rPr>
        <w:footnoteReference w:id="1"/>
      </w:r>
      <w:r w:rsidRPr="00211080">
        <w:rPr>
          <w:lang w:val="pt-BR"/>
        </w:rPr>
        <w:t>.</w:t>
      </w:r>
      <w:r w:rsidRPr="00943EB2">
        <w:rPr>
          <w:bCs/>
          <w:lang w:val="pt-BR"/>
        </w:rPr>
        <w:t xml:space="preserve"> Up to now, the northern localities have harvested 731.1 thousand hectares of winter rice, accounting for 73.3% of the cultivated area and equal to 97.6% of the same period last year; Southern localities harvested 467.7 thousand hectares, accounting for 86.0% and equal to 97.8%. In the last days of October, localities are urgently harvesting ripe rice, and clearing damaged rice areas. This year's crop production result was forecast to be lower than last year's crop due to the impact of storms, floods and inundation.</w:t>
      </w:r>
      <w:r w:rsidRPr="00211080">
        <w:rPr>
          <w:bCs/>
          <w:lang w:val="pt-BR"/>
        </w:rPr>
        <w:t xml:space="preserve">Vụ mùa năm 2024 cả </w:t>
      </w:r>
      <w:r w:rsidRPr="00211080">
        <w:rPr>
          <w:bCs/>
          <w:lang w:val="pt-BR"/>
        </w:rPr>
        <w:lastRenderedPageBreak/>
        <w:t xml:space="preserve">nước gieo cấy được 1.540,9 nghìn ha, </w:t>
      </w:r>
      <w:r w:rsidRPr="00211080">
        <w:rPr>
          <w:lang w:val="pt-BR"/>
        </w:rPr>
        <w:t xml:space="preserve">bằng 99,9% </w:t>
      </w:r>
      <w:r w:rsidRPr="00211080">
        <w:rPr>
          <w:bCs/>
          <w:lang w:val="pt-BR"/>
        </w:rPr>
        <w:t>vụ mùa năm trước, trong đó: Các địa phương phía Bắc đạt 997,2 nghìn ha, bằng 99,2%; các địa phương phía Nam đạt 543,7 nghìn ha, bằng 101,1%.</w:t>
      </w:r>
    </w:p>
    <w:p w14:paraId="45393954" w14:textId="77777777" w:rsidR="0063307A" w:rsidRPr="00B62B71" w:rsidRDefault="0063307A" w:rsidP="0063307A">
      <w:pPr>
        <w:spacing w:after="120" w:line="288" w:lineRule="auto"/>
        <w:ind w:firstLine="720"/>
        <w:jc w:val="both"/>
        <w:rPr>
          <w:i/>
          <w:lang w:val="de-DE"/>
        </w:rPr>
      </w:pPr>
      <w:r w:rsidRPr="00B62B71">
        <w:rPr>
          <w:i/>
          <w:lang w:val="de-DE"/>
        </w:rPr>
        <w:t>Summer-autumn rice</w:t>
      </w:r>
    </w:p>
    <w:p w14:paraId="3F5923C8" w14:textId="77777777" w:rsidR="0063307A" w:rsidRPr="00211080" w:rsidRDefault="0063307A" w:rsidP="0063307A">
      <w:pPr>
        <w:spacing w:after="100" w:line="252" w:lineRule="auto"/>
        <w:ind w:firstLine="720"/>
        <w:jc w:val="both"/>
        <w:rPr>
          <w:bCs/>
          <w:lang w:val="pt-BR"/>
        </w:rPr>
      </w:pPr>
      <w:r w:rsidRPr="009E29A9">
        <w:rPr>
          <w:bCs/>
          <w:lang w:val="pt-BR"/>
        </w:rPr>
        <w:t>This year's summer-autumn crop, the whole country has cultivated 1,909.3 thousand hectares, a decrease of 3.5 thousand hectares</w:t>
      </w:r>
      <w:r w:rsidRPr="00211080">
        <w:rPr>
          <w:rStyle w:val="FootnoteReference"/>
          <w:rFonts w:eastAsiaTheme="majorEastAsia"/>
          <w:lang w:val="pt-BR"/>
        </w:rPr>
        <w:footnoteReference w:id="2"/>
      </w:r>
      <w:r w:rsidRPr="009E29A9">
        <w:rPr>
          <w:bCs/>
          <w:lang w:val="pt-BR"/>
        </w:rPr>
        <w:t xml:space="preserve"> compared to the summer-autumn crop in 2023, mainly due to the conversion of land use purposes to non-agricultural land, switching to growing other annual crops, fruit trees or aquaculture for higher economic efficiency. According to the preliminary report, the summer-autumn rice yield reached 58.1 quintals/ha, an increase of 0.5 quintals/ha compared to the summer-autumn crop last year; the output reached 11.1 million tons, an increase of 77.6 thousand tons.</w:t>
      </w:r>
      <w:r>
        <w:rPr>
          <w:bCs/>
          <w:lang w:val="pt-BR"/>
        </w:rPr>
        <w:t xml:space="preserve"> </w:t>
      </w:r>
    </w:p>
    <w:p w14:paraId="59BE8872" w14:textId="77777777" w:rsidR="0063307A" w:rsidRDefault="0063307A" w:rsidP="0063307A">
      <w:pPr>
        <w:tabs>
          <w:tab w:val="left" w:pos="567"/>
        </w:tabs>
        <w:spacing w:after="100" w:line="252" w:lineRule="auto"/>
        <w:ind w:firstLine="720"/>
        <w:jc w:val="both"/>
        <w:rPr>
          <w:bCs/>
          <w:i/>
          <w:lang w:val="pt-BR"/>
        </w:rPr>
      </w:pPr>
      <w:r>
        <w:rPr>
          <w:bCs/>
          <w:i/>
          <w:lang w:val="pt-BR"/>
        </w:rPr>
        <w:t>A</w:t>
      </w:r>
      <w:r w:rsidRPr="00943EB2">
        <w:rPr>
          <w:bCs/>
          <w:i/>
          <w:lang w:val="pt-BR"/>
        </w:rPr>
        <w:t xml:space="preserve">utumn-winter rice </w:t>
      </w:r>
    </w:p>
    <w:p w14:paraId="7D85609E" w14:textId="77777777" w:rsidR="0063307A" w:rsidRDefault="0063307A" w:rsidP="0063307A">
      <w:pPr>
        <w:spacing w:before="120" w:after="120" w:line="271" w:lineRule="auto"/>
        <w:ind w:firstLine="567"/>
        <w:jc w:val="both"/>
        <w:rPr>
          <w:color w:val="0D0D0D"/>
          <w:spacing w:val="-4"/>
          <w:lang w:val="pt-BR"/>
        </w:rPr>
      </w:pPr>
      <w:r w:rsidRPr="00F52A98">
        <w:rPr>
          <w:color w:val="0D0D0D"/>
          <w:spacing w:val="-4"/>
          <w:lang w:val="pt-BR"/>
        </w:rPr>
        <w:t>As of October 20, 2024, the Mekong Delta has sown 710.7 thousand hectares of autumn-winter rice, equal to 102.6% of the same period last year, mainly due to increased sowing area (increased crop) favorable weather, stable rice prices, famers took advantage of planting. Up to now, the whole region has harvested 334.3 thousand hectares, accounting for 47.0% of the sown area, concentrated in Can Tho with 66 thousand hectares; Dong Thap 86 thousand hectares; Kien Giang 78 thousand hectares.</w:t>
      </w:r>
    </w:p>
    <w:p w14:paraId="00D87A20" w14:textId="77777777" w:rsidR="0063307A" w:rsidRPr="00C15289" w:rsidRDefault="0063307A" w:rsidP="0063307A">
      <w:pPr>
        <w:spacing w:before="120" w:after="120" w:line="271" w:lineRule="auto"/>
        <w:ind w:firstLine="567"/>
        <w:jc w:val="both"/>
        <w:rPr>
          <w:i/>
        </w:rPr>
      </w:pPr>
      <w:r w:rsidRPr="00C15289">
        <w:rPr>
          <w:i/>
        </w:rPr>
        <w:t>Annual crops</w:t>
      </w:r>
    </w:p>
    <w:p w14:paraId="0BD1C052" w14:textId="77777777" w:rsidR="0063307A" w:rsidRDefault="0063307A" w:rsidP="0063307A">
      <w:pPr>
        <w:spacing w:before="120" w:after="120" w:line="271" w:lineRule="auto"/>
        <w:ind w:firstLine="567"/>
        <w:jc w:val="both"/>
        <w:rPr>
          <w:lang w:val="de-DE"/>
        </w:rPr>
      </w:pPr>
      <w:r w:rsidRPr="00F52A98">
        <w:rPr>
          <w:lang w:val="de-DE"/>
        </w:rPr>
        <w:t>Due to favorable weather this month, northern localities took advantage of the opportunity to plant winter vegetables, so the progress of planting some winter crops this year was faster than the same period last year.</w:t>
      </w:r>
    </w:p>
    <w:p w14:paraId="08CBC117" w14:textId="77777777" w:rsidR="0063307A" w:rsidRPr="00C15289" w:rsidRDefault="0063307A" w:rsidP="0063307A">
      <w:pPr>
        <w:spacing w:before="120" w:after="120" w:line="271" w:lineRule="auto"/>
        <w:jc w:val="center"/>
        <w:rPr>
          <w:lang w:val="de-DE"/>
        </w:rPr>
      </w:pPr>
      <w:r w:rsidRPr="00C15289">
        <w:rPr>
          <w:b/>
          <w:lang w:val="de-DE"/>
        </w:rPr>
        <w:t>Figure 1: Cultivation of main annual crops</w:t>
      </w:r>
    </w:p>
    <w:p w14:paraId="0BBB5049" w14:textId="77777777" w:rsidR="0063307A" w:rsidRPr="007D42A5" w:rsidRDefault="0063307A" w:rsidP="0063307A">
      <w:pPr>
        <w:pStyle w:val="Normal1"/>
        <w:tabs>
          <w:tab w:val="left" w:pos="7380"/>
        </w:tabs>
        <w:spacing w:before="60" w:beforeAutospacing="0" w:after="0" w:afterAutospacing="0"/>
        <w:jc w:val="center"/>
        <w:rPr>
          <w:rFonts w:ascii="Arial" w:hAnsi="Arial" w:cs="Arial"/>
          <w:bCs/>
          <w:i/>
          <w:iCs/>
        </w:rPr>
      </w:pPr>
      <w:r w:rsidRPr="00C15289">
        <w:rPr>
          <w:bCs/>
          <w:i/>
          <w:iCs/>
          <w:lang w:val="vi-VN"/>
        </w:rPr>
        <w:lastRenderedPageBreak/>
        <w:t>(</w:t>
      </w:r>
      <w:r w:rsidRPr="00C15289">
        <w:rPr>
          <w:i/>
          <w:lang w:val="de-DE"/>
        </w:rPr>
        <w:t xml:space="preserve">As of </w:t>
      </w:r>
      <w:r>
        <w:rPr>
          <w:i/>
          <w:lang w:val="de-DE"/>
        </w:rPr>
        <w:t>20</w:t>
      </w:r>
      <w:r w:rsidRPr="00C15289">
        <w:rPr>
          <w:i/>
          <w:lang w:val="de-DE"/>
        </w:rPr>
        <w:t>/</w:t>
      </w:r>
      <w:r>
        <w:rPr>
          <w:i/>
          <w:lang w:val="de-DE"/>
        </w:rPr>
        <w:t>10</w:t>
      </w:r>
      <w:r w:rsidRPr="00C15289">
        <w:rPr>
          <w:i/>
          <w:lang w:val="de-DE"/>
        </w:rPr>
        <w:t>/2024</w:t>
      </w:r>
      <w:r w:rsidRPr="00C15289">
        <w:rPr>
          <w:bCs/>
          <w:i/>
          <w:iCs/>
          <w:lang w:val="vi-VN"/>
        </w:rPr>
        <w:t>)</w:t>
      </w:r>
      <w:r>
        <w:rPr>
          <w:noProof/>
        </w:rPr>
        <w:drawing>
          <wp:inline distT="0" distB="0" distL="0" distR="0" wp14:anchorId="17CEC2CD" wp14:editId="4E9C9534">
            <wp:extent cx="5895975" cy="2324100"/>
            <wp:effectExtent l="0" t="0" r="9525" b="0"/>
            <wp:docPr id="8"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graph&#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5975" cy="2324100"/>
                    </a:xfrm>
                    <a:prstGeom prst="rect">
                      <a:avLst/>
                    </a:prstGeom>
                    <a:noFill/>
                    <a:ln>
                      <a:noFill/>
                    </a:ln>
                  </pic:spPr>
                </pic:pic>
              </a:graphicData>
            </a:graphic>
          </wp:inline>
        </w:drawing>
      </w:r>
    </w:p>
    <w:p w14:paraId="2C03AFD7" w14:textId="77777777" w:rsidR="0063307A" w:rsidRPr="007D42A5" w:rsidRDefault="0063307A" w:rsidP="0063307A">
      <w:pPr>
        <w:pStyle w:val="Normal1"/>
        <w:tabs>
          <w:tab w:val="left" w:pos="7380"/>
        </w:tabs>
        <w:spacing w:before="60" w:beforeAutospacing="0" w:after="0" w:afterAutospacing="0"/>
        <w:jc w:val="center"/>
        <w:rPr>
          <w:rFonts w:ascii="Arial" w:hAnsi="Arial" w:cs="Arial"/>
          <w:bCs/>
          <w:i/>
          <w:iCs/>
        </w:rPr>
      </w:pPr>
    </w:p>
    <w:p w14:paraId="247D867D" w14:textId="77777777" w:rsidR="0063307A" w:rsidRPr="007D42A5" w:rsidRDefault="0063307A" w:rsidP="0063307A">
      <w:pPr>
        <w:spacing w:before="120" w:after="100" w:line="264" w:lineRule="auto"/>
        <w:ind w:firstLine="720"/>
        <w:jc w:val="both"/>
        <w:rPr>
          <w:rFonts w:eastAsiaTheme="minorEastAsia"/>
          <w:lang w:val="pt-BR"/>
        </w:rPr>
      </w:pPr>
      <w:r>
        <w:rPr>
          <w:i/>
          <w:spacing w:val="-2"/>
        </w:rPr>
        <w:t>Livestock</w:t>
      </w:r>
    </w:p>
    <w:p w14:paraId="7E9D2E27" w14:textId="77777777" w:rsidR="0063307A" w:rsidRPr="007A77EE" w:rsidRDefault="0063307A" w:rsidP="0063307A">
      <w:pPr>
        <w:spacing w:after="100" w:line="252" w:lineRule="auto"/>
        <w:ind w:firstLine="720"/>
        <w:jc w:val="both"/>
        <w:rPr>
          <w:lang w:val="vi-VN"/>
        </w:rPr>
      </w:pPr>
      <w:r w:rsidRPr="00306D21">
        <w:rPr>
          <w:lang w:val="de-DE"/>
        </w:rPr>
        <w:t xml:space="preserve">Buffalo and cow husbandry </w:t>
      </w:r>
      <w:r>
        <w:rPr>
          <w:lang w:val="de-DE"/>
        </w:rPr>
        <w:t xml:space="preserve">in the </w:t>
      </w:r>
      <w:r w:rsidRPr="00306D21">
        <w:rPr>
          <w:lang w:val="de-DE"/>
        </w:rPr>
        <w:t>month tended to decrease</w:t>
      </w:r>
      <w:r w:rsidRPr="00306D21">
        <w:rPr>
          <w:rStyle w:val="FootnoteReference"/>
          <w:rFonts w:eastAsiaTheme="majorEastAsia"/>
          <w:lang w:val="pt-BR"/>
        </w:rPr>
        <w:footnoteReference w:id="3"/>
      </w:r>
      <w:r w:rsidRPr="00F52A98">
        <w:rPr>
          <w:lang w:val="de-DE"/>
        </w:rPr>
        <w:t>, and diseases are basically under control. Currently, it is being the time for farmers to focus on re-herding, increasing herds, and taking care of livestock and poultry to supply meat to the market in the last months of the year and the upcoming holidays. To stabilize the domestic production and consumption market, it is necessary to drastically implement many measures and policies to prevent and control diseases, effectively organize vaccination; monitor, detect and promptly handle new outbreaks of unknown origin to ensure the rights of farmers and consumers.</w:t>
      </w:r>
      <w:r>
        <w:rPr>
          <w:lang w:val="de-DE"/>
        </w:rPr>
        <w:t xml:space="preserve"> </w:t>
      </w:r>
    </w:p>
    <w:p w14:paraId="6F009453" w14:textId="77777777" w:rsidR="0063307A" w:rsidRPr="00C15289" w:rsidRDefault="0063307A" w:rsidP="0063307A">
      <w:pPr>
        <w:spacing w:before="120" w:after="120"/>
        <w:ind w:firstLine="567"/>
        <w:jc w:val="center"/>
        <w:rPr>
          <w:b/>
        </w:rPr>
      </w:pPr>
      <w:r w:rsidRPr="00C15289">
        <w:rPr>
          <w:b/>
        </w:rPr>
        <w:t>Figure 2. The growth rate of the population of livestock</w:t>
      </w:r>
    </w:p>
    <w:p w14:paraId="04472A05" w14:textId="77777777" w:rsidR="0063307A" w:rsidRPr="00C15289" w:rsidRDefault="0063307A" w:rsidP="0063307A">
      <w:pPr>
        <w:spacing w:before="120" w:after="120"/>
        <w:ind w:firstLine="567"/>
        <w:jc w:val="center"/>
        <w:rPr>
          <w:b/>
        </w:rPr>
      </w:pPr>
      <w:r w:rsidRPr="00C15289">
        <w:rPr>
          <w:b/>
        </w:rPr>
        <w:t xml:space="preserve">at the end of </w:t>
      </w:r>
      <w:r>
        <w:rPr>
          <w:b/>
        </w:rPr>
        <w:t>October</w:t>
      </w:r>
      <w:r w:rsidRPr="00C15289">
        <w:rPr>
          <w:b/>
        </w:rPr>
        <w:t>, 2024 compared to the same time last year</w:t>
      </w:r>
    </w:p>
    <w:p w14:paraId="3923AAA7" w14:textId="77777777" w:rsidR="0063307A" w:rsidRPr="007D42A5" w:rsidRDefault="0063307A" w:rsidP="0063307A">
      <w:pPr>
        <w:spacing w:line="288" w:lineRule="auto"/>
        <w:jc w:val="center"/>
        <w:rPr>
          <w:lang w:val="pt-BR"/>
        </w:rPr>
      </w:pPr>
      <w:r>
        <w:rPr>
          <w:noProof/>
        </w:rPr>
        <w:drawing>
          <wp:inline distT="0" distB="0" distL="0" distR="0" wp14:anchorId="02E4B05F" wp14:editId="32930E69">
            <wp:extent cx="5762625" cy="1533525"/>
            <wp:effectExtent l="0" t="0" r="9525" b="9525"/>
            <wp:docPr id="6" name="Picture 6" descr="A comparison of animal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mparison of animals with 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1533525"/>
                    </a:xfrm>
                    <a:prstGeom prst="rect">
                      <a:avLst/>
                    </a:prstGeom>
                    <a:noFill/>
                    <a:ln>
                      <a:noFill/>
                    </a:ln>
                  </pic:spPr>
                </pic:pic>
              </a:graphicData>
            </a:graphic>
          </wp:inline>
        </w:drawing>
      </w:r>
    </w:p>
    <w:p w14:paraId="2856A249" w14:textId="77777777" w:rsidR="0063307A" w:rsidRDefault="0063307A" w:rsidP="0063307A">
      <w:pPr>
        <w:pStyle w:val="List3"/>
        <w:spacing w:before="40" w:beforeAutospacing="0" w:after="40" w:afterAutospacing="0" w:line="288" w:lineRule="auto"/>
        <w:ind w:firstLine="567"/>
        <w:jc w:val="both"/>
        <w:rPr>
          <w:rFonts w:eastAsiaTheme="minorEastAsia"/>
          <w:sz w:val="4"/>
          <w:szCs w:val="28"/>
          <w:lang w:val="pt-BR"/>
        </w:rPr>
      </w:pPr>
    </w:p>
    <w:p w14:paraId="1E9C874A" w14:textId="77777777" w:rsidR="0063307A" w:rsidRPr="007D42A5" w:rsidRDefault="0063307A" w:rsidP="0063307A">
      <w:pPr>
        <w:pStyle w:val="List3"/>
        <w:spacing w:before="40" w:beforeAutospacing="0" w:after="40" w:afterAutospacing="0" w:line="288" w:lineRule="auto"/>
        <w:ind w:firstLine="567"/>
        <w:jc w:val="both"/>
        <w:rPr>
          <w:rFonts w:eastAsiaTheme="minorEastAsia"/>
          <w:sz w:val="4"/>
          <w:szCs w:val="28"/>
          <w:lang w:val="pt-BR"/>
        </w:rPr>
      </w:pPr>
    </w:p>
    <w:p w14:paraId="75FEE145" w14:textId="77777777" w:rsidR="0063307A" w:rsidRDefault="0063307A" w:rsidP="0063307A">
      <w:pPr>
        <w:spacing w:after="120" w:line="264" w:lineRule="auto"/>
        <w:ind w:firstLine="720"/>
        <w:jc w:val="both"/>
        <w:rPr>
          <w:lang w:val="sv-SE"/>
        </w:rPr>
      </w:pPr>
      <w:r w:rsidRPr="00C15289">
        <w:rPr>
          <w:bCs/>
          <w:spacing w:val="-2"/>
        </w:rPr>
        <w:t xml:space="preserve">As of </w:t>
      </w:r>
      <w:r>
        <w:rPr>
          <w:bCs/>
          <w:spacing w:val="-2"/>
        </w:rPr>
        <w:t>October</w:t>
      </w:r>
      <w:r w:rsidRPr="00C15289">
        <w:rPr>
          <w:bCs/>
          <w:spacing w:val="-2"/>
        </w:rPr>
        <w:t xml:space="preserve"> 2</w:t>
      </w:r>
      <w:r>
        <w:rPr>
          <w:bCs/>
          <w:spacing w:val="-2"/>
        </w:rPr>
        <w:t>8</w:t>
      </w:r>
      <w:r w:rsidRPr="00C15289">
        <w:rPr>
          <w:bCs/>
          <w:spacing w:val="-2"/>
        </w:rPr>
        <w:t xml:space="preserve">, 2024, the whole country has no longer blue-ear disease; foot-and-mouth disease </w:t>
      </w:r>
      <w:r>
        <w:rPr>
          <w:bCs/>
          <w:spacing w:val="-2"/>
        </w:rPr>
        <w:t>was</w:t>
      </w:r>
      <w:r w:rsidRPr="00C15289">
        <w:rPr>
          <w:bCs/>
          <w:spacing w:val="-2"/>
        </w:rPr>
        <w:t xml:space="preserve"> still </w:t>
      </w:r>
      <w:r>
        <w:rPr>
          <w:bCs/>
          <w:spacing w:val="-2"/>
        </w:rPr>
        <w:t xml:space="preserve">in Bac Kan; </w:t>
      </w:r>
      <w:r w:rsidRPr="00C15289">
        <w:rPr>
          <w:bCs/>
          <w:spacing w:val="-2"/>
        </w:rPr>
        <w:t xml:space="preserve">avian flu disease </w:t>
      </w:r>
      <w:r>
        <w:rPr>
          <w:bCs/>
          <w:spacing w:val="-2"/>
        </w:rPr>
        <w:t>was</w:t>
      </w:r>
      <w:r w:rsidRPr="00C15289">
        <w:rPr>
          <w:bCs/>
          <w:spacing w:val="-2"/>
        </w:rPr>
        <w:t xml:space="preserve"> still in </w:t>
      </w:r>
      <w:r>
        <w:rPr>
          <w:bCs/>
          <w:spacing w:val="-2"/>
        </w:rPr>
        <w:t>Nghe An</w:t>
      </w:r>
      <w:r w:rsidRPr="00C15289">
        <w:rPr>
          <w:bCs/>
          <w:spacing w:val="-2"/>
        </w:rPr>
        <w:t xml:space="preserve">; LSD was still in </w:t>
      </w:r>
      <w:r>
        <w:rPr>
          <w:bCs/>
          <w:spacing w:val="-2"/>
        </w:rPr>
        <w:t>Cao Bang, Nghe An, Dak Lak</w:t>
      </w:r>
      <w:r w:rsidRPr="00C15289">
        <w:rPr>
          <w:bCs/>
          <w:spacing w:val="-2"/>
        </w:rPr>
        <w:t xml:space="preserve"> and African swine fever was reported in </w:t>
      </w:r>
      <w:r>
        <w:rPr>
          <w:bCs/>
          <w:spacing w:val="-2"/>
        </w:rPr>
        <w:t>28</w:t>
      </w:r>
      <w:r w:rsidRPr="00C15289">
        <w:rPr>
          <w:bCs/>
          <w:spacing w:val="-2"/>
        </w:rPr>
        <w:t xml:space="preserve"> localities for less than 21 days.</w:t>
      </w:r>
    </w:p>
    <w:p w14:paraId="4E150788" w14:textId="77777777" w:rsidR="0063307A" w:rsidRDefault="0063307A" w:rsidP="0063307A"/>
    <w:p w14:paraId="471B093C" w14:textId="77777777" w:rsidR="0063307A" w:rsidRPr="003D0EF6" w:rsidRDefault="0063307A" w:rsidP="0063307A">
      <w:pPr>
        <w:tabs>
          <w:tab w:val="left" w:pos="0"/>
        </w:tabs>
        <w:spacing w:after="40" w:line="288" w:lineRule="auto"/>
        <w:ind w:firstLine="567"/>
        <w:jc w:val="both"/>
        <w:rPr>
          <w:i/>
        </w:rPr>
      </w:pPr>
      <w:r w:rsidRPr="003D0EF6">
        <w:rPr>
          <w:i/>
        </w:rPr>
        <w:lastRenderedPageBreak/>
        <w:t>Logging activities continued to be boosted due to increased demand for raw wood. Aquaculture strived to maintain growth, raising pangasius and brackish water shrimp to meet domestic consumption and export in the last months of the year, while fishing decreased due to the impact of weather and storms.</w:t>
      </w:r>
    </w:p>
    <w:p w14:paraId="733E15F7" w14:textId="77777777" w:rsidR="0063307A" w:rsidRPr="005D222E" w:rsidRDefault="0063307A" w:rsidP="0063307A">
      <w:pPr>
        <w:tabs>
          <w:tab w:val="left" w:pos="0"/>
        </w:tabs>
        <w:spacing w:after="40" w:line="288" w:lineRule="auto"/>
        <w:ind w:firstLine="567"/>
        <w:jc w:val="both"/>
        <w:rPr>
          <w:b/>
          <w:i/>
        </w:rPr>
      </w:pPr>
      <w:r w:rsidRPr="005D222E">
        <w:rPr>
          <w:b/>
          <w:i/>
        </w:rPr>
        <w:t>b</w:t>
      </w:r>
      <w:r>
        <w:rPr>
          <w:b/>
          <w:i/>
        </w:rPr>
        <w:t>) Forestry</w:t>
      </w:r>
    </w:p>
    <w:p w14:paraId="2FDD9666" w14:textId="77777777" w:rsidR="0063307A" w:rsidRDefault="0063307A" w:rsidP="0063307A">
      <w:pPr>
        <w:shd w:val="clear" w:color="auto" w:fill="FFFFFF"/>
        <w:spacing w:after="40" w:line="288" w:lineRule="auto"/>
        <w:ind w:firstLine="567"/>
        <w:jc w:val="both"/>
      </w:pPr>
      <w:bookmarkStart w:id="0" w:name="_Hlk134107173"/>
      <w:r w:rsidRPr="00DE65F0">
        <w:t xml:space="preserve">The area of concentrated newly planted forests nationwide in </w:t>
      </w:r>
      <w:bookmarkStart w:id="1" w:name="_Hlk134107230"/>
      <w:bookmarkEnd w:id="0"/>
      <w:r>
        <w:t>October 2024 was</w:t>
      </w:r>
      <w:r w:rsidRPr="003D0EF6">
        <w:t xml:space="preserve"> estimated at 33.1 thousand hectares, up 6.2% over the same period last year. Some provinces have a high increase in newly planted forest area: Ca Mau increased by 121.2%; Quang Binh increased by 19.0%; Nghe An inc</w:t>
      </w:r>
      <w:r>
        <w:t>reased by 15.2%; Quang Nam 5.5%</w:t>
      </w:r>
      <w:r w:rsidRPr="008F1AF2">
        <w:t>. The number of scattere</w:t>
      </w:r>
      <w:r>
        <w:t>d forest trees planted reached 7.9 million trees, up 4.2</w:t>
      </w:r>
      <w:r w:rsidRPr="008F1AF2">
        <w:t>% over the same period last year. The output of exploited t</w:t>
      </w:r>
      <w:r>
        <w:t>imber in the month reached 2,420.8 thousand m</w:t>
      </w:r>
      <w:r w:rsidRPr="003B0281">
        <w:rPr>
          <w:vertAlign w:val="superscript"/>
        </w:rPr>
        <w:t>3</w:t>
      </w:r>
      <w:r>
        <w:t>, up 14.7</w:t>
      </w:r>
      <w:r w:rsidRPr="008F1AF2">
        <w:t xml:space="preserve">% </w:t>
      </w:r>
      <w:r>
        <w:t>d</w:t>
      </w:r>
      <w:r w:rsidRPr="003D0EF6">
        <w:t>ue to the increased demand for raw wood at processing factories and stable wood prices, people are actively exploiting forests that are at harvest age. Some localities have high increases in exploited wood output such as: Quang Tri increased by 29.5%; Bac Kan increased by 22.8%; Quang Binh increased by 17.6%; Nghe An increased by 15.0%. In addition, in some localities affected by storm No. 3, many areas of forest were broken and eroded and had to be fully exploited, so the exploited wood output increased sharply, such as Quang Ninh increased by 170.0%; Yen Bai increased by 78.7%; Lang Son increased</w:t>
      </w:r>
      <w:r>
        <w:t xml:space="preserve"> by 32.0%</w:t>
      </w:r>
      <w:r w:rsidRPr="008F1AF2">
        <w:t>.</w:t>
      </w:r>
    </w:p>
    <w:p w14:paraId="62DF8FA9" w14:textId="77777777" w:rsidR="0063307A" w:rsidRDefault="0063307A" w:rsidP="0063307A">
      <w:pPr>
        <w:shd w:val="clear" w:color="auto" w:fill="FFFFFF"/>
        <w:spacing w:after="40" w:line="288" w:lineRule="auto"/>
        <w:ind w:firstLine="567"/>
        <w:jc w:val="both"/>
      </w:pPr>
      <w:r w:rsidRPr="00616620">
        <w:rPr>
          <w:spacing w:val="4"/>
          <w:lang w:val="sv-SE"/>
        </w:rPr>
        <w:t>Generally,</w:t>
      </w:r>
      <w:r>
        <w:t>in 10 months of 2024,</w:t>
      </w:r>
      <w:r w:rsidRPr="00CF5381">
        <w:t xml:space="preserve"> </w:t>
      </w:r>
      <w:r w:rsidRPr="008F1AF2">
        <w:t>the area of ​​newly</w:t>
      </w:r>
      <w:r>
        <w:t xml:space="preserve"> planted concentrated forests was</w:t>
      </w:r>
      <w:r w:rsidRPr="008F1AF2">
        <w:t xml:space="preserve"> estimated at </w:t>
      </w:r>
      <w:r w:rsidRPr="003D0EF6">
        <w:t>233.0 thousand hectares, up 3.7% over the same period last year; the number of scattered forestry trees is estimated at 80.3 million trees, up 4.3%; the output of exploited wood reached 18,489.7 thousand m3, up 7.9%.</w:t>
      </w:r>
    </w:p>
    <w:p w14:paraId="3597209C" w14:textId="77777777" w:rsidR="0063307A" w:rsidRDefault="0063307A" w:rsidP="0063307A">
      <w:pPr>
        <w:shd w:val="clear" w:color="auto" w:fill="FFFFFF"/>
        <w:spacing w:after="40" w:line="288" w:lineRule="auto"/>
        <w:ind w:firstLine="567"/>
        <w:jc w:val="both"/>
        <w:rPr>
          <w:spacing w:val="4"/>
          <w:lang w:val="de-DE"/>
        </w:rPr>
      </w:pPr>
      <w:r w:rsidRPr="00DE65F0">
        <w:rPr>
          <w:lang w:val="de-DE"/>
        </w:rPr>
        <w:t>The damaged forest area</w:t>
      </w:r>
      <w:r w:rsidRPr="005D222E">
        <w:rPr>
          <w:rStyle w:val="FootnoteReference"/>
          <w:rFonts w:eastAsiaTheme="majorEastAsia"/>
        </w:rPr>
        <w:footnoteReference w:id="4"/>
      </w:r>
      <w:r w:rsidRPr="00DE65F0">
        <w:rPr>
          <w:lang w:val="de-DE"/>
        </w:rPr>
        <w:t xml:space="preserve"> </w:t>
      </w:r>
      <w:r w:rsidRPr="00DE65F0">
        <w:t>in</w:t>
      </w:r>
      <w:bookmarkEnd w:id="1"/>
      <w:r w:rsidRPr="003D0EF6">
        <w:t xml:space="preserve"> October, the area of ​​forest damaged was 43.1 hectares, down 37.4% over the same period last year. Of which, the area of ​​forest cut down and destroyed was 42.3 hectares, down 30.7%; the area of ​​forest burned was 0.8 hectares, down 89.5%. In the first ten months of 2024, the whole country had 1,506.3 hectares of damaged forest, down 9.4% over the same period last year. Of which, the area of ​​forest cut down and destroyed was 762.4 hectares, down 22.5%; the area of ​​forest burned was 743.9 hectares, up 9.5%.</w:t>
      </w:r>
    </w:p>
    <w:p w14:paraId="01CACED4" w14:textId="77777777" w:rsidR="0063307A" w:rsidRPr="00722356" w:rsidRDefault="0063307A" w:rsidP="0063307A">
      <w:pPr>
        <w:shd w:val="clear" w:color="auto" w:fill="FFFFFF"/>
        <w:spacing w:after="40" w:line="288" w:lineRule="auto"/>
        <w:ind w:firstLine="567"/>
        <w:jc w:val="both"/>
        <w:rPr>
          <w:b/>
          <w:bCs/>
          <w:i/>
          <w:iCs/>
          <w:lang w:val="de-DE"/>
        </w:rPr>
      </w:pPr>
      <w:r w:rsidRPr="00722356">
        <w:rPr>
          <w:b/>
          <w:bCs/>
          <w:i/>
          <w:iCs/>
          <w:lang w:val="de-DE"/>
        </w:rPr>
        <w:t xml:space="preserve">c) </w:t>
      </w:r>
      <w:r>
        <w:rPr>
          <w:b/>
          <w:bCs/>
          <w:i/>
          <w:iCs/>
          <w:lang w:val="de-DE"/>
        </w:rPr>
        <w:t>Fishery</w:t>
      </w:r>
    </w:p>
    <w:p w14:paraId="5C6D396F" w14:textId="77777777" w:rsidR="0063307A" w:rsidRDefault="0063307A" w:rsidP="0063307A">
      <w:pPr>
        <w:spacing w:before="40" w:after="40" w:line="288" w:lineRule="auto"/>
        <w:ind w:right="1" w:firstLine="567"/>
        <w:jc w:val="both"/>
        <w:rPr>
          <w:lang w:val="de-DE"/>
        </w:rPr>
      </w:pPr>
      <w:bookmarkStart w:id="2" w:name="_Hlk134107280"/>
      <w:r w:rsidRPr="00073FA5">
        <w:rPr>
          <w:bCs/>
          <w:spacing w:val="-2"/>
        </w:rPr>
        <w:t xml:space="preserve">Fishery output in </w:t>
      </w:r>
      <w:bookmarkStart w:id="3" w:name="_Hlk134107302"/>
      <w:bookmarkEnd w:id="2"/>
      <w:r>
        <w:t>October 2024 was</w:t>
      </w:r>
      <w:r w:rsidRPr="003D0EF6">
        <w:t xml:space="preserve"> estimated at 870.7 thousand tons, up 2.6% over the same period last year, including</w:t>
      </w:r>
      <w:r>
        <w:rPr>
          <w:lang w:val="de-DE"/>
        </w:rPr>
        <w:t xml:space="preserve">: Fish reached 561.0 thousand tons, </w:t>
      </w:r>
      <w:r>
        <w:rPr>
          <w:lang w:val="de-DE"/>
        </w:rPr>
        <w:lastRenderedPageBreak/>
        <w:t>up 2.4</w:t>
      </w:r>
      <w:r w:rsidRPr="00320C6F">
        <w:rPr>
          <w:lang w:val="de-DE"/>
        </w:rPr>
        <w:t xml:space="preserve">%; </w:t>
      </w:r>
      <w:bookmarkEnd w:id="3"/>
      <w:r w:rsidRPr="00ED4E1E">
        <w:rPr>
          <w:lang w:val="de-DE"/>
        </w:rPr>
        <w:t>shrimp estimated at 176.3 thousand tons, up 2.7%; other aquatic products estimated at 125.0 thousand tons, up 2.6%.</w:t>
      </w:r>
    </w:p>
    <w:p w14:paraId="65414DC9" w14:textId="77777777" w:rsidR="0063307A" w:rsidRDefault="0063307A" w:rsidP="0063307A">
      <w:pPr>
        <w:spacing w:before="40" w:after="40" w:line="288" w:lineRule="auto"/>
        <w:ind w:right="1" w:firstLine="567"/>
        <w:jc w:val="both"/>
        <w:rPr>
          <w:bCs/>
          <w:spacing w:val="-2"/>
        </w:rPr>
      </w:pPr>
      <w:r w:rsidRPr="00396F67">
        <w:rPr>
          <w:bCs/>
          <w:spacing w:val="-2"/>
        </w:rPr>
        <w:t xml:space="preserve">Aquaculture </w:t>
      </w:r>
      <w:r w:rsidRPr="00487239">
        <w:rPr>
          <w:bCs/>
          <w:spacing w:val="2"/>
          <w:lang w:val="pt-BR"/>
        </w:rPr>
        <w:t>production</w:t>
      </w:r>
      <w:r>
        <w:rPr>
          <w:bCs/>
          <w:spacing w:val="-2"/>
        </w:rPr>
        <w:t xml:space="preserve"> in October output was</w:t>
      </w:r>
      <w:r w:rsidRPr="002A3B5F">
        <w:rPr>
          <w:bCs/>
          <w:spacing w:val="-2"/>
        </w:rPr>
        <w:t xml:space="preserve"> estimated at 567.7 thousand tons, up 4.3% over the same period last year. Of which: Fish output reached 379.2 thousand tons, up 3.8%; shrimp output reached 130.9 thousand tons, up 8.6%.</w:t>
      </w:r>
    </w:p>
    <w:p w14:paraId="15520F88" w14:textId="77777777" w:rsidR="0063307A" w:rsidRDefault="0063307A" w:rsidP="0063307A">
      <w:pPr>
        <w:spacing w:before="40" w:after="40" w:line="288" w:lineRule="auto"/>
        <w:ind w:right="1" w:firstLine="567"/>
        <w:jc w:val="both"/>
        <w:rPr>
          <w:lang w:val="de-DE"/>
        </w:rPr>
      </w:pPr>
      <w:r w:rsidRPr="00396F67">
        <w:rPr>
          <w:lang w:val="de-DE"/>
        </w:rPr>
        <w:t xml:space="preserve">Pangasius </w:t>
      </w:r>
      <w:r w:rsidRPr="00487239">
        <w:rPr>
          <w:bCs/>
          <w:spacing w:val="2"/>
          <w:lang w:val="pt-BR"/>
        </w:rPr>
        <w:t>production</w:t>
      </w:r>
      <w:r w:rsidRPr="00396F67">
        <w:rPr>
          <w:lang w:val="de-DE"/>
        </w:rPr>
        <w:t xml:space="preserve"> in </w:t>
      </w:r>
      <w:r>
        <w:rPr>
          <w:bCs/>
          <w:spacing w:val="-2"/>
        </w:rPr>
        <w:t>O</w:t>
      </w:r>
      <w:r w:rsidRPr="002A3B5F">
        <w:rPr>
          <w:bCs/>
          <w:spacing w:val="-2"/>
        </w:rPr>
        <w:t>ctober is estimated at 180.7 thousand tons, up 5.4% over the same period last year due to increased pangasius exports in both volume and value, increased prices of raw pangasius</w:t>
      </w:r>
      <w:r>
        <w:rPr>
          <w:rStyle w:val="FootnoteReference"/>
          <w:rFonts w:eastAsiaTheme="majorEastAsia"/>
          <w:bCs/>
          <w:spacing w:val="-2"/>
        </w:rPr>
        <w:footnoteReference w:id="5"/>
      </w:r>
      <w:r w:rsidRPr="002A3B5F">
        <w:rPr>
          <w:bCs/>
          <w:spacing w:val="-2"/>
        </w:rPr>
        <w:t>, so farmers and businesses adjusted farming output accordingly to meet processing and export activities.</w:t>
      </w:r>
    </w:p>
    <w:p w14:paraId="082AA362" w14:textId="77777777" w:rsidR="0063307A" w:rsidRDefault="0063307A" w:rsidP="0063307A">
      <w:pPr>
        <w:spacing w:after="40" w:line="288" w:lineRule="auto"/>
        <w:ind w:firstLine="567"/>
        <w:jc w:val="both"/>
        <w:rPr>
          <w:bCs/>
          <w:spacing w:val="2"/>
          <w:lang w:val="pt-BR"/>
        </w:rPr>
      </w:pPr>
      <w:r w:rsidRPr="00487239">
        <w:rPr>
          <w:bCs/>
          <w:spacing w:val="2"/>
          <w:lang w:val="pt-BR"/>
        </w:rPr>
        <w:t xml:space="preserve">Shrimp production </w:t>
      </w:r>
      <w:r w:rsidRPr="000F22B6">
        <w:rPr>
          <w:bCs/>
          <w:spacing w:val="2"/>
          <w:lang w:val="pt-BR"/>
        </w:rPr>
        <w:t xml:space="preserve">in </w:t>
      </w:r>
      <w:r w:rsidRPr="002A3B5F">
        <w:rPr>
          <w:bCs/>
          <w:spacing w:val="-2"/>
        </w:rPr>
        <w:t>October increased compared to the same period last year due to the increase in prices of black tiger shrimp and whiteleg shrimp</w:t>
      </w:r>
      <w:r>
        <w:rPr>
          <w:rStyle w:val="FootnoteReference"/>
          <w:rFonts w:eastAsiaTheme="majorEastAsia"/>
          <w:bCs/>
          <w:spacing w:val="-2"/>
        </w:rPr>
        <w:footnoteReference w:id="6"/>
      </w:r>
      <w:r w:rsidRPr="002A3B5F">
        <w:rPr>
          <w:bCs/>
          <w:spacing w:val="-2"/>
        </w:rPr>
        <w:t>, so farmers have increased the ha</w:t>
      </w:r>
      <w:r>
        <w:rPr>
          <w:bCs/>
          <w:spacing w:val="-2"/>
        </w:rPr>
        <w:t>rvest. Whiteleg shrimp output was</w:t>
      </w:r>
      <w:r w:rsidRPr="002A3B5F">
        <w:rPr>
          <w:bCs/>
          <w:spacing w:val="-2"/>
        </w:rPr>
        <w:t xml:space="preserve"> estimated at 97.5 thousand tons, up 9.3% over the same period last year; black tiger </w:t>
      </w:r>
      <w:r>
        <w:rPr>
          <w:bCs/>
          <w:spacing w:val="-2"/>
        </w:rPr>
        <w:t>shrimp output was</w:t>
      </w:r>
      <w:r w:rsidRPr="002A3B5F">
        <w:rPr>
          <w:bCs/>
          <w:spacing w:val="-2"/>
        </w:rPr>
        <w:t xml:space="preserve"> estimated at 24.5 thousand tons, up 6.5%.</w:t>
      </w:r>
    </w:p>
    <w:p w14:paraId="66CAAB4F" w14:textId="77777777" w:rsidR="0063307A" w:rsidRDefault="0063307A" w:rsidP="0063307A">
      <w:pPr>
        <w:spacing w:after="40" w:line="288" w:lineRule="auto"/>
        <w:ind w:firstLine="567"/>
        <w:jc w:val="both"/>
        <w:rPr>
          <w:lang w:val="de-DE"/>
        </w:rPr>
      </w:pPr>
      <w:r>
        <w:rPr>
          <w:lang w:val="de-DE"/>
        </w:rPr>
        <w:t>T</w:t>
      </w:r>
      <w:r w:rsidRPr="00616620">
        <w:rPr>
          <w:lang w:val="de-DE"/>
        </w:rPr>
        <w:t xml:space="preserve">he caught fishery </w:t>
      </w:r>
      <w:r w:rsidRPr="00487239">
        <w:rPr>
          <w:bCs/>
          <w:spacing w:val="2"/>
          <w:lang w:val="pt-BR"/>
        </w:rPr>
        <w:t>production</w:t>
      </w:r>
      <w:r w:rsidRPr="00A87BEC">
        <w:rPr>
          <w:lang w:val="de-DE"/>
        </w:rPr>
        <w:t xml:space="preserve"> </w:t>
      </w:r>
      <w:r>
        <w:rPr>
          <w:lang w:val="de-DE"/>
        </w:rPr>
        <w:t>i</w:t>
      </w:r>
      <w:r w:rsidRPr="00777FE4">
        <w:rPr>
          <w:lang w:val="de-DE"/>
        </w:rPr>
        <w:t xml:space="preserve">n </w:t>
      </w:r>
      <w:r>
        <w:rPr>
          <w:lang w:val="de-DE"/>
        </w:rPr>
        <w:t>October was estimated at 303.0</w:t>
      </w:r>
      <w:r w:rsidRPr="00777FE4">
        <w:rPr>
          <w:lang w:val="de-DE"/>
        </w:rPr>
        <w:t xml:space="preserve"> </w:t>
      </w:r>
      <w:r w:rsidRPr="002A3B5F">
        <w:rPr>
          <w:bCs/>
          <w:spacing w:val="-2"/>
        </w:rPr>
        <w:t>thousand</w:t>
      </w:r>
      <w:r w:rsidRPr="00777FE4">
        <w:rPr>
          <w:lang w:val="de-DE"/>
        </w:rPr>
        <w:t xml:space="preserve"> tons, down 0.4% over the same period last year</w:t>
      </w:r>
      <w:r>
        <w:rPr>
          <w:rStyle w:val="FootnoteReference"/>
          <w:rFonts w:eastAsiaTheme="majorEastAsia"/>
          <w:lang w:val="de-DE"/>
        </w:rPr>
        <w:footnoteReference w:id="7"/>
      </w:r>
      <w:r w:rsidRPr="00777FE4">
        <w:rPr>
          <w:lang w:val="de-DE"/>
        </w:rPr>
        <w:t>,</w:t>
      </w:r>
      <w:r>
        <w:rPr>
          <w:lang w:val="de-DE"/>
        </w:rPr>
        <w:t xml:space="preserve"> including: Fish reached 230.8</w:t>
      </w:r>
      <w:r w:rsidRPr="00777FE4">
        <w:rPr>
          <w:lang w:val="de-DE"/>
        </w:rPr>
        <w:t xml:space="preserve"> </w:t>
      </w:r>
      <w:r w:rsidRPr="002A3B5F">
        <w:rPr>
          <w:bCs/>
          <w:spacing w:val="-2"/>
        </w:rPr>
        <w:t>thousand</w:t>
      </w:r>
      <w:r w:rsidRPr="00777FE4">
        <w:rPr>
          <w:lang w:val="de-DE"/>
        </w:rPr>
        <w:t xml:space="preserve"> tons, </w:t>
      </w:r>
      <w:r>
        <w:rPr>
          <w:lang w:val="de-DE"/>
        </w:rPr>
        <w:t>down 0.4%; shrimp reached 13.4</w:t>
      </w:r>
      <w:r w:rsidRPr="00777FE4">
        <w:rPr>
          <w:bCs/>
          <w:spacing w:val="-2"/>
        </w:rPr>
        <w:t xml:space="preserve"> </w:t>
      </w:r>
      <w:r w:rsidRPr="002A3B5F">
        <w:rPr>
          <w:bCs/>
          <w:spacing w:val="-2"/>
        </w:rPr>
        <w:t>thousand</w:t>
      </w:r>
      <w:r w:rsidRPr="00777FE4">
        <w:rPr>
          <w:lang w:val="de-DE"/>
        </w:rPr>
        <w:t xml:space="preserve"> tons, down 0.7%; other</w:t>
      </w:r>
      <w:r>
        <w:rPr>
          <w:lang w:val="de-DE"/>
        </w:rPr>
        <w:t xml:space="preserve"> aquatic products reached 58.8</w:t>
      </w:r>
      <w:r w:rsidRPr="00777FE4">
        <w:rPr>
          <w:lang w:val="de-DE"/>
        </w:rPr>
        <w:t xml:space="preserve"> </w:t>
      </w:r>
      <w:r w:rsidRPr="002A3B5F">
        <w:rPr>
          <w:bCs/>
          <w:spacing w:val="-2"/>
        </w:rPr>
        <w:t>thousand</w:t>
      </w:r>
      <w:r w:rsidRPr="00777FE4">
        <w:rPr>
          <w:lang w:val="de-DE"/>
        </w:rPr>
        <w:t xml:space="preserve"> tons, down 0.2%. The output of exploited marine aquatic p</w:t>
      </w:r>
      <w:r>
        <w:rPr>
          <w:lang w:val="de-DE"/>
        </w:rPr>
        <w:t>roducts was estimated at 282.3</w:t>
      </w:r>
      <w:r w:rsidRPr="00777FE4">
        <w:rPr>
          <w:lang w:val="de-DE"/>
        </w:rPr>
        <w:t xml:space="preserve"> </w:t>
      </w:r>
      <w:r w:rsidRPr="002A3B5F">
        <w:rPr>
          <w:bCs/>
          <w:spacing w:val="-2"/>
        </w:rPr>
        <w:t>thousand</w:t>
      </w:r>
      <w:r w:rsidRPr="00777FE4">
        <w:rPr>
          <w:lang w:val="de-DE"/>
        </w:rPr>
        <w:t xml:space="preserve"> tons, down 0.5% over the same period last year.</w:t>
      </w:r>
    </w:p>
    <w:p w14:paraId="081AE532" w14:textId="77777777" w:rsidR="0063307A" w:rsidRPr="00A00632" w:rsidRDefault="0063307A" w:rsidP="0063307A">
      <w:pPr>
        <w:spacing w:after="40" w:line="288" w:lineRule="auto"/>
        <w:ind w:firstLine="567"/>
        <w:jc w:val="center"/>
        <w:rPr>
          <w:rFonts w:ascii="Arial" w:hAnsi="Arial" w:cs="Arial"/>
          <w:b/>
          <w:bCs/>
          <w:sz w:val="24"/>
          <w:szCs w:val="24"/>
          <w:lang w:val="de-DE"/>
        </w:rPr>
      </w:pPr>
      <w:r w:rsidRPr="00A00632">
        <w:rPr>
          <w:rFonts w:ascii="Arial" w:hAnsi="Arial" w:cs="Arial"/>
          <w:b/>
          <w:bCs/>
          <w:sz w:val="24"/>
          <w:szCs w:val="24"/>
          <w:lang w:val="de-DE"/>
        </w:rPr>
        <w:t xml:space="preserve">Figure 3. Fishery production in </w:t>
      </w:r>
      <w:r>
        <w:rPr>
          <w:rFonts w:ascii="Arial" w:hAnsi="Arial" w:cs="Arial"/>
          <w:b/>
          <w:bCs/>
          <w:sz w:val="24"/>
          <w:szCs w:val="24"/>
          <w:lang w:val="de-DE"/>
        </w:rPr>
        <w:t>10 months</w:t>
      </w:r>
      <w:r w:rsidRPr="00A00632">
        <w:rPr>
          <w:rFonts w:ascii="Arial" w:hAnsi="Arial" w:cs="Arial"/>
          <w:b/>
          <w:bCs/>
          <w:sz w:val="24"/>
          <w:szCs w:val="24"/>
          <w:lang w:val="de-DE"/>
        </w:rPr>
        <w:t xml:space="preserve"> of 202</w:t>
      </w:r>
      <w:r>
        <w:rPr>
          <w:rFonts w:ascii="Arial" w:hAnsi="Arial" w:cs="Arial"/>
          <w:b/>
          <w:bCs/>
          <w:sz w:val="24"/>
          <w:szCs w:val="24"/>
          <w:lang w:val="de-DE"/>
        </w:rPr>
        <w:t>4</w:t>
      </w:r>
    </w:p>
    <w:p w14:paraId="0AD76D6F" w14:textId="77777777" w:rsidR="0063307A" w:rsidRPr="0073295B" w:rsidRDefault="0063307A" w:rsidP="0063307A">
      <w:pPr>
        <w:shd w:val="clear" w:color="auto" w:fill="FFFFFF"/>
        <w:tabs>
          <w:tab w:val="left" w:pos="9360"/>
        </w:tabs>
        <w:jc w:val="center"/>
        <w:rPr>
          <w:rFonts w:ascii="Arial" w:hAnsi="Arial" w:cs="Arial"/>
          <w:b/>
          <w:bCs/>
          <w:sz w:val="24"/>
          <w:szCs w:val="24"/>
          <w:lang w:val="de-DE"/>
        </w:rPr>
      </w:pPr>
      <w:r w:rsidRPr="00A00632">
        <w:rPr>
          <w:rFonts w:ascii="Arial" w:hAnsi="Arial" w:cs="Arial"/>
          <w:b/>
          <w:bCs/>
          <w:sz w:val="24"/>
          <w:szCs w:val="24"/>
          <w:lang w:val="de-DE"/>
        </w:rPr>
        <w:t>over the same period last year</w:t>
      </w:r>
    </w:p>
    <w:p w14:paraId="058DECA2" w14:textId="77777777" w:rsidR="0063307A" w:rsidRPr="007A7BDF" w:rsidRDefault="0063307A" w:rsidP="0063307A">
      <w:pPr>
        <w:spacing w:before="100" w:beforeAutospacing="1" w:after="100" w:afterAutospacing="1"/>
        <w:rPr>
          <w:sz w:val="24"/>
          <w:szCs w:val="24"/>
          <w:lang w:val="en-GB" w:eastAsia="en-GB"/>
        </w:rPr>
      </w:pPr>
      <w:r w:rsidRPr="007A7BDF">
        <w:rPr>
          <w:noProof/>
          <w:sz w:val="24"/>
          <w:szCs w:val="24"/>
          <w:lang w:val="en-GB" w:eastAsia="en-GB"/>
        </w:rPr>
        <w:drawing>
          <wp:inline distT="0" distB="0" distL="0" distR="0" wp14:anchorId="298B6601" wp14:editId="63D4F7B9">
            <wp:extent cx="5869172" cy="1893839"/>
            <wp:effectExtent l="0" t="0" r="0" b="0"/>
            <wp:docPr id="2" name="Picture 2" descr="D:\o D\vinhvanphong\Lâm nghiệp-Thủy sản\Năm 2024\Tháng 10\Thuy san _10t-2024-02 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D\vinhvanphong\Lâm nghiệp-Thủy sản\Năm 2024\Tháng 10\Thuy san _10t-2024-02 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9261" cy="1929362"/>
                    </a:xfrm>
                    <a:prstGeom prst="rect">
                      <a:avLst/>
                    </a:prstGeom>
                    <a:noFill/>
                    <a:ln>
                      <a:noFill/>
                    </a:ln>
                  </pic:spPr>
                </pic:pic>
              </a:graphicData>
            </a:graphic>
          </wp:inline>
        </w:drawing>
      </w:r>
    </w:p>
    <w:p w14:paraId="30BBA3E5" w14:textId="77777777" w:rsidR="0063307A" w:rsidRDefault="0063307A" w:rsidP="0063307A">
      <w:pPr>
        <w:spacing w:after="120" w:line="360" w:lineRule="atLeast"/>
        <w:ind w:right="1" w:firstLine="720"/>
        <w:jc w:val="both"/>
      </w:pPr>
      <w:bookmarkStart w:id="4" w:name="_Hlk134187656"/>
      <w:r w:rsidRPr="00616620">
        <w:rPr>
          <w:spacing w:val="4"/>
          <w:lang w:val="sv-SE"/>
        </w:rPr>
        <w:lastRenderedPageBreak/>
        <w:t xml:space="preserve">Generally, </w:t>
      </w:r>
      <w:r>
        <w:t>in 10 months of 2024</w:t>
      </w:r>
      <w:r w:rsidRPr="00616620">
        <w:t>,</w:t>
      </w:r>
      <w:r w:rsidRPr="00616620">
        <w:rPr>
          <w:bCs/>
          <w:spacing w:val="-2"/>
        </w:rPr>
        <w:t xml:space="preserve"> fishery output was estimated </w:t>
      </w:r>
      <w:bookmarkEnd w:id="4"/>
      <w:r w:rsidRPr="008F1196">
        <w:rPr>
          <w:bCs/>
          <w:spacing w:val="-2"/>
        </w:rPr>
        <w:t xml:space="preserve">at </w:t>
      </w:r>
      <w:r w:rsidRPr="00777FE4">
        <w:rPr>
          <w:bCs/>
          <w:spacing w:val="-2"/>
        </w:rPr>
        <w:t>7,889.8 thousand tons, up 2.5% over the same period last year. Including: Fish reached 5,528.3 thousand tons, up 2.3%; shrimp reached 1,226.0 thousand tons, up 4.6%; other aquatic products reached 1,135.5 thousand tons, up 1.0%.</w:t>
      </w:r>
    </w:p>
    <w:p w14:paraId="4C0C6A34" w14:textId="77777777" w:rsidR="0063307A" w:rsidRPr="00DE29D9" w:rsidRDefault="0063307A" w:rsidP="0063307A">
      <w:pPr>
        <w:spacing w:after="120" w:line="276" w:lineRule="auto"/>
        <w:ind w:firstLine="567"/>
        <w:jc w:val="both"/>
        <w:rPr>
          <w:b/>
          <w:bCs/>
          <w:lang w:val="pl-PL"/>
        </w:rPr>
      </w:pPr>
      <w:r w:rsidRPr="00DE29D9">
        <w:rPr>
          <w:b/>
          <w:bCs/>
          <w:lang w:val="pl-PL"/>
        </w:rPr>
        <w:t>2. Industrial production</w:t>
      </w:r>
    </w:p>
    <w:p w14:paraId="4E6DDB0F" w14:textId="77777777" w:rsidR="0063307A" w:rsidRPr="0063307A" w:rsidRDefault="0063307A" w:rsidP="0063307A">
      <w:pPr>
        <w:shd w:val="clear" w:color="auto" w:fill="FFFFFF"/>
        <w:spacing w:after="120" w:line="264" w:lineRule="auto"/>
        <w:ind w:firstLine="720"/>
        <w:jc w:val="both"/>
        <w:rPr>
          <w:i/>
          <w:lang w:val="pl-PL"/>
        </w:rPr>
      </w:pPr>
      <w:r w:rsidRPr="0063307A">
        <w:rPr>
          <w:i/>
          <w:lang w:val="sv-SE"/>
        </w:rPr>
        <w:t>Industrial production in October continued the positive trend, it is estimated that the industrial production index in October 2024 will increase by 4.0% compared to the previous month and increase by 7.0% over the same period last year. Generally, in the first ten months of 2024, the production index of the whole industry is estimated to increase by 8.3% over the same period last year</w:t>
      </w:r>
      <w:r w:rsidRPr="0063307A">
        <w:rPr>
          <w:rFonts w:eastAsia="Calibri"/>
          <w:i/>
          <w:vertAlign w:val="superscript"/>
          <w:lang w:val="sv-SE"/>
        </w:rPr>
        <w:footnoteReference w:id="8"/>
      </w:r>
      <w:r w:rsidRPr="0063307A">
        <w:rPr>
          <w:i/>
          <w:lang w:val="sv-SE"/>
        </w:rPr>
        <w:t>.</w:t>
      </w:r>
    </w:p>
    <w:p w14:paraId="6779A06B" w14:textId="77777777" w:rsidR="0063307A" w:rsidRPr="0063307A" w:rsidRDefault="0063307A" w:rsidP="0063307A">
      <w:pPr>
        <w:shd w:val="clear" w:color="auto" w:fill="FFFFFF"/>
        <w:tabs>
          <w:tab w:val="left" w:pos="8931"/>
        </w:tabs>
        <w:spacing w:after="120" w:line="264" w:lineRule="auto"/>
        <w:ind w:firstLine="720"/>
        <w:jc w:val="both"/>
        <w:rPr>
          <w:lang w:val="pl-PL"/>
        </w:rPr>
      </w:pPr>
      <w:r w:rsidRPr="0063307A">
        <w:rPr>
          <w:lang w:val="pl-PL"/>
        </w:rPr>
        <w:t xml:space="preserve">The index of industrial production (IIP) in October 2024 is estimated to increase by 4.0% compared to the previous month and increase by 7.0% over the same period last year. In which, compared to the same period last year, the manufacturing industry increased by 8.8%; the electricity production and distribution industry increased by 6.0%; water supply; sewerage, waste management and remediation activities increased by 6.9%; mining and quarying industry alone decreased by 10.4%.  </w:t>
      </w:r>
    </w:p>
    <w:p w14:paraId="400C1E22" w14:textId="77777777" w:rsidR="0063307A" w:rsidRPr="0063307A" w:rsidRDefault="0063307A" w:rsidP="0063307A">
      <w:pPr>
        <w:shd w:val="clear" w:color="auto" w:fill="FFFFFF"/>
        <w:tabs>
          <w:tab w:val="left" w:pos="8931"/>
        </w:tabs>
        <w:spacing w:after="120" w:line="264" w:lineRule="auto"/>
        <w:ind w:firstLine="720"/>
        <w:jc w:val="both"/>
        <w:rPr>
          <w:lang w:val="pl-PL"/>
        </w:rPr>
      </w:pPr>
      <w:r w:rsidRPr="0063307A">
        <w:rPr>
          <w:lang w:val="pl-PL"/>
        </w:rPr>
        <w:t>Generally, in the first ten months of 2024, IIP is estimated to increase by 8.3% over the same period last year (the same period in 2023 increased by 0.5%). In which, manufacturing industry increased by 9.6% (the same period in 2023 increased by 0.5%), contributing 8.3 percentage points to the overall increase; the electricity production and distribution industry increased by 10.3%, contributing 0.9 percentage points; water supply; sewerage, waste management and remediation activities increased by 9.5%, contributing 0.2 percentage points; mining and quarying industry alone decreased by 7.2%, reducing 1.1 percentage points in the overall increase.</w:t>
      </w:r>
    </w:p>
    <w:p w14:paraId="2BECE275" w14:textId="77777777" w:rsidR="0063307A" w:rsidRPr="0063307A" w:rsidRDefault="0063307A" w:rsidP="0063307A">
      <w:pPr>
        <w:shd w:val="clear" w:color="auto" w:fill="FFFFFF"/>
        <w:tabs>
          <w:tab w:val="left" w:pos="8931"/>
        </w:tabs>
        <w:spacing w:after="120" w:line="264" w:lineRule="auto"/>
        <w:ind w:firstLine="720"/>
        <w:jc w:val="both"/>
        <w:rPr>
          <w:lang w:val="pl-PL"/>
        </w:rPr>
      </w:pPr>
      <w:r w:rsidRPr="0063307A">
        <w:rPr>
          <w:i/>
          <w:lang w:val="pl-PL"/>
        </w:rPr>
        <w:t xml:space="preserve">The production index in the first ten months of 2024 of a number of key industries at level 2 </w:t>
      </w:r>
      <w:r w:rsidRPr="0063307A">
        <w:rPr>
          <w:iCs/>
          <w:lang w:val="pl-PL"/>
        </w:rPr>
        <w:t>increased significantly compared to the same period last year: Manufacture of rubber and plastics products increased by 26.3</w:t>
      </w:r>
      <w:r w:rsidRPr="0063307A">
        <w:rPr>
          <w:rFonts w:asciiTheme="minorHAnsi" w:eastAsiaTheme="minorHAnsi" w:hAnsiTheme="minorHAnsi" w:cstheme="minorBidi"/>
          <w:kern w:val="2"/>
          <w:sz w:val="24"/>
          <w:szCs w:val="24"/>
          <w14:ligatures w14:val="standardContextual"/>
        </w:rPr>
        <w:t xml:space="preserve">; </w:t>
      </w:r>
      <w:r w:rsidRPr="0063307A">
        <w:rPr>
          <w:iCs/>
          <w:lang w:val="pl-PL"/>
        </w:rPr>
        <w:t xml:space="preserve">manufacture of furniture increased by 24.8%; manufacture of coke and refined petroleum products increased by 16.0%; manufacture of chemicals and chemical products increased by 14.6%; manufacture of motor vehicles; trailers and semi-trailers increased by 14.0%; manufacture of textiles increased by 12.1%; manufacture of fabricated metal products, except machinery and equipment increased by 11.9%; manufacture of leather and related products increased by 11.4%; manufacture of computer, electronic and optical products increased by 8.8%; Manufacture of food </w:t>
      </w:r>
      <w:r w:rsidRPr="0063307A">
        <w:rPr>
          <w:iCs/>
          <w:lang w:val="pl-PL"/>
        </w:rPr>
        <w:lastRenderedPageBreak/>
        <w:t xml:space="preserve">products increased by 7.5%. </w:t>
      </w:r>
      <w:r w:rsidRPr="0063307A">
        <w:rPr>
          <w:lang w:val="pl-PL"/>
        </w:rPr>
        <w:t>In the opposite direction, the IIP index of some industries increased low or decreased: Manufacture of other transport equipment increased by 3.0%; manufacture of beverages increased by 0.9%; crude oil and natural gas extraction decreased by 11.8%; mining of coal and lignite decreased by 5.9%; Repair and installation of machinery and equipment decreased by 3.9%; manufacture of other non-metallic mineral products decreased by 0.4%.</w:t>
      </w:r>
    </w:p>
    <w:p w14:paraId="39B86FC1" w14:textId="77777777" w:rsidR="0063307A" w:rsidRPr="0063307A" w:rsidRDefault="0063307A" w:rsidP="0063307A">
      <w:pPr>
        <w:shd w:val="clear" w:color="auto" w:fill="FFFFFF"/>
        <w:tabs>
          <w:tab w:val="left" w:pos="8931"/>
        </w:tabs>
        <w:spacing w:line="288" w:lineRule="auto"/>
        <w:jc w:val="center"/>
        <w:rPr>
          <w:rFonts w:ascii="Arial" w:hAnsi="Arial" w:cs="Arial"/>
          <w:b/>
          <w:spacing w:val="-2"/>
          <w:sz w:val="2"/>
          <w:lang w:val="pl-PL"/>
        </w:rPr>
      </w:pPr>
    </w:p>
    <w:p w14:paraId="73A4235D" w14:textId="77777777" w:rsidR="0063307A" w:rsidRPr="0063307A" w:rsidRDefault="0063307A" w:rsidP="0063307A">
      <w:pPr>
        <w:shd w:val="clear" w:color="auto" w:fill="FFFFFF"/>
        <w:tabs>
          <w:tab w:val="left" w:pos="8931"/>
        </w:tabs>
        <w:spacing w:after="120" w:line="288" w:lineRule="auto"/>
        <w:jc w:val="center"/>
        <w:rPr>
          <w:rFonts w:ascii="Arial" w:hAnsi="Arial" w:cs="Arial"/>
          <w:b/>
          <w:spacing w:val="-2"/>
          <w:sz w:val="24"/>
          <w:lang w:val="pl-PL"/>
        </w:rPr>
      </w:pPr>
      <w:r w:rsidRPr="0063307A">
        <w:rPr>
          <w:rFonts w:ascii="Arial" w:hAnsi="Arial" w:cs="Arial"/>
          <w:b/>
          <w:spacing w:val="-2"/>
          <w:sz w:val="24"/>
          <w:lang w:val="pl-PL"/>
        </w:rPr>
        <w:t>Table 1. Rate of increase/decrease of IIP index in 10 months of 2020-2024</w:t>
      </w:r>
    </w:p>
    <w:p w14:paraId="7AEDA855" w14:textId="77777777" w:rsidR="0063307A" w:rsidRPr="0063307A" w:rsidRDefault="0063307A" w:rsidP="0063307A">
      <w:pPr>
        <w:shd w:val="clear" w:color="auto" w:fill="FFFFFF"/>
        <w:tabs>
          <w:tab w:val="left" w:pos="8931"/>
        </w:tabs>
        <w:spacing w:after="120" w:line="288" w:lineRule="auto"/>
        <w:jc w:val="center"/>
        <w:rPr>
          <w:rFonts w:ascii="Arial" w:hAnsi="Arial" w:cs="Arial"/>
          <w:b/>
          <w:spacing w:val="-2"/>
          <w:sz w:val="24"/>
          <w:lang w:val="pl-PL"/>
        </w:rPr>
      </w:pPr>
      <w:r w:rsidRPr="0063307A">
        <w:rPr>
          <w:rFonts w:ascii="Arial" w:hAnsi="Arial" w:cs="Arial"/>
          <w:b/>
          <w:spacing w:val="-2"/>
          <w:sz w:val="24"/>
          <w:lang w:val="pl-PL"/>
        </w:rPr>
        <w:t>compared to the same period last year of some key industries</w:t>
      </w:r>
    </w:p>
    <w:p w14:paraId="0A5FC755" w14:textId="77777777" w:rsidR="0063307A" w:rsidRPr="0063307A" w:rsidRDefault="0063307A" w:rsidP="0063307A">
      <w:pPr>
        <w:shd w:val="clear" w:color="auto" w:fill="FFFFFF"/>
        <w:spacing w:line="288" w:lineRule="auto"/>
        <w:jc w:val="right"/>
        <w:rPr>
          <w:b/>
          <w:bCs/>
          <w:i/>
          <w:iCs/>
          <w:sz w:val="4"/>
          <w:lang w:val="pl-PL"/>
        </w:rPr>
      </w:pPr>
      <w:r w:rsidRPr="0063307A">
        <w:rPr>
          <w:rFonts w:ascii="Arial" w:hAnsi="Arial" w:cs="Arial"/>
          <w:b/>
          <w:bCs/>
          <w:i/>
          <w:iCs/>
          <w:spacing w:val="-2"/>
          <w:sz w:val="20"/>
          <w:szCs w:val="20"/>
          <w:lang w:val="pl-PL"/>
        </w:rPr>
        <w:t>%</w:t>
      </w:r>
    </w:p>
    <w:tbl>
      <w:tblPr>
        <w:tblW w:w="9108" w:type="dxa"/>
        <w:jc w:val="center"/>
        <w:tblBorders>
          <w:top w:val="single" w:sz="4" w:space="0" w:color="auto"/>
        </w:tblBorders>
        <w:tblLook w:val="04A0" w:firstRow="1" w:lastRow="0" w:firstColumn="1" w:lastColumn="0" w:noHBand="0" w:noVBand="1"/>
      </w:tblPr>
      <w:tblGrid>
        <w:gridCol w:w="4788"/>
        <w:gridCol w:w="864"/>
        <w:gridCol w:w="864"/>
        <w:gridCol w:w="864"/>
        <w:gridCol w:w="864"/>
        <w:gridCol w:w="864"/>
      </w:tblGrid>
      <w:tr w:rsidR="0063307A" w:rsidRPr="0063307A" w14:paraId="7007D6F9" w14:textId="77777777" w:rsidTr="00B73CE3">
        <w:trPr>
          <w:trHeight w:val="516"/>
          <w:tblHeader/>
          <w:jc w:val="center"/>
        </w:trPr>
        <w:tc>
          <w:tcPr>
            <w:tcW w:w="4788" w:type="dxa"/>
            <w:shd w:val="clear" w:color="auto" w:fill="auto"/>
            <w:noWrap/>
            <w:vAlign w:val="bottom"/>
            <w:hideMark/>
          </w:tcPr>
          <w:p w14:paraId="176EC480" w14:textId="77777777" w:rsidR="0063307A" w:rsidRPr="0063307A" w:rsidRDefault="0063307A" w:rsidP="0063307A">
            <w:pPr>
              <w:rPr>
                <w:rFonts w:ascii="Arial" w:hAnsi="Arial" w:cs="Arial"/>
                <w:sz w:val="20"/>
                <w:szCs w:val="20"/>
              </w:rPr>
            </w:pPr>
          </w:p>
        </w:tc>
        <w:tc>
          <w:tcPr>
            <w:tcW w:w="864" w:type="dxa"/>
            <w:tcBorders>
              <w:top w:val="single" w:sz="4" w:space="0" w:color="auto"/>
              <w:bottom w:val="single" w:sz="4" w:space="0" w:color="auto"/>
            </w:tcBorders>
            <w:shd w:val="clear" w:color="auto" w:fill="auto"/>
            <w:noWrap/>
            <w:vAlign w:val="center"/>
            <w:hideMark/>
          </w:tcPr>
          <w:p w14:paraId="0F7513F5"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2020</w:t>
            </w:r>
          </w:p>
        </w:tc>
        <w:tc>
          <w:tcPr>
            <w:tcW w:w="864" w:type="dxa"/>
            <w:tcBorders>
              <w:top w:val="single" w:sz="4" w:space="0" w:color="auto"/>
              <w:bottom w:val="single" w:sz="4" w:space="0" w:color="auto"/>
            </w:tcBorders>
            <w:shd w:val="clear" w:color="auto" w:fill="auto"/>
            <w:noWrap/>
            <w:vAlign w:val="center"/>
            <w:hideMark/>
          </w:tcPr>
          <w:p w14:paraId="198B4CFD"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2021</w:t>
            </w:r>
          </w:p>
        </w:tc>
        <w:tc>
          <w:tcPr>
            <w:tcW w:w="864" w:type="dxa"/>
            <w:tcBorders>
              <w:top w:val="single" w:sz="4" w:space="0" w:color="auto"/>
              <w:bottom w:val="single" w:sz="4" w:space="0" w:color="auto"/>
            </w:tcBorders>
            <w:shd w:val="clear" w:color="auto" w:fill="auto"/>
            <w:noWrap/>
            <w:vAlign w:val="center"/>
            <w:hideMark/>
          </w:tcPr>
          <w:p w14:paraId="1015351E"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2022</w:t>
            </w:r>
          </w:p>
        </w:tc>
        <w:tc>
          <w:tcPr>
            <w:tcW w:w="864" w:type="dxa"/>
            <w:tcBorders>
              <w:top w:val="single" w:sz="4" w:space="0" w:color="auto"/>
              <w:bottom w:val="single" w:sz="4" w:space="0" w:color="auto"/>
            </w:tcBorders>
            <w:shd w:val="clear" w:color="auto" w:fill="auto"/>
            <w:noWrap/>
            <w:vAlign w:val="center"/>
            <w:hideMark/>
          </w:tcPr>
          <w:p w14:paraId="18A38403"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2023</w:t>
            </w:r>
          </w:p>
        </w:tc>
        <w:tc>
          <w:tcPr>
            <w:tcW w:w="864" w:type="dxa"/>
            <w:tcBorders>
              <w:top w:val="single" w:sz="4" w:space="0" w:color="auto"/>
              <w:bottom w:val="single" w:sz="4" w:space="0" w:color="auto"/>
            </w:tcBorders>
            <w:shd w:val="clear" w:color="auto" w:fill="auto"/>
            <w:noWrap/>
            <w:vAlign w:val="center"/>
            <w:hideMark/>
          </w:tcPr>
          <w:p w14:paraId="540C1ED6"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2024</w:t>
            </w:r>
          </w:p>
        </w:tc>
      </w:tr>
      <w:tr w:rsidR="0063307A" w:rsidRPr="0063307A" w14:paraId="4F9A3938" w14:textId="77777777" w:rsidTr="00B73CE3">
        <w:trPr>
          <w:trHeight w:val="355"/>
          <w:jc w:val="center"/>
        </w:trPr>
        <w:tc>
          <w:tcPr>
            <w:tcW w:w="4788" w:type="dxa"/>
            <w:shd w:val="clear" w:color="auto" w:fill="auto"/>
            <w:noWrap/>
            <w:vAlign w:val="center"/>
            <w:hideMark/>
          </w:tcPr>
          <w:p w14:paraId="77CF097C" w14:textId="77777777" w:rsidR="0063307A" w:rsidRPr="0063307A" w:rsidRDefault="0063307A" w:rsidP="0063307A">
            <w:pPr>
              <w:rPr>
                <w:rFonts w:ascii="Arial" w:hAnsi="Arial" w:cs="Arial"/>
                <w:sz w:val="20"/>
                <w:szCs w:val="20"/>
              </w:rPr>
            </w:pPr>
            <w:r w:rsidRPr="0063307A">
              <w:rPr>
                <w:rFonts w:ascii="Arial" w:hAnsi="Arial" w:cs="Arial"/>
                <w:sz w:val="20"/>
                <w:szCs w:val="20"/>
              </w:rPr>
              <w:t>Mining of coal and lignite</w:t>
            </w:r>
          </w:p>
        </w:tc>
        <w:tc>
          <w:tcPr>
            <w:tcW w:w="864" w:type="dxa"/>
            <w:tcBorders>
              <w:top w:val="single" w:sz="4" w:space="0" w:color="auto"/>
            </w:tcBorders>
            <w:shd w:val="clear" w:color="auto" w:fill="auto"/>
            <w:noWrap/>
            <w:vAlign w:val="center"/>
            <w:hideMark/>
          </w:tcPr>
          <w:p w14:paraId="5CABE423"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7.1</w:t>
            </w:r>
          </w:p>
        </w:tc>
        <w:tc>
          <w:tcPr>
            <w:tcW w:w="864" w:type="dxa"/>
            <w:tcBorders>
              <w:top w:val="single" w:sz="4" w:space="0" w:color="auto"/>
            </w:tcBorders>
            <w:shd w:val="clear" w:color="auto" w:fill="auto"/>
            <w:noWrap/>
            <w:vAlign w:val="center"/>
            <w:hideMark/>
          </w:tcPr>
          <w:p w14:paraId="495C09ED"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5.1</w:t>
            </w:r>
          </w:p>
        </w:tc>
        <w:tc>
          <w:tcPr>
            <w:tcW w:w="864" w:type="dxa"/>
            <w:tcBorders>
              <w:top w:val="single" w:sz="4" w:space="0" w:color="auto"/>
            </w:tcBorders>
            <w:shd w:val="clear" w:color="auto" w:fill="auto"/>
            <w:noWrap/>
            <w:vAlign w:val="center"/>
            <w:hideMark/>
          </w:tcPr>
          <w:p w14:paraId="6AF5A28F"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7.0</w:t>
            </w:r>
          </w:p>
        </w:tc>
        <w:tc>
          <w:tcPr>
            <w:tcW w:w="864" w:type="dxa"/>
            <w:tcBorders>
              <w:top w:val="single" w:sz="4" w:space="0" w:color="auto"/>
            </w:tcBorders>
            <w:shd w:val="clear" w:color="auto" w:fill="auto"/>
            <w:noWrap/>
            <w:vAlign w:val="center"/>
            <w:hideMark/>
          </w:tcPr>
          <w:p w14:paraId="6C6A4381"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-0.6</w:t>
            </w:r>
          </w:p>
        </w:tc>
        <w:tc>
          <w:tcPr>
            <w:tcW w:w="864" w:type="dxa"/>
            <w:tcBorders>
              <w:top w:val="single" w:sz="4" w:space="0" w:color="auto"/>
            </w:tcBorders>
            <w:shd w:val="clear" w:color="auto" w:fill="auto"/>
            <w:noWrap/>
            <w:vAlign w:val="center"/>
            <w:hideMark/>
          </w:tcPr>
          <w:p w14:paraId="43AC99EF"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-5.9</w:t>
            </w:r>
          </w:p>
        </w:tc>
      </w:tr>
      <w:tr w:rsidR="0063307A" w:rsidRPr="0063307A" w14:paraId="59916572" w14:textId="77777777" w:rsidTr="00B73CE3">
        <w:trPr>
          <w:trHeight w:val="355"/>
          <w:jc w:val="center"/>
        </w:trPr>
        <w:tc>
          <w:tcPr>
            <w:tcW w:w="4788" w:type="dxa"/>
            <w:shd w:val="clear" w:color="auto" w:fill="auto"/>
            <w:noWrap/>
            <w:vAlign w:val="center"/>
            <w:hideMark/>
          </w:tcPr>
          <w:p w14:paraId="6A91F98D" w14:textId="77777777" w:rsidR="0063307A" w:rsidRPr="0063307A" w:rsidRDefault="0063307A" w:rsidP="0063307A">
            <w:pPr>
              <w:rPr>
                <w:rFonts w:ascii="Arial" w:hAnsi="Arial" w:cs="Arial"/>
                <w:sz w:val="20"/>
                <w:szCs w:val="20"/>
              </w:rPr>
            </w:pPr>
            <w:r w:rsidRPr="0063307A">
              <w:rPr>
                <w:rFonts w:ascii="Arial" w:hAnsi="Arial" w:cs="Arial"/>
                <w:sz w:val="20"/>
                <w:szCs w:val="20"/>
              </w:rPr>
              <w:t>Crude oil and natural gas extraction</w:t>
            </w:r>
          </w:p>
        </w:tc>
        <w:tc>
          <w:tcPr>
            <w:tcW w:w="864" w:type="dxa"/>
            <w:shd w:val="clear" w:color="auto" w:fill="auto"/>
            <w:noWrap/>
            <w:vAlign w:val="center"/>
            <w:hideMark/>
          </w:tcPr>
          <w:p w14:paraId="7D1F78C0"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-11.7</w:t>
            </w:r>
          </w:p>
        </w:tc>
        <w:tc>
          <w:tcPr>
            <w:tcW w:w="864" w:type="dxa"/>
            <w:shd w:val="clear" w:color="auto" w:fill="auto"/>
            <w:noWrap/>
            <w:vAlign w:val="center"/>
            <w:hideMark/>
          </w:tcPr>
          <w:p w14:paraId="3B68587C"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-13.4</w:t>
            </w:r>
          </w:p>
        </w:tc>
        <w:tc>
          <w:tcPr>
            <w:tcW w:w="864" w:type="dxa"/>
            <w:shd w:val="clear" w:color="auto" w:fill="auto"/>
            <w:noWrap/>
            <w:vAlign w:val="center"/>
            <w:hideMark/>
          </w:tcPr>
          <w:p w14:paraId="2D1754E8"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2.4</w:t>
            </w:r>
          </w:p>
        </w:tc>
        <w:tc>
          <w:tcPr>
            <w:tcW w:w="864" w:type="dxa"/>
            <w:shd w:val="clear" w:color="auto" w:fill="auto"/>
            <w:noWrap/>
            <w:vAlign w:val="center"/>
            <w:hideMark/>
          </w:tcPr>
          <w:p w14:paraId="7321032C"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-3.6</w:t>
            </w:r>
          </w:p>
        </w:tc>
        <w:tc>
          <w:tcPr>
            <w:tcW w:w="864" w:type="dxa"/>
            <w:shd w:val="clear" w:color="auto" w:fill="auto"/>
            <w:noWrap/>
            <w:vAlign w:val="center"/>
            <w:hideMark/>
          </w:tcPr>
          <w:p w14:paraId="5483A658"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-11.8</w:t>
            </w:r>
          </w:p>
        </w:tc>
      </w:tr>
      <w:tr w:rsidR="0063307A" w:rsidRPr="0063307A" w14:paraId="7F32D2CB" w14:textId="77777777" w:rsidTr="00B73CE3">
        <w:trPr>
          <w:trHeight w:val="355"/>
          <w:jc w:val="center"/>
        </w:trPr>
        <w:tc>
          <w:tcPr>
            <w:tcW w:w="4788" w:type="dxa"/>
            <w:shd w:val="clear" w:color="auto" w:fill="auto"/>
            <w:noWrap/>
            <w:vAlign w:val="center"/>
            <w:hideMark/>
          </w:tcPr>
          <w:p w14:paraId="39ED9A56"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beverages</w:t>
            </w:r>
          </w:p>
        </w:tc>
        <w:tc>
          <w:tcPr>
            <w:tcW w:w="864" w:type="dxa"/>
            <w:shd w:val="clear" w:color="auto" w:fill="auto"/>
            <w:noWrap/>
            <w:vAlign w:val="center"/>
            <w:hideMark/>
          </w:tcPr>
          <w:p w14:paraId="6B469980"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-5.9</w:t>
            </w:r>
          </w:p>
        </w:tc>
        <w:tc>
          <w:tcPr>
            <w:tcW w:w="864" w:type="dxa"/>
            <w:shd w:val="clear" w:color="auto" w:fill="auto"/>
            <w:noWrap/>
            <w:vAlign w:val="center"/>
            <w:hideMark/>
          </w:tcPr>
          <w:p w14:paraId="0E7BAF8D"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-4.3</w:t>
            </w:r>
          </w:p>
        </w:tc>
        <w:tc>
          <w:tcPr>
            <w:tcW w:w="864" w:type="dxa"/>
            <w:shd w:val="clear" w:color="auto" w:fill="auto"/>
            <w:noWrap/>
            <w:vAlign w:val="center"/>
            <w:hideMark/>
          </w:tcPr>
          <w:p w14:paraId="3A0A6500"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32.5</w:t>
            </w:r>
          </w:p>
        </w:tc>
        <w:tc>
          <w:tcPr>
            <w:tcW w:w="864" w:type="dxa"/>
            <w:shd w:val="clear" w:color="auto" w:fill="auto"/>
            <w:noWrap/>
            <w:vAlign w:val="center"/>
            <w:hideMark/>
          </w:tcPr>
          <w:p w14:paraId="3BD1945B"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3.3</w:t>
            </w:r>
          </w:p>
        </w:tc>
        <w:tc>
          <w:tcPr>
            <w:tcW w:w="864" w:type="dxa"/>
            <w:shd w:val="clear" w:color="auto" w:fill="auto"/>
            <w:noWrap/>
            <w:vAlign w:val="center"/>
            <w:hideMark/>
          </w:tcPr>
          <w:p w14:paraId="72353B5A"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0.9</w:t>
            </w:r>
          </w:p>
        </w:tc>
      </w:tr>
      <w:tr w:rsidR="0063307A" w:rsidRPr="0063307A" w14:paraId="608D0283" w14:textId="77777777" w:rsidTr="00B73CE3">
        <w:trPr>
          <w:trHeight w:val="355"/>
          <w:jc w:val="center"/>
        </w:trPr>
        <w:tc>
          <w:tcPr>
            <w:tcW w:w="4788" w:type="dxa"/>
            <w:shd w:val="clear" w:color="auto" w:fill="auto"/>
            <w:noWrap/>
            <w:vAlign w:val="center"/>
            <w:hideMark/>
          </w:tcPr>
          <w:p w14:paraId="5BCDB38D"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textiles</w:t>
            </w:r>
          </w:p>
        </w:tc>
        <w:tc>
          <w:tcPr>
            <w:tcW w:w="864" w:type="dxa"/>
            <w:shd w:val="clear" w:color="auto" w:fill="auto"/>
            <w:noWrap/>
            <w:vAlign w:val="center"/>
            <w:hideMark/>
          </w:tcPr>
          <w:p w14:paraId="7D6E0129"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-0.6</w:t>
            </w:r>
          </w:p>
        </w:tc>
        <w:tc>
          <w:tcPr>
            <w:tcW w:w="864" w:type="dxa"/>
            <w:shd w:val="clear" w:color="auto" w:fill="auto"/>
            <w:noWrap/>
            <w:vAlign w:val="center"/>
            <w:hideMark/>
          </w:tcPr>
          <w:p w14:paraId="002F730A"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8.0</w:t>
            </w:r>
          </w:p>
        </w:tc>
        <w:tc>
          <w:tcPr>
            <w:tcW w:w="864" w:type="dxa"/>
            <w:shd w:val="clear" w:color="auto" w:fill="auto"/>
            <w:noWrap/>
            <w:vAlign w:val="center"/>
            <w:hideMark/>
          </w:tcPr>
          <w:p w14:paraId="375D04E6"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4.0</w:t>
            </w:r>
          </w:p>
        </w:tc>
        <w:tc>
          <w:tcPr>
            <w:tcW w:w="864" w:type="dxa"/>
            <w:shd w:val="clear" w:color="auto" w:fill="auto"/>
            <w:noWrap/>
            <w:vAlign w:val="center"/>
            <w:hideMark/>
          </w:tcPr>
          <w:p w14:paraId="0691C33A"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4.7</w:t>
            </w:r>
          </w:p>
        </w:tc>
        <w:tc>
          <w:tcPr>
            <w:tcW w:w="864" w:type="dxa"/>
            <w:shd w:val="clear" w:color="auto" w:fill="auto"/>
            <w:noWrap/>
            <w:vAlign w:val="center"/>
            <w:hideMark/>
          </w:tcPr>
          <w:p w14:paraId="20FB3781"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12.1</w:t>
            </w:r>
          </w:p>
        </w:tc>
      </w:tr>
      <w:tr w:rsidR="0063307A" w:rsidRPr="0063307A" w14:paraId="2A5CDE64" w14:textId="77777777" w:rsidTr="00B73CE3">
        <w:trPr>
          <w:trHeight w:val="522"/>
          <w:jc w:val="center"/>
        </w:trPr>
        <w:tc>
          <w:tcPr>
            <w:tcW w:w="4788" w:type="dxa"/>
            <w:shd w:val="clear" w:color="auto" w:fill="auto"/>
            <w:vAlign w:val="center"/>
            <w:hideMark/>
          </w:tcPr>
          <w:p w14:paraId="1CA653B4"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leather and related products</w:t>
            </w:r>
          </w:p>
        </w:tc>
        <w:tc>
          <w:tcPr>
            <w:tcW w:w="864" w:type="dxa"/>
            <w:shd w:val="clear" w:color="auto" w:fill="auto"/>
            <w:noWrap/>
            <w:vAlign w:val="center"/>
            <w:hideMark/>
          </w:tcPr>
          <w:p w14:paraId="33E5DA63"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-2.8</w:t>
            </w:r>
          </w:p>
        </w:tc>
        <w:tc>
          <w:tcPr>
            <w:tcW w:w="864" w:type="dxa"/>
            <w:shd w:val="clear" w:color="auto" w:fill="auto"/>
            <w:noWrap/>
            <w:vAlign w:val="center"/>
            <w:hideMark/>
          </w:tcPr>
          <w:p w14:paraId="13F7D212"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4.1</w:t>
            </w:r>
          </w:p>
        </w:tc>
        <w:tc>
          <w:tcPr>
            <w:tcW w:w="864" w:type="dxa"/>
            <w:shd w:val="clear" w:color="auto" w:fill="auto"/>
            <w:noWrap/>
            <w:vAlign w:val="center"/>
            <w:hideMark/>
          </w:tcPr>
          <w:p w14:paraId="2542C8AB"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17.5</w:t>
            </w:r>
          </w:p>
        </w:tc>
        <w:tc>
          <w:tcPr>
            <w:tcW w:w="864" w:type="dxa"/>
            <w:shd w:val="clear" w:color="auto" w:fill="auto"/>
            <w:noWrap/>
            <w:vAlign w:val="center"/>
            <w:hideMark/>
          </w:tcPr>
          <w:p w14:paraId="0E191095"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-1.2</w:t>
            </w:r>
          </w:p>
        </w:tc>
        <w:tc>
          <w:tcPr>
            <w:tcW w:w="864" w:type="dxa"/>
            <w:shd w:val="clear" w:color="auto" w:fill="auto"/>
            <w:noWrap/>
            <w:vAlign w:val="center"/>
            <w:hideMark/>
          </w:tcPr>
          <w:p w14:paraId="729DCA0A"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11.4</w:t>
            </w:r>
          </w:p>
        </w:tc>
      </w:tr>
      <w:tr w:rsidR="0063307A" w:rsidRPr="0063307A" w14:paraId="2C836BA7" w14:textId="77777777" w:rsidTr="00B73CE3">
        <w:trPr>
          <w:trHeight w:val="415"/>
          <w:jc w:val="center"/>
        </w:trPr>
        <w:tc>
          <w:tcPr>
            <w:tcW w:w="4788" w:type="dxa"/>
            <w:shd w:val="clear" w:color="auto" w:fill="auto"/>
            <w:vAlign w:val="center"/>
            <w:hideMark/>
          </w:tcPr>
          <w:p w14:paraId="47CC6670"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coke and refined petroleum products</w:t>
            </w:r>
          </w:p>
        </w:tc>
        <w:tc>
          <w:tcPr>
            <w:tcW w:w="864" w:type="dxa"/>
            <w:shd w:val="clear" w:color="auto" w:fill="auto"/>
            <w:noWrap/>
            <w:vAlign w:val="center"/>
            <w:hideMark/>
          </w:tcPr>
          <w:p w14:paraId="0782B4CD"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4.9</w:t>
            </w:r>
          </w:p>
        </w:tc>
        <w:tc>
          <w:tcPr>
            <w:tcW w:w="864" w:type="dxa"/>
            <w:shd w:val="clear" w:color="auto" w:fill="auto"/>
            <w:noWrap/>
            <w:vAlign w:val="center"/>
            <w:hideMark/>
          </w:tcPr>
          <w:p w14:paraId="3C5ED558"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8.8</w:t>
            </w:r>
          </w:p>
        </w:tc>
        <w:tc>
          <w:tcPr>
            <w:tcW w:w="864" w:type="dxa"/>
            <w:shd w:val="clear" w:color="auto" w:fill="auto"/>
            <w:noWrap/>
            <w:vAlign w:val="center"/>
            <w:hideMark/>
          </w:tcPr>
          <w:p w14:paraId="1D2B65A4"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7.0</w:t>
            </w:r>
          </w:p>
        </w:tc>
        <w:tc>
          <w:tcPr>
            <w:tcW w:w="864" w:type="dxa"/>
            <w:shd w:val="clear" w:color="auto" w:fill="auto"/>
            <w:noWrap/>
            <w:vAlign w:val="center"/>
            <w:hideMark/>
          </w:tcPr>
          <w:p w14:paraId="24E701CC"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1.1</w:t>
            </w:r>
          </w:p>
        </w:tc>
        <w:tc>
          <w:tcPr>
            <w:tcW w:w="864" w:type="dxa"/>
            <w:shd w:val="clear" w:color="auto" w:fill="auto"/>
            <w:noWrap/>
            <w:vAlign w:val="center"/>
            <w:hideMark/>
          </w:tcPr>
          <w:p w14:paraId="4D3CB1F2"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16.0</w:t>
            </w:r>
          </w:p>
        </w:tc>
      </w:tr>
      <w:tr w:rsidR="0063307A" w:rsidRPr="0063307A" w14:paraId="5CEB590E" w14:textId="77777777" w:rsidTr="00B73CE3">
        <w:trPr>
          <w:trHeight w:val="441"/>
          <w:jc w:val="center"/>
        </w:trPr>
        <w:tc>
          <w:tcPr>
            <w:tcW w:w="4788" w:type="dxa"/>
            <w:shd w:val="clear" w:color="auto" w:fill="auto"/>
            <w:noWrap/>
            <w:vAlign w:val="center"/>
            <w:hideMark/>
          </w:tcPr>
          <w:p w14:paraId="48C5BE3C"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chemicals and chemical products</w:t>
            </w:r>
          </w:p>
        </w:tc>
        <w:tc>
          <w:tcPr>
            <w:tcW w:w="864" w:type="dxa"/>
            <w:shd w:val="clear" w:color="auto" w:fill="auto"/>
            <w:noWrap/>
            <w:vAlign w:val="center"/>
            <w:hideMark/>
          </w:tcPr>
          <w:p w14:paraId="651FD218"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7.5</w:t>
            </w:r>
          </w:p>
        </w:tc>
        <w:tc>
          <w:tcPr>
            <w:tcW w:w="864" w:type="dxa"/>
            <w:shd w:val="clear" w:color="auto" w:fill="auto"/>
            <w:noWrap/>
            <w:vAlign w:val="center"/>
            <w:hideMark/>
          </w:tcPr>
          <w:p w14:paraId="10CBDBCE"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-1.2</w:t>
            </w:r>
          </w:p>
        </w:tc>
        <w:tc>
          <w:tcPr>
            <w:tcW w:w="864" w:type="dxa"/>
            <w:shd w:val="clear" w:color="auto" w:fill="auto"/>
            <w:noWrap/>
            <w:vAlign w:val="center"/>
            <w:hideMark/>
          </w:tcPr>
          <w:p w14:paraId="77BC35B0"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4.9</w:t>
            </w:r>
          </w:p>
        </w:tc>
        <w:tc>
          <w:tcPr>
            <w:tcW w:w="864" w:type="dxa"/>
            <w:shd w:val="clear" w:color="auto" w:fill="auto"/>
            <w:noWrap/>
            <w:vAlign w:val="center"/>
            <w:hideMark/>
          </w:tcPr>
          <w:p w14:paraId="0A64A890"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8.0</w:t>
            </w:r>
          </w:p>
        </w:tc>
        <w:tc>
          <w:tcPr>
            <w:tcW w:w="864" w:type="dxa"/>
            <w:shd w:val="clear" w:color="auto" w:fill="auto"/>
            <w:noWrap/>
            <w:vAlign w:val="center"/>
            <w:hideMark/>
          </w:tcPr>
          <w:p w14:paraId="52A34719"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14.6</w:t>
            </w:r>
          </w:p>
        </w:tc>
      </w:tr>
      <w:tr w:rsidR="0063307A" w:rsidRPr="0063307A" w14:paraId="5B3441EA" w14:textId="77777777" w:rsidTr="00B73CE3">
        <w:trPr>
          <w:trHeight w:val="441"/>
          <w:jc w:val="center"/>
        </w:trPr>
        <w:tc>
          <w:tcPr>
            <w:tcW w:w="4788" w:type="dxa"/>
            <w:shd w:val="clear" w:color="auto" w:fill="auto"/>
            <w:noWrap/>
            <w:vAlign w:val="center"/>
          </w:tcPr>
          <w:p w14:paraId="4BC45928"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rubber and plastics products</w:t>
            </w:r>
          </w:p>
        </w:tc>
        <w:tc>
          <w:tcPr>
            <w:tcW w:w="864" w:type="dxa"/>
            <w:shd w:val="clear" w:color="auto" w:fill="auto"/>
            <w:noWrap/>
            <w:vAlign w:val="center"/>
          </w:tcPr>
          <w:p w14:paraId="469D4306"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4.3</w:t>
            </w:r>
          </w:p>
        </w:tc>
        <w:tc>
          <w:tcPr>
            <w:tcW w:w="864" w:type="dxa"/>
            <w:shd w:val="clear" w:color="auto" w:fill="auto"/>
            <w:noWrap/>
            <w:vAlign w:val="center"/>
          </w:tcPr>
          <w:p w14:paraId="1A2121D0"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-2.0</w:t>
            </w:r>
          </w:p>
        </w:tc>
        <w:tc>
          <w:tcPr>
            <w:tcW w:w="864" w:type="dxa"/>
            <w:shd w:val="clear" w:color="auto" w:fill="auto"/>
            <w:noWrap/>
            <w:vAlign w:val="center"/>
          </w:tcPr>
          <w:p w14:paraId="041AD9DF"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-5.4</w:t>
            </w:r>
          </w:p>
        </w:tc>
        <w:tc>
          <w:tcPr>
            <w:tcW w:w="864" w:type="dxa"/>
            <w:shd w:val="clear" w:color="auto" w:fill="auto"/>
            <w:noWrap/>
            <w:vAlign w:val="center"/>
          </w:tcPr>
          <w:p w14:paraId="1524E10F"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10.2</w:t>
            </w:r>
          </w:p>
        </w:tc>
        <w:tc>
          <w:tcPr>
            <w:tcW w:w="864" w:type="dxa"/>
            <w:shd w:val="clear" w:color="auto" w:fill="auto"/>
            <w:noWrap/>
            <w:vAlign w:val="center"/>
          </w:tcPr>
          <w:p w14:paraId="42DAB3E5"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26.3</w:t>
            </w:r>
          </w:p>
        </w:tc>
      </w:tr>
      <w:tr w:rsidR="0063307A" w:rsidRPr="0063307A" w14:paraId="6C44CB20" w14:textId="77777777" w:rsidTr="00B73CE3">
        <w:trPr>
          <w:trHeight w:val="355"/>
          <w:jc w:val="center"/>
        </w:trPr>
        <w:tc>
          <w:tcPr>
            <w:tcW w:w="4788" w:type="dxa"/>
            <w:shd w:val="clear" w:color="auto" w:fill="auto"/>
            <w:noWrap/>
            <w:vAlign w:val="center"/>
            <w:hideMark/>
          </w:tcPr>
          <w:p w14:paraId="7ED19328"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other non-metallic mineral products</w:t>
            </w:r>
          </w:p>
        </w:tc>
        <w:tc>
          <w:tcPr>
            <w:tcW w:w="864" w:type="dxa"/>
            <w:shd w:val="clear" w:color="auto" w:fill="auto"/>
            <w:noWrap/>
            <w:vAlign w:val="center"/>
            <w:hideMark/>
          </w:tcPr>
          <w:p w14:paraId="49076DFA"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3.9</w:t>
            </w:r>
          </w:p>
        </w:tc>
        <w:tc>
          <w:tcPr>
            <w:tcW w:w="864" w:type="dxa"/>
            <w:shd w:val="clear" w:color="auto" w:fill="auto"/>
            <w:noWrap/>
            <w:vAlign w:val="center"/>
            <w:hideMark/>
          </w:tcPr>
          <w:p w14:paraId="3D12E0D1"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3.9</w:t>
            </w:r>
          </w:p>
        </w:tc>
        <w:tc>
          <w:tcPr>
            <w:tcW w:w="864" w:type="dxa"/>
            <w:shd w:val="clear" w:color="auto" w:fill="auto"/>
            <w:noWrap/>
            <w:vAlign w:val="center"/>
            <w:hideMark/>
          </w:tcPr>
          <w:p w14:paraId="18479954"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8.6</w:t>
            </w:r>
          </w:p>
        </w:tc>
        <w:tc>
          <w:tcPr>
            <w:tcW w:w="864" w:type="dxa"/>
            <w:shd w:val="clear" w:color="auto" w:fill="auto"/>
            <w:noWrap/>
            <w:vAlign w:val="center"/>
            <w:hideMark/>
          </w:tcPr>
          <w:p w14:paraId="0DD1F878"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8.0</w:t>
            </w:r>
          </w:p>
        </w:tc>
        <w:tc>
          <w:tcPr>
            <w:tcW w:w="864" w:type="dxa"/>
            <w:shd w:val="clear" w:color="auto" w:fill="auto"/>
            <w:noWrap/>
            <w:vAlign w:val="center"/>
            <w:hideMark/>
          </w:tcPr>
          <w:p w14:paraId="4B35DBF9"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-0.4</w:t>
            </w:r>
          </w:p>
        </w:tc>
      </w:tr>
      <w:tr w:rsidR="0063307A" w:rsidRPr="0063307A" w14:paraId="799B023A" w14:textId="77777777" w:rsidTr="00B73CE3">
        <w:trPr>
          <w:trHeight w:val="574"/>
          <w:jc w:val="center"/>
        </w:trPr>
        <w:tc>
          <w:tcPr>
            <w:tcW w:w="4788" w:type="dxa"/>
            <w:shd w:val="clear" w:color="auto" w:fill="auto"/>
            <w:vAlign w:val="center"/>
            <w:hideMark/>
          </w:tcPr>
          <w:p w14:paraId="26318B81"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fabricated metal products. except machinery and equipment</w:t>
            </w:r>
          </w:p>
        </w:tc>
        <w:tc>
          <w:tcPr>
            <w:tcW w:w="864" w:type="dxa"/>
            <w:shd w:val="clear" w:color="auto" w:fill="auto"/>
            <w:noWrap/>
            <w:vAlign w:val="center"/>
            <w:hideMark/>
          </w:tcPr>
          <w:p w14:paraId="55C19786"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9.5</w:t>
            </w:r>
          </w:p>
        </w:tc>
        <w:tc>
          <w:tcPr>
            <w:tcW w:w="864" w:type="dxa"/>
            <w:shd w:val="clear" w:color="auto" w:fill="auto"/>
            <w:noWrap/>
            <w:vAlign w:val="center"/>
            <w:hideMark/>
          </w:tcPr>
          <w:p w14:paraId="7EDECA57"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7.7</w:t>
            </w:r>
          </w:p>
        </w:tc>
        <w:tc>
          <w:tcPr>
            <w:tcW w:w="864" w:type="dxa"/>
            <w:shd w:val="clear" w:color="auto" w:fill="auto"/>
            <w:noWrap/>
            <w:vAlign w:val="center"/>
            <w:hideMark/>
          </w:tcPr>
          <w:p w14:paraId="44056391"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9.1</w:t>
            </w:r>
          </w:p>
        </w:tc>
        <w:tc>
          <w:tcPr>
            <w:tcW w:w="864" w:type="dxa"/>
            <w:shd w:val="clear" w:color="auto" w:fill="auto"/>
            <w:noWrap/>
            <w:vAlign w:val="center"/>
            <w:hideMark/>
          </w:tcPr>
          <w:p w14:paraId="1DC9842D"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-1.8</w:t>
            </w:r>
          </w:p>
        </w:tc>
        <w:tc>
          <w:tcPr>
            <w:tcW w:w="864" w:type="dxa"/>
            <w:shd w:val="clear" w:color="auto" w:fill="auto"/>
            <w:noWrap/>
            <w:vAlign w:val="center"/>
            <w:hideMark/>
          </w:tcPr>
          <w:p w14:paraId="56E0654C"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11.9</w:t>
            </w:r>
          </w:p>
        </w:tc>
      </w:tr>
      <w:tr w:rsidR="0063307A" w:rsidRPr="0063307A" w14:paraId="40B2135A" w14:textId="77777777" w:rsidTr="00B73CE3">
        <w:trPr>
          <w:trHeight w:val="350"/>
          <w:jc w:val="center"/>
        </w:trPr>
        <w:tc>
          <w:tcPr>
            <w:tcW w:w="4788" w:type="dxa"/>
            <w:tcBorders>
              <w:bottom w:val="nil"/>
            </w:tcBorders>
            <w:shd w:val="clear" w:color="auto" w:fill="auto"/>
            <w:noWrap/>
            <w:vAlign w:val="center"/>
            <w:hideMark/>
          </w:tcPr>
          <w:p w14:paraId="4AB1614F"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computer. electronic and optical products</w:t>
            </w:r>
          </w:p>
        </w:tc>
        <w:tc>
          <w:tcPr>
            <w:tcW w:w="864" w:type="dxa"/>
            <w:tcBorders>
              <w:bottom w:val="nil"/>
            </w:tcBorders>
            <w:shd w:val="clear" w:color="auto" w:fill="auto"/>
            <w:noWrap/>
            <w:vAlign w:val="center"/>
            <w:hideMark/>
          </w:tcPr>
          <w:p w14:paraId="11EEDF74"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-10.7</w:t>
            </w:r>
          </w:p>
        </w:tc>
        <w:tc>
          <w:tcPr>
            <w:tcW w:w="864" w:type="dxa"/>
            <w:tcBorders>
              <w:bottom w:val="nil"/>
            </w:tcBorders>
            <w:shd w:val="clear" w:color="auto" w:fill="auto"/>
            <w:noWrap/>
            <w:vAlign w:val="center"/>
            <w:hideMark/>
          </w:tcPr>
          <w:p w14:paraId="13FF311F"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13.5</w:t>
            </w:r>
          </w:p>
        </w:tc>
        <w:tc>
          <w:tcPr>
            <w:tcW w:w="864" w:type="dxa"/>
            <w:tcBorders>
              <w:bottom w:val="nil"/>
            </w:tcBorders>
            <w:shd w:val="clear" w:color="auto" w:fill="auto"/>
            <w:noWrap/>
            <w:vAlign w:val="center"/>
            <w:hideMark/>
          </w:tcPr>
          <w:p w14:paraId="400C2CC8"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6.4</w:t>
            </w:r>
          </w:p>
        </w:tc>
        <w:tc>
          <w:tcPr>
            <w:tcW w:w="864" w:type="dxa"/>
            <w:tcBorders>
              <w:bottom w:val="nil"/>
            </w:tcBorders>
            <w:shd w:val="clear" w:color="auto" w:fill="auto"/>
            <w:noWrap/>
            <w:vAlign w:val="center"/>
            <w:hideMark/>
          </w:tcPr>
          <w:p w14:paraId="2E1EC92D"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-4.1</w:t>
            </w:r>
          </w:p>
        </w:tc>
        <w:tc>
          <w:tcPr>
            <w:tcW w:w="864" w:type="dxa"/>
            <w:tcBorders>
              <w:bottom w:val="nil"/>
            </w:tcBorders>
            <w:shd w:val="clear" w:color="auto" w:fill="auto"/>
            <w:noWrap/>
            <w:vAlign w:val="center"/>
            <w:hideMark/>
          </w:tcPr>
          <w:p w14:paraId="6E1898FD"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8.8</w:t>
            </w:r>
          </w:p>
        </w:tc>
      </w:tr>
      <w:tr w:rsidR="0063307A" w:rsidRPr="0063307A" w14:paraId="07AD5B65" w14:textId="77777777" w:rsidTr="00B73CE3">
        <w:trPr>
          <w:trHeight w:val="355"/>
          <w:jc w:val="center"/>
        </w:trPr>
        <w:tc>
          <w:tcPr>
            <w:tcW w:w="4788" w:type="dxa"/>
            <w:tcBorders>
              <w:top w:val="nil"/>
              <w:bottom w:val="nil"/>
            </w:tcBorders>
            <w:shd w:val="clear" w:color="auto" w:fill="auto"/>
            <w:noWrap/>
            <w:vAlign w:val="center"/>
            <w:hideMark/>
          </w:tcPr>
          <w:p w14:paraId="0A9D3DD6"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motor vehicles; trailers and semi-</w:t>
            </w:r>
          </w:p>
        </w:tc>
        <w:tc>
          <w:tcPr>
            <w:tcW w:w="864" w:type="dxa"/>
            <w:tcBorders>
              <w:top w:val="nil"/>
              <w:bottom w:val="nil"/>
            </w:tcBorders>
            <w:shd w:val="clear" w:color="auto" w:fill="auto"/>
            <w:noWrap/>
            <w:vAlign w:val="center"/>
            <w:hideMark/>
          </w:tcPr>
          <w:p w14:paraId="4D5A01EC"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-9.9</w:t>
            </w:r>
          </w:p>
        </w:tc>
        <w:tc>
          <w:tcPr>
            <w:tcW w:w="864" w:type="dxa"/>
            <w:tcBorders>
              <w:top w:val="nil"/>
              <w:bottom w:val="nil"/>
            </w:tcBorders>
            <w:shd w:val="clear" w:color="auto" w:fill="auto"/>
            <w:noWrap/>
            <w:vAlign w:val="center"/>
            <w:hideMark/>
          </w:tcPr>
          <w:p w14:paraId="1108AA02"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-3.3</w:t>
            </w:r>
          </w:p>
        </w:tc>
        <w:tc>
          <w:tcPr>
            <w:tcW w:w="864" w:type="dxa"/>
            <w:tcBorders>
              <w:top w:val="nil"/>
              <w:bottom w:val="nil"/>
            </w:tcBorders>
            <w:shd w:val="clear" w:color="auto" w:fill="auto"/>
            <w:noWrap/>
            <w:vAlign w:val="center"/>
            <w:hideMark/>
          </w:tcPr>
          <w:p w14:paraId="146EB817"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11.0</w:t>
            </w:r>
          </w:p>
        </w:tc>
        <w:tc>
          <w:tcPr>
            <w:tcW w:w="864" w:type="dxa"/>
            <w:tcBorders>
              <w:top w:val="nil"/>
              <w:bottom w:val="nil"/>
            </w:tcBorders>
            <w:shd w:val="clear" w:color="auto" w:fill="auto"/>
            <w:noWrap/>
            <w:vAlign w:val="center"/>
            <w:hideMark/>
          </w:tcPr>
          <w:p w14:paraId="76990805"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-7.9</w:t>
            </w:r>
          </w:p>
        </w:tc>
        <w:tc>
          <w:tcPr>
            <w:tcW w:w="864" w:type="dxa"/>
            <w:tcBorders>
              <w:top w:val="nil"/>
              <w:bottom w:val="nil"/>
            </w:tcBorders>
            <w:shd w:val="clear" w:color="auto" w:fill="auto"/>
            <w:noWrap/>
            <w:vAlign w:val="center"/>
            <w:hideMark/>
          </w:tcPr>
          <w:p w14:paraId="67D59476"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14.0</w:t>
            </w:r>
          </w:p>
        </w:tc>
      </w:tr>
      <w:tr w:rsidR="0063307A" w:rsidRPr="0063307A" w14:paraId="648C366F" w14:textId="77777777" w:rsidTr="00B73CE3">
        <w:trPr>
          <w:trHeight w:val="355"/>
          <w:jc w:val="center"/>
        </w:trPr>
        <w:tc>
          <w:tcPr>
            <w:tcW w:w="4788" w:type="dxa"/>
            <w:tcBorders>
              <w:top w:val="nil"/>
              <w:bottom w:val="nil"/>
            </w:tcBorders>
            <w:shd w:val="clear" w:color="auto" w:fill="auto"/>
            <w:noWrap/>
            <w:vAlign w:val="center"/>
          </w:tcPr>
          <w:p w14:paraId="2097F415"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other transport equipment</w:t>
            </w:r>
          </w:p>
        </w:tc>
        <w:tc>
          <w:tcPr>
            <w:tcW w:w="864" w:type="dxa"/>
            <w:tcBorders>
              <w:top w:val="nil"/>
              <w:bottom w:val="nil"/>
            </w:tcBorders>
            <w:shd w:val="clear" w:color="auto" w:fill="auto"/>
            <w:noWrap/>
            <w:vAlign w:val="center"/>
          </w:tcPr>
          <w:p w14:paraId="007B7A90"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6.6</w:t>
            </w:r>
          </w:p>
        </w:tc>
        <w:tc>
          <w:tcPr>
            <w:tcW w:w="864" w:type="dxa"/>
            <w:tcBorders>
              <w:top w:val="nil"/>
              <w:bottom w:val="nil"/>
            </w:tcBorders>
            <w:shd w:val="clear" w:color="auto" w:fill="auto"/>
            <w:noWrap/>
            <w:vAlign w:val="center"/>
          </w:tcPr>
          <w:p w14:paraId="1C198AE1"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2.3</w:t>
            </w:r>
          </w:p>
        </w:tc>
        <w:tc>
          <w:tcPr>
            <w:tcW w:w="864" w:type="dxa"/>
            <w:tcBorders>
              <w:top w:val="nil"/>
              <w:bottom w:val="nil"/>
            </w:tcBorders>
            <w:shd w:val="clear" w:color="auto" w:fill="auto"/>
            <w:noWrap/>
            <w:vAlign w:val="center"/>
          </w:tcPr>
          <w:p w14:paraId="1AF1A5CB"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3.1</w:t>
            </w:r>
          </w:p>
        </w:tc>
        <w:tc>
          <w:tcPr>
            <w:tcW w:w="864" w:type="dxa"/>
            <w:tcBorders>
              <w:top w:val="nil"/>
              <w:bottom w:val="nil"/>
            </w:tcBorders>
            <w:shd w:val="clear" w:color="auto" w:fill="auto"/>
            <w:noWrap/>
            <w:vAlign w:val="center"/>
          </w:tcPr>
          <w:p w14:paraId="437229BC"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4.9</w:t>
            </w:r>
          </w:p>
        </w:tc>
        <w:tc>
          <w:tcPr>
            <w:tcW w:w="864" w:type="dxa"/>
            <w:tcBorders>
              <w:top w:val="nil"/>
              <w:bottom w:val="nil"/>
            </w:tcBorders>
            <w:shd w:val="clear" w:color="auto" w:fill="auto"/>
            <w:noWrap/>
            <w:vAlign w:val="center"/>
          </w:tcPr>
          <w:p w14:paraId="0DB7F059"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3.0</w:t>
            </w:r>
          </w:p>
        </w:tc>
      </w:tr>
      <w:tr w:rsidR="0063307A" w:rsidRPr="0063307A" w14:paraId="3C067259" w14:textId="77777777" w:rsidTr="00B73CE3">
        <w:trPr>
          <w:trHeight w:val="355"/>
          <w:jc w:val="center"/>
        </w:trPr>
        <w:tc>
          <w:tcPr>
            <w:tcW w:w="4788" w:type="dxa"/>
            <w:tcBorders>
              <w:top w:val="nil"/>
              <w:bottom w:val="nil"/>
            </w:tcBorders>
            <w:shd w:val="clear" w:color="auto" w:fill="auto"/>
            <w:noWrap/>
            <w:vAlign w:val="center"/>
          </w:tcPr>
          <w:p w14:paraId="721131B0" w14:textId="77777777" w:rsidR="0063307A" w:rsidRPr="0063307A" w:rsidRDefault="0063307A" w:rsidP="0063307A">
            <w:pPr>
              <w:rPr>
                <w:rFonts w:ascii="Arial" w:hAnsi="Arial" w:cs="Arial"/>
                <w:sz w:val="20"/>
                <w:szCs w:val="20"/>
              </w:rPr>
            </w:pPr>
            <w:r w:rsidRPr="0063307A">
              <w:rPr>
                <w:rFonts w:ascii="Arial" w:hAnsi="Arial" w:cs="Arial"/>
                <w:sz w:val="20"/>
                <w:szCs w:val="20"/>
              </w:rPr>
              <w:t>Manufacture of furniture</w:t>
            </w:r>
          </w:p>
        </w:tc>
        <w:tc>
          <w:tcPr>
            <w:tcW w:w="864" w:type="dxa"/>
            <w:tcBorders>
              <w:top w:val="nil"/>
              <w:bottom w:val="nil"/>
            </w:tcBorders>
            <w:shd w:val="clear" w:color="auto" w:fill="auto"/>
            <w:noWrap/>
            <w:vAlign w:val="center"/>
          </w:tcPr>
          <w:p w14:paraId="18AC2653"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-7.9</w:t>
            </w:r>
          </w:p>
        </w:tc>
        <w:tc>
          <w:tcPr>
            <w:tcW w:w="864" w:type="dxa"/>
            <w:tcBorders>
              <w:top w:val="nil"/>
              <w:bottom w:val="nil"/>
            </w:tcBorders>
            <w:shd w:val="clear" w:color="auto" w:fill="auto"/>
            <w:noWrap/>
            <w:vAlign w:val="center"/>
          </w:tcPr>
          <w:p w14:paraId="1F46FB85"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-8.5</w:t>
            </w:r>
          </w:p>
        </w:tc>
        <w:tc>
          <w:tcPr>
            <w:tcW w:w="864" w:type="dxa"/>
            <w:tcBorders>
              <w:top w:val="nil"/>
              <w:bottom w:val="nil"/>
            </w:tcBorders>
            <w:shd w:val="clear" w:color="auto" w:fill="auto"/>
            <w:noWrap/>
            <w:vAlign w:val="center"/>
          </w:tcPr>
          <w:p w14:paraId="012BEE18"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5.9</w:t>
            </w:r>
          </w:p>
        </w:tc>
        <w:tc>
          <w:tcPr>
            <w:tcW w:w="864" w:type="dxa"/>
            <w:tcBorders>
              <w:top w:val="nil"/>
              <w:bottom w:val="nil"/>
            </w:tcBorders>
            <w:shd w:val="clear" w:color="auto" w:fill="auto"/>
            <w:noWrap/>
            <w:vAlign w:val="center"/>
          </w:tcPr>
          <w:p w14:paraId="0D59BADB"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4.2</w:t>
            </w:r>
          </w:p>
        </w:tc>
        <w:tc>
          <w:tcPr>
            <w:tcW w:w="864" w:type="dxa"/>
            <w:tcBorders>
              <w:top w:val="nil"/>
              <w:bottom w:val="nil"/>
            </w:tcBorders>
            <w:shd w:val="clear" w:color="auto" w:fill="auto"/>
            <w:noWrap/>
            <w:vAlign w:val="center"/>
          </w:tcPr>
          <w:p w14:paraId="46621683"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24.8</w:t>
            </w:r>
          </w:p>
        </w:tc>
      </w:tr>
      <w:tr w:rsidR="0063307A" w:rsidRPr="0063307A" w14:paraId="63322059" w14:textId="77777777" w:rsidTr="00B73CE3">
        <w:trPr>
          <w:trHeight w:val="355"/>
          <w:jc w:val="center"/>
        </w:trPr>
        <w:tc>
          <w:tcPr>
            <w:tcW w:w="4788" w:type="dxa"/>
            <w:tcBorders>
              <w:top w:val="nil"/>
              <w:bottom w:val="single" w:sz="4" w:space="0" w:color="auto"/>
            </w:tcBorders>
            <w:shd w:val="clear" w:color="auto" w:fill="auto"/>
            <w:noWrap/>
            <w:vAlign w:val="center"/>
          </w:tcPr>
          <w:p w14:paraId="5E5D9EE4" w14:textId="77777777" w:rsidR="0063307A" w:rsidRPr="0063307A" w:rsidRDefault="0063307A" w:rsidP="0063307A">
            <w:pPr>
              <w:rPr>
                <w:rFonts w:ascii="Arial" w:hAnsi="Arial" w:cs="Arial"/>
                <w:sz w:val="20"/>
                <w:szCs w:val="20"/>
              </w:rPr>
            </w:pPr>
            <w:r w:rsidRPr="0063307A">
              <w:rPr>
                <w:rFonts w:ascii="Arial" w:hAnsi="Arial" w:cs="Arial"/>
                <w:sz w:val="20"/>
                <w:szCs w:val="20"/>
              </w:rPr>
              <w:t>Repair and installation of machinery and equipment</w:t>
            </w:r>
          </w:p>
        </w:tc>
        <w:tc>
          <w:tcPr>
            <w:tcW w:w="864" w:type="dxa"/>
            <w:tcBorders>
              <w:top w:val="nil"/>
              <w:bottom w:val="single" w:sz="4" w:space="0" w:color="auto"/>
            </w:tcBorders>
            <w:shd w:val="clear" w:color="auto" w:fill="auto"/>
            <w:noWrap/>
            <w:vAlign w:val="center"/>
          </w:tcPr>
          <w:p w14:paraId="48A57382"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7.1</w:t>
            </w:r>
          </w:p>
        </w:tc>
        <w:tc>
          <w:tcPr>
            <w:tcW w:w="864" w:type="dxa"/>
            <w:tcBorders>
              <w:top w:val="nil"/>
              <w:bottom w:val="single" w:sz="4" w:space="0" w:color="auto"/>
            </w:tcBorders>
            <w:shd w:val="clear" w:color="auto" w:fill="auto"/>
            <w:noWrap/>
            <w:vAlign w:val="center"/>
          </w:tcPr>
          <w:p w14:paraId="0E4D2489"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5.1</w:t>
            </w:r>
          </w:p>
        </w:tc>
        <w:tc>
          <w:tcPr>
            <w:tcW w:w="864" w:type="dxa"/>
            <w:tcBorders>
              <w:top w:val="nil"/>
              <w:bottom w:val="single" w:sz="4" w:space="0" w:color="auto"/>
            </w:tcBorders>
            <w:shd w:val="clear" w:color="auto" w:fill="auto"/>
            <w:noWrap/>
            <w:vAlign w:val="center"/>
          </w:tcPr>
          <w:p w14:paraId="407F5B3C"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7.0</w:t>
            </w:r>
          </w:p>
        </w:tc>
        <w:tc>
          <w:tcPr>
            <w:tcW w:w="864" w:type="dxa"/>
            <w:tcBorders>
              <w:top w:val="nil"/>
              <w:bottom w:val="single" w:sz="4" w:space="0" w:color="auto"/>
            </w:tcBorders>
            <w:shd w:val="clear" w:color="auto" w:fill="auto"/>
            <w:noWrap/>
            <w:vAlign w:val="center"/>
          </w:tcPr>
          <w:p w14:paraId="70DBE0DD"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-0.6</w:t>
            </w:r>
          </w:p>
        </w:tc>
        <w:tc>
          <w:tcPr>
            <w:tcW w:w="864" w:type="dxa"/>
            <w:tcBorders>
              <w:top w:val="nil"/>
              <w:bottom w:val="single" w:sz="4" w:space="0" w:color="auto"/>
            </w:tcBorders>
            <w:shd w:val="clear" w:color="auto" w:fill="auto"/>
            <w:noWrap/>
            <w:vAlign w:val="center"/>
          </w:tcPr>
          <w:p w14:paraId="3E4E76D8" w14:textId="77777777" w:rsidR="0063307A" w:rsidRPr="0063307A" w:rsidRDefault="0063307A" w:rsidP="0063307A">
            <w:pPr>
              <w:jc w:val="right"/>
              <w:rPr>
                <w:rFonts w:ascii="Arial" w:hAnsi="Arial" w:cs="Arial"/>
                <w:sz w:val="20"/>
                <w:szCs w:val="20"/>
              </w:rPr>
            </w:pPr>
            <w:r w:rsidRPr="0063307A">
              <w:rPr>
                <w:rFonts w:ascii="Arial" w:hAnsi="Arial" w:cs="Arial"/>
                <w:sz w:val="20"/>
                <w:szCs w:val="20"/>
              </w:rPr>
              <w:t>-3.9</w:t>
            </w:r>
          </w:p>
        </w:tc>
      </w:tr>
    </w:tbl>
    <w:p w14:paraId="150FD50B" w14:textId="77777777" w:rsidR="0063307A" w:rsidRPr="0063307A" w:rsidRDefault="0063307A" w:rsidP="0063307A">
      <w:pPr>
        <w:shd w:val="clear" w:color="auto" w:fill="FFFFFF"/>
        <w:spacing w:before="40" w:after="40" w:line="288" w:lineRule="auto"/>
        <w:ind w:firstLine="567"/>
        <w:jc w:val="both"/>
        <w:rPr>
          <w:i/>
          <w:sz w:val="6"/>
          <w:lang w:val="pl-PL"/>
        </w:rPr>
      </w:pPr>
    </w:p>
    <w:p w14:paraId="1B6CD141" w14:textId="77777777" w:rsidR="0063307A" w:rsidRPr="0063307A" w:rsidRDefault="0063307A" w:rsidP="0063307A">
      <w:pPr>
        <w:shd w:val="clear" w:color="auto" w:fill="FFFFFF"/>
        <w:spacing w:before="120" w:after="120" w:line="264" w:lineRule="auto"/>
        <w:ind w:firstLine="720"/>
        <w:jc w:val="both"/>
        <w:rPr>
          <w:spacing w:val="-2"/>
          <w:lang w:val="pl-PL"/>
        </w:rPr>
      </w:pPr>
      <w:r w:rsidRPr="0063307A">
        <w:rPr>
          <w:i/>
          <w:spacing w:val="-2"/>
          <w:lang w:val="pl-PL"/>
        </w:rPr>
        <w:t>The industrial production index in the first ten months of 2024</w:t>
      </w:r>
      <w:r w:rsidRPr="0063307A">
        <w:rPr>
          <w:iCs/>
          <w:spacing w:val="-2"/>
          <w:lang w:val="pl-PL"/>
        </w:rPr>
        <w:t xml:space="preserve"> compared to the same period last year increased in 59 localities and decreased in 04 localities across the country. Some localities have a fairly high IIP index due to the manufacturing industry ; electricity production and distribution industry; mining industry soars</w:t>
      </w:r>
      <w:r w:rsidRPr="0063307A">
        <w:rPr>
          <w:rFonts w:eastAsia="Calibri"/>
          <w:spacing w:val="-2"/>
          <w:vertAlign w:val="superscript"/>
        </w:rPr>
        <w:footnoteReference w:id="9"/>
      </w:r>
      <w:r w:rsidRPr="0063307A">
        <w:rPr>
          <w:spacing w:val="-2"/>
          <w:lang w:val="pl-PL"/>
        </w:rPr>
        <w:t xml:space="preserve">. In the opposite direction. some localities have a low increase or </w:t>
      </w:r>
      <w:r w:rsidRPr="0063307A">
        <w:rPr>
          <w:spacing w:val="-2"/>
          <w:lang w:val="pl-PL"/>
        </w:rPr>
        <w:lastRenderedPageBreak/>
        <w:t xml:space="preserve">decrease in the IIP index due to the processing industry. manufacturing and manufacturing industry. low or decreased power distribution </w:t>
      </w:r>
      <w:r w:rsidRPr="0063307A">
        <w:rPr>
          <w:rFonts w:eastAsia="Calibri"/>
          <w:spacing w:val="-2"/>
          <w:vertAlign w:val="superscript"/>
        </w:rPr>
        <w:footnoteReference w:id="10"/>
      </w:r>
      <w:r w:rsidRPr="0063307A">
        <w:rPr>
          <w:spacing w:val="-2"/>
          <w:lang w:val="pl-PL"/>
        </w:rPr>
        <w:t>.</w:t>
      </w:r>
    </w:p>
    <w:p w14:paraId="38A45E51" w14:textId="77777777" w:rsidR="0063307A" w:rsidRPr="0063307A" w:rsidRDefault="0063307A" w:rsidP="0063307A">
      <w:pPr>
        <w:shd w:val="clear" w:color="auto" w:fill="FFFFFF"/>
        <w:spacing w:before="40" w:after="40" w:line="262" w:lineRule="auto"/>
        <w:jc w:val="center"/>
        <w:rPr>
          <w:rFonts w:ascii="Arial" w:hAnsi="Arial" w:cs="Arial"/>
          <w:b/>
          <w:bCs/>
          <w:sz w:val="24"/>
          <w:szCs w:val="24"/>
          <w:lang w:val="pl-PL"/>
        </w:rPr>
      </w:pPr>
      <w:r w:rsidRPr="0063307A">
        <w:rPr>
          <w:rFonts w:ascii="Arial" w:hAnsi="Arial" w:cs="Arial"/>
          <w:b/>
          <w:bCs/>
          <w:sz w:val="24"/>
          <w:szCs w:val="24"/>
          <w:lang w:val="pl-PL"/>
        </w:rPr>
        <w:t>Figure 4. Rate of increase/decrease of IIP in the first 10 months of 2024</w:t>
      </w:r>
    </w:p>
    <w:p w14:paraId="14C309A4" w14:textId="77777777" w:rsidR="0063307A" w:rsidRPr="0063307A" w:rsidRDefault="0063307A" w:rsidP="0063307A">
      <w:pPr>
        <w:shd w:val="clear" w:color="auto" w:fill="FFFFFF"/>
        <w:spacing w:before="40" w:after="40" w:line="262" w:lineRule="auto"/>
        <w:jc w:val="center"/>
        <w:rPr>
          <w:i/>
          <w:spacing w:val="-2"/>
          <w:sz w:val="2"/>
          <w:szCs w:val="10"/>
          <w:lang w:val="pl-PL"/>
        </w:rPr>
      </w:pPr>
      <w:r w:rsidRPr="0063307A">
        <w:rPr>
          <w:rFonts w:ascii="Arial" w:hAnsi="Arial" w:cs="Arial"/>
          <w:b/>
          <w:bCs/>
          <w:sz w:val="24"/>
          <w:szCs w:val="24"/>
          <w:lang w:val="pl-PL"/>
        </w:rPr>
        <w:t>compared to the same period last year of some localities</w:t>
      </w:r>
    </w:p>
    <w:tbl>
      <w:tblPr>
        <w:tblStyle w:val="TableGrid1"/>
        <w:tblW w:w="99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5"/>
        <w:gridCol w:w="4885"/>
      </w:tblGrid>
      <w:tr w:rsidR="0063307A" w:rsidRPr="0063307A" w14:paraId="54240510" w14:textId="77777777" w:rsidTr="00B73CE3">
        <w:trPr>
          <w:trHeight w:val="3091"/>
          <w:jc w:val="center"/>
        </w:trPr>
        <w:tc>
          <w:tcPr>
            <w:tcW w:w="5105" w:type="dxa"/>
          </w:tcPr>
          <w:p w14:paraId="1955A59B" w14:textId="77777777" w:rsidR="0063307A" w:rsidRPr="0063307A" w:rsidRDefault="0063307A" w:rsidP="0063307A">
            <w:pPr>
              <w:jc w:val="center"/>
              <w:rPr>
                <w:rFonts w:ascii="Arial" w:hAnsi="Arial" w:cs="Arial"/>
                <w:b/>
                <w:bCs/>
                <w:sz w:val="20"/>
                <w:szCs w:val="20"/>
                <w:lang w:val="pl-PL"/>
              </w:rPr>
            </w:pPr>
            <w:r w:rsidRPr="0063307A">
              <w:rPr>
                <w:rFonts w:ascii="Arial" w:hAnsi="Arial" w:cs="Arial"/>
                <w:b/>
                <w:bCs/>
                <w:sz w:val="20"/>
                <w:szCs w:val="20"/>
              </w:rPr>
              <w:t>10 localities with the highest increase in IIP index (%)</w:t>
            </w:r>
          </w:p>
          <w:p w14:paraId="05BEFAA9" w14:textId="77777777" w:rsidR="0063307A" w:rsidRPr="0063307A" w:rsidRDefault="0063307A" w:rsidP="0063307A">
            <w:pPr>
              <w:rPr>
                <w:rFonts w:ascii="Arial" w:hAnsi="Arial" w:cs="Arial"/>
                <w:b/>
                <w:bCs/>
                <w:sz w:val="20"/>
                <w:szCs w:val="20"/>
              </w:rPr>
            </w:pPr>
            <w:r w:rsidRPr="0063307A">
              <w:rPr>
                <w:rFonts w:ascii="Arial" w:hAnsi="Arial" w:cs="Arial"/>
                <w:b/>
                <w:bCs/>
                <w:noProof/>
                <w:sz w:val="20"/>
                <w:szCs w:val="20"/>
              </w:rPr>
              <w:drawing>
                <wp:inline distT="0" distB="0" distL="0" distR="0" wp14:anchorId="566095AC" wp14:editId="525ACC90">
                  <wp:extent cx="3171825" cy="1771650"/>
                  <wp:effectExtent l="0" t="0" r="9525" b="0"/>
                  <wp:docPr id="608688034" name="Picture 1"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88034" name="Picture 1" descr="A graph of numbers and a number of peopl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3171825" cy="1771650"/>
                          </a:xfrm>
                          <a:prstGeom prst="rect">
                            <a:avLst/>
                          </a:prstGeom>
                        </pic:spPr>
                      </pic:pic>
                    </a:graphicData>
                  </a:graphic>
                </wp:inline>
              </w:drawing>
            </w:r>
          </w:p>
        </w:tc>
        <w:tc>
          <w:tcPr>
            <w:tcW w:w="4885" w:type="dxa"/>
          </w:tcPr>
          <w:p w14:paraId="0AA2E696" w14:textId="77777777" w:rsidR="0063307A" w:rsidRPr="0063307A" w:rsidRDefault="0063307A" w:rsidP="0063307A">
            <w:pPr>
              <w:jc w:val="center"/>
              <w:rPr>
                <w:rFonts w:ascii="Arial" w:hAnsi="Arial" w:cs="Arial"/>
                <w:b/>
                <w:bCs/>
                <w:sz w:val="20"/>
                <w:szCs w:val="20"/>
              </w:rPr>
            </w:pPr>
            <w:r w:rsidRPr="0063307A">
              <w:rPr>
                <w:rFonts w:ascii="Arial" w:hAnsi="Arial" w:cs="Arial"/>
                <w:b/>
                <w:bCs/>
                <w:sz w:val="20"/>
                <w:szCs w:val="20"/>
              </w:rPr>
              <w:t>10 localities with IIP index</w:t>
            </w:r>
          </w:p>
          <w:p w14:paraId="2674BD05" w14:textId="77777777" w:rsidR="0063307A" w:rsidRPr="0063307A" w:rsidRDefault="0063307A" w:rsidP="0063307A">
            <w:pPr>
              <w:jc w:val="center"/>
              <w:rPr>
                <w:rFonts w:ascii="Calibri" w:hAnsi="Calibri"/>
                <w:b/>
                <w:bCs/>
                <w:sz w:val="14"/>
                <w:szCs w:val="22"/>
              </w:rPr>
            </w:pPr>
            <w:r w:rsidRPr="0063307A">
              <w:rPr>
                <w:rFonts w:ascii="Arial" w:hAnsi="Arial" w:cs="Arial"/>
                <w:b/>
                <w:bCs/>
                <w:sz w:val="20"/>
                <w:szCs w:val="20"/>
              </w:rPr>
              <w:t>lowest increase/largest decrease (%)</w:t>
            </w:r>
          </w:p>
          <w:p w14:paraId="678428F4" w14:textId="77777777" w:rsidR="0063307A" w:rsidRPr="0063307A" w:rsidRDefault="0063307A" w:rsidP="0063307A">
            <w:pPr>
              <w:jc w:val="center"/>
              <w:rPr>
                <w:rFonts w:ascii="Calibri" w:hAnsi="Calibri"/>
                <w:b/>
                <w:bCs/>
                <w:sz w:val="22"/>
                <w:szCs w:val="22"/>
              </w:rPr>
            </w:pPr>
            <w:r w:rsidRPr="0063307A">
              <w:rPr>
                <w:rFonts w:ascii="Calibri" w:hAnsi="Calibri"/>
                <w:b/>
                <w:bCs/>
                <w:noProof/>
                <w:sz w:val="22"/>
                <w:szCs w:val="22"/>
              </w:rPr>
              <w:drawing>
                <wp:inline distT="0" distB="0" distL="0" distR="0" wp14:anchorId="00668B6E" wp14:editId="78FFA9A3">
                  <wp:extent cx="2964815" cy="1876425"/>
                  <wp:effectExtent l="0" t="0" r="6985" b="9525"/>
                  <wp:docPr id="1476149168" name="Picture 2" descr="A graph with 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149168" name="Picture 2" descr="A graph with red bar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964815" cy="1876425"/>
                          </a:xfrm>
                          <a:prstGeom prst="rect">
                            <a:avLst/>
                          </a:prstGeom>
                        </pic:spPr>
                      </pic:pic>
                    </a:graphicData>
                  </a:graphic>
                </wp:inline>
              </w:drawing>
            </w:r>
          </w:p>
        </w:tc>
      </w:tr>
    </w:tbl>
    <w:p w14:paraId="04E30A49" w14:textId="77777777" w:rsidR="0063307A" w:rsidRPr="0063307A" w:rsidRDefault="0063307A" w:rsidP="0063307A">
      <w:pPr>
        <w:shd w:val="clear" w:color="auto" w:fill="FFFFFF"/>
        <w:spacing w:before="40" w:after="40" w:line="262" w:lineRule="auto"/>
        <w:ind w:firstLine="567"/>
        <w:jc w:val="both"/>
        <w:rPr>
          <w:i/>
          <w:sz w:val="12"/>
          <w:lang w:val="pl-PL"/>
        </w:rPr>
      </w:pPr>
    </w:p>
    <w:p w14:paraId="150E5356" w14:textId="77777777" w:rsidR="0063307A" w:rsidRPr="0063307A" w:rsidRDefault="0063307A" w:rsidP="0063307A">
      <w:pPr>
        <w:spacing w:before="100" w:beforeAutospacing="1" w:after="100" w:afterAutospacing="1"/>
        <w:ind w:firstLine="720"/>
        <w:jc w:val="both"/>
      </w:pPr>
      <w:r w:rsidRPr="0063307A">
        <w:rPr>
          <w:i/>
          <w:iCs/>
        </w:rPr>
        <w:t>In the first ten months of 2024, several key industrial products</w:t>
      </w:r>
      <w:r w:rsidRPr="0063307A">
        <w:t xml:space="preserve"> showed growth compared to the same period last year. Notable increases include rebar and angle steel (up by 21.8%), gasoline (up by 17.6%), rolled steel (up by 16.4%), automobiles (up by 15.8%), fabrics woven from natural fibers (up by 15.0%), sugar (up by 14.5%), powdered milk (up by 12.8%), and NPK mixed fertilizers (up by 11.5%). However, some products experienced a decline, including natural gas (down by 17.3%), liquefied petroleum gas (LPG) (down by 14.6%), clean coal (down by 5.9%), crude oil extraction (down by 5.8%), mobile phones (down by 5.6%), beer (down by 2.6%), and aluminum (down by 1.9%). </w:t>
      </w:r>
    </w:p>
    <w:p w14:paraId="48ED65A0" w14:textId="701DF042" w:rsidR="0063307A" w:rsidRPr="0063307A" w:rsidRDefault="0063307A" w:rsidP="0063307A">
      <w:pPr>
        <w:spacing w:before="100" w:beforeAutospacing="1" w:after="100" w:afterAutospacing="1"/>
        <w:ind w:firstLine="720"/>
        <w:jc w:val="both"/>
      </w:pPr>
      <w:r w:rsidRPr="0063307A">
        <w:t xml:space="preserve">In terms of employment, the number of workers in industrial enterprises as of October 1, 2024, increased by 1.0% compared to the previous month and by 5.7% year-on-year. Specifically, the number of workers in state-owned enterprises rose by 0.2% from the previous month and by 1.1% from the previous year, while private enterprises saw a 0.8% increase from the previous month and 2.9% from the same time last year. Foreign-invested enterprises experienced the most significant growth, with a 1.2% increase compared to the previous month and a 7.1% increase year-on-year. By sector, the mining industry remained stable with no change in the number of workers compared to the previous month but saw a slight decrease of 0.1% year-on-year. In contrast, the manufacturing and processing sector saw a 1.1% increase from the previous month and a 6.1% increase compared to the same period last year. The electricity, gas, hot water, steam, and air conditioning supply sector remained stable month-on-month but </w:t>
      </w:r>
      <w:r w:rsidRPr="0063307A">
        <w:lastRenderedPageBreak/>
        <w:t>grew by 1.1% year-on-year. The water supply, waste management, and wastewater treatment sector saw a slight increase of 0.1% from the previous month and a 1.5% increase from the previous year.</w:t>
      </w:r>
    </w:p>
    <w:p w14:paraId="673C2A5C" w14:textId="4541F588" w:rsidR="0063307A" w:rsidRPr="00227BB5" w:rsidRDefault="0063307A" w:rsidP="0063307A">
      <w:pPr>
        <w:spacing w:after="40" w:line="300" w:lineRule="auto"/>
        <w:ind w:firstLine="567"/>
        <w:jc w:val="both"/>
        <w:rPr>
          <w:lang w:val="it-IT"/>
        </w:rPr>
      </w:pPr>
      <w:bookmarkStart w:id="5" w:name="_Hlk54593811"/>
      <w:r>
        <w:rPr>
          <w:b/>
          <w:bCs/>
          <w:lang w:val="pl-PL"/>
        </w:rPr>
        <w:t>3</w:t>
      </w:r>
      <w:r w:rsidRPr="00227BB5">
        <w:rPr>
          <w:b/>
          <w:bCs/>
          <w:lang w:val="pl-PL"/>
        </w:rPr>
        <w:t>. Enterprise activities</w:t>
      </w:r>
    </w:p>
    <w:p w14:paraId="0A32069C" w14:textId="77777777" w:rsidR="0063307A" w:rsidRPr="00227BB5" w:rsidRDefault="0063307A" w:rsidP="0063307A">
      <w:pPr>
        <w:spacing w:after="40" w:line="300" w:lineRule="auto"/>
        <w:ind w:firstLine="567"/>
        <w:jc w:val="both"/>
        <w:rPr>
          <w:i/>
          <w:lang w:val="it-IT"/>
        </w:rPr>
      </w:pPr>
      <w:r w:rsidRPr="00227BB5">
        <w:rPr>
          <w:b/>
          <w:bCs/>
          <w:i/>
          <w:lang w:val="pl-PL"/>
        </w:rPr>
        <w:t>a)</w:t>
      </w:r>
      <w:r w:rsidRPr="00227BB5">
        <w:rPr>
          <w:b/>
          <w:bCs/>
          <w:i/>
          <w:lang w:val="it-IT"/>
        </w:rPr>
        <w:t xml:space="preserve"> </w:t>
      </w:r>
      <w:r w:rsidRPr="00227BB5">
        <w:rPr>
          <w:b/>
          <w:i/>
          <w:lang w:val="it-IT"/>
        </w:rPr>
        <w:t xml:space="preserve">Enterprise registration status </w:t>
      </w:r>
      <w:r w:rsidRPr="00227BB5">
        <w:rPr>
          <w:bCs/>
          <w:i/>
          <w:vertAlign w:val="superscript"/>
        </w:rPr>
        <w:footnoteReference w:id="11"/>
      </w:r>
    </w:p>
    <w:p w14:paraId="3C343376" w14:textId="77777777" w:rsidR="0063307A" w:rsidRPr="00227BB5" w:rsidRDefault="0063307A" w:rsidP="0063307A">
      <w:pPr>
        <w:spacing w:after="40" w:line="300" w:lineRule="auto"/>
        <w:ind w:firstLine="567"/>
        <w:jc w:val="both"/>
        <w:rPr>
          <w:lang w:val="it-IT"/>
        </w:rPr>
      </w:pPr>
      <w:r w:rsidRPr="00227BB5">
        <w:rPr>
          <w:lang w:val="it-IT"/>
        </w:rPr>
        <w:t xml:space="preserve">In </w:t>
      </w:r>
      <w:r>
        <w:rPr>
          <w:lang w:val="it-IT"/>
        </w:rPr>
        <w:t>October</w:t>
      </w:r>
      <w:r w:rsidRPr="00227BB5">
        <w:rPr>
          <w:lang w:val="it-IT"/>
        </w:rPr>
        <w:t xml:space="preserve">, the whole country had </w:t>
      </w:r>
      <w:r>
        <w:rPr>
          <w:lang w:val="it-IT"/>
        </w:rPr>
        <w:t>nearly 14.2</w:t>
      </w:r>
      <w:r w:rsidRPr="00227BB5">
        <w:rPr>
          <w:lang w:val="it-IT"/>
        </w:rPr>
        <w:t xml:space="preserve"> thousand newly established enterprises with registered capital </w:t>
      </w:r>
      <w:r>
        <w:rPr>
          <w:lang w:val="it-IT"/>
        </w:rPr>
        <w:t>was over 153.5</w:t>
      </w:r>
      <w:r w:rsidRPr="00227BB5">
        <w:rPr>
          <w:lang w:val="it-IT"/>
        </w:rPr>
        <w:t xml:space="preserve"> trillion VND and a total number of registered employees of </w:t>
      </w:r>
      <w:r>
        <w:rPr>
          <w:lang w:val="it-IT"/>
        </w:rPr>
        <w:t>nearly 80.5</w:t>
      </w:r>
      <w:r w:rsidRPr="00227BB5">
        <w:rPr>
          <w:lang w:val="it-IT"/>
        </w:rPr>
        <w:t xml:space="preserve"> thousand employees, a</w:t>
      </w:r>
      <w:r>
        <w:rPr>
          <w:lang w:val="it-IT"/>
        </w:rPr>
        <w:t>n</w:t>
      </w:r>
      <w:r w:rsidRPr="00227BB5">
        <w:rPr>
          <w:lang w:val="it-IT"/>
        </w:rPr>
        <w:t xml:space="preserve"> </w:t>
      </w:r>
      <w:r>
        <w:rPr>
          <w:lang w:val="it-IT"/>
        </w:rPr>
        <w:t>in</w:t>
      </w:r>
      <w:r w:rsidRPr="00227BB5">
        <w:rPr>
          <w:lang w:val="it-IT"/>
        </w:rPr>
        <w:t xml:space="preserve">crease of </w:t>
      </w:r>
      <w:r>
        <w:rPr>
          <w:lang w:val="it-IT"/>
        </w:rPr>
        <w:t>26.5</w:t>
      </w:r>
      <w:r w:rsidRPr="00227BB5">
        <w:rPr>
          <w:lang w:val="it-IT"/>
        </w:rPr>
        <w:t>% in the number of enterprises, a</w:t>
      </w:r>
      <w:r>
        <w:rPr>
          <w:lang w:val="it-IT"/>
        </w:rPr>
        <w:t>n</w:t>
      </w:r>
      <w:r w:rsidRPr="00227BB5">
        <w:rPr>
          <w:lang w:val="it-IT"/>
        </w:rPr>
        <w:t xml:space="preserve"> </w:t>
      </w:r>
      <w:r>
        <w:rPr>
          <w:lang w:val="it-IT"/>
        </w:rPr>
        <w:t>in</w:t>
      </w:r>
      <w:r w:rsidRPr="00227BB5">
        <w:rPr>
          <w:lang w:val="it-IT"/>
        </w:rPr>
        <w:t xml:space="preserve">crease of </w:t>
      </w:r>
      <w:r>
        <w:rPr>
          <w:lang w:val="it-IT"/>
        </w:rPr>
        <w:t>65.4</w:t>
      </w:r>
      <w:r w:rsidRPr="00227BB5">
        <w:rPr>
          <w:lang w:val="it-IT"/>
        </w:rPr>
        <w:t xml:space="preserve">% </w:t>
      </w:r>
      <w:r>
        <w:rPr>
          <w:lang w:val="it-IT"/>
        </w:rPr>
        <w:t>in registered capital and an in</w:t>
      </w:r>
      <w:r w:rsidRPr="00227BB5">
        <w:rPr>
          <w:lang w:val="it-IT"/>
        </w:rPr>
        <w:t xml:space="preserve">crease of </w:t>
      </w:r>
      <w:r>
        <w:rPr>
          <w:lang w:val="it-IT"/>
        </w:rPr>
        <w:t>27.8</w:t>
      </w:r>
      <w:r w:rsidRPr="00227BB5">
        <w:rPr>
          <w:lang w:val="it-IT"/>
        </w:rPr>
        <w:t xml:space="preserve">% in the number of employees compared to </w:t>
      </w:r>
      <w:r>
        <w:rPr>
          <w:lang w:val="it-IT"/>
        </w:rPr>
        <w:t>September</w:t>
      </w:r>
      <w:r w:rsidRPr="00227BB5">
        <w:rPr>
          <w:lang w:val="it-IT"/>
        </w:rPr>
        <w:t xml:space="preserve"> 2024. Compared to the same period last year, </w:t>
      </w:r>
      <w:r>
        <w:rPr>
          <w:lang w:val="it-IT"/>
        </w:rPr>
        <w:t>down 9.8</w:t>
      </w:r>
      <w:r w:rsidRPr="00227BB5">
        <w:rPr>
          <w:lang w:val="it-IT"/>
        </w:rPr>
        <w:t xml:space="preserve">% in the number of enterprises, </w:t>
      </w:r>
      <w:r>
        <w:rPr>
          <w:lang w:val="it-IT"/>
        </w:rPr>
        <w:t>up 9.5</w:t>
      </w:r>
      <w:r w:rsidRPr="00227BB5">
        <w:rPr>
          <w:lang w:val="it-IT"/>
        </w:rPr>
        <w:t xml:space="preserve">% in registered capital and </w:t>
      </w:r>
      <w:r>
        <w:rPr>
          <w:lang w:val="it-IT"/>
        </w:rPr>
        <w:t>down 39.2</w:t>
      </w:r>
      <w:r w:rsidRPr="00227BB5">
        <w:rPr>
          <w:lang w:val="it-IT"/>
        </w:rPr>
        <w:t xml:space="preserve">% in the number of employees. The average registered capital of a newly established enterprise in the month reached </w:t>
      </w:r>
      <w:r>
        <w:rPr>
          <w:lang w:val="it-IT"/>
        </w:rPr>
        <w:t>10.8</w:t>
      </w:r>
      <w:r w:rsidRPr="00227BB5">
        <w:rPr>
          <w:lang w:val="it-IT"/>
        </w:rPr>
        <w:t xml:space="preserve"> billion VND, </w:t>
      </w:r>
      <w:r>
        <w:rPr>
          <w:lang w:val="it-IT"/>
        </w:rPr>
        <w:t>an increase</w:t>
      </w:r>
      <w:r w:rsidRPr="00227BB5">
        <w:rPr>
          <w:lang w:val="it-IT"/>
        </w:rPr>
        <w:t xml:space="preserve"> of </w:t>
      </w:r>
      <w:r>
        <w:rPr>
          <w:lang w:val="it-IT"/>
        </w:rPr>
        <w:t>30.8</w:t>
      </w:r>
      <w:r w:rsidRPr="00227BB5">
        <w:rPr>
          <w:lang w:val="it-IT"/>
        </w:rPr>
        <w:t xml:space="preserve">% compared to the </w:t>
      </w:r>
      <w:r>
        <w:rPr>
          <w:lang w:val="it-IT"/>
        </w:rPr>
        <w:t>last</w:t>
      </w:r>
      <w:r w:rsidRPr="00227BB5">
        <w:rPr>
          <w:lang w:val="it-IT"/>
        </w:rPr>
        <w:t xml:space="preserve"> month and </w:t>
      </w:r>
      <w:r>
        <w:rPr>
          <w:lang w:val="it-IT"/>
        </w:rPr>
        <w:t>up 21.4</w:t>
      </w:r>
      <w:r w:rsidRPr="00227BB5">
        <w:rPr>
          <w:lang w:val="it-IT"/>
        </w:rPr>
        <w:t xml:space="preserve">% </w:t>
      </w:r>
      <w:r>
        <w:rPr>
          <w:lang w:val="it-IT"/>
        </w:rPr>
        <w:t>compared to</w:t>
      </w:r>
      <w:r w:rsidRPr="00227BB5">
        <w:rPr>
          <w:lang w:val="it-IT"/>
        </w:rPr>
        <w:t xml:space="preserve"> the same period </w:t>
      </w:r>
      <w:r>
        <w:rPr>
          <w:lang w:val="it-IT"/>
        </w:rPr>
        <w:t>of 2023</w:t>
      </w:r>
      <w:r w:rsidRPr="00227BB5">
        <w:rPr>
          <w:lang w:val="it-IT"/>
        </w:rPr>
        <w:t xml:space="preserve">. </w:t>
      </w:r>
      <w:r>
        <w:rPr>
          <w:lang w:val="it-IT"/>
        </w:rPr>
        <w:t>Besides</w:t>
      </w:r>
      <w:r w:rsidRPr="00227BB5">
        <w:rPr>
          <w:lang w:val="it-IT"/>
        </w:rPr>
        <w:t xml:space="preserve">, </w:t>
      </w:r>
      <w:r>
        <w:rPr>
          <w:lang w:val="it-IT"/>
        </w:rPr>
        <w:t>there were</w:t>
      </w:r>
      <w:r w:rsidRPr="00227BB5">
        <w:rPr>
          <w:lang w:val="it-IT"/>
        </w:rPr>
        <w:t xml:space="preserve"> </w:t>
      </w:r>
      <w:r>
        <w:rPr>
          <w:lang w:val="it-IT"/>
        </w:rPr>
        <w:t>nearly</w:t>
      </w:r>
      <w:r w:rsidRPr="00227BB5">
        <w:rPr>
          <w:lang w:val="it-IT"/>
        </w:rPr>
        <w:t xml:space="preserve"> </w:t>
      </w:r>
      <w:r>
        <w:rPr>
          <w:lang w:val="it-IT"/>
        </w:rPr>
        <w:t>8.7</w:t>
      </w:r>
      <w:r w:rsidRPr="00227BB5">
        <w:rPr>
          <w:lang w:val="it-IT"/>
        </w:rPr>
        <w:t xml:space="preserve"> thousand enterprises</w:t>
      </w:r>
      <w:r>
        <w:rPr>
          <w:lang w:val="it-IT"/>
        </w:rPr>
        <w:t xml:space="preserve"> resumed in the whole country</w:t>
      </w:r>
      <w:r w:rsidRPr="00227BB5">
        <w:rPr>
          <w:lang w:val="it-IT"/>
        </w:rPr>
        <w:t xml:space="preserve">, </w:t>
      </w:r>
      <w:r>
        <w:rPr>
          <w:lang w:val="it-IT"/>
        </w:rPr>
        <w:t>up 33.5</w:t>
      </w:r>
      <w:r w:rsidRPr="00227BB5">
        <w:rPr>
          <w:lang w:val="it-IT"/>
        </w:rPr>
        <w:t xml:space="preserve">% compared to the previous month and </w:t>
      </w:r>
      <w:r>
        <w:rPr>
          <w:lang w:val="it-IT"/>
        </w:rPr>
        <w:t>up 53.7</w:t>
      </w:r>
      <w:r w:rsidRPr="00227BB5">
        <w:rPr>
          <w:lang w:val="it-IT"/>
        </w:rPr>
        <w:t xml:space="preserve">% compared to the same period </w:t>
      </w:r>
      <w:r>
        <w:rPr>
          <w:lang w:val="it-IT"/>
        </w:rPr>
        <w:t>of</w:t>
      </w:r>
      <w:r w:rsidRPr="00227BB5">
        <w:rPr>
          <w:lang w:val="it-IT"/>
        </w:rPr>
        <w:t xml:space="preserve"> 2023.</w:t>
      </w:r>
    </w:p>
    <w:p w14:paraId="39A716D3" w14:textId="77777777" w:rsidR="0063307A" w:rsidRPr="00227BB5" w:rsidRDefault="0063307A" w:rsidP="0063307A">
      <w:pPr>
        <w:spacing w:after="40" w:line="300" w:lineRule="auto"/>
        <w:ind w:firstLine="567"/>
        <w:jc w:val="both"/>
      </w:pPr>
      <w:r>
        <w:t>Generally, i</w:t>
      </w:r>
      <w:r w:rsidRPr="00227BB5">
        <w:t xml:space="preserve">n the </w:t>
      </w:r>
      <w:r>
        <w:t>ten months</w:t>
      </w:r>
      <w:r w:rsidRPr="00227BB5">
        <w:t xml:space="preserve"> of 2024, the</w:t>
      </w:r>
      <w:r>
        <w:t xml:space="preserve"> whole</w:t>
      </w:r>
      <w:r w:rsidRPr="00227BB5">
        <w:t xml:space="preserve"> country had </w:t>
      </w:r>
      <w:r>
        <w:t>neaaly 136.1</w:t>
      </w:r>
      <w:r w:rsidRPr="00227BB5">
        <w:rPr>
          <w:lang w:val="it-IT"/>
        </w:rPr>
        <w:t xml:space="preserve"> </w:t>
      </w:r>
      <w:r w:rsidRPr="00227BB5">
        <w:t>thousand newly registered enterprises with a total registered capital of</w:t>
      </w:r>
      <w:r w:rsidRPr="00227BB5">
        <w:rPr>
          <w:lang w:val="it-IT"/>
        </w:rPr>
        <w:t xml:space="preserve"> </w:t>
      </w:r>
      <w:r>
        <w:rPr>
          <w:lang w:val="it-IT"/>
        </w:rPr>
        <w:t>nearly 1,312.1</w:t>
      </w:r>
      <w:r w:rsidRPr="00227BB5">
        <w:rPr>
          <w:lang w:val="it-IT"/>
        </w:rPr>
        <w:t xml:space="preserve"> </w:t>
      </w:r>
      <w:r w:rsidRPr="00227BB5">
        <w:t xml:space="preserve">trillion VND and </w:t>
      </w:r>
      <w:r>
        <w:t>a</w:t>
      </w:r>
      <w:r w:rsidRPr="00227BB5">
        <w:t xml:space="preserve"> total number of registered employees was </w:t>
      </w:r>
      <w:r>
        <w:t>nearly 815.6</w:t>
      </w:r>
      <w:r w:rsidRPr="00227BB5">
        <w:rPr>
          <w:lang w:val="it-IT"/>
        </w:rPr>
        <w:t xml:space="preserve"> </w:t>
      </w:r>
      <w:r w:rsidRPr="00227BB5">
        <w:t xml:space="preserve">thousand employees, </w:t>
      </w:r>
      <w:r>
        <w:t>up</w:t>
      </w:r>
      <w:r>
        <w:rPr>
          <w:lang w:val="it-IT"/>
        </w:rPr>
        <w:t xml:space="preserve"> 1.9</w:t>
      </w:r>
      <w:r w:rsidRPr="00227BB5">
        <w:rPr>
          <w:lang w:val="it-IT"/>
        </w:rPr>
        <w:t xml:space="preserve">% </w:t>
      </w:r>
      <w:r w:rsidRPr="00227BB5">
        <w:t xml:space="preserve">in the number of enterprises, </w:t>
      </w:r>
      <w:r>
        <w:t>up 4.1</w:t>
      </w:r>
      <w:r w:rsidRPr="00227BB5">
        <w:rPr>
          <w:lang w:val="it-IT"/>
        </w:rPr>
        <w:t xml:space="preserve">% </w:t>
      </w:r>
      <w:r w:rsidRPr="00227BB5">
        <w:t xml:space="preserve">in registered capital and </w:t>
      </w:r>
      <w:r>
        <w:t>down 8.7</w:t>
      </w:r>
      <w:r w:rsidRPr="00227BB5">
        <w:rPr>
          <w:lang w:val="it-IT"/>
        </w:rPr>
        <w:t xml:space="preserve">% </w:t>
      </w:r>
      <w:r w:rsidRPr="00227BB5">
        <w:t xml:space="preserve">in the number of employees compared to the same period last year. The average registered capital of a newly established enterprise in the </w:t>
      </w:r>
      <w:r>
        <w:t>ten</w:t>
      </w:r>
      <w:r w:rsidRPr="00227BB5">
        <w:t xml:space="preserve"> months of 2024 </w:t>
      </w:r>
      <w:r>
        <w:t>achieved</w:t>
      </w:r>
      <w:r w:rsidRPr="00227BB5">
        <w:rPr>
          <w:lang w:val="it-IT"/>
        </w:rPr>
        <w:t xml:space="preserve"> 9.</w:t>
      </w:r>
      <w:r>
        <w:rPr>
          <w:lang w:val="it-IT"/>
        </w:rPr>
        <w:t>6</w:t>
      </w:r>
      <w:r w:rsidRPr="00227BB5">
        <w:rPr>
          <w:lang w:val="it-IT"/>
        </w:rPr>
        <w:t xml:space="preserve"> </w:t>
      </w:r>
      <w:r w:rsidRPr="00227BB5">
        <w:t xml:space="preserve">billion VND, </w:t>
      </w:r>
      <w:r>
        <w:t>up 2.2% to the same period of 2023</w:t>
      </w:r>
      <w:r w:rsidRPr="00227BB5">
        <w:rPr>
          <w:lang w:val="it-IT"/>
        </w:rPr>
        <w:t xml:space="preserve">. </w:t>
      </w:r>
      <w:r>
        <w:rPr>
          <w:lang w:val="it-IT"/>
        </w:rPr>
        <w:t>T</w:t>
      </w:r>
      <w:r w:rsidRPr="007E7AD3">
        <w:t xml:space="preserve">he total number </w:t>
      </w:r>
      <w:r>
        <w:t xml:space="preserve">additional registered </w:t>
      </w:r>
      <w:r w:rsidRPr="007E7AD3">
        <w:t xml:space="preserve">captial </w:t>
      </w:r>
      <w:r>
        <w:t>into</w:t>
      </w:r>
      <w:r w:rsidRPr="007E7AD3">
        <w:t xml:space="preserve"> the economy</w:t>
      </w:r>
      <w:r w:rsidRPr="00227BB5">
        <w:t xml:space="preserve"> in the </w:t>
      </w:r>
      <w:r>
        <w:t>ten months</w:t>
      </w:r>
      <w:r w:rsidRPr="00227BB5">
        <w:t xml:space="preserve"> of 2024 was</w:t>
      </w:r>
      <w:r w:rsidRPr="007E7AD3">
        <w:t xml:space="preserve"> </w:t>
      </w:r>
      <w:r>
        <w:t>nealy 2,613.1</w:t>
      </w:r>
      <w:r w:rsidRPr="007E7AD3">
        <w:t xml:space="preserve"> </w:t>
      </w:r>
      <w:r w:rsidRPr="00227BB5">
        <w:t xml:space="preserve">trillion VND, a </w:t>
      </w:r>
      <w:r>
        <w:t>year-on-year reduction</w:t>
      </w:r>
      <w:r w:rsidRPr="00227BB5">
        <w:t xml:space="preserve"> of </w:t>
      </w:r>
      <w:r>
        <w:rPr>
          <w:lang w:val="it-IT"/>
        </w:rPr>
        <w:t>4.7</w:t>
      </w:r>
      <w:r w:rsidRPr="00227BB5">
        <w:rPr>
          <w:lang w:val="it-IT"/>
        </w:rPr>
        <w:t>%</w:t>
      </w:r>
      <w:r w:rsidRPr="00227BB5">
        <w:t xml:space="preserve">. </w:t>
      </w:r>
      <w:r>
        <w:t>Besides</w:t>
      </w:r>
      <w:r w:rsidRPr="00227BB5">
        <w:t>,</w:t>
      </w:r>
      <w:r>
        <w:t xml:space="preserve"> there we</w:t>
      </w:r>
      <w:r w:rsidRPr="00227BB5">
        <w:t xml:space="preserve">re </w:t>
      </w:r>
      <w:r>
        <w:t>more than 66.2</w:t>
      </w:r>
      <w:r w:rsidRPr="00227BB5">
        <w:rPr>
          <w:lang w:val="it-IT"/>
        </w:rPr>
        <w:t xml:space="preserve"> </w:t>
      </w:r>
      <w:r w:rsidRPr="00227BB5">
        <w:t>thousand enterprises</w:t>
      </w:r>
      <w:r>
        <w:t xml:space="preserve"> resumed</w:t>
      </w:r>
      <w:r w:rsidRPr="00227BB5">
        <w:t xml:space="preserve"> (</w:t>
      </w:r>
      <w:r>
        <w:t>a year-on-year increase of</w:t>
      </w:r>
      <w:r w:rsidRPr="00227BB5">
        <w:t xml:space="preserve"> </w:t>
      </w:r>
      <w:r>
        <w:t>27.7</w:t>
      </w:r>
      <w:r w:rsidRPr="00227BB5">
        <w:rPr>
          <w:lang w:val="it-IT"/>
        </w:rPr>
        <w:t xml:space="preserve">%), </w:t>
      </w:r>
      <w:r>
        <w:t>levering</w:t>
      </w:r>
      <w:r w:rsidRPr="00227BB5">
        <w:t xml:space="preserve"> the total number of newly</w:t>
      </w:r>
      <w:r>
        <w:t xml:space="preserve"> </w:t>
      </w:r>
      <w:r w:rsidRPr="00227BB5">
        <w:t xml:space="preserve">established enterprises and </w:t>
      </w:r>
      <w:r>
        <w:t>resumed</w:t>
      </w:r>
      <w:r w:rsidRPr="00227BB5">
        <w:t xml:space="preserve"> enterprises in the </w:t>
      </w:r>
      <w:r>
        <w:t>ten</w:t>
      </w:r>
      <w:r w:rsidRPr="00227BB5">
        <w:t xml:space="preserve"> months of 2024 to </w:t>
      </w:r>
      <w:r>
        <w:t>over 202.3</w:t>
      </w:r>
      <w:r w:rsidRPr="00227BB5">
        <w:rPr>
          <w:lang w:val="it-IT"/>
        </w:rPr>
        <w:t xml:space="preserve"> </w:t>
      </w:r>
      <w:r w:rsidRPr="00227BB5">
        <w:t xml:space="preserve">thousand enterprises, </w:t>
      </w:r>
      <w:r>
        <w:lastRenderedPageBreak/>
        <w:t>a year-on-year increase of</w:t>
      </w:r>
      <w:r w:rsidRPr="00227BB5">
        <w:t xml:space="preserve"> </w:t>
      </w:r>
      <w:r>
        <w:t>9.1</w:t>
      </w:r>
      <w:r w:rsidRPr="00227BB5">
        <w:rPr>
          <w:lang w:val="it-IT"/>
        </w:rPr>
        <w:t>%</w:t>
      </w:r>
      <w:r w:rsidRPr="00227BB5">
        <w:t xml:space="preserve">. </w:t>
      </w:r>
      <w:r>
        <w:t xml:space="preserve">On </w:t>
      </w:r>
      <w:r w:rsidRPr="00227BB5">
        <w:t>average</w:t>
      </w:r>
      <w:r>
        <w:t>, there were over 20.2</w:t>
      </w:r>
      <w:r w:rsidRPr="00227BB5">
        <w:rPr>
          <w:lang w:val="it-IT"/>
        </w:rPr>
        <w:t xml:space="preserve"> </w:t>
      </w:r>
      <w:r w:rsidRPr="00227BB5">
        <w:t xml:space="preserve">thousand newly established and </w:t>
      </w:r>
      <w:r>
        <w:t>resumed</w:t>
      </w:r>
      <w:r w:rsidRPr="00227BB5">
        <w:t xml:space="preserve"> enterprises</w:t>
      </w:r>
      <w:r>
        <w:t xml:space="preserve"> per month</w:t>
      </w:r>
      <w:r w:rsidRPr="00227BB5">
        <w:rPr>
          <w:lang w:val="it-IT"/>
        </w:rPr>
        <w:t>.</w:t>
      </w:r>
    </w:p>
    <w:p w14:paraId="5A237823" w14:textId="77777777" w:rsidR="0063307A" w:rsidRPr="00227BB5" w:rsidRDefault="0063307A" w:rsidP="0063307A">
      <w:pPr>
        <w:spacing w:after="40" w:line="300" w:lineRule="auto"/>
        <w:ind w:firstLine="567"/>
        <w:jc w:val="both"/>
        <w:rPr>
          <w:lang w:val="it-IT"/>
        </w:rPr>
      </w:pPr>
      <w:r w:rsidRPr="00227BB5">
        <w:t xml:space="preserve">By economic sector in </w:t>
      </w:r>
      <w:r>
        <w:t>the ten</w:t>
      </w:r>
      <w:r w:rsidRPr="00227BB5">
        <w:t xml:space="preserve"> months</w:t>
      </w:r>
      <w:r>
        <w:t xml:space="preserve"> of 2024</w:t>
      </w:r>
      <w:r w:rsidRPr="00227BB5">
        <w:t xml:space="preserve">, there were </w:t>
      </w:r>
      <w:r>
        <w:rPr>
          <w:lang w:val="it-IT"/>
        </w:rPr>
        <w:t>1,373</w:t>
      </w:r>
      <w:r w:rsidRPr="00227BB5">
        <w:rPr>
          <w:lang w:val="it-IT"/>
        </w:rPr>
        <w:t xml:space="preserve"> </w:t>
      </w:r>
      <w:r w:rsidRPr="00227BB5">
        <w:t>newly</w:t>
      </w:r>
      <w:r>
        <w:t xml:space="preserve"> </w:t>
      </w:r>
      <w:r w:rsidRPr="00227BB5">
        <w:t>established enterprises in the agricultural, forestry, and fishery sectors, a</w:t>
      </w:r>
      <w:r>
        <w:t xml:space="preserve"> year-on-year</w:t>
      </w:r>
      <w:r w:rsidRPr="00227BB5">
        <w:t xml:space="preserve"> </w:t>
      </w:r>
      <w:r>
        <w:t>decrease</w:t>
      </w:r>
      <w:r w:rsidRPr="00227BB5">
        <w:t xml:space="preserve"> of</w:t>
      </w:r>
      <w:r w:rsidRPr="00227BB5">
        <w:rPr>
          <w:lang w:val="it-IT"/>
        </w:rPr>
        <w:t xml:space="preserve"> </w:t>
      </w:r>
      <w:r>
        <w:rPr>
          <w:lang w:val="it-IT"/>
        </w:rPr>
        <w:t>5.2</w:t>
      </w:r>
      <w:r w:rsidRPr="00227BB5">
        <w:rPr>
          <w:lang w:val="it-IT"/>
        </w:rPr>
        <w:t>%</w:t>
      </w:r>
      <w:r w:rsidRPr="00227BB5">
        <w:t xml:space="preserve">; </w:t>
      </w:r>
      <w:r>
        <w:rPr>
          <w:lang w:val="it-IT"/>
        </w:rPr>
        <w:t>nearly 31.6</w:t>
      </w:r>
      <w:r w:rsidRPr="00227BB5">
        <w:rPr>
          <w:lang w:val="it-IT"/>
        </w:rPr>
        <w:t xml:space="preserve"> </w:t>
      </w:r>
      <w:r w:rsidRPr="00227BB5">
        <w:t xml:space="preserve">thousand enterprises in the industrial and construction sectors, </w:t>
      </w:r>
      <w:r>
        <w:t>a de</w:t>
      </w:r>
      <w:r w:rsidRPr="00227BB5">
        <w:t>crease of</w:t>
      </w:r>
      <w:r w:rsidRPr="00227BB5">
        <w:rPr>
          <w:lang w:val="it-IT"/>
        </w:rPr>
        <w:t xml:space="preserve"> </w:t>
      </w:r>
      <w:r>
        <w:rPr>
          <w:lang w:val="it-IT"/>
        </w:rPr>
        <w:t>0.5</w:t>
      </w:r>
      <w:r w:rsidRPr="00227BB5">
        <w:rPr>
          <w:lang w:val="it-IT"/>
        </w:rPr>
        <w:t xml:space="preserve">%; </w:t>
      </w:r>
      <w:r>
        <w:rPr>
          <w:lang w:val="it-IT"/>
        </w:rPr>
        <w:t>more than 103.1</w:t>
      </w:r>
      <w:r w:rsidRPr="00227BB5">
        <w:rPr>
          <w:lang w:val="it-IT"/>
        </w:rPr>
        <w:t xml:space="preserve"> </w:t>
      </w:r>
      <w:r w:rsidRPr="00227BB5">
        <w:t xml:space="preserve">thousand enterprises in the service sector, an increase of </w:t>
      </w:r>
      <w:r>
        <w:rPr>
          <w:lang w:val="it-IT"/>
        </w:rPr>
        <w:t>2.7</w:t>
      </w:r>
      <w:r w:rsidRPr="00227BB5">
        <w:rPr>
          <w:lang w:val="it-IT"/>
        </w:rPr>
        <w:t>%.</w:t>
      </w:r>
    </w:p>
    <w:p w14:paraId="1DC4CE9A" w14:textId="77777777" w:rsidR="0063307A" w:rsidRPr="00227BB5" w:rsidRDefault="0063307A" w:rsidP="0063307A">
      <w:pPr>
        <w:spacing w:before="120" w:after="40" w:line="288" w:lineRule="auto"/>
        <w:jc w:val="center"/>
        <w:rPr>
          <w:noProof/>
          <w:lang w:val="it-IT" w:eastAsia="en-GB"/>
        </w:rPr>
      </w:pPr>
      <w:r w:rsidRPr="00227BB5">
        <w:rPr>
          <w:rFonts w:ascii="Arial" w:hAnsi="Arial" w:cs="Arial"/>
          <w:b/>
          <w:lang w:val="it-IT"/>
        </w:rPr>
        <w:t>Figure</w:t>
      </w:r>
      <w:r w:rsidRPr="00227BB5">
        <w:rPr>
          <w:rFonts w:ascii="Arial" w:hAnsi="Arial" w:cs="Arial"/>
          <w:b/>
          <w:sz w:val="24"/>
          <w:szCs w:val="24"/>
          <w:lang w:val="it-IT"/>
        </w:rPr>
        <w:t xml:space="preserve"> 6. </w:t>
      </w:r>
      <w:r w:rsidRPr="00227BB5">
        <w:rPr>
          <w:rFonts w:ascii="Arial" w:hAnsi="Arial" w:cs="Arial"/>
          <w:b/>
          <w:lang w:val="it-IT"/>
        </w:rPr>
        <w:t>Enterprise registration situation</w:t>
      </w:r>
    </w:p>
    <w:p w14:paraId="2236B566" w14:textId="77777777" w:rsidR="0063307A" w:rsidRPr="00227BB5" w:rsidRDefault="0063307A" w:rsidP="0063307A">
      <w:pPr>
        <w:spacing w:before="120" w:after="40" w:line="288" w:lineRule="auto"/>
        <w:jc w:val="center"/>
        <w:rPr>
          <w:rFonts w:ascii="Arial" w:hAnsi="Arial" w:cs="Arial"/>
          <w:b/>
          <w:sz w:val="24"/>
          <w:szCs w:val="24"/>
          <w:lang w:val="it-IT"/>
        </w:rPr>
      </w:pPr>
      <w:r w:rsidRPr="00BA2931">
        <w:rPr>
          <w:rFonts w:ascii="Arial" w:hAnsi="Arial" w:cs="Arial"/>
          <w:b/>
          <w:noProof/>
          <w:sz w:val="24"/>
          <w:szCs w:val="24"/>
          <w:lang w:eastAsia="en-GB"/>
        </w:rPr>
        <w:drawing>
          <wp:inline distT="0" distB="0" distL="0" distR="0" wp14:anchorId="52A0428E" wp14:editId="3287C343">
            <wp:extent cx="4177449" cy="2188845"/>
            <wp:effectExtent l="0" t="0" r="0" b="1905"/>
            <wp:docPr id="122579398" name="Picture 122579398" descr="C:\Users\dtphong\Downloads\DN.1_Doanh nghiep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phong\Downloads\DN.1_Doanh nghiep copy.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80905" cy="2190656"/>
                    </a:xfrm>
                    <a:prstGeom prst="rect">
                      <a:avLst/>
                    </a:prstGeom>
                    <a:noFill/>
                    <a:ln>
                      <a:noFill/>
                    </a:ln>
                  </pic:spPr>
                </pic:pic>
              </a:graphicData>
            </a:graphic>
          </wp:inline>
        </w:drawing>
      </w:r>
    </w:p>
    <w:p w14:paraId="27D9E086" w14:textId="77777777" w:rsidR="0063307A" w:rsidRPr="00227BB5" w:rsidRDefault="0063307A" w:rsidP="0063307A">
      <w:pPr>
        <w:spacing w:before="40" w:after="40" w:line="283" w:lineRule="auto"/>
        <w:ind w:firstLine="567"/>
        <w:jc w:val="both"/>
        <w:rPr>
          <w:lang w:val="it-IT"/>
        </w:rPr>
      </w:pPr>
      <w:r w:rsidRPr="00227BB5">
        <w:t xml:space="preserve">Also in </w:t>
      </w:r>
      <w:r>
        <w:t>October</w:t>
      </w:r>
      <w:r w:rsidRPr="00227BB5">
        <w:t xml:space="preserve">, </w:t>
      </w:r>
      <w:r>
        <w:rPr>
          <w:lang w:val="it-IT"/>
        </w:rPr>
        <w:t>5,454</w:t>
      </w:r>
      <w:r w:rsidRPr="00227BB5">
        <w:rPr>
          <w:lang w:val="it-IT"/>
        </w:rPr>
        <w:t xml:space="preserve"> </w:t>
      </w:r>
      <w:r>
        <w:rPr>
          <w:lang w:val="it-IT"/>
        </w:rPr>
        <w:t xml:space="preserve">teamporarily inactive </w:t>
      </w:r>
      <w:r w:rsidRPr="00227BB5">
        <w:t xml:space="preserve">enterprises, </w:t>
      </w:r>
      <w:r>
        <w:t>up 28.8</w:t>
      </w:r>
      <w:r w:rsidRPr="00227BB5">
        <w:rPr>
          <w:lang w:val="it-IT"/>
        </w:rPr>
        <w:t xml:space="preserve">% </w:t>
      </w:r>
      <w:r w:rsidRPr="00227BB5">
        <w:t xml:space="preserve">compared to the previous month and </w:t>
      </w:r>
      <w:r>
        <w:t>down 0.9</w:t>
      </w:r>
      <w:r w:rsidRPr="00227BB5">
        <w:rPr>
          <w:lang w:val="it-IT"/>
        </w:rPr>
        <w:t xml:space="preserve">% </w:t>
      </w:r>
      <w:r w:rsidRPr="00227BB5">
        <w:t>over the same period in 2023</w:t>
      </w:r>
      <w:r w:rsidRPr="00227BB5">
        <w:rPr>
          <w:lang w:val="it-IT"/>
        </w:rPr>
        <w:t xml:space="preserve">; </w:t>
      </w:r>
      <w:r>
        <w:rPr>
          <w:lang w:val="it-IT"/>
        </w:rPr>
        <w:t xml:space="preserve">5,424 </w:t>
      </w:r>
      <w:r w:rsidRPr="00227BB5">
        <w:t xml:space="preserve">enterprises ceased and awaited dissolution procedures, </w:t>
      </w:r>
      <w:r>
        <w:t>down 26.8</w:t>
      </w:r>
      <w:r w:rsidRPr="00227BB5">
        <w:rPr>
          <w:lang w:val="it-IT"/>
        </w:rPr>
        <w:t xml:space="preserve">% </w:t>
      </w:r>
      <w:r w:rsidRPr="00227BB5">
        <w:t xml:space="preserve">and </w:t>
      </w:r>
      <w:r>
        <w:t>up 10.7</w:t>
      </w:r>
      <w:r w:rsidRPr="00227BB5">
        <w:rPr>
          <w:lang w:val="it-IT"/>
        </w:rPr>
        <w:t xml:space="preserve">%; </w:t>
      </w:r>
      <w:r>
        <w:rPr>
          <w:lang w:val="it-IT"/>
        </w:rPr>
        <w:t>1,987</w:t>
      </w:r>
      <w:r w:rsidRPr="00227BB5">
        <w:rPr>
          <w:lang w:val="it-IT"/>
        </w:rPr>
        <w:t xml:space="preserve"> </w:t>
      </w:r>
      <w:r w:rsidRPr="00227BB5">
        <w:t xml:space="preserve">enterprises completed dissolution procedures, </w:t>
      </w:r>
      <w:r>
        <w:t>up 23.8</w:t>
      </w:r>
      <w:r w:rsidRPr="00227BB5">
        <w:rPr>
          <w:lang w:val="it-IT"/>
        </w:rPr>
        <w:t xml:space="preserve">% </w:t>
      </w:r>
      <w:r>
        <w:rPr>
          <w:lang w:val="it-IT"/>
        </w:rPr>
        <w:t>and up 34.3%</w:t>
      </w:r>
      <w:r w:rsidRPr="00227BB5">
        <w:rPr>
          <w:lang w:val="it-IT"/>
        </w:rPr>
        <w:t xml:space="preserve">. </w:t>
      </w:r>
    </w:p>
    <w:p w14:paraId="6C873FAE" w14:textId="77777777" w:rsidR="0063307A" w:rsidRDefault="0063307A" w:rsidP="0063307A">
      <w:pPr>
        <w:spacing w:before="40" w:after="40" w:line="283" w:lineRule="auto"/>
        <w:ind w:firstLine="567"/>
        <w:jc w:val="both"/>
        <w:rPr>
          <w:lang w:val="it-IT"/>
        </w:rPr>
      </w:pPr>
      <w:r w:rsidRPr="00227BB5">
        <w:t xml:space="preserve">In the </w:t>
      </w:r>
      <w:r>
        <w:t>ten</w:t>
      </w:r>
      <w:r w:rsidRPr="00227BB5">
        <w:t xml:space="preserve"> months of 202</w:t>
      </w:r>
      <w:r>
        <w:t>4</w:t>
      </w:r>
      <w:r w:rsidRPr="00227BB5">
        <w:t>, the</w:t>
      </w:r>
      <w:r>
        <w:t xml:space="preserve"> number of </w:t>
      </w:r>
      <w:r>
        <w:rPr>
          <w:lang w:val="it-IT"/>
        </w:rPr>
        <w:t xml:space="preserve">teamporarily inactive </w:t>
      </w:r>
      <w:r w:rsidRPr="00227BB5">
        <w:t>enterprises w</w:t>
      </w:r>
      <w:r>
        <w:t>as</w:t>
      </w:r>
      <w:r w:rsidRPr="00227BB5">
        <w:rPr>
          <w:lang w:val="it-IT"/>
        </w:rPr>
        <w:t xml:space="preserve"> </w:t>
      </w:r>
      <w:r>
        <w:rPr>
          <w:lang w:val="it-IT"/>
        </w:rPr>
        <w:t>more than 92.1</w:t>
      </w:r>
      <w:r w:rsidRPr="00227BB5">
        <w:rPr>
          <w:lang w:val="it-IT"/>
        </w:rPr>
        <w:t xml:space="preserve"> </w:t>
      </w:r>
      <w:r w:rsidRPr="00227BB5">
        <w:t>thousand</w:t>
      </w:r>
      <w:r>
        <w:t xml:space="preserve"> ones</w:t>
      </w:r>
      <w:r w:rsidRPr="00227BB5">
        <w:t xml:space="preserve">, a </w:t>
      </w:r>
      <w:r>
        <w:t xml:space="preserve">year-on-year </w:t>
      </w:r>
      <w:r w:rsidRPr="00227BB5">
        <w:t xml:space="preserve">increase of </w:t>
      </w:r>
      <w:r>
        <w:rPr>
          <w:lang w:val="it-IT"/>
        </w:rPr>
        <w:t>13.6%</w:t>
      </w:r>
      <w:r w:rsidRPr="00227BB5">
        <w:t xml:space="preserve">; </w:t>
      </w:r>
      <w:r>
        <w:t>over 63.7</w:t>
      </w:r>
      <w:r w:rsidRPr="00227BB5">
        <w:rPr>
          <w:lang w:val="it-IT"/>
        </w:rPr>
        <w:t xml:space="preserve"> </w:t>
      </w:r>
      <w:r w:rsidRPr="00227BB5">
        <w:t>thousand enterprises ceased and awaited dissolution procedures, a</w:t>
      </w:r>
      <w:r>
        <w:t>n</w:t>
      </w:r>
      <w:r w:rsidRPr="00227BB5">
        <w:t xml:space="preserve"> </w:t>
      </w:r>
      <w:r>
        <w:t>increase</w:t>
      </w:r>
      <w:r w:rsidRPr="00227BB5">
        <w:t xml:space="preserve"> of</w:t>
      </w:r>
      <w:r w:rsidRPr="00227BB5">
        <w:rPr>
          <w:lang w:val="it-IT"/>
        </w:rPr>
        <w:t xml:space="preserve"> </w:t>
      </w:r>
      <w:r>
        <w:rPr>
          <w:lang w:val="it-IT"/>
        </w:rPr>
        <w:t>25.6</w:t>
      </w:r>
      <w:r w:rsidRPr="00227BB5">
        <w:rPr>
          <w:lang w:val="it-IT"/>
        </w:rPr>
        <w:t xml:space="preserve">%; </w:t>
      </w:r>
      <w:r>
        <w:rPr>
          <w:lang w:val="it-IT"/>
        </w:rPr>
        <w:t>nearly 17.4</w:t>
      </w:r>
      <w:r w:rsidRPr="00227BB5">
        <w:rPr>
          <w:lang w:val="it-IT"/>
        </w:rPr>
        <w:t xml:space="preserve"> </w:t>
      </w:r>
      <w:r w:rsidRPr="00227BB5">
        <w:t xml:space="preserve">thousand enterprises completed dissolution procedures, up </w:t>
      </w:r>
      <w:r>
        <w:rPr>
          <w:lang w:val="it-IT"/>
        </w:rPr>
        <w:t>20.5</w:t>
      </w:r>
      <w:r w:rsidRPr="00227BB5">
        <w:rPr>
          <w:lang w:val="it-IT"/>
        </w:rPr>
        <w:t xml:space="preserve">%. </w:t>
      </w:r>
      <w:r w:rsidRPr="00227BB5">
        <w:t xml:space="preserve">On average, </w:t>
      </w:r>
      <w:r>
        <w:rPr>
          <w:lang w:val="it-IT"/>
        </w:rPr>
        <w:t>there were 17.3</w:t>
      </w:r>
      <w:r w:rsidRPr="00227BB5">
        <w:rPr>
          <w:lang w:val="it-IT"/>
        </w:rPr>
        <w:t xml:space="preserve"> </w:t>
      </w:r>
      <w:r w:rsidRPr="00227BB5">
        <w:t>thousand enterprises withdraw</w:t>
      </w:r>
      <w:r>
        <w:t>ing</w:t>
      </w:r>
      <w:r w:rsidRPr="00227BB5">
        <w:t xml:space="preserve"> from the market </w:t>
      </w:r>
      <w:r>
        <w:t>per</w:t>
      </w:r>
      <w:r w:rsidRPr="00227BB5">
        <w:t xml:space="preserve"> month</w:t>
      </w:r>
      <w:r w:rsidRPr="00227BB5">
        <w:rPr>
          <w:lang w:val="it-IT"/>
        </w:rPr>
        <w:t>.</w:t>
      </w:r>
    </w:p>
    <w:p w14:paraId="1BA2EF99" w14:textId="77777777" w:rsidR="0063307A" w:rsidRPr="00227BB5" w:rsidRDefault="0063307A" w:rsidP="0063307A">
      <w:pPr>
        <w:tabs>
          <w:tab w:val="left" w:pos="6810"/>
        </w:tabs>
        <w:spacing w:before="40" w:after="40" w:line="278" w:lineRule="auto"/>
        <w:jc w:val="center"/>
        <w:rPr>
          <w:rFonts w:ascii="Arial" w:hAnsi="Arial" w:cs="Arial"/>
          <w:b/>
          <w:sz w:val="24"/>
          <w:szCs w:val="20"/>
          <w:lang w:val="it-IT"/>
        </w:rPr>
      </w:pPr>
      <w:r w:rsidRPr="00227BB5">
        <w:rPr>
          <w:rFonts w:ascii="Arial" w:hAnsi="Arial" w:cs="Arial"/>
          <w:b/>
          <w:sz w:val="24"/>
          <w:szCs w:val="20"/>
          <w:lang w:val="it-IT"/>
        </w:rPr>
        <w:t>Table 3: Number of newl</w:t>
      </w:r>
      <w:r>
        <w:rPr>
          <w:rFonts w:ascii="Arial" w:hAnsi="Arial" w:cs="Arial"/>
          <w:b/>
          <w:sz w:val="24"/>
          <w:szCs w:val="20"/>
          <w:lang w:val="it-IT"/>
        </w:rPr>
        <w:t xml:space="preserve">y registered enterprises and </w:t>
      </w:r>
      <w:r w:rsidRPr="00227BB5">
        <w:rPr>
          <w:rFonts w:ascii="Arial" w:hAnsi="Arial" w:cs="Arial"/>
          <w:b/>
          <w:sz w:val="24"/>
          <w:szCs w:val="20"/>
          <w:lang w:val="it-IT"/>
        </w:rPr>
        <w:t xml:space="preserve">completed </w:t>
      </w:r>
      <w:r>
        <w:rPr>
          <w:rFonts w:ascii="Arial" w:hAnsi="Arial" w:cs="Arial"/>
          <w:b/>
          <w:sz w:val="24"/>
          <w:szCs w:val="20"/>
          <w:lang w:val="it-IT"/>
        </w:rPr>
        <w:t xml:space="preserve">                  </w:t>
      </w:r>
      <w:r w:rsidRPr="00227BB5">
        <w:rPr>
          <w:rFonts w:ascii="Arial" w:hAnsi="Arial" w:cs="Arial"/>
          <w:b/>
          <w:sz w:val="24"/>
          <w:szCs w:val="20"/>
          <w:lang w:val="it-IT"/>
        </w:rPr>
        <w:t xml:space="preserve">dissolution procedures in </w:t>
      </w:r>
      <w:r>
        <w:rPr>
          <w:rFonts w:ascii="Arial" w:hAnsi="Arial" w:cs="Arial"/>
          <w:b/>
          <w:sz w:val="24"/>
          <w:szCs w:val="20"/>
          <w:lang w:val="it-IT"/>
        </w:rPr>
        <w:t xml:space="preserve">the ten </w:t>
      </w:r>
      <w:r w:rsidRPr="00227BB5">
        <w:rPr>
          <w:rFonts w:ascii="Arial" w:hAnsi="Arial" w:cs="Arial"/>
          <w:b/>
          <w:sz w:val="24"/>
          <w:szCs w:val="20"/>
          <w:lang w:val="it-IT"/>
        </w:rPr>
        <w:t>months</w:t>
      </w:r>
      <w:r>
        <w:rPr>
          <w:rFonts w:ascii="Arial" w:hAnsi="Arial" w:cs="Arial"/>
          <w:b/>
          <w:sz w:val="24"/>
          <w:szCs w:val="20"/>
          <w:lang w:val="it-IT"/>
        </w:rPr>
        <w:t xml:space="preserve"> of</w:t>
      </w:r>
      <w:r w:rsidRPr="00227BB5">
        <w:rPr>
          <w:rFonts w:ascii="Arial" w:hAnsi="Arial" w:cs="Arial"/>
          <w:b/>
          <w:sz w:val="24"/>
          <w:szCs w:val="20"/>
          <w:lang w:val="it-IT"/>
        </w:rPr>
        <w:t xml:space="preserve"> 202</w:t>
      </w:r>
      <w:r>
        <w:rPr>
          <w:rFonts w:ascii="Arial" w:hAnsi="Arial" w:cs="Arial"/>
          <w:b/>
          <w:sz w:val="24"/>
          <w:szCs w:val="20"/>
          <w:lang w:val="it-IT"/>
        </w:rPr>
        <w:t>4</w:t>
      </w:r>
      <w:r w:rsidRPr="00227BB5">
        <w:rPr>
          <w:rFonts w:ascii="Arial" w:hAnsi="Arial" w:cs="Arial"/>
          <w:b/>
          <w:sz w:val="24"/>
          <w:szCs w:val="20"/>
          <w:lang w:val="it-IT"/>
        </w:rPr>
        <w:t xml:space="preserve">  by kinds of activity</w:t>
      </w:r>
    </w:p>
    <w:p w14:paraId="54CE7DF3" w14:textId="77777777" w:rsidR="0063307A" w:rsidRPr="00227BB5" w:rsidRDefault="0063307A" w:rsidP="0063307A">
      <w:pPr>
        <w:tabs>
          <w:tab w:val="left" w:pos="6810"/>
        </w:tabs>
        <w:spacing w:before="40" w:after="40" w:line="278" w:lineRule="auto"/>
        <w:ind w:firstLine="567"/>
        <w:jc w:val="center"/>
        <w:rPr>
          <w:rFonts w:ascii="Arial" w:hAnsi="Arial" w:cs="Arial"/>
          <w:b/>
          <w:sz w:val="4"/>
          <w:szCs w:val="20"/>
          <w:lang w:val="it-IT"/>
        </w:rPr>
      </w:pPr>
    </w:p>
    <w:tbl>
      <w:tblPr>
        <w:tblW w:w="9198" w:type="dxa"/>
        <w:jc w:val="center"/>
        <w:tblLayout w:type="fixed"/>
        <w:tblLook w:val="04A0" w:firstRow="1" w:lastRow="0" w:firstColumn="1" w:lastColumn="0" w:noHBand="0" w:noVBand="1"/>
      </w:tblPr>
      <w:tblGrid>
        <w:gridCol w:w="3670"/>
        <w:gridCol w:w="1566"/>
        <w:gridCol w:w="1178"/>
        <w:gridCol w:w="1655"/>
        <w:gridCol w:w="1129"/>
      </w:tblGrid>
      <w:tr w:rsidR="0063307A" w:rsidRPr="00227BB5" w14:paraId="03A4EA8C" w14:textId="77777777" w:rsidTr="00B73CE3">
        <w:trPr>
          <w:cantSplit/>
          <w:trHeight w:val="576"/>
          <w:jc w:val="center"/>
        </w:trPr>
        <w:tc>
          <w:tcPr>
            <w:tcW w:w="3670" w:type="dxa"/>
            <w:vMerge w:val="restart"/>
            <w:tcBorders>
              <w:top w:val="single" w:sz="4" w:space="0" w:color="auto"/>
            </w:tcBorders>
            <w:shd w:val="clear" w:color="auto" w:fill="auto"/>
            <w:noWrap/>
            <w:vAlign w:val="bottom"/>
            <w:hideMark/>
          </w:tcPr>
          <w:p w14:paraId="10C2A40E" w14:textId="77777777" w:rsidR="0063307A" w:rsidRPr="00227BB5" w:rsidRDefault="0063307A" w:rsidP="00B73CE3">
            <w:pPr>
              <w:jc w:val="center"/>
              <w:rPr>
                <w:rFonts w:ascii="Arial" w:hAnsi="Arial" w:cs="Arial"/>
                <w:sz w:val="20"/>
                <w:szCs w:val="20"/>
                <w:lang w:val="it-IT"/>
              </w:rPr>
            </w:pPr>
            <w:r w:rsidRPr="00227BB5">
              <w:rPr>
                <w:rFonts w:ascii="Arial" w:hAnsi="Arial" w:cs="Arial"/>
                <w:sz w:val="20"/>
                <w:szCs w:val="20"/>
                <w:lang w:val="it-IT"/>
              </w:rPr>
              <w:t> </w:t>
            </w:r>
          </w:p>
        </w:tc>
        <w:tc>
          <w:tcPr>
            <w:tcW w:w="2744" w:type="dxa"/>
            <w:gridSpan w:val="2"/>
            <w:tcBorders>
              <w:top w:val="single" w:sz="4" w:space="0" w:color="auto"/>
              <w:bottom w:val="single" w:sz="4" w:space="0" w:color="auto"/>
            </w:tcBorders>
            <w:shd w:val="clear" w:color="auto" w:fill="auto"/>
            <w:vAlign w:val="center"/>
            <w:hideMark/>
          </w:tcPr>
          <w:p w14:paraId="161C5939" w14:textId="77777777" w:rsidR="0063307A" w:rsidRPr="00227BB5" w:rsidRDefault="0063307A" w:rsidP="00B73CE3">
            <w:pPr>
              <w:spacing w:before="40" w:after="40"/>
              <w:jc w:val="center"/>
              <w:rPr>
                <w:rFonts w:ascii="Arial" w:hAnsi="Arial" w:cs="Arial"/>
                <w:bCs/>
                <w:sz w:val="18"/>
                <w:szCs w:val="18"/>
                <w:lang w:val="it-IT"/>
              </w:rPr>
            </w:pPr>
            <w:r w:rsidRPr="00227BB5">
              <w:rPr>
                <w:rFonts w:ascii="Arial" w:hAnsi="Arial" w:cs="Arial"/>
                <w:bCs/>
                <w:color w:val="000000"/>
                <w:sz w:val="18"/>
                <w:szCs w:val="18"/>
              </w:rPr>
              <w:t>Number of enterprises (Enterprise)</w:t>
            </w:r>
          </w:p>
        </w:tc>
        <w:tc>
          <w:tcPr>
            <w:tcW w:w="2784" w:type="dxa"/>
            <w:gridSpan w:val="2"/>
            <w:tcBorders>
              <w:top w:val="single" w:sz="4" w:space="0" w:color="auto"/>
              <w:bottom w:val="single" w:sz="4" w:space="0" w:color="auto"/>
            </w:tcBorders>
            <w:shd w:val="clear" w:color="auto" w:fill="auto"/>
            <w:vAlign w:val="center"/>
            <w:hideMark/>
          </w:tcPr>
          <w:p w14:paraId="589792A8" w14:textId="77777777" w:rsidR="0063307A" w:rsidRDefault="0063307A" w:rsidP="00B73CE3">
            <w:pPr>
              <w:spacing w:before="40" w:after="40"/>
              <w:jc w:val="center"/>
              <w:rPr>
                <w:rFonts w:ascii="Arial" w:hAnsi="Arial" w:cs="Arial"/>
                <w:bCs/>
                <w:color w:val="000000"/>
                <w:sz w:val="18"/>
                <w:szCs w:val="18"/>
              </w:rPr>
            </w:pPr>
            <w:r w:rsidRPr="00227BB5">
              <w:rPr>
                <w:rFonts w:ascii="Arial" w:hAnsi="Arial" w:cs="Arial"/>
                <w:bCs/>
                <w:color w:val="000000"/>
                <w:sz w:val="18"/>
                <w:szCs w:val="18"/>
              </w:rPr>
              <w:t xml:space="preserve">Growth rate </w:t>
            </w:r>
            <w:r>
              <w:rPr>
                <w:rFonts w:ascii="Arial" w:hAnsi="Arial" w:cs="Arial"/>
                <w:bCs/>
                <w:color w:val="000000"/>
                <w:sz w:val="18"/>
                <w:szCs w:val="18"/>
              </w:rPr>
              <w:t>over</w:t>
            </w:r>
          </w:p>
          <w:p w14:paraId="49E224A7" w14:textId="77777777" w:rsidR="0063307A" w:rsidRPr="00227BB5" w:rsidRDefault="0063307A" w:rsidP="00B73CE3">
            <w:pPr>
              <w:spacing w:before="40" w:after="40"/>
              <w:jc w:val="center"/>
              <w:rPr>
                <w:rFonts w:ascii="Arial" w:hAnsi="Arial" w:cs="Arial"/>
                <w:bCs/>
                <w:sz w:val="18"/>
                <w:szCs w:val="18"/>
                <w:lang w:val="it-IT"/>
              </w:rPr>
            </w:pPr>
            <w:r w:rsidRPr="00227BB5">
              <w:rPr>
                <w:rFonts w:ascii="Arial" w:hAnsi="Arial" w:cs="Arial"/>
                <w:bCs/>
                <w:color w:val="000000"/>
                <w:sz w:val="18"/>
                <w:szCs w:val="18"/>
              </w:rPr>
              <w:t xml:space="preserve">the same period last year </w:t>
            </w:r>
            <w:r>
              <w:rPr>
                <w:rFonts w:ascii="Arial" w:hAnsi="Arial" w:cs="Arial"/>
                <w:bCs/>
                <w:color w:val="000000"/>
                <w:sz w:val="18"/>
                <w:szCs w:val="18"/>
              </w:rPr>
              <w:t>(</w:t>
            </w:r>
            <w:r w:rsidRPr="00227BB5">
              <w:rPr>
                <w:rFonts w:ascii="Arial" w:hAnsi="Arial" w:cs="Arial"/>
                <w:bCs/>
                <w:color w:val="000000"/>
                <w:sz w:val="18"/>
                <w:szCs w:val="18"/>
              </w:rPr>
              <w:t>%)</w:t>
            </w:r>
          </w:p>
        </w:tc>
      </w:tr>
      <w:tr w:rsidR="0063307A" w:rsidRPr="00227BB5" w14:paraId="3B5AB466" w14:textId="77777777" w:rsidTr="00B73CE3">
        <w:trPr>
          <w:cantSplit/>
          <w:trHeight w:val="570"/>
          <w:jc w:val="center"/>
        </w:trPr>
        <w:tc>
          <w:tcPr>
            <w:tcW w:w="3670" w:type="dxa"/>
            <w:vMerge/>
            <w:vAlign w:val="center"/>
            <w:hideMark/>
          </w:tcPr>
          <w:p w14:paraId="68C6A219" w14:textId="77777777" w:rsidR="0063307A" w:rsidRPr="00227BB5" w:rsidRDefault="0063307A" w:rsidP="00B73CE3">
            <w:pPr>
              <w:rPr>
                <w:rFonts w:ascii="Arial" w:hAnsi="Arial" w:cs="Arial"/>
                <w:sz w:val="20"/>
                <w:szCs w:val="20"/>
                <w:lang w:val="it-IT"/>
              </w:rPr>
            </w:pPr>
          </w:p>
        </w:tc>
        <w:tc>
          <w:tcPr>
            <w:tcW w:w="1566" w:type="dxa"/>
            <w:tcBorders>
              <w:top w:val="single" w:sz="4" w:space="0" w:color="auto"/>
              <w:bottom w:val="single" w:sz="4" w:space="0" w:color="auto"/>
            </w:tcBorders>
            <w:shd w:val="clear" w:color="auto" w:fill="auto"/>
            <w:vAlign w:val="center"/>
            <w:hideMark/>
          </w:tcPr>
          <w:p w14:paraId="27457D7D" w14:textId="77777777" w:rsidR="0063307A" w:rsidRPr="00227BB5" w:rsidRDefault="0063307A" w:rsidP="00B73CE3">
            <w:pPr>
              <w:spacing w:before="60" w:after="60"/>
              <w:jc w:val="center"/>
              <w:rPr>
                <w:rFonts w:ascii="Arial" w:hAnsi="Arial" w:cs="Arial"/>
                <w:bCs/>
                <w:sz w:val="18"/>
                <w:szCs w:val="18"/>
              </w:rPr>
            </w:pPr>
            <w:r w:rsidRPr="00227BB5">
              <w:rPr>
                <w:rFonts w:ascii="Arial" w:hAnsi="Arial" w:cs="Arial"/>
                <w:bCs/>
                <w:color w:val="000000"/>
                <w:sz w:val="18"/>
                <w:szCs w:val="18"/>
              </w:rPr>
              <w:t>Newly registered</w:t>
            </w:r>
          </w:p>
        </w:tc>
        <w:tc>
          <w:tcPr>
            <w:tcW w:w="1178" w:type="dxa"/>
            <w:tcBorders>
              <w:top w:val="single" w:sz="4" w:space="0" w:color="auto"/>
              <w:bottom w:val="single" w:sz="4" w:space="0" w:color="auto"/>
            </w:tcBorders>
            <w:shd w:val="clear" w:color="auto" w:fill="auto"/>
            <w:vAlign w:val="center"/>
            <w:hideMark/>
          </w:tcPr>
          <w:p w14:paraId="2FEBE72C" w14:textId="77777777" w:rsidR="0063307A" w:rsidRPr="00DC5BDA" w:rsidRDefault="0063307A" w:rsidP="00B73CE3">
            <w:pPr>
              <w:spacing w:before="60" w:after="60"/>
              <w:jc w:val="center"/>
              <w:rPr>
                <w:rFonts w:ascii="Arial" w:hAnsi="Arial" w:cs="Arial"/>
                <w:bCs/>
                <w:color w:val="000000"/>
                <w:sz w:val="18"/>
                <w:szCs w:val="18"/>
              </w:rPr>
            </w:pPr>
            <w:r w:rsidRPr="00227BB5">
              <w:rPr>
                <w:rFonts w:ascii="Arial" w:hAnsi="Arial" w:cs="Arial"/>
                <w:bCs/>
                <w:color w:val="000000"/>
                <w:sz w:val="18"/>
                <w:szCs w:val="18"/>
              </w:rPr>
              <w:t>Dissolution</w:t>
            </w:r>
          </w:p>
        </w:tc>
        <w:tc>
          <w:tcPr>
            <w:tcW w:w="1655" w:type="dxa"/>
            <w:tcBorders>
              <w:top w:val="single" w:sz="4" w:space="0" w:color="auto"/>
              <w:bottom w:val="single" w:sz="4" w:space="0" w:color="auto"/>
            </w:tcBorders>
            <w:shd w:val="clear" w:color="auto" w:fill="auto"/>
            <w:vAlign w:val="center"/>
            <w:hideMark/>
          </w:tcPr>
          <w:p w14:paraId="081056C2" w14:textId="77777777" w:rsidR="0063307A" w:rsidRPr="00227BB5" w:rsidRDefault="0063307A" w:rsidP="00B73CE3">
            <w:pPr>
              <w:spacing w:before="60" w:after="60"/>
              <w:jc w:val="center"/>
              <w:rPr>
                <w:rFonts w:ascii="Arial" w:hAnsi="Arial" w:cs="Arial"/>
                <w:bCs/>
                <w:sz w:val="18"/>
                <w:szCs w:val="18"/>
              </w:rPr>
            </w:pPr>
            <w:r w:rsidRPr="00227BB5">
              <w:rPr>
                <w:rFonts w:ascii="Arial" w:hAnsi="Arial" w:cs="Arial"/>
                <w:bCs/>
                <w:color w:val="000000"/>
                <w:sz w:val="18"/>
                <w:szCs w:val="18"/>
              </w:rPr>
              <w:t>Newly registered</w:t>
            </w:r>
          </w:p>
        </w:tc>
        <w:tc>
          <w:tcPr>
            <w:tcW w:w="1129" w:type="dxa"/>
            <w:tcBorders>
              <w:top w:val="single" w:sz="4" w:space="0" w:color="auto"/>
              <w:bottom w:val="single" w:sz="4" w:space="0" w:color="auto"/>
            </w:tcBorders>
            <w:shd w:val="clear" w:color="auto" w:fill="auto"/>
            <w:vAlign w:val="center"/>
            <w:hideMark/>
          </w:tcPr>
          <w:p w14:paraId="75DD06CC" w14:textId="77777777" w:rsidR="0063307A" w:rsidRPr="00DC5BDA" w:rsidRDefault="0063307A" w:rsidP="00B73CE3">
            <w:pPr>
              <w:spacing w:before="60" w:after="60"/>
              <w:jc w:val="center"/>
              <w:rPr>
                <w:rFonts w:ascii="Arial" w:hAnsi="Arial" w:cs="Arial"/>
                <w:bCs/>
                <w:color w:val="000000"/>
                <w:sz w:val="18"/>
                <w:szCs w:val="18"/>
              </w:rPr>
            </w:pPr>
            <w:r w:rsidRPr="00227BB5">
              <w:rPr>
                <w:rFonts w:ascii="Arial" w:hAnsi="Arial" w:cs="Arial"/>
                <w:bCs/>
                <w:color w:val="000000"/>
                <w:sz w:val="18"/>
                <w:szCs w:val="18"/>
              </w:rPr>
              <w:t>Dissolution</w:t>
            </w:r>
          </w:p>
        </w:tc>
      </w:tr>
      <w:tr w:rsidR="0063307A" w:rsidRPr="00227BB5" w14:paraId="59E3E164" w14:textId="77777777" w:rsidTr="00B73CE3">
        <w:trPr>
          <w:cantSplit/>
          <w:jc w:val="center"/>
        </w:trPr>
        <w:tc>
          <w:tcPr>
            <w:tcW w:w="3670" w:type="dxa"/>
            <w:shd w:val="clear" w:color="auto" w:fill="auto"/>
            <w:noWrap/>
            <w:vAlign w:val="bottom"/>
            <w:hideMark/>
          </w:tcPr>
          <w:p w14:paraId="21C7834D" w14:textId="77777777" w:rsidR="0063307A" w:rsidRPr="00227BB5" w:rsidRDefault="0063307A" w:rsidP="00B73CE3">
            <w:pPr>
              <w:spacing w:before="120" w:after="40"/>
              <w:rPr>
                <w:rFonts w:ascii="Arial" w:hAnsi="Arial" w:cs="Arial"/>
                <w:sz w:val="20"/>
                <w:szCs w:val="20"/>
              </w:rPr>
            </w:pPr>
            <w:r w:rsidRPr="00227BB5">
              <w:rPr>
                <w:rFonts w:ascii="Arial" w:hAnsi="Arial" w:cs="Arial"/>
                <w:color w:val="000000"/>
                <w:sz w:val="20"/>
                <w:szCs w:val="20"/>
              </w:rPr>
              <w:t>Wholesale and retail trade; repair of motor vehicles and motorcycles</w:t>
            </w:r>
          </w:p>
        </w:tc>
        <w:tc>
          <w:tcPr>
            <w:tcW w:w="1566" w:type="dxa"/>
            <w:tcBorders>
              <w:top w:val="single" w:sz="4" w:space="0" w:color="auto"/>
            </w:tcBorders>
            <w:shd w:val="clear" w:color="auto" w:fill="auto"/>
            <w:noWrap/>
            <w:vAlign w:val="bottom"/>
          </w:tcPr>
          <w:p w14:paraId="7E04D711"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55,612</w:t>
            </w:r>
          </w:p>
        </w:tc>
        <w:tc>
          <w:tcPr>
            <w:tcW w:w="1178" w:type="dxa"/>
            <w:tcBorders>
              <w:top w:val="single" w:sz="4" w:space="0" w:color="auto"/>
            </w:tcBorders>
            <w:shd w:val="clear" w:color="auto" w:fill="auto"/>
            <w:noWrap/>
            <w:vAlign w:val="bottom"/>
          </w:tcPr>
          <w:p w14:paraId="1ABBACED"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6,941</w:t>
            </w:r>
          </w:p>
        </w:tc>
        <w:tc>
          <w:tcPr>
            <w:tcW w:w="1655" w:type="dxa"/>
            <w:tcBorders>
              <w:top w:val="single" w:sz="4" w:space="0" w:color="auto"/>
            </w:tcBorders>
            <w:shd w:val="clear" w:color="auto" w:fill="auto"/>
            <w:noWrap/>
            <w:vAlign w:val="bottom"/>
          </w:tcPr>
          <w:p w14:paraId="2CE5BC6B" w14:textId="77777777" w:rsidR="0063307A" w:rsidRPr="00227BB5" w:rsidRDefault="0063307A" w:rsidP="00B73CE3">
            <w:pPr>
              <w:spacing w:before="120" w:after="40"/>
              <w:ind w:right="316"/>
              <w:jc w:val="right"/>
              <w:rPr>
                <w:rFonts w:ascii="Arial" w:hAnsi="Arial" w:cs="Arial"/>
                <w:sz w:val="20"/>
                <w:szCs w:val="20"/>
              </w:rPr>
            </w:pPr>
            <w:r>
              <w:rPr>
                <w:rFonts w:ascii="Arial" w:hAnsi="Arial" w:cs="Arial"/>
                <w:sz w:val="20"/>
                <w:szCs w:val="20"/>
              </w:rPr>
              <w:t>7.5</w:t>
            </w:r>
          </w:p>
        </w:tc>
        <w:tc>
          <w:tcPr>
            <w:tcW w:w="1129" w:type="dxa"/>
            <w:tcBorders>
              <w:top w:val="single" w:sz="4" w:space="0" w:color="auto"/>
            </w:tcBorders>
            <w:shd w:val="clear" w:color="auto" w:fill="auto"/>
            <w:noWrap/>
            <w:vAlign w:val="bottom"/>
          </w:tcPr>
          <w:p w14:paraId="047A10D1"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28.9</w:t>
            </w:r>
          </w:p>
        </w:tc>
      </w:tr>
      <w:tr w:rsidR="0063307A" w:rsidRPr="00227BB5" w14:paraId="6FF1A804" w14:textId="77777777" w:rsidTr="00B73CE3">
        <w:trPr>
          <w:cantSplit/>
          <w:jc w:val="center"/>
        </w:trPr>
        <w:tc>
          <w:tcPr>
            <w:tcW w:w="3670" w:type="dxa"/>
            <w:shd w:val="clear" w:color="auto" w:fill="auto"/>
            <w:noWrap/>
            <w:vAlign w:val="bottom"/>
            <w:hideMark/>
          </w:tcPr>
          <w:p w14:paraId="164A8D67" w14:textId="77777777" w:rsidR="0063307A" w:rsidRPr="00227BB5" w:rsidRDefault="0063307A" w:rsidP="00B73CE3">
            <w:pPr>
              <w:spacing w:before="120" w:after="40"/>
              <w:rPr>
                <w:rFonts w:ascii="Arial" w:hAnsi="Arial" w:cs="Arial"/>
                <w:sz w:val="20"/>
                <w:szCs w:val="20"/>
              </w:rPr>
            </w:pPr>
            <w:r w:rsidRPr="00227BB5">
              <w:rPr>
                <w:rFonts w:ascii="Arial" w:hAnsi="Arial" w:cs="Arial"/>
                <w:color w:val="000000"/>
                <w:sz w:val="20"/>
                <w:szCs w:val="20"/>
              </w:rPr>
              <w:t>Manufacturing</w:t>
            </w:r>
          </w:p>
        </w:tc>
        <w:tc>
          <w:tcPr>
            <w:tcW w:w="1566" w:type="dxa"/>
            <w:shd w:val="clear" w:color="auto" w:fill="auto"/>
            <w:noWrap/>
            <w:vAlign w:val="bottom"/>
          </w:tcPr>
          <w:p w14:paraId="451F5440"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16,486</w:t>
            </w:r>
          </w:p>
        </w:tc>
        <w:tc>
          <w:tcPr>
            <w:tcW w:w="1178" w:type="dxa"/>
            <w:shd w:val="clear" w:color="auto" w:fill="auto"/>
            <w:noWrap/>
            <w:vAlign w:val="bottom"/>
          </w:tcPr>
          <w:p w14:paraId="5DEFFF0E"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1,865</w:t>
            </w:r>
          </w:p>
        </w:tc>
        <w:tc>
          <w:tcPr>
            <w:tcW w:w="1655" w:type="dxa"/>
            <w:shd w:val="clear" w:color="auto" w:fill="auto"/>
            <w:noWrap/>
            <w:vAlign w:val="bottom"/>
          </w:tcPr>
          <w:p w14:paraId="5B1893D3" w14:textId="77777777" w:rsidR="0063307A" w:rsidRPr="00227BB5" w:rsidRDefault="0063307A" w:rsidP="00B73CE3">
            <w:pPr>
              <w:spacing w:before="120" w:after="40"/>
              <w:ind w:right="316"/>
              <w:jc w:val="right"/>
              <w:rPr>
                <w:rFonts w:ascii="Arial" w:hAnsi="Arial" w:cs="Arial"/>
                <w:sz w:val="20"/>
                <w:szCs w:val="20"/>
              </w:rPr>
            </w:pPr>
            <w:r>
              <w:rPr>
                <w:rFonts w:ascii="Arial" w:hAnsi="Arial" w:cs="Arial"/>
                <w:sz w:val="20"/>
                <w:szCs w:val="20"/>
              </w:rPr>
              <w:t>3.9</w:t>
            </w:r>
          </w:p>
        </w:tc>
        <w:tc>
          <w:tcPr>
            <w:tcW w:w="1129" w:type="dxa"/>
            <w:shd w:val="clear" w:color="auto" w:fill="auto"/>
            <w:noWrap/>
            <w:vAlign w:val="bottom"/>
          </w:tcPr>
          <w:p w14:paraId="58EBFA64"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19.3</w:t>
            </w:r>
          </w:p>
        </w:tc>
      </w:tr>
      <w:tr w:rsidR="0063307A" w:rsidRPr="00227BB5" w14:paraId="1F3CE423" w14:textId="77777777" w:rsidTr="00B73CE3">
        <w:trPr>
          <w:cantSplit/>
          <w:jc w:val="center"/>
        </w:trPr>
        <w:tc>
          <w:tcPr>
            <w:tcW w:w="3670" w:type="dxa"/>
            <w:shd w:val="clear" w:color="auto" w:fill="auto"/>
            <w:noWrap/>
            <w:vAlign w:val="bottom"/>
            <w:hideMark/>
          </w:tcPr>
          <w:p w14:paraId="24C78B8E" w14:textId="77777777" w:rsidR="0063307A" w:rsidRPr="00227BB5" w:rsidRDefault="0063307A" w:rsidP="00B73CE3">
            <w:pPr>
              <w:spacing w:before="120" w:after="40"/>
              <w:rPr>
                <w:rFonts w:ascii="Arial" w:hAnsi="Arial" w:cs="Arial"/>
                <w:sz w:val="20"/>
                <w:szCs w:val="20"/>
              </w:rPr>
            </w:pPr>
            <w:r w:rsidRPr="00227BB5">
              <w:rPr>
                <w:rFonts w:ascii="Arial" w:hAnsi="Arial" w:cs="Arial"/>
                <w:color w:val="000000"/>
                <w:sz w:val="20"/>
                <w:szCs w:val="20"/>
              </w:rPr>
              <w:lastRenderedPageBreak/>
              <w:t>Construction</w:t>
            </w:r>
          </w:p>
        </w:tc>
        <w:tc>
          <w:tcPr>
            <w:tcW w:w="1566" w:type="dxa"/>
            <w:shd w:val="clear" w:color="auto" w:fill="auto"/>
            <w:noWrap/>
            <w:vAlign w:val="bottom"/>
          </w:tcPr>
          <w:p w14:paraId="164181DB"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13,555</w:t>
            </w:r>
          </w:p>
        </w:tc>
        <w:tc>
          <w:tcPr>
            <w:tcW w:w="1178" w:type="dxa"/>
            <w:shd w:val="clear" w:color="auto" w:fill="auto"/>
            <w:noWrap/>
            <w:vAlign w:val="bottom"/>
          </w:tcPr>
          <w:p w14:paraId="6A1F7C08"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1,193</w:t>
            </w:r>
          </w:p>
        </w:tc>
        <w:tc>
          <w:tcPr>
            <w:tcW w:w="1655" w:type="dxa"/>
            <w:shd w:val="clear" w:color="auto" w:fill="auto"/>
            <w:noWrap/>
            <w:vAlign w:val="bottom"/>
          </w:tcPr>
          <w:p w14:paraId="54E63810" w14:textId="77777777" w:rsidR="0063307A" w:rsidRPr="00227BB5" w:rsidRDefault="0063307A" w:rsidP="00B73CE3">
            <w:pPr>
              <w:spacing w:before="120" w:after="40"/>
              <w:ind w:right="316"/>
              <w:jc w:val="right"/>
              <w:rPr>
                <w:rFonts w:ascii="Arial" w:hAnsi="Arial" w:cs="Arial"/>
                <w:sz w:val="20"/>
                <w:szCs w:val="20"/>
              </w:rPr>
            </w:pPr>
            <w:r>
              <w:rPr>
                <w:rFonts w:ascii="Arial" w:hAnsi="Arial" w:cs="Arial"/>
                <w:sz w:val="20"/>
                <w:szCs w:val="20"/>
              </w:rPr>
              <w:t>-5.3</w:t>
            </w:r>
          </w:p>
        </w:tc>
        <w:tc>
          <w:tcPr>
            <w:tcW w:w="1129" w:type="dxa"/>
            <w:shd w:val="clear" w:color="auto" w:fill="auto"/>
            <w:noWrap/>
            <w:vAlign w:val="bottom"/>
          </w:tcPr>
          <w:p w14:paraId="1F01B301"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14.1</w:t>
            </w:r>
          </w:p>
        </w:tc>
      </w:tr>
      <w:tr w:rsidR="0063307A" w:rsidRPr="00227BB5" w14:paraId="7E040450" w14:textId="77777777" w:rsidTr="00B73CE3">
        <w:trPr>
          <w:cantSplit/>
          <w:jc w:val="center"/>
        </w:trPr>
        <w:tc>
          <w:tcPr>
            <w:tcW w:w="3670" w:type="dxa"/>
            <w:shd w:val="clear" w:color="auto" w:fill="auto"/>
            <w:noWrap/>
            <w:vAlign w:val="bottom"/>
            <w:hideMark/>
          </w:tcPr>
          <w:p w14:paraId="7E08E415" w14:textId="77777777" w:rsidR="0063307A" w:rsidRPr="00227BB5" w:rsidRDefault="0063307A" w:rsidP="00B73CE3">
            <w:pPr>
              <w:spacing w:before="120" w:after="40"/>
              <w:rPr>
                <w:rFonts w:ascii="Arial" w:hAnsi="Arial" w:cs="Arial"/>
                <w:sz w:val="20"/>
                <w:szCs w:val="20"/>
              </w:rPr>
            </w:pPr>
            <w:r w:rsidRPr="00227BB5">
              <w:rPr>
                <w:rFonts w:ascii="Arial" w:hAnsi="Arial" w:cs="Arial"/>
                <w:color w:val="000000"/>
                <w:sz w:val="20"/>
                <w:szCs w:val="20"/>
              </w:rPr>
              <w:t>Real estate business</w:t>
            </w:r>
          </w:p>
        </w:tc>
        <w:tc>
          <w:tcPr>
            <w:tcW w:w="1566" w:type="dxa"/>
            <w:shd w:val="clear" w:color="auto" w:fill="auto"/>
            <w:noWrap/>
            <w:vAlign w:val="bottom"/>
          </w:tcPr>
          <w:p w14:paraId="362303DF"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3,896</w:t>
            </w:r>
          </w:p>
        </w:tc>
        <w:tc>
          <w:tcPr>
            <w:tcW w:w="1178" w:type="dxa"/>
            <w:shd w:val="clear" w:color="auto" w:fill="auto"/>
            <w:noWrap/>
            <w:vAlign w:val="bottom"/>
          </w:tcPr>
          <w:p w14:paraId="785860CB"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1,020</w:t>
            </w:r>
          </w:p>
        </w:tc>
        <w:tc>
          <w:tcPr>
            <w:tcW w:w="1655" w:type="dxa"/>
            <w:shd w:val="clear" w:color="auto" w:fill="auto"/>
            <w:noWrap/>
            <w:vAlign w:val="bottom"/>
          </w:tcPr>
          <w:p w14:paraId="71864354" w14:textId="77777777" w:rsidR="0063307A" w:rsidRPr="00227BB5" w:rsidRDefault="0063307A" w:rsidP="00B73CE3">
            <w:pPr>
              <w:spacing w:before="120" w:after="40"/>
              <w:ind w:right="316"/>
              <w:jc w:val="right"/>
              <w:rPr>
                <w:rFonts w:ascii="Arial" w:hAnsi="Arial" w:cs="Arial"/>
                <w:sz w:val="20"/>
                <w:szCs w:val="20"/>
              </w:rPr>
            </w:pPr>
            <w:r>
              <w:rPr>
                <w:rFonts w:ascii="Arial" w:hAnsi="Arial" w:cs="Arial"/>
                <w:sz w:val="20"/>
                <w:szCs w:val="20"/>
              </w:rPr>
              <w:t>0.7</w:t>
            </w:r>
          </w:p>
        </w:tc>
        <w:tc>
          <w:tcPr>
            <w:tcW w:w="1129" w:type="dxa"/>
            <w:shd w:val="clear" w:color="auto" w:fill="auto"/>
            <w:noWrap/>
            <w:vAlign w:val="bottom"/>
          </w:tcPr>
          <w:p w14:paraId="46D1E9D2"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-1.4</w:t>
            </w:r>
          </w:p>
        </w:tc>
      </w:tr>
      <w:tr w:rsidR="0063307A" w:rsidRPr="00227BB5" w14:paraId="11F81499" w14:textId="77777777" w:rsidTr="00B73CE3">
        <w:trPr>
          <w:cantSplit/>
          <w:jc w:val="center"/>
        </w:trPr>
        <w:tc>
          <w:tcPr>
            <w:tcW w:w="3670" w:type="dxa"/>
            <w:shd w:val="clear" w:color="auto" w:fill="auto"/>
            <w:noWrap/>
            <w:vAlign w:val="bottom"/>
            <w:hideMark/>
          </w:tcPr>
          <w:p w14:paraId="7B2667E5" w14:textId="77777777" w:rsidR="0063307A" w:rsidRPr="00227BB5" w:rsidRDefault="0063307A" w:rsidP="00B73CE3">
            <w:pPr>
              <w:spacing w:before="120" w:after="40"/>
              <w:rPr>
                <w:rFonts w:ascii="Arial" w:hAnsi="Arial" w:cs="Arial"/>
                <w:sz w:val="20"/>
                <w:szCs w:val="20"/>
              </w:rPr>
            </w:pPr>
            <w:r w:rsidRPr="00227BB5">
              <w:rPr>
                <w:rFonts w:ascii="Arial" w:hAnsi="Arial" w:cs="Arial"/>
                <w:color w:val="000000"/>
                <w:sz w:val="20"/>
                <w:szCs w:val="20"/>
              </w:rPr>
              <w:t>Transportation and storage</w:t>
            </w:r>
          </w:p>
        </w:tc>
        <w:tc>
          <w:tcPr>
            <w:tcW w:w="1566" w:type="dxa"/>
            <w:shd w:val="clear" w:color="auto" w:fill="auto"/>
            <w:noWrap/>
            <w:vAlign w:val="bottom"/>
          </w:tcPr>
          <w:p w14:paraId="0B6CBFB2"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7,317</w:t>
            </w:r>
          </w:p>
        </w:tc>
        <w:tc>
          <w:tcPr>
            <w:tcW w:w="1178" w:type="dxa"/>
            <w:shd w:val="clear" w:color="auto" w:fill="auto"/>
            <w:noWrap/>
            <w:vAlign w:val="bottom"/>
          </w:tcPr>
          <w:p w14:paraId="6602BABF"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651</w:t>
            </w:r>
          </w:p>
        </w:tc>
        <w:tc>
          <w:tcPr>
            <w:tcW w:w="1655" w:type="dxa"/>
            <w:shd w:val="clear" w:color="auto" w:fill="auto"/>
            <w:noWrap/>
            <w:vAlign w:val="bottom"/>
          </w:tcPr>
          <w:p w14:paraId="11C31C3D" w14:textId="77777777" w:rsidR="0063307A" w:rsidRPr="00227BB5" w:rsidRDefault="0063307A" w:rsidP="00B73CE3">
            <w:pPr>
              <w:spacing w:before="120" w:after="40"/>
              <w:ind w:right="316"/>
              <w:jc w:val="right"/>
              <w:rPr>
                <w:rFonts w:ascii="Arial" w:hAnsi="Arial" w:cs="Arial"/>
                <w:sz w:val="20"/>
                <w:szCs w:val="20"/>
              </w:rPr>
            </w:pPr>
            <w:r>
              <w:rPr>
                <w:rFonts w:ascii="Arial" w:hAnsi="Arial" w:cs="Arial"/>
                <w:sz w:val="20"/>
                <w:szCs w:val="20"/>
              </w:rPr>
              <w:t>11.3</w:t>
            </w:r>
          </w:p>
        </w:tc>
        <w:tc>
          <w:tcPr>
            <w:tcW w:w="1129" w:type="dxa"/>
            <w:shd w:val="clear" w:color="auto" w:fill="auto"/>
            <w:noWrap/>
            <w:vAlign w:val="bottom"/>
          </w:tcPr>
          <w:p w14:paraId="051F0464"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17.1</w:t>
            </w:r>
          </w:p>
        </w:tc>
      </w:tr>
      <w:tr w:rsidR="0063307A" w:rsidRPr="00227BB5" w14:paraId="2796924E" w14:textId="77777777" w:rsidTr="00B73CE3">
        <w:trPr>
          <w:cantSplit/>
          <w:jc w:val="center"/>
        </w:trPr>
        <w:tc>
          <w:tcPr>
            <w:tcW w:w="3670" w:type="dxa"/>
            <w:shd w:val="clear" w:color="auto" w:fill="auto"/>
            <w:noWrap/>
            <w:vAlign w:val="bottom"/>
            <w:hideMark/>
          </w:tcPr>
          <w:p w14:paraId="753AE1C2" w14:textId="77777777" w:rsidR="0063307A" w:rsidRPr="00227BB5" w:rsidRDefault="0063307A" w:rsidP="00B73CE3">
            <w:pPr>
              <w:spacing w:before="120" w:after="40"/>
              <w:rPr>
                <w:rFonts w:ascii="Arial" w:hAnsi="Arial" w:cs="Arial"/>
                <w:sz w:val="20"/>
                <w:szCs w:val="20"/>
              </w:rPr>
            </w:pPr>
            <w:r w:rsidRPr="00227BB5">
              <w:rPr>
                <w:rFonts w:ascii="Arial" w:hAnsi="Arial" w:cs="Arial"/>
                <w:color w:val="000000"/>
                <w:sz w:val="20"/>
                <w:szCs w:val="20"/>
              </w:rPr>
              <w:t>Accommodation and catering service</w:t>
            </w:r>
          </w:p>
        </w:tc>
        <w:tc>
          <w:tcPr>
            <w:tcW w:w="1566" w:type="dxa"/>
            <w:shd w:val="clear" w:color="auto" w:fill="auto"/>
            <w:noWrap/>
            <w:vAlign w:val="bottom"/>
          </w:tcPr>
          <w:p w14:paraId="6EF3C7CF"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5,024</w:t>
            </w:r>
          </w:p>
        </w:tc>
        <w:tc>
          <w:tcPr>
            <w:tcW w:w="1178" w:type="dxa"/>
            <w:shd w:val="clear" w:color="auto" w:fill="auto"/>
            <w:noWrap/>
            <w:vAlign w:val="bottom"/>
          </w:tcPr>
          <w:p w14:paraId="1945459D"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798</w:t>
            </w:r>
          </w:p>
        </w:tc>
        <w:tc>
          <w:tcPr>
            <w:tcW w:w="1655" w:type="dxa"/>
            <w:shd w:val="clear" w:color="auto" w:fill="auto"/>
            <w:noWrap/>
            <w:vAlign w:val="bottom"/>
          </w:tcPr>
          <w:p w14:paraId="118C63CA" w14:textId="77777777" w:rsidR="0063307A" w:rsidRPr="00227BB5" w:rsidRDefault="0063307A" w:rsidP="00B73CE3">
            <w:pPr>
              <w:spacing w:before="120" w:after="40"/>
              <w:ind w:right="316"/>
              <w:jc w:val="right"/>
              <w:rPr>
                <w:rFonts w:ascii="Arial" w:hAnsi="Arial" w:cs="Arial"/>
                <w:sz w:val="20"/>
                <w:szCs w:val="20"/>
              </w:rPr>
            </w:pPr>
            <w:r>
              <w:rPr>
                <w:rFonts w:ascii="Arial" w:hAnsi="Arial" w:cs="Arial"/>
                <w:sz w:val="20"/>
                <w:szCs w:val="20"/>
              </w:rPr>
              <w:t>-11.9</w:t>
            </w:r>
          </w:p>
        </w:tc>
        <w:tc>
          <w:tcPr>
            <w:tcW w:w="1129" w:type="dxa"/>
            <w:shd w:val="clear" w:color="auto" w:fill="auto"/>
            <w:noWrap/>
            <w:vAlign w:val="bottom"/>
          </w:tcPr>
          <w:p w14:paraId="51DD085C"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5.4</w:t>
            </w:r>
          </w:p>
        </w:tc>
      </w:tr>
      <w:tr w:rsidR="0063307A" w:rsidRPr="00227BB5" w14:paraId="4A1AA04F" w14:textId="77777777" w:rsidTr="00B73CE3">
        <w:trPr>
          <w:cantSplit/>
          <w:jc w:val="center"/>
        </w:trPr>
        <w:tc>
          <w:tcPr>
            <w:tcW w:w="3670" w:type="dxa"/>
            <w:tcBorders>
              <w:bottom w:val="single" w:sz="4" w:space="0" w:color="auto"/>
            </w:tcBorders>
            <w:shd w:val="clear" w:color="auto" w:fill="auto"/>
            <w:noWrap/>
            <w:vAlign w:val="bottom"/>
          </w:tcPr>
          <w:p w14:paraId="56778EDB" w14:textId="77777777" w:rsidR="0063307A" w:rsidRPr="00227BB5" w:rsidRDefault="0063307A" w:rsidP="00B73CE3">
            <w:pPr>
              <w:spacing w:before="120" w:after="40"/>
              <w:rPr>
                <w:rFonts w:ascii="Arial" w:hAnsi="Arial" w:cs="Arial"/>
                <w:sz w:val="20"/>
                <w:szCs w:val="20"/>
              </w:rPr>
            </w:pPr>
            <w:r w:rsidRPr="00227BB5">
              <w:rPr>
                <w:rFonts w:ascii="Arial" w:hAnsi="Arial" w:cs="Arial"/>
                <w:color w:val="000000"/>
                <w:sz w:val="20"/>
                <w:szCs w:val="20"/>
              </w:rPr>
              <w:t>Production and distribution of electricity, water, gas</w:t>
            </w:r>
          </w:p>
        </w:tc>
        <w:tc>
          <w:tcPr>
            <w:tcW w:w="1566" w:type="dxa"/>
            <w:tcBorders>
              <w:bottom w:val="single" w:sz="4" w:space="0" w:color="auto"/>
            </w:tcBorders>
            <w:shd w:val="clear" w:color="auto" w:fill="auto"/>
            <w:noWrap/>
            <w:vAlign w:val="bottom"/>
          </w:tcPr>
          <w:p w14:paraId="43B03D34"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996</w:t>
            </w:r>
          </w:p>
        </w:tc>
        <w:tc>
          <w:tcPr>
            <w:tcW w:w="1178" w:type="dxa"/>
            <w:tcBorders>
              <w:bottom w:val="single" w:sz="4" w:space="0" w:color="auto"/>
            </w:tcBorders>
            <w:shd w:val="clear" w:color="auto" w:fill="auto"/>
            <w:noWrap/>
            <w:vAlign w:val="bottom"/>
          </w:tcPr>
          <w:p w14:paraId="5B28BEF8"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213</w:t>
            </w:r>
          </w:p>
        </w:tc>
        <w:tc>
          <w:tcPr>
            <w:tcW w:w="1655" w:type="dxa"/>
            <w:tcBorders>
              <w:bottom w:val="single" w:sz="4" w:space="0" w:color="auto"/>
            </w:tcBorders>
            <w:shd w:val="clear" w:color="auto" w:fill="auto"/>
            <w:noWrap/>
            <w:vAlign w:val="bottom"/>
          </w:tcPr>
          <w:p w14:paraId="45330A15" w14:textId="77777777" w:rsidR="0063307A" w:rsidRPr="00227BB5" w:rsidRDefault="0063307A" w:rsidP="00B73CE3">
            <w:pPr>
              <w:spacing w:before="120" w:after="40"/>
              <w:ind w:right="316"/>
              <w:jc w:val="right"/>
              <w:rPr>
                <w:rFonts w:ascii="Arial" w:hAnsi="Arial" w:cs="Arial"/>
                <w:sz w:val="20"/>
                <w:szCs w:val="20"/>
              </w:rPr>
            </w:pPr>
            <w:r>
              <w:rPr>
                <w:rFonts w:ascii="Arial" w:hAnsi="Arial" w:cs="Arial"/>
                <w:sz w:val="20"/>
                <w:szCs w:val="20"/>
              </w:rPr>
              <w:t>7.6</w:t>
            </w:r>
          </w:p>
        </w:tc>
        <w:tc>
          <w:tcPr>
            <w:tcW w:w="1129" w:type="dxa"/>
            <w:tcBorders>
              <w:bottom w:val="single" w:sz="4" w:space="0" w:color="auto"/>
            </w:tcBorders>
            <w:shd w:val="clear" w:color="auto" w:fill="auto"/>
            <w:noWrap/>
            <w:vAlign w:val="bottom"/>
          </w:tcPr>
          <w:p w14:paraId="5216A73D" w14:textId="77777777" w:rsidR="0063307A" w:rsidRPr="00227BB5" w:rsidRDefault="0063307A" w:rsidP="00B73CE3">
            <w:pPr>
              <w:spacing w:before="120" w:after="40"/>
              <w:ind w:right="176"/>
              <w:jc w:val="right"/>
              <w:rPr>
                <w:rFonts w:ascii="Arial" w:hAnsi="Arial" w:cs="Arial"/>
                <w:sz w:val="20"/>
                <w:szCs w:val="20"/>
              </w:rPr>
            </w:pPr>
            <w:r>
              <w:rPr>
                <w:rFonts w:ascii="Arial" w:hAnsi="Arial" w:cs="Arial"/>
                <w:sz w:val="20"/>
                <w:szCs w:val="20"/>
              </w:rPr>
              <w:t>-13.4</w:t>
            </w:r>
          </w:p>
        </w:tc>
      </w:tr>
    </w:tbl>
    <w:p w14:paraId="7A84C5AC" w14:textId="77777777" w:rsidR="0063307A" w:rsidRPr="00227BB5" w:rsidRDefault="0063307A" w:rsidP="0063307A">
      <w:pPr>
        <w:pStyle w:val="NormalWeb"/>
        <w:shd w:val="clear" w:color="auto" w:fill="FFFFFF"/>
        <w:tabs>
          <w:tab w:val="left" w:pos="6540"/>
        </w:tabs>
        <w:spacing w:before="40" w:beforeAutospacing="0" w:after="40" w:afterAutospacing="0" w:line="288" w:lineRule="auto"/>
        <w:rPr>
          <w:b/>
          <w:bCs/>
          <w:sz w:val="28"/>
          <w:szCs w:val="28"/>
        </w:rPr>
      </w:pPr>
    </w:p>
    <w:p w14:paraId="36EE7AC5" w14:textId="77777777" w:rsidR="0063307A" w:rsidRPr="0001095B" w:rsidRDefault="0063307A" w:rsidP="0063307A">
      <w:pPr>
        <w:spacing w:before="120" w:after="120" w:line="264" w:lineRule="auto"/>
        <w:ind w:firstLine="720"/>
        <w:jc w:val="both"/>
        <w:rPr>
          <w:b/>
          <w:bCs/>
          <w:lang w:val="af-ZA"/>
        </w:rPr>
      </w:pPr>
      <w:r w:rsidRPr="0001095B">
        <w:rPr>
          <w:b/>
          <w:bCs/>
          <w:lang w:val="af-ZA"/>
        </w:rPr>
        <w:t>4. Investment</w:t>
      </w:r>
    </w:p>
    <w:p w14:paraId="75E89AD9" w14:textId="77777777" w:rsidR="0063307A" w:rsidRPr="00A207FE" w:rsidRDefault="0063307A" w:rsidP="0063307A">
      <w:pPr>
        <w:spacing w:after="120" w:line="264" w:lineRule="auto"/>
        <w:ind w:firstLine="720"/>
        <w:jc w:val="both"/>
        <w:rPr>
          <w:bCs/>
          <w:i/>
          <w:lang w:val="it-IT"/>
        </w:rPr>
      </w:pPr>
      <w:r w:rsidRPr="0001095B">
        <w:rPr>
          <w:i/>
          <w:lang w:val="it-IT"/>
        </w:rPr>
        <w:t xml:space="preserve">Investment capital from the State budget is being </w:t>
      </w:r>
      <w:r w:rsidRPr="0001095B">
        <w:rPr>
          <w:i/>
          <w:lang w:val="nl-NL"/>
        </w:rPr>
        <w:t xml:space="preserve">focused on by </w:t>
      </w:r>
      <w:r w:rsidRPr="0001095B">
        <w:rPr>
          <w:bCs/>
          <w:i/>
          <w:lang w:val="nl-NL"/>
        </w:rPr>
        <w:t xml:space="preserve">ministries, branches and localities. </w:t>
      </w:r>
      <w:r w:rsidRPr="0001095B">
        <w:rPr>
          <w:i/>
          <w:lang w:val="it-IT"/>
        </w:rPr>
        <w:t xml:space="preserve">In the first ten months of 2024, the investment capital implemented from the State budget is estimated to reach 64.3% of the annual plan, up 1.8% over the same period last year. Foreign direct investment (FDI) implemented in Vietnam in the first ten months of 2024 is estimated to reach 19.58 billion USD, up 8.8% over the same period last year </w:t>
      </w:r>
      <w:r w:rsidRPr="00A207FE">
        <w:rPr>
          <w:i/>
          <w:iCs/>
          <w:lang w:val="de-DE"/>
        </w:rPr>
        <w:t>.</w:t>
      </w:r>
    </w:p>
    <w:p w14:paraId="77897B61" w14:textId="77777777" w:rsidR="0063307A" w:rsidRPr="0001095B" w:rsidRDefault="0063307A" w:rsidP="0063307A">
      <w:pPr>
        <w:spacing w:after="120" w:line="264" w:lineRule="auto"/>
        <w:ind w:firstLine="720"/>
        <w:jc w:val="both"/>
        <w:rPr>
          <w:lang w:val="af-ZA"/>
        </w:rPr>
      </w:pPr>
      <w:r w:rsidRPr="0001095B">
        <w:rPr>
          <w:lang w:val="af-ZA"/>
        </w:rPr>
        <w:t>Investment capital implemented from the State budget in October 2024 is estimated at 68.4 trillion VND, up 1.5% over the same period last year, including: Centrally managed capital reached 12.3 trillion VND, up 7.9%; locally managed capital reached 56.1 trillion VND, up 0.2%. In the first ten months of 2024, investment capital implemented from the State budget is estimated at 495.9 trillion VND, equal to 64.3% of the annual plan and up 1.8% over the same period last year (the same period in 2023 was equal to 66.5% and up 24.6%). Specifically:</w:t>
      </w:r>
    </w:p>
    <w:p w14:paraId="704F1E83" w14:textId="77777777" w:rsidR="0063307A" w:rsidRPr="0001095B" w:rsidRDefault="0063307A" w:rsidP="0063307A">
      <w:pPr>
        <w:spacing w:after="120" w:line="264" w:lineRule="auto"/>
        <w:ind w:firstLine="720"/>
        <w:jc w:val="both"/>
        <w:rPr>
          <w:lang w:val="af-ZA"/>
        </w:rPr>
      </w:pPr>
      <w:r w:rsidRPr="0001095B">
        <w:rPr>
          <w:bCs/>
          <w:iCs/>
          <w:lang w:val="af-ZA"/>
        </w:rPr>
        <w:t xml:space="preserve">- </w:t>
      </w:r>
      <w:r w:rsidRPr="0001095B">
        <w:rPr>
          <w:lang w:val="af-ZA"/>
        </w:rPr>
        <w:t>The realized investment capital managed by the Central Government is estimated at 87.2 trillion</w:t>
      </w:r>
      <w:r>
        <w:rPr>
          <w:lang w:val="af-ZA"/>
        </w:rPr>
        <w:t xml:space="preserve"> </w:t>
      </w:r>
      <w:r w:rsidRPr="0001095B">
        <w:rPr>
          <w:lang w:val="af-ZA"/>
        </w:rPr>
        <w:t>VND, equal to 70.1% of the annual plan and down 0.2% over the same period last year. Of which, the Ministry of Transport reached 54.2 trillion</w:t>
      </w:r>
      <w:r>
        <w:rPr>
          <w:lang w:val="af-ZA"/>
        </w:rPr>
        <w:t xml:space="preserve"> </w:t>
      </w:r>
      <w:r w:rsidRPr="0001095B">
        <w:rPr>
          <w:lang w:val="af-ZA"/>
        </w:rPr>
        <w:t>VND, down 15.5%; the Ministry of Agriculture and Rural Development reached 7.6 trillion</w:t>
      </w:r>
      <w:r>
        <w:rPr>
          <w:lang w:val="af-ZA"/>
        </w:rPr>
        <w:t xml:space="preserve"> </w:t>
      </w:r>
      <w:r w:rsidRPr="0001095B">
        <w:rPr>
          <w:lang w:val="af-ZA"/>
        </w:rPr>
        <w:t>VND, up 23.8%; the Ministry of Health reached 995.5 billion</w:t>
      </w:r>
      <w:r>
        <w:rPr>
          <w:lang w:val="af-ZA"/>
        </w:rPr>
        <w:t xml:space="preserve"> </w:t>
      </w:r>
      <w:r w:rsidRPr="0001095B">
        <w:rPr>
          <w:lang w:val="af-ZA"/>
        </w:rPr>
        <w:t>VND, up 43.4%; the Ministry of Education and Training reached 874.4 billion</w:t>
      </w:r>
      <w:r>
        <w:rPr>
          <w:lang w:val="af-ZA"/>
        </w:rPr>
        <w:t xml:space="preserve"> </w:t>
      </w:r>
      <w:r w:rsidRPr="0001095B">
        <w:rPr>
          <w:lang w:val="af-ZA"/>
        </w:rPr>
        <w:t>VND, up 9.0%; the Ministry of Natural Resources and Environment reached 546.1 billion</w:t>
      </w:r>
      <w:r>
        <w:rPr>
          <w:lang w:val="af-ZA"/>
        </w:rPr>
        <w:t xml:space="preserve"> </w:t>
      </w:r>
      <w:r w:rsidRPr="0001095B">
        <w:rPr>
          <w:lang w:val="af-ZA"/>
        </w:rPr>
        <w:t>VND, down 43.5%; the Ministry of Industry and Trade reached 526.5 billion</w:t>
      </w:r>
      <w:r>
        <w:rPr>
          <w:lang w:val="af-ZA"/>
        </w:rPr>
        <w:t xml:space="preserve"> </w:t>
      </w:r>
      <w:r w:rsidRPr="0001095B">
        <w:rPr>
          <w:lang w:val="af-ZA"/>
        </w:rPr>
        <w:t>VND, up 20.6%.</w:t>
      </w:r>
    </w:p>
    <w:p w14:paraId="2652858C" w14:textId="77777777" w:rsidR="0063307A" w:rsidRPr="0001095B" w:rsidRDefault="0063307A" w:rsidP="0063307A">
      <w:pPr>
        <w:spacing w:after="120" w:line="264" w:lineRule="auto"/>
        <w:ind w:firstLine="720"/>
        <w:jc w:val="both"/>
        <w:rPr>
          <w:bCs/>
          <w:iCs/>
          <w:lang w:val="af-ZA"/>
        </w:rPr>
      </w:pPr>
      <w:r w:rsidRPr="0001095B">
        <w:rPr>
          <w:bCs/>
          <w:iCs/>
          <w:lang w:val="af-ZA"/>
        </w:rPr>
        <w:t>- Realized investment capital managed by localities is estimated at 408.7 trillion VND, equal to 63.2% of the annual plan and up 2.3% over the same period last year, of which:</w:t>
      </w:r>
    </w:p>
    <w:p w14:paraId="46DA0C5F" w14:textId="77777777" w:rsidR="0063307A" w:rsidRPr="0001095B" w:rsidRDefault="0063307A" w:rsidP="0063307A">
      <w:pPr>
        <w:spacing w:after="120" w:line="264" w:lineRule="auto"/>
        <w:ind w:firstLine="720"/>
        <w:jc w:val="both"/>
        <w:rPr>
          <w:bCs/>
          <w:iCs/>
          <w:lang w:val="af-ZA"/>
        </w:rPr>
      </w:pPr>
      <w:r w:rsidRPr="0001095B">
        <w:rPr>
          <w:bCs/>
          <w:iCs/>
          <w:lang w:val="af-ZA"/>
        </w:rPr>
        <w:t>Provincial State budget capital reached nearly 274.0 trillion</w:t>
      </w:r>
      <w:r>
        <w:rPr>
          <w:bCs/>
          <w:iCs/>
          <w:lang w:val="af-ZA"/>
        </w:rPr>
        <w:t xml:space="preserve"> </w:t>
      </w:r>
      <w:r w:rsidRPr="0001095B">
        <w:rPr>
          <w:bCs/>
          <w:iCs/>
          <w:lang w:val="af-ZA"/>
        </w:rPr>
        <w:t>VND, equal to 60.0% and increased by 1.1% over the same period in 2023;</w:t>
      </w:r>
    </w:p>
    <w:p w14:paraId="3619816A" w14:textId="77777777" w:rsidR="0063307A" w:rsidRPr="0001095B" w:rsidRDefault="0063307A" w:rsidP="0063307A">
      <w:pPr>
        <w:pStyle w:val="ListParagraph"/>
        <w:spacing w:after="120" w:line="264" w:lineRule="auto"/>
        <w:ind w:left="0" w:firstLine="720"/>
        <w:contextualSpacing w:val="0"/>
        <w:jc w:val="both"/>
        <w:rPr>
          <w:bCs/>
          <w:iCs/>
          <w:lang w:val="af-ZA"/>
        </w:rPr>
      </w:pPr>
      <w:r w:rsidRPr="0001095B">
        <w:rPr>
          <w:bCs/>
          <w:iCs/>
          <w:lang w:val="af-ZA"/>
        </w:rPr>
        <w:t>District-level State budget capital reached 115.9 trillion VND, equal to 68.9% and increased by 4.8%;</w:t>
      </w:r>
    </w:p>
    <w:p w14:paraId="0B867E60" w14:textId="77777777" w:rsidR="0063307A" w:rsidRPr="00315311" w:rsidRDefault="0063307A" w:rsidP="0063307A">
      <w:pPr>
        <w:pStyle w:val="ListParagraph"/>
        <w:spacing w:after="120" w:line="264" w:lineRule="auto"/>
        <w:ind w:left="0" w:firstLine="720"/>
        <w:contextualSpacing w:val="0"/>
        <w:jc w:val="both"/>
        <w:rPr>
          <w:bCs/>
          <w:iCs/>
          <w:lang w:val="af-ZA"/>
        </w:rPr>
      </w:pPr>
      <w:r w:rsidRPr="0001095B">
        <w:rPr>
          <w:bCs/>
          <w:iCs/>
          <w:lang w:val="af-ZA"/>
        </w:rPr>
        <w:lastRenderedPageBreak/>
        <w:t xml:space="preserve">State budget capital at commune level reached 18.8 trillion VND, equal to 85.8% and </w:t>
      </w:r>
      <w:r w:rsidRPr="00315311">
        <w:rPr>
          <w:bCs/>
          <w:iCs/>
          <w:lang w:val="af-ZA"/>
        </w:rPr>
        <w:t>increased by 4.7%.</w:t>
      </w:r>
    </w:p>
    <w:p w14:paraId="41AAEB90" w14:textId="77777777" w:rsidR="0063307A" w:rsidRDefault="0063307A" w:rsidP="0063307A">
      <w:pPr>
        <w:spacing w:after="120" w:line="264" w:lineRule="auto"/>
        <w:ind w:firstLine="720"/>
        <w:jc w:val="both"/>
        <w:rPr>
          <w:rFonts w:ascii="Arial" w:hAnsi="Arial" w:cs="Arial"/>
          <w:b/>
          <w:bCs/>
          <w:sz w:val="24"/>
          <w:szCs w:val="24"/>
          <w:lang w:val="af-ZA"/>
        </w:rPr>
      </w:pPr>
      <w:r w:rsidRPr="0001095B">
        <w:rPr>
          <w:bCs/>
          <w:iCs/>
          <w:lang w:val="af-ZA"/>
        </w:rPr>
        <w:t>Investment capital implemented from the State budget in the first ten months of 2024 of a number of provinces and centrally run cities is as follows:</w:t>
      </w:r>
    </w:p>
    <w:p w14:paraId="551BC01D" w14:textId="77777777" w:rsidR="0063307A" w:rsidRPr="00DE0776" w:rsidRDefault="0063307A" w:rsidP="0063307A">
      <w:pPr>
        <w:spacing w:line="276" w:lineRule="auto"/>
        <w:jc w:val="center"/>
        <w:rPr>
          <w:rFonts w:ascii="Arial" w:hAnsi="Arial" w:cs="Arial"/>
          <w:b/>
          <w:bCs/>
          <w:sz w:val="24"/>
          <w:szCs w:val="24"/>
          <w:lang w:val="af-ZA"/>
        </w:rPr>
      </w:pPr>
      <w:r w:rsidRPr="00DE0776">
        <w:rPr>
          <w:rFonts w:ascii="Arial" w:hAnsi="Arial" w:cs="Arial"/>
          <w:b/>
          <w:bCs/>
          <w:sz w:val="24"/>
          <w:szCs w:val="24"/>
          <w:lang w:val="af-ZA"/>
        </w:rPr>
        <w:t>Figure 6. Investment capital implemented from the State budget</w:t>
      </w:r>
    </w:p>
    <w:p w14:paraId="24A5F958" w14:textId="77777777" w:rsidR="0063307A" w:rsidRDefault="0063307A" w:rsidP="0063307A">
      <w:pPr>
        <w:spacing w:line="276" w:lineRule="auto"/>
        <w:jc w:val="center"/>
        <w:rPr>
          <w:rFonts w:ascii="Arial" w:hAnsi="Arial" w:cs="Arial"/>
          <w:b/>
          <w:bCs/>
          <w:sz w:val="24"/>
          <w:szCs w:val="24"/>
          <w:lang w:val="af-ZA"/>
        </w:rPr>
      </w:pPr>
      <w:r w:rsidRPr="00DE0776">
        <w:rPr>
          <w:rFonts w:ascii="Arial" w:hAnsi="Arial" w:cs="Arial"/>
          <w:b/>
          <w:bCs/>
          <w:sz w:val="24"/>
          <w:szCs w:val="24"/>
          <w:lang w:val="af-ZA"/>
        </w:rPr>
        <w:t>of some localities</w:t>
      </w:r>
    </w:p>
    <w:p w14:paraId="0E5B7286" w14:textId="77777777" w:rsidR="0063307A" w:rsidRDefault="0063307A" w:rsidP="0063307A">
      <w:pPr>
        <w:spacing w:line="276" w:lineRule="auto"/>
        <w:jc w:val="center"/>
        <w:rPr>
          <w:rFonts w:ascii="Arial" w:hAnsi="Arial" w:cs="Arial"/>
          <w:b/>
          <w:bCs/>
          <w:sz w:val="24"/>
          <w:szCs w:val="24"/>
          <w:lang w:val="af-ZA"/>
        </w:rPr>
      </w:pPr>
      <w:r>
        <w:rPr>
          <w:noProof/>
        </w:rPr>
        <w:drawing>
          <wp:inline distT="0" distB="0" distL="0" distR="0" wp14:anchorId="395068FA" wp14:editId="5CD80AF2">
            <wp:extent cx="5943600" cy="2860675"/>
            <wp:effectExtent l="0" t="0" r="0" b="15875"/>
            <wp:docPr id="1534347782" name="Chart 1534347782">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453214" w14:textId="77777777" w:rsidR="0063307A" w:rsidRPr="00DE0776" w:rsidRDefault="0063307A" w:rsidP="0063307A">
      <w:pPr>
        <w:spacing w:line="276" w:lineRule="auto"/>
        <w:jc w:val="center"/>
        <w:rPr>
          <w:rFonts w:ascii="Arial" w:hAnsi="Arial" w:cs="Arial"/>
          <w:b/>
          <w:bCs/>
          <w:sz w:val="24"/>
          <w:szCs w:val="24"/>
          <w:lang w:val="af-ZA"/>
        </w:rPr>
      </w:pPr>
    </w:p>
    <w:p w14:paraId="2A9F1A56" w14:textId="77777777" w:rsidR="0063307A" w:rsidRDefault="0063307A" w:rsidP="0063307A">
      <w:pPr>
        <w:spacing w:after="120" w:line="264" w:lineRule="auto"/>
        <w:ind w:firstLine="720"/>
        <w:jc w:val="both"/>
        <w:rPr>
          <w:iCs/>
          <w:lang w:val="de-DE"/>
        </w:rPr>
      </w:pPr>
      <w:bookmarkStart w:id="6" w:name="_Hlk181552102"/>
      <w:r w:rsidRPr="00DE0776">
        <w:rPr>
          <w:i/>
          <w:iCs/>
          <w:lang w:val="de-DE"/>
        </w:rPr>
        <w:t>Total foreign investment capital registered in Vietnam</w:t>
      </w:r>
      <w:r w:rsidRPr="00DE0776">
        <w:rPr>
          <w:rStyle w:val="FootnoteReference"/>
          <w:rFonts w:eastAsiaTheme="majorEastAsia"/>
          <w:i/>
          <w:iCs/>
          <w:lang w:val="de-DE"/>
        </w:rPr>
        <w:footnoteReference w:id="12"/>
      </w:r>
      <w:r w:rsidRPr="00DE0776">
        <w:rPr>
          <w:i/>
          <w:iCs/>
          <w:lang w:val="de-DE"/>
        </w:rPr>
        <w:t xml:space="preserve"> </w:t>
      </w:r>
      <w:r w:rsidRPr="00DE0776">
        <w:rPr>
          <w:iCs/>
          <w:lang w:val="de-DE"/>
        </w:rPr>
        <w:t>As of October 31, 2024, including: Newly registered capital, adjusted registered capital and capital contribution and share purchase value of foreign investors reached 27.26 billion USD, up 1.9% over the same period last year.</w:t>
      </w:r>
    </w:p>
    <w:p w14:paraId="34C20C64" w14:textId="77777777" w:rsidR="0063307A" w:rsidRDefault="0063307A" w:rsidP="0063307A">
      <w:pPr>
        <w:spacing w:before="120" w:after="120"/>
        <w:jc w:val="center"/>
        <w:rPr>
          <w:rFonts w:ascii="Arial" w:hAnsi="Arial" w:cs="Arial"/>
          <w:b/>
          <w:bCs/>
          <w:sz w:val="24"/>
          <w:szCs w:val="24"/>
          <w:lang w:val="de-DE"/>
        </w:rPr>
      </w:pPr>
      <w:r w:rsidRPr="00DE0776">
        <w:rPr>
          <w:rFonts w:ascii="Arial" w:hAnsi="Arial" w:cs="Arial"/>
          <w:b/>
          <w:bCs/>
          <w:sz w:val="24"/>
          <w:szCs w:val="24"/>
          <w:lang w:val="de-DE"/>
        </w:rPr>
        <w:t xml:space="preserve">Figure 7. Foreign investment capital registered in Vietnam </w:t>
      </w:r>
      <w:r w:rsidRPr="00DE0776">
        <w:rPr>
          <w:rFonts w:ascii="Arial" w:hAnsi="Arial" w:cs="Arial"/>
          <w:b/>
          <w:bCs/>
          <w:sz w:val="24"/>
          <w:szCs w:val="24"/>
          <w:lang w:val="de-DE"/>
        </w:rPr>
        <w:br/>
      </w:r>
      <w:r>
        <w:rPr>
          <w:rFonts w:ascii="Arial" w:hAnsi="Arial" w:cs="Arial"/>
          <w:b/>
          <w:bCs/>
          <w:sz w:val="24"/>
          <w:szCs w:val="24"/>
          <w:lang w:val="de-DE"/>
        </w:rPr>
        <w:t>in 10 months of 2020-2024 (Billion USD)</w:t>
      </w:r>
      <w:r w:rsidRPr="00DE0776">
        <w:rPr>
          <w:rStyle w:val="FootnoteReference"/>
          <w:rFonts w:ascii="Arial" w:eastAsiaTheme="majorEastAsia" w:hAnsi="Arial" w:cs="Arial"/>
          <w:b/>
          <w:bCs/>
          <w:sz w:val="24"/>
          <w:szCs w:val="24"/>
          <w:lang w:val="de-DE"/>
        </w:rPr>
        <w:footnoteReference w:id="13"/>
      </w:r>
    </w:p>
    <w:p w14:paraId="1362262F" w14:textId="77777777" w:rsidR="0063307A" w:rsidRDefault="0063307A" w:rsidP="0063307A">
      <w:pPr>
        <w:spacing w:before="120" w:after="120"/>
        <w:jc w:val="center"/>
        <w:rPr>
          <w:rFonts w:ascii="Arial" w:hAnsi="Arial" w:cs="Arial"/>
          <w:b/>
          <w:bCs/>
          <w:sz w:val="24"/>
          <w:szCs w:val="24"/>
          <w:lang w:val="de-DE"/>
        </w:rPr>
      </w:pPr>
    </w:p>
    <w:p w14:paraId="375F81FC" w14:textId="77777777" w:rsidR="0063307A" w:rsidRPr="00DE0776" w:rsidRDefault="0063307A" w:rsidP="0063307A">
      <w:pPr>
        <w:spacing w:before="120" w:after="120"/>
        <w:jc w:val="center"/>
        <w:rPr>
          <w:rFonts w:ascii="Arial" w:hAnsi="Arial" w:cs="Arial"/>
          <w:b/>
          <w:bCs/>
          <w:sz w:val="24"/>
          <w:szCs w:val="24"/>
          <w:lang w:val="de-DE"/>
        </w:rPr>
      </w:pPr>
      <w:r>
        <w:rPr>
          <w:noProof/>
        </w:rPr>
        <w:lastRenderedPageBreak/>
        <w:drawing>
          <wp:inline distT="0" distB="0" distL="0" distR="0" wp14:anchorId="6728D4BB" wp14:editId="2475FC93">
            <wp:extent cx="5286376" cy="3524250"/>
            <wp:effectExtent l="0" t="0" r="9525" b="0"/>
            <wp:docPr id="536181436" name="Chart 536181436">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0A8121" w14:textId="77777777" w:rsidR="0063307A" w:rsidRDefault="0063307A" w:rsidP="0063307A"/>
    <w:p w14:paraId="3C08ADFF" w14:textId="77777777" w:rsidR="0063307A" w:rsidRPr="00CE605A" w:rsidRDefault="0063307A" w:rsidP="0063307A">
      <w:pPr>
        <w:spacing w:after="120" w:line="288" w:lineRule="auto"/>
        <w:ind w:firstLine="720"/>
        <w:jc w:val="both"/>
        <w:rPr>
          <w:iCs/>
          <w:spacing w:val="-2"/>
          <w:lang w:val="de-DE"/>
        </w:rPr>
      </w:pPr>
      <w:r w:rsidRPr="00CE605A">
        <w:rPr>
          <w:iCs/>
          <w:spacing w:val="-2"/>
          <w:lang w:val="de-DE"/>
        </w:rPr>
        <w:t>- Newly registered capital has 2,743 licensed projects with registered capital reaching 15.23 billion USD, up 1.4% over the same period last year in terms of number of projects and down 2.5% in terms of registered capital. Of which, the processing and manufacturing industry is the one with the largest newly licensed foreign direct investment with registered capital reaching 9.79 billion USD, accounting for 64.2% of the total newly registered capital; real estate business activities reached 3.24 billion USD, accounting for 21.3%; the remaining industries reached 2.2 billion USD, accounting for 14.5%.</w:t>
      </w:r>
    </w:p>
    <w:p w14:paraId="3407F5C4" w14:textId="77777777" w:rsidR="0063307A" w:rsidRPr="00CE605A" w:rsidRDefault="0063307A" w:rsidP="0063307A">
      <w:pPr>
        <w:spacing w:after="120" w:line="288" w:lineRule="auto"/>
        <w:ind w:firstLine="720"/>
        <w:jc w:val="both"/>
        <w:rPr>
          <w:iCs/>
          <w:lang w:val="de-DE"/>
        </w:rPr>
      </w:pPr>
      <w:r w:rsidRPr="00CE605A">
        <w:rPr>
          <w:iCs/>
          <w:lang w:val="de-DE"/>
        </w:rPr>
        <w:t xml:space="preserve">Among the 76 countries and territories with newly licensed investment projects in Vietnam in the first ten months of 2024, Singapore was the largest investor with 4.98 billion USD, accounting for 32.7% of the total newly registered capital; followed by South Korea with 2.08 billion USD, accounting for 13.7%; China with 2.07 billion USD, accounting for 13.6%; Hong Kong Special Administrative Region (China) with 1.69 billion USD, accounting for </w:t>
      </w:r>
      <w:r w:rsidRPr="00CE605A">
        <w:rPr>
          <w:iCs/>
        </w:rPr>
        <w:t xml:space="preserve">11.1 </w:t>
      </w:r>
      <w:r w:rsidRPr="00CE605A">
        <w:rPr>
          <w:iCs/>
          <w:lang w:val="vi-VN"/>
        </w:rPr>
        <w:t xml:space="preserve">% </w:t>
      </w:r>
      <w:r w:rsidRPr="00CE605A">
        <w:rPr>
          <w:iCs/>
          <w:lang w:val="de-DE"/>
        </w:rPr>
        <w:t>.</w:t>
      </w:r>
    </w:p>
    <w:p w14:paraId="306C29C9" w14:textId="77777777" w:rsidR="0063307A" w:rsidRPr="00CE605A" w:rsidRDefault="0063307A" w:rsidP="0063307A">
      <w:pPr>
        <w:spacing w:after="120" w:line="288" w:lineRule="auto"/>
        <w:ind w:firstLine="720"/>
        <w:jc w:val="both"/>
        <w:rPr>
          <w:iCs/>
          <w:lang w:val="de-DE"/>
        </w:rPr>
      </w:pPr>
      <w:r w:rsidRPr="00CE605A">
        <w:rPr>
          <w:iCs/>
          <w:lang w:val="de-DE"/>
        </w:rPr>
        <w:t>- Adjusted registered capital: 1,151 licensed projects from previous years registered to adjust investment capital by an additional 8.35 billion USD, up 41.7% over the same period last year.</w:t>
      </w:r>
    </w:p>
    <w:p w14:paraId="408BC5BB" w14:textId="77777777" w:rsidR="0063307A" w:rsidRPr="00CE605A" w:rsidRDefault="0063307A" w:rsidP="0063307A">
      <w:pPr>
        <w:spacing w:after="120" w:line="288" w:lineRule="auto"/>
        <w:ind w:firstLine="720"/>
        <w:jc w:val="both"/>
        <w:rPr>
          <w:iCs/>
          <w:lang w:val="de-DE"/>
        </w:rPr>
      </w:pPr>
      <w:r w:rsidRPr="00CE605A">
        <w:rPr>
          <w:iCs/>
          <w:lang w:val="de-DE"/>
        </w:rPr>
        <w:t xml:space="preserve">If including newly registered capital and adjusted registered capital of licensed projects from previous years, foreign direct investment capital registered in the processing and manufacturing industry reached 16.39 billion USD, accounting for 69.5% of the total newly registered and increased capital; real </w:t>
      </w:r>
      <w:r w:rsidRPr="00CE605A">
        <w:rPr>
          <w:iCs/>
          <w:lang w:val="de-DE"/>
        </w:rPr>
        <w:lastRenderedPageBreak/>
        <w:t>estate business activities reached 4.41 billion USD, accounting for 18.7%; the remaining industries reached 2.78 billion USD, accounting for 11.8%.</w:t>
      </w:r>
    </w:p>
    <w:p w14:paraId="4D2D7C3C" w14:textId="77777777" w:rsidR="0063307A" w:rsidRPr="005E288F" w:rsidRDefault="0063307A" w:rsidP="0063307A">
      <w:pPr>
        <w:spacing w:after="120" w:line="288" w:lineRule="auto"/>
        <w:ind w:firstLine="720"/>
        <w:jc w:val="both"/>
        <w:rPr>
          <w:iCs/>
          <w:spacing w:val="-2"/>
          <w:lang w:val="de-DE"/>
        </w:rPr>
      </w:pPr>
      <w:r w:rsidRPr="005E288F">
        <w:rPr>
          <w:iCs/>
          <w:spacing w:val="-2"/>
          <w:lang w:val="de-DE"/>
        </w:rPr>
        <w:t>- Foreign investors registered to contribute capital and purchase shares with a total value of 3.68 billion USD, down 29.9% over the same period last year. Of which, 966 contributed capital and purchased shares increased the charter capital of enterprises with a capital contribution value of 1.87 billion USD; 1,703 foreign investors bought back domestic shares without increasing the charter capital with a value of 1.81 billion USD. Regarding the form of capital contribution and purchase shares of foreign investors, the investment capital in real estate business activities reached 815.8 million USD, accounting for 22.2% of the contributed capital value; professional activities, science and technology reached 691.2 million USD, accounting for 18.8%; the remaining sectors reached 2.17 billion USD, accounting for 59.0%.</w:t>
      </w:r>
    </w:p>
    <w:p w14:paraId="6503F9D0" w14:textId="77777777" w:rsidR="0063307A" w:rsidRPr="00ED45E2" w:rsidRDefault="0063307A" w:rsidP="0063307A">
      <w:pPr>
        <w:spacing w:after="120" w:line="288" w:lineRule="auto"/>
        <w:ind w:firstLine="720"/>
        <w:jc w:val="both"/>
        <w:rPr>
          <w:rFonts w:ascii="Arial" w:hAnsi="Arial" w:cs="Arial"/>
          <w:b/>
          <w:bCs/>
          <w:sz w:val="24"/>
          <w:lang w:val="de-DE"/>
        </w:rPr>
      </w:pPr>
      <w:r w:rsidRPr="00ED45E2">
        <w:rPr>
          <w:i/>
          <w:iCs/>
          <w:lang w:val="de-DE"/>
        </w:rPr>
        <w:t>Foreign direct investment implemented in Vietnam</w:t>
      </w:r>
      <w:r w:rsidRPr="00315311">
        <w:rPr>
          <w:rFonts w:ascii="Arial" w:hAnsi="Arial" w:cs="Arial"/>
          <w:b/>
          <w:bCs/>
          <w:sz w:val="24"/>
          <w:lang w:val="de-DE"/>
        </w:rPr>
        <w:t xml:space="preserve"> </w:t>
      </w:r>
      <w:r w:rsidRPr="00315311">
        <w:rPr>
          <w:iCs/>
          <w:lang w:val="de-DE"/>
        </w:rPr>
        <w:t>in 10 months of</w:t>
      </w:r>
      <w:r w:rsidRPr="00ED45E2">
        <w:rPr>
          <w:iCs/>
          <w:lang w:val="de-DE"/>
        </w:rPr>
        <w:t xml:space="preserve"> 2024 was 19.58 billion USD, an increase of 8.8% over the same period last year. Of which: Processing and manufacturing industry reached 15.8 billion USD, accounting for 80.7% of total realized foreign direct investment; real estate business activities reached 1.56 billion USD, accounting for 8.0%; production and distribution of electricity, gas, hot water, steam and air conditioning reached 801.7 million USD, accounting for 4.1%.</w:t>
      </w:r>
    </w:p>
    <w:p w14:paraId="64938F9B" w14:textId="77777777" w:rsidR="0063307A" w:rsidRDefault="0063307A" w:rsidP="0063307A">
      <w:pPr>
        <w:jc w:val="center"/>
        <w:rPr>
          <w:rFonts w:ascii="Arial" w:hAnsi="Arial" w:cs="Arial"/>
          <w:b/>
          <w:bCs/>
          <w:sz w:val="24"/>
          <w:lang w:val="de-DE"/>
        </w:rPr>
      </w:pPr>
    </w:p>
    <w:p w14:paraId="0BF90E7E" w14:textId="77777777" w:rsidR="0063307A" w:rsidRDefault="0063307A" w:rsidP="0063307A">
      <w:pPr>
        <w:jc w:val="center"/>
        <w:rPr>
          <w:rFonts w:ascii="Arial" w:hAnsi="Arial" w:cs="Arial"/>
          <w:b/>
          <w:bCs/>
          <w:sz w:val="24"/>
          <w:lang w:val="de-DE"/>
        </w:rPr>
      </w:pPr>
      <w:r w:rsidRPr="00DE0776">
        <w:rPr>
          <w:rFonts w:ascii="Arial" w:hAnsi="Arial" w:cs="Arial"/>
          <w:b/>
          <w:bCs/>
          <w:sz w:val="24"/>
          <w:lang w:val="de-DE"/>
        </w:rPr>
        <w:t xml:space="preserve">Figure 8. Foreign direct investment realized </w:t>
      </w:r>
      <w:r w:rsidRPr="00DE0776">
        <w:rPr>
          <w:rFonts w:ascii="Arial" w:hAnsi="Arial" w:cs="Arial"/>
          <w:b/>
          <w:bCs/>
          <w:sz w:val="24"/>
          <w:lang w:val="de-DE"/>
        </w:rPr>
        <w:br/>
      </w:r>
      <w:r>
        <w:rPr>
          <w:rFonts w:ascii="Arial" w:hAnsi="Arial" w:cs="Arial"/>
          <w:b/>
          <w:bCs/>
          <w:sz w:val="24"/>
          <w:lang w:val="de-DE"/>
        </w:rPr>
        <w:t>in 10 months of 2020-2024 (billion USD)</w:t>
      </w:r>
    </w:p>
    <w:p w14:paraId="6CADC1CD" w14:textId="77777777" w:rsidR="0063307A" w:rsidRDefault="0063307A" w:rsidP="0063307A">
      <w:pPr>
        <w:jc w:val="center"/>
      </w:pPr>
    </w:p>
    <w:p w14:paraId="60F0C0FE" w14:textId="77777777" w:rsidR="0063307A" w:rsidRDefault="0063307A" w:rsidP="0063307A">
      <w:pPr>
        <w:jc w:val="center"/>
      </w:pPr>
      <w:r>
        <w:rPr>
          <w:noProof/>
        </w:rPr>
        <w:drawing>
          <wp:inline distT="0" distB="0" distL="0" distR="0" wp14:anchorId="5D6769CB" wp14:editId="63527B24">
            <wp:extent cx="4572000" cy="1863306"/>
            <wp:effectExtent l="0" t="0" r="0" b="38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28C34B" w14:textId="77777777" w:rsidR="0063307A" w:rsidRDefault="0063307A" w:rsidP="0063307A">
      <w:pPr>
        <w:jc w:val="center"/>
      </w:pPr>
    </w:p>
    <w:p w14:paraId="29D8C0C1" w14:textId="77777777" w:rsidR="0063307A" w:rsidRDefault="0063307A" w:rsidP="0063307A">
      <w:pPr>
        <w:jc w:val="center"/>
      </w:pPr>
    </w:p>
    <w:bookmarkEnd w:id="6"/>
    <w:p w14:paraId="7B6781E7" w14:textId="77777777" w:rsidR="0063307A" w:rsidRPr="002813B4" w:rsidRDefault="0063307A" w:rsidP="0063307A">
      <w:pPr>
        <w:spacing w:after="120" w:line="276" w:lineRule="auto"/>
        <w:ind w:firstLine="720"/>
        <w:jc w:val="both"/>
        <w:rPr>
          <w:iCs/>
          <w:lang w:val="de-DE"/>
        </w:rPr>
      </w:pPr>
      <w:r w:rsidRPr="002813B4">
        <w:rPr>
          <w:i/>
          <w:iCs/>
          <w:lang w:val="de-DE"/>
        </w:rPr>
        <w:t xml:space="preserve">Vietnam's overseas investment </w:t>
      </w:r>
      <w:r w:rsidRPr="002813B4">
        <w:rPr>
          <w:iCs/>
          <w:lang w:val="de-DE"/>
        </w:rPr>
        <w:t xml:space="preserve">in the ten months of 2024 had 124 projects newly granted investment certificates with a total capital of Vietnam's side of 429.9 million USD, an increase of 71.2% over the same period last year; there </w:t>
      </w:r>
      <w:r w:rsidRPr="002813B4">
        <w:rPr>
          <w:iCs/>
          <w:lang w:val="de-DE"/>
        </w:rPr>
        <w:lastRenderedPageBreak/>
        <w:t>were 21 projects with adjusted capital with an increased capital of 43.2 million USD, a decrease of 75.1%.</w:t>
      </w:r>
    </w:p>
    <w:p w14:paraId="4CEF7A4C" w14:textId="77777777" w:rsidR="0063307A" w:rsidRDefault="0063307A" w:rsidP="0063307A">
      <w:pPr>
        <w:spacing w:after="120" w:line="276" w:lineRule="auto"/>
        <w:ind w:firstLine="720"/>
        <w:jc w:val="both"/>
        <w:rPr>
          <w:iCs/>
          <w:spacing w:val="-4"/>
          <w:lang w:val="de-DE"/>
        </w:rPr>
      </w:pPr>
      <w:r w:rsidRPr="002813B4">
        <w:rPr>
          <w:iCs/>
          <w:spacing w:val="-4"/>
          <w:lang w:val="de-DE"/>
        </w:rPr>
        <w:t>In the ten months of 2024, Vietnam's total investment capital abroad (newly granted and adjusted capital) reached 473.1 million USD, an increase of 11.5% over the same period last year. Of which: Scientific and technological professional activities reached 200.5 million USD, accounting for 42.4% of total investment capital; processing and manufacturing industry reached 70.8 million USD, accounting for 15.0%; mining reached 58.6 million USD, accounting for 12.4%; wholesale and retail, repair of automobiles, motorcycles, motorbikes and other motor vehicles reached 36.2 million USD, accounting for 7.6%; transportation and warehousing reached 33.2 million USD, accounting for 7.0%; production and distribution of electricity, gas, hot water and air conditioning reached 23.9 million USD, accounting for 5.0%; other services reached 10.2 million USD, accounting for 2.2%.</w:t>
      </w:r>
    </w:p>
    <w:p w14:paraId="45DC8E6B" w14:textId="698E88C9" w:rsidR="0063307A" w:rsidRPr="0063307A" w:rsidRDefault="0063307A" w:rsidP="0063307A">
      <w:pPr>
        <w:spacing w:after="120" w:line="276" w:lineRule="auto"/>
        <w:ind w:firstLine="720"/>
        <w:jc w:val="both"/>
        <w:rPr>
          <w:iCs/>
          <w:spacing w:val="-4"/>
          <w:lang w:val="de-DE"/>
        </w:rPr>
      </w:pPr>
      <w:r w:rsidRPr="002813B4">
        <w:rPr>
          <w:iCs/>
          <w:lang w:val="de-DE"/>
        </w:rPr>
        <w:t>In the ten months of 2024, 30 countries and territories received investment from Vietnam, of which: Indonesia was the leading country with 127.7 million USD, accounting for 27.0% of total investment capital; India 90.1 million USD, accounting for 19.0%; Laos 77.9 million USD, accounting for 16.5%; Netherlands 54.6 million USD, accounting for 11.5%; United States 42.8 million USD, accounting for 9.0%; Gi-rata 29.4 million USD, accounting for 6.2%; Cambodia 27.2 million USD, accounting for 5.8%; United Kingdom 20.4 million USD, accounting for 4.3%.</w:t>
      </w:r>
    </w:p>
    <w:p w14:paraId="154CEAA4" w14:textId="77777777" w:rsidR="0063307A" w:rsidRPr="00DC4810" w:rsidRDefault="0063307A" w:rsidP="0063307A">
      <w:pPr>
        <w:spacing w:after="120" w:line="276" w:lineRule="auto"/>
        <w:ind w:firstLine="720"/>
        <w:jc w:val="both"/>
        <w:rPr>
          <w:b/>
          <w:bCs/>
          <w:lang w:val="vi-VN"/>
        </w:rPr>
      </w:pPr>
      <w:bookmarkStart w:id="7" w:name="_Hlk89176061"/>
      <w:bookmarkEnd w:id="5"/>
      <w:r w:rsidRPr="00DC4810">
        <w:rPr>
          <w:b/>
          <w:bCs/>
          <w:lang w:val="de-DE"/>
        </w:rPr>
        <w:t xml:space="preserve">5. </w:t>
      </w:r>
      <w:r w:rsidRPr="00DC4810">
        <w:rPr>
          <w:b/>
          <w:bCs/>
          <w:lang w:val="vi-VN"/>
        </w:rPr>
        <w:t>State budget revenue and expenditure</w:t>
      </w:r>
      <w:r w:rsidRPr="00DC4810">
        <w:rPr>
          <w:rStyle w:val="FootnoteReference"/>
          <w:rFonts w:eastAsiaTheme="majorEastAsia"/>
          <w:b/>
          <w:bCs/>
          <w:lang w:val="vi-VN"/>
        </w:rPr>
        <w:footnoteReference w:id="14"/>
      </w:r>
    </w:p>
    <w:p w14:paraId="42D25BB6" w14:textId="77777777" w:rsidR="0063307A" w:rsidRPr="00D4708A" w:rsidRDefault="0063307A" w:rsidP="0063307A">
      <w:pPr>
        <w:spacing w:after="120" w:line="276" w:lineRule="auto"/>
        <w:ind w:firstLine="720"/>
        <w:jc w:val="both"/>
        <w:rPr>
          <w:rFonts w:ascii="Arial" w:hAnsi="Arial" w:cs="Arial"/>
          <w:b/>
          <w:sz w:val="8"/>
          <w:szCs w:val="24"/>
          <w:lang w:val="nl-NL"/>
        </w:rPr>
      </w:pPr>
      <w:r w:rsidRPr="00D4708A">
        <w:rPr>
          <w:i/>
          <w:lang w:val="nl-NL"/>
        </w:rPr>
        <w:t xml:space="preserve">State budget revenue in ten months of 2024 </w:t>
      </w:r>
      <w:r>
        <w:rPr>
          <w:i/>
          <w:lang w:val="nl-NL"/>
        </w:rPr>
        <w:t>wa</w:t>
      </w:r>
      <w:r w:rsidRPr="00D4708A">
        <w:rPr>
          <w:i/>
          <w:lang w:val="nl-NL"/>
        </w:rPr>
        <w:t xml:space="preserve">s estimated to increase by 17.3% over the same period last year. State budget expenditure </w:t>
      </w:r>
      <w:r>
        <w:rPr>
          <w:i/>
          <w:lang w:val="nl-NL"/>
        </w:rPr>
        <w:t>wa</w:t>
      </w:r>
      <w:r w:rsidRPr="00D4708A">
        <w:rPr>
          <w:i/>
          <w:lang w:val="nl-NL"/>
        </w:rPr>
        <w:t xml:space="preserve">s estimated to increase by 4.1% over the same period last year, </w:t>
      </w:r>
      <w:r w:rsidRPr="00D4708A">
        <w:rPr>
          <w:i/>
          <w:spacing w:val="-2"/>
          <w:lang w:val="nl-NL"/>
        </w:rPr>
        <w:t>ensuring the needs of socio-economic development, national defense, security, State management, payment of due debts as well as timely payment to subjects according to regulations.</w:t>
      </w:r>
    </w:p>
    <w:p w14:paraId="1B152F8F" w14:textId="77777777" w:rsidR="0063307A" w:rsidRDefault="0063307A" w:rsidP="0063307A">
      <w:pPr>
        <w:spacing w:before="40" w:after="40" w:line="254" w:lineRule="auto"/>
        <w:ind w:firstLine="567"/>
        <w:jc w:val="center"/>
        <w:rPr>
          <w:rFonts w:ascii="Arial" w:hAnsi="Arial" w:cs="Arial"/>
          <w:b/>
          <w:sz w:val="24"/>
          <w:szCs w:val="24"/>
          <w:lang w:val="nl-NL"/>
        </w:rPr>
      </w:pPr>
    </w:p>
    <w:p w14:paraId="16CE3DA5" w14:textId="77777777" w:rsidR="0063307A" w:rsidRDefault="0063307A" w:rsidP="0063307A">
      <w:pPr>
        <w:spacing w:before="40" w:after="40" w:line="254" w:lineRule="auto"/>
        <w:ind w:firstLine="567"/>
        <w:jc w:val="center"/>
        <w:rPr>
          <w:rFonts w:ascii="Arial" w:hAnsi="Arial" w:cs="Arial"/>
          <w:b/>
          <w:sz w:val="24"/>
          <w:szCs w:val="24"/>
          <w:lang w:val="nl-NL"/>
        </w:rPr>
      </w:pPr>
      <w:r w:rsidRPr="00D4708A">
        <w:rPr>
          <w:rFonts w:ascii="Arial" w:hAnsi="Arial" w:cs="Arial"/>
          <w:b/>
          <w:sz w:val="24"/>
          <w:szCs w:val="24"/>
          <w:lang w:val="nl-NL"/>
        </w:rPr>
        <w:t>Figure 9. State budget revenue and expenditure for 10 months of 2024</w:t>
      </w:r>
    </w:p>
    <w:p w14:paraId="011F9B5E" w14:textId="77777777" w:rsidR="0063307A" w:rsidRPr="00D4708A" w:rsidRDefault="0063307A" w:rsidP="0063307A">
      <w:pPr>
        <w:spacing w:before="40" w:after="40" w:line="254" w:lineRule="auto"/>
        <w:jc w:val="center"/>
        <w:rPr>
          <w:rFonts w:ascii="Arial" w:hAnsi="Arial" w:cs="Arial"/>
          <w:b/>
          <w:sz w:val="24"/>
          <w:szCs w:val="24"/>
          <w:lang w:val="nl-NL"/>
        </w:rPr>
      </w:pPr>
      <w:r>
        <w:rPr>
          <w:rFonts w:ascii="Arial" w:hAnsi="Arial" w:cs="Arial"/>
          <w:b/>
          <w:noProof/>
          <w:sz w:val="24"/>
          <w:szCs w:val="24"/>
          <w:lang w:val="nl-NL"/>
        </w:rPr>
        <w:lastRenderedPageBreak/>
        <w:drawing>
          <wp:inline distT="0" distB="0" distL="0" distR="0" wp14:anchorId="3B8D18FD" wp14:editId="2F047E00">
            <wp:extent cx="5699760" cy="2378075"/>
            <wp:effectExtent l="0" t="0" r="0" b="3175"/>
            <wp:docPr id="835826562" name="Picture 1" descr="A diagram of a balance with money and piggy ba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26562" name="Picture 1" descr="A diagram of a balance with money and piggy bank&#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99760" cy="2378075"/>
                    </a:xfrm>
                    <a:prstGeom prst="rect">
                      <a:avLst/>
                    </a:prstGeom>
                  </pic:spPr>
                </pic:pic>
              </a:graphicData>
            </a:graphic>
          </wp:inline>
        </w:drawing>
      </w:r>
    </w:p>
    <w:p w14:paraId="34981002" w14:textId="77777777" w:rsidR="0063307A" w:rsidRPr="00D4708A" w:rsidRDefault="0063307A" w:rsidP="0063307A">
      <w:pPr>
        <w:spacing w:before="40" w:after="40" w:line="254" w:lineRule="auto"/>
        <w:jc w:val="center"/>
        <w:rPr>
          <w:rFonts w:ascii="Arial" w:hAnsi="Arial" w:cs="Arial"/>
          <w:b/>
          <w:sz w:val="24"/>
          <w:szCs w:val="24"/>
          <w:lang w:val="nl-NL"/>
        </w:rPr>
      </w:pPr>
    </w:p>
    <w:p w14:paraId="48AAF2AC" w14:textId="77777777" w:rsidR="0063307A" w:rsidRPr="00D4708A" w:rsidRDefault="0063307A" w:rsidP="0063307A">
      <w:pPr>
        <w:spacing w:after="120" w:line="264" w:lineRule="auto"/>
        <w:ind w:firstLine="720"/>
        <w:jc w:val="both"/>
        <w:rPr>
          <w:b/>
          <w:i/>
          <w:lang w:val="it-IT"/>
        </w:rPr>
      </w:pPr>
      <w:r w:rsidRPr="00D4708A">
        <w:rPr>
          <w:b/>
          <w:i/>
          <w:lang w:val="it-IT"/>
        </w:rPr>
        <w:t>State budget revenue</w:t>
      </w:r>
    </w:p>
    <w:p w14:paraId="612C7C93" w14:textId="77777777" w:rsidR="0063307A" w:rsidRPr="00D4708A" w:rsidRDefault="0063307A" w:rsidP="0063307A">
      <w:pPr>
        <w:spacing w:after="120" w:line="264" w:lineRule="auto"/>
        <w:ind w:firstLine="720"/>
        <w:jc w:val="both"/>
        <w:rPr>
          <w:lang w:val="nl-NL"/>
        </w:rPr>
      </w:pPr>
      <w:r w:rsidRPr="00D4708A">
        <w:rPr>
          <w:lang w:val="it-IT"/>
        </w:rPr>
        <w:t xml:space="preserve">Total state budget revenue in October 2024 </w:t>
      </w:r>
      <w:r>
        <w:rPr>
          <w:lang w:val="it-IT"/>
        </w:rPr>
        <w:t>wa</w:t>
      </w:r>
      <w:r w:rsidRPr="00D4708A">
        <w:rPr>
          <w:lang w:val="it-IT"/>
        </w:rPr>
        <w:t xml:space="preserve">s estimated at </w:t>
      </w:r>
      <w:r w:rsidRPr="00D4708A">
        <w:rPr>
          <w:lang w:val="nl-NL"/>
        </w:rPr>
        <w:t>178.5 trillion VND</w:t>
      </w:r>
      <w:r w:rsidRPr="00D4708A">
        <w:rPr>
          <w:lang w:val="it-IT"/>
        </w:rPr>
        <w:t>. Cumulative total state budget revenue in ten months of 2024 reached 1,654.2 trillion VND, equal to 97.2% of the annual estimate and an increase of 17.3% over the same period last year</w:t>
      </w:r>
      <w:r w:rsidRPr="00D4708A">
        <w:rPr>
          <w:lang w:val="nl-NL"/>
        </w:rPr>
        <w:t>. In particular, some main revenue items are as follows:</w:t>
      </w:r>
    </w:p>
    <w:p w14:paraId="02B3EB86" w14:textId="77777777" w:rsidR="0063307A" w:rsidRPr="00D4708A" w:rsidRDefault="0063307A" w:rsidP="0063307A">
      <w:pPr>
        <w:spacing w:after="120" w:line="264" w:lineRule="auto"/>
        <w:ind w:firstLine="720"/>
        <w:jc w:val="both"/>
        <w:rPr>
          <w:lang w:val="nl-NL"/>
        </w:rPr>
      </w:pPr>
      <w:r w:rsidRPr="00D4708A">
        <w:rPr>
          <w:i/>
          <w:lang w:val="nl-NL"/>
        </w:rPr>
        <w:t xml:space="preserve">- Domestic revenue </w:t>
      </w:r>
      <w:r w:rsidRPr="00D4708A">
        <w:rPr>
          <w:lang w:val="nl-NL"/>
        </w:rPr>
        <w:t xml:space="preserve">in October 2024 </w:t>
      </w:r>
      <w:r>
        <w:rPr>
          <w:lang w:val="nl-NL"/>
        </w:rPr>
        <w:t>wa</w:t>
      </w:r>
      <w:r w:rsidRPr="00D4708A">
        <w:rPr>
          <w:lang w:val="nl-NL"/>
        </w:rPr>
        <w:t xml:space="preserve">s estimated at 154.1 trillion VND; accumulated revenue in ten months of 2024 reached 1,377.6 trillion VND, equal to 95.4% of the annual estimate and an increase of 18.1% </w:t>
      </w:r>
      <w:r w:rsidRPr="00D4708A">
        <w:rPr>
          <w:lang w:val="it-IT"/>
        </w:rPr>
        <w:t>over the same period last year</w:t>
      </w:r>
      <w:r w:rsidRPr="00D4708A">
        <w:rPr>
          <w:lang w:val="nl-NL"/>
        </w:rPr>
        <w:t>.</w:t>
      </w:r>
    </w:p>
    <w:p w14:paraId="4B5F182B" w14:textId="77777777" w:rsidR="0063307A" w:rsidRPr="00D4708A" w:rsidRDefault="0063307A" w:rsidP="0063307A">
      <w:pPr>
        <w:spacing w:after="120" w:line="264" w:lineRule="auto"/>
        <w:ind w:firstLine="720"/>
        <w:jc w:val="both"/>
        <w:rPr>
          <w:lang w:val="nl-NL"/>
        </w:rPr>
      </w:pPr>
      <w:r w:rsidRPr="00D4708A">
        <w:rPr>
          <w:i/>
          <w:lang w:val="nl-NL"/>
        </w:rPr>
        <w:t xml:space="preserve">- Revenue from crude oil </w:t>
      </w:r>
      <w:r w:rsidRPr="00D4708A">
        <w:rPr>
          <w:lang w:val="nl-NL"/>
        </w:rPr>
        <w:t xml:space="preserve">in October 2024 </w:t>
      </w:r>
      <w:r>
        <w:rPr>
          <w:lang w:val="nl-NL"/>
        </w:rPr>
        <w:t>wa</w:t>
      </w:r>
      <w:r w:rsidRPr="00D4708A">
        <w:rPr>
          <w:lang w:val="nl-NL"/>
        </w:rPr>
        <w:t xml:space="preserve">s estimated at 4.8 trillion VND; accumulated revenue in ten months of 2024 reached </w:t>
      </w:r>
      <w:r w:rsidRPr="00D4708A">
        <w:rPr>
          <w:lang w:val="it-IT"/>
        </w:rPr>
        <w:t xml:space="preserve">48.9 </w:t>
      </w:r>
      <w:r w:rsidRPr="00D4708A">
        <w:rPr>
          <w:lang w:val="nl-NL"/>
        </w:rPr>
        <w:t xml:space="preserve">trillion VND, equal to </w:t>
      </w:r>
      <w:r w:rsidRPr="00D4708A">
        <w:rPr>
          <w:lang w:val="it-IT"/>
        </w:rPr>
        <w:t xml:space="preserve">106.2 </w:t>
      </w:r>
      <w:r w:rsidRPr="00D4708A">
        <w:rPr>
          <w:lang w:val="nl-NL"/>
        </w:rPr>
        <w:t xml:space="preserve">% of the annual estimate and down 6.0% </w:t>
      </w:r>
      <w:r w:rsidRPr="00D4708A">
        <w:rPr>
          <w:lang w:val="it-IT"/>
        </w:rPr>
        <w:t>over the same period last year</w:t>
      </w:r>
      <w:r w:rsidRPr="00D4708A">
        <w:rPr>
          <w:lang w:val="nl-NL"/>
        </w:rPr>
        <w:t>.</w:t>
      </w:r>
    </w:p>
    <w:p w14:paraId="1A2F1513" w14:textId="77777777" w:rsidR="0063307A" w:rsidRPr="00D4708A" w:rsidRDefault="0063307A" w:rsidP="0063307A">
      <w:pPr>
        <w:spacing w:after="120" w:line="264" w:lineRule="auto"/>
        <w:ind w:firstLine="720"/>
        <w:jc w:val="both"/>
        <w:rPr>
          <w:lang w:val="nl-NL"/>
        </w:rPr>
      </w:pPr>
      <w:r w:rsidRPr="00D4708A">
        <w:rPr>
          <w:i/>
          <w:lang w:val="nl-NL"/>
        </w:rPr>
        <w:t xml:space="preserve">- Budget revenue from import and export activities </w:t>
      </w:r>
      <w:r w:rsidRPr="00D4708A">
        <w:rPr>
          <w:lang w:val="nl-NL"/>
        </w:rPr>
        <w:t xml:space="preserve">in October 2024 </w:t>
      </w:r>
      <w:r>
        <w:rPr>
          <w:lang w:val="nl-NL"/>
        </w:rPr>
        <w:t>wa</w:t>
      </w:r>
      <w:r w:rsidRPr="00D4708A">
        <w:rPr>
          <w:lang w:val="nl-NL"/>
        </w:rPr>
        <w:t xml:space="preserve">s estimated at 19.5 trillion VND; accumulated revenue in ten months of 2024 </w:t>
      </w:r>
      <w:r>
        <w:rPr>
          <w:lang w:val="nl-NL"/>
        </w:rPr>
        <w:t>wa</w:t>
      </w:r>
      <w:r w:rsidRPr="00D4708A">
        <w:rPr>
          <w:lang w:val="nl-NL"/>
        </w:rPr>
        <w:t xml:space="preserve">s 227.2 trillion VND, equal to </w:t>
      </w:r>
      <w:r w:rsidRPr="00D4708A">
        <w:rPr>
          <w:lang w:val="it-IT"/>
        </w:rPr>
        <w:t xml:space="preserve">111.4 </w:t>
      </w:r>
      <w:r w:rsidRPr="00D4708A">
        <w:rPr>
          <w:lang w:val="nl-NL"/>
        </w:rPr>
        <w:t xml:space="preserve">% of the annual estimate and an increase of 18.9% </w:t>
      </w:r>
      <w:r w:rsidRPr="00D4708A">
        <w:rPr>
          <w:lang w:val="it-IT"/>
        </w:rPr>
        <w:t>over the same period last year</w:t>
      </w:r>
      <w:r w:rsidRPr="00D4708A">
        <w:rPr>
          <w:lang w:val="nl-NL"/>
        </w:rPr>
        <w:t>.</w:t>
      </w:r>
    </w:p>
    <w:p w14:paraId="1B483027" w14:textId="77777777" w:rsidR="0063307A" w:rsidRPr="00D4708A" w:rsidRDefault="0063307A" w:rsidP="0063307A">
      <w:pPr>
        <w:spacing w:after="120" w:line="264" w:lineRule="auto"/>
        <w:ind w:firstLine="720"/>
        <w:jc w:val="both"/>
        <w:rPr>
          <w:b/>
          <w:i/>
          <w:lang w:val="nl-NL"/>
        </w:rPr>
      </w:pPr>
      <w:r w:rsidRPr="00D4708A">
        <w:rPr>
          <w:b/>
          <w:i/>
          <w:lang w:val="nl-NL"/>
        </w:rPr>
        <w:t>State budget expenditure</w:t>
      </w:r>
    </w:p>
    <w:p w14:paraId="3B6C0F20" w14:textId="77777777" w:rsidR="0063307A" w:rsidRPr="00D4708A" w:rsidRDefault="0063307A" w:rsidP="0063307A">
      <w:pPr>
        <w:spacing w:after="120" w:line="264" w:lineRule="auto"/>
        <w:ind w:firstLine="720"/>
        <w:jc w:val="both"/>
        <w:rPr>
          <w:spacing w:val="-2"/>
          <w:lang w:val="nl-NL"/>
        </w:rPr>
      </w:pPr>
      <w:r w:rsidRPr="00D4708A">
        <w:rPr>
          <w:spacing w:val="-2"/>
          <w:lang w:val="nl-NL"/>
        </w:rPr>
        <w:t xml:space="preserve">Total state budget expenditure in October 2024 </w:t>
      </w:r>
      <w:r>
        <w:rPr>
          <w:spacing w:val="-2"/>
          <w:lang w:val="nl-NL"/>
        </w:rPr>
        <w:t>wa</w:t>
      </w:r>
      <w:r w:rsidRPr="00D4708A">
        <w:rPr>
          <w:spacing w:val="-2"/>
          <w:lang w:val="nl-NL"/>
        </w:rPr>
        <w:t>s estimated at VND 155.4 trillion; the accumulated expenditure in ten months of 2024 is estimated at VND 1,399.7 trillion, equivalent to 66.0% of the annual estimate and up 4.1% over the same period last year. Of which, regular expenditure in ten months of 2024 reached VND 956.3 trillion, equivalent to 75.9% of the annual estimate and up 9.5% over the same period last year; development investment expenditure reached VND 355.6 trillion, equivalent to 52.5% and down 8.7%; debt interest payment was VND 85.8 trillion, equivalent to 76.8% and up 8.1%.</w:t>
      </w:r>
    </w:p>
    <w:p w14:paraId="2088FAFD" w14:textId="77777777" w:rsidR="0063307A" w:rsidRPr="00BB4D40" w:rsidRDefault="0063307A" w:rsidP="0063307A">
      <w:pPr>
        <w:spacing w:beforeLines="40" w:before="96" w:afterLines="40" w:after="96" w:line="252" w:lineRule="auto"/>
        <w:ind w:firstLine="567"/>
        <w:jc w:val="both"/>
        <w:rPr>
          <w:b/>
          <w:bCs/>
          <w:lang w:val="nl-NL"/>
        </w:rPr>
      </w:pPr>
      <w:r>
        <w:rPr>
          <w:b/>
          <w:bCs/>
          <w:lang w:val="nl-NL"/>
        </w:rPr>
        <w:lastRenderedPageBreak/>
        <w:t>6</w:t>
      </w:r>
      <w:r w:rsidRPr="00BB4D40">
        <w:rPr>
          <w:b/>
          <w:bCs/>
          <w:lang w:val="nl-NL"/>
        </w:rPr>
        <w:t>. Trade, prices, transport and tourism</w:t>
      </w:r>
    </w:p>
    <w:p w14:paraId="4211821E" w14:textId="77777777" w:rsidR="0063307A" w:rsidRPr="00BB4D40" w:rsidRDefault="0063307A" w:rsidP="0063307A">
      <w:pPr>
        <w:spacing w:beforeLines="40" w:before="96" w:afterLines="40" w:after="96" w:line="252" w:lineRule="auto"/>
        <w:ind w:firstLine="567"/>
        <w:jc w:val="both"/>
        <w:rPr>
          <w:i/>
          <w:color w:val="000000" w:themeColor="text1"/>
          <w:lang w:val="it-IT"/>
        </w:rPr>
      </w:pPr>
      <w:r w:rsidRPr="00BB4D40">
        <w:rPr>
          <w:b/>
          <w:i/>
          <w:lang w:val="it-IT"/>
        </w:rPr>
        <w:t xml:space="preserve">a) </w:t>
      </w:r>
      <w:r w:rsidRPr="00BB4D40">
        <w:rPr>
          <w:b/>
          <w:i/>
        </w:rPr>
        <w:t>Retail sales of consumer goods and services</w:t>
      </w:r>
      <w:r w:rsidRPr="00BB4D40">
        <w:rPr>
          <w:i/>
          <w:color w:val="000000" w:themeColor="text1"/>
          <w:lang w:val="it-IT"/>
        </w:rPr>
        <w:t xml:space="preserve"> </w:t>
      </w:r>
    </w:p>
    <w:p w14:paraId="34B99A4E" w14:textId="77777777" w:rsidR="0063307A" w:rsidRPr="00BB4D40" w:rsidRDefault="0063307A" w:rsidP="0063307A">
      <w:pPr>
        <w:spacing w:beforeLines="40" w:before="96" w:afterLines="40" w:after="96" w:line="252" w:lineRule="auto"/>
        <w:ind w:firstLine="567"/>
        <w:jc w:val="both"/>
        <w:rPr>
          <w:i/>
          <w:color w:val="000000" w:themeColor="text1"/>
          <w:lang w:val="it-IT"/>
        </w:rPr>
      </w:pPr>
      <w:r w:rsidRPr="00870842">
        <w:rPr>
          <w:i/>
          <w:lang w:val="it-IT"/>
        </w:rPr>
        <w:t>Domestic consumption and production demand often increases in the last months of the year, contributing to the growth of the service industry.</w:t>
      </w:r>
      <w:r w:rsidRPr="00CE5B83">
        <w:rPr>
          <w:i/>
          <w:lang w:val="it-IT"/>
        </w:rPr>
        <w:t xml:space="preserve"> </w:t>
      </w:r>
      <w:r w:rsidRPr="00BB4D40">
        <w:rPr>
          <w:i/>
          <w:lang w:val="it-IT"/>
        </w:rPr>
        <w:t xml:space="preserve">The total retail sales of consumer goods and services in </w:t>
      </w:r>
      <w:r>
        <w:rPr>
          <w:i/>
          <w:lang w:val="it-IT"/>
        </w:rPr>
        <w:t>10/2024</w:t>
      </w:r>
      <w:r w:rsidRPr="00BB4D40">
        <w:rPr>
          <w:i/>
          <w:lang w:val="it-IT"/>
        </w:rPr>
        <w:t xml:space="preserve"> </w:t>
      </w:r>
      <w:r>
        <w:rPr>
          <w:rStyle w:val="rynqvb"/>
          <w:i/>
        </w:rPr>
        <w:t>in</w:t>
      </w:r>
      <w:r w:rsidRPr="00BB4D40">
        <w:rPr>
          <w:rStyle w:val="rynqvb"/>
          <w:i/>
        </w:rPr>
        <w:t xml:space="preserve">creased by </w:t>
      </w:r>
      <w:r>
        <w:rPr>
          <w:rStyle w:val="rynqvb"/>
          <w:i/>
        </w:rPr>
        <w:t>2.4</w:t>
      </w:r>
      <w:r w:rsidRPr="00BB4D40">
        <w:rPr>
          <w:rStyle w:val="rynqvb"/>
          <w:i/>
        </w:rPr>
        <w:t xml:space="preserve">% compared to the previous </w:t>
      </w:r>
      <w:r>
        <w:rPr>
          <w:rStyle w:val="rynqvb"/>
          <w:i/>
        </w:rPr>
        <w:t xml:space="preserve">and </w:t>
      </w:r>
      <w:r w:rsidRPr="00BB4D40">
        <w:rPr>
          <w:rStyle w:val="rynqvb"/>
          <w:i/>
        </w:rPr>
        <w:t xml:space="preserve">increased by </w:t>
      </w:r>
      <w:r>
        <w:rPr>
          <w:rStyle w:val="rynqvb"/>
          <w:i/>
        </w:rPr>
        <w:t>7.1</w:t>
      </w:r>
      <w:r w:rsidRPr="00BB4D40">
        <w:rPr>
          <w:rStyle w:val="rynqvb"/>
          <w:i/>
        </w:rPr>
        <w:t xml:space="preserve">% </w:t>
      </w:r>
      <w:r w:rsidRPr="00BB4D40">
        <w:rPr>
          <w:i/>
          <w:color w:val="000000" w:themeColor="text1"/>
          <w:lang w:val="it-IT"/>
        </w:rPr>
        <w:t xml:space="preserve">over the same period last year. </w:t>
      </w:r>
      <w:r w:rsidRPr="00BB4D40">
        <w:rPr>
          <w:rFonts w:ascii="Times New Roman Italic" w:eastAsiaTheme="minorHAnsi" w:hAnsi="Times New Roman Italic"/>
          <w:bCs/>
          <w:i/>
          <w:spacing w:val="-6"/>
          <w:kern w:val="2"/>
          <w:lang w:val="it-IT"/>
          <w14:ligatures w14:val="standardContextual"/>
        </w:rPr>
        <w:t>Overall</w:t>
      </w:r>
      <w:r>
        <w:rPr>
          <w:rFonts w:ascii="Times New Roman Italic" w:eastAsiaTheme="minorHAnsi" w:hAnsi="Times New Roman Italic"/>
          <w:bCs/>
          <w:i/>
          <w:spacing w:val="-6"/>
          <w:kern w:val="2"/>
          <w:lang w:val="it-IT"/>
          <w14:ligatures w14:val="standardContextual"/>
        </w:rPr>
        <w:t>,</w:t>
      </w:r>
      <w:r w:rsidRPr="00BB4D40">
        <w:rPr>
          <w:i/>
          <w:color w:val="000000" w:themeColor="text1"/>
          <w:lang w:val="it-IT"/>
        </w:rPr>
        <w:t xml:space="preserve"> </w:t>
      </w:r>
      <w:r>
        <w:rPr>
          <w:i/>
          <w:color w:val="000000" w:themeColor="text1"/>
          <w:lang w:val="it-IT"/>
        </w:rPr>
        <w:t>in ten months of 2024</w:t>
      </w:r>
      <w:r w:rsidRPr="00BB4D40">
        <w:rPr>
          <w:i/>
          <w:color w:val="000000" w:themeColor="text1"/>
          <w:lang w:val="it-IT"/>
        </w:rPr>
        <w:t>, the total retail sales of consumer goods and services was estimated to increase by 8.</w:t>
      </w:r>
      <w:r>
        <w:rPr>
          <w:i/>
          <w:color w:val="000000" w:themeColor="text1"/>
          <w:lang w:val="it-IT"/>
        </w:rPr>
        <w:t>5</w:t>
      </w:r>
      <w:r w:rsidRPr="00BB4D40">
        <w:rPr>
          <w:i/>
          <w:color w:val="000000" w:themeColor="text1"/>
          <w:lang w:val="it-IT"/>
        </w:rPr>
        <w:t>% over the same period last year,</w:t>
      </w:r>
      <w:r>
        <w:rPr>
          <w:i/>
          <w:color w:val="000000" w:themeColor="text1"/>
          <w:lang w:val="it-IT"/>
        </w:rPr>
        <w:t xml:space="preserve"> </w:t>
      </w:r>
      <w:r w:rsidRPr="00BB4D40">
        <w:rPr>
          <w:i/>
          <w:color w:val="000000" w:themeColor="text1"/>
          <w:lang w:val="it-IT"/>
        </w:rPr>
        <w:t xml:space="preserve">of which </w:t>
      </w:r>
      <w:r w:rsidRPr="00BB4D40">
        <w:rPr>
          <w:bCs/>
          <w:i/>
          <w:lang w:val="nl-NL"/>
        </w:rPr>
        <w:t xml:space="preserve">revenue from accommodation and food services </w:t>
      </w:r>
      <w:r w:rsidRPr="00BB4D40">
        <w:rPr>
          <w:i/>
          <w:color w:val="000000" w:themeColor="text1"/>
          <w:lang w:val="it-IT"/>
        </w:rPr>
        <w:t xml:space="preserve">increased by </w:t>
      </w:r>
      <w:r>
        <w:rPr>
          <w:i/>
          <w:color w:val="000000" w:themeColor="text1"/>
          <w:lang w:val="it-IT"/>
        </w:rPr>
        <w:t>12.5</w:t>
      </w:r>
      <w:r w:rsidRPr="00BB4D40">
        <w:rPr>
          <w:i/>
          <w:color w:val="000000" w:themeColor="text1"/>
          <w:lang w:val="it-IT"/>
        </w:rPr>
        <w:t xml:space="preserve">%, revenue from tourism up to </w:t>
      </w:r>
      <w:r>
        <w:rPr>
          <w:i/>
          <w:color w:val="000000" w:themeColor="text1"/>
          <w:lang w:val="it-IT"/>
        </w:rPr>
        <w:t>14.2</w:t>
      </w:r>
      <w:r w:rsidRPr="00BB4D40">
        <w:rPr>
          <w:i/>
          <w:color w:val="000000" w:themeColor="text1"/>
          <w:lang w:val="it-IT"/>
        </w:rPr>
        <w:t>%.</w:t>
      </w:r>
    </w:p>
    <w:p w14:paraId="4F618145" w14:textId="77777777" w:rsidR="0063307A" w:rsidRPr="00BB4D40" w:rsidRDefault="0063307A" w:rsidP="0063307A">
      <w:pPr>
        <w:spacing w:beforeLines="40" w:before="96" w:afterLines="40" w:after="96" w:line="252" w:lineRule="auto"/>
        <w:ind w:firstLine="567"/>
        <w:jc w:val="both"/>
        <w:rPr>
          <w:color w:val="000000" w:themeColor="text1"/>
          <w:lang w:val="it-IT"/>
        </w:rPr>
      </w:pPr>
      <w:r w:rsidRPr="00BB4D40">
        <w:rPr>
          <w:color w:val="000000" w:themeColor="text1"/>
          <w:lang w:val="it-IT"/>
        </w:rPr>
        <w:t>Total retail sales of consumer goods and services</w:t>
      </w:r>
      <w:r w:rsidRPr="00BB4D40">
        <w:t xml:space="preserve"> at current prices</w:t>
      </w:r>
      <w:r w:rsidRPr="00BB4D40">
        <w:rPr>
          <w:color w:val="000000" w:themeColor="text1"/>
          <w:lang w:val="it-IT"/>
        </w:rPr>
        <w:t xml:space="preserve"> in </w:t>
      </w:r>
      <w:r>
        <w:rPr>
          <w:color w:val="000000" w:themeColor="text1"/>
          <w:lang w:val="it-IT"/>
        </w:rPr>
        <w:t>10/2024</w:t>
      </w:r>
      <w:r w:rsidRPr="00BB4D40">
        <w:rPr>
          <w:color w:val="000000" w:themeColor="text1"/>
          <w:lang w:val="it-IT"/>
        </w:rPr>
        <w:t xml:space="preserve"> was estimated at </w:t>
      </w:r>
      <w:r>
        <w:rPr>
          <w:bCs/>
          <w:spacing w:val="-2"/>
          <w:lang w:val="it-IT"/>
        </w:rPr>
        <w:t>545.7</w:t>
      </w:r>
      <w:r w:rsidRPr="00BB4D40">
        <w:rPr>
          <w:bCs/>
          <w:spacing w:val="-2"/>
          <w:lang w:val="it-IT"/>
        </w:rPr>
        <w:t xml:space="preserve"> </w:t>
      </w:r>
      <w:r w:rsidRPr="00BB4D40">
        <w:rPr>
          <w:color w:val="000000" w:themeColor="text1"/>
          <w:lang w:val="it-IT"/>
        </w:rPr>
        <w:t xml:space="preserve">trillion VND, up </w:t>
      </w:r>
      <w:r>
        <w:rPr>
          <w:color w:val="000000" w:themeColor="text1"/>
          <w:lang w:val="it-IT"/>
        </w:rPr>
        <w:t>7.1</w:t>
      </w:r>
      <w:r w:rsidRPr="00BB4D40">
        <w:rPr>
          <w:color w:val="000000" w:themeColor="text1"/>
          <w:lang w:val="it-IT"/>
        </w:rPr>
        <w:t xml:space="preserve">% over the same period last year, </w:t>
      </w:r>
      <w:r>
        <w:rPr>
          <w:color w:val="000000" w:themeColor="text1"/>
          <w:lang w:val="it-IT"/>
        </w:rPr>
        <w:t>of</w:t>
      </w:r>
      <w:r w:rsidRPr="00BB4D40">
        <w:rPr>
          <w:color w:val="000000" w:themeColor="text1"/>
          <w:lang w:val="it-IT"/>
        </w:rPr>
        <w:t xml:space="preserve"> which, the group of food and foodstuffs increased by </w:t>
      </w:r>
      <w:r>
        <w:rPr>
          <w:color w:val="000000" w:themeColor="text1"/>
          <w:lang w:val="it-IT"/>
        </w:rPr>
        <w:t>12.0</w:t>
      </w:r>
      <w:r w:rsidRPr="00BB4D40">
        <w:rPr>
          <w:color w:val="000000" w:themeColor="text1"/>
          <w:lang w:val="it-IT"/>
        </w:rPr>
        <w:t xml:space="preserve">%; </w:t>
      </w:r>
      <w:r w:rsidRPr="00BB4D40">
        <w:rPr>
          <w:bCs/>
          <w:lang w:val="nl-NL"/>
        </w:rPr>
        <w:t xml:space="preserve">means of transport (except for cars) rose up </w:t>
      </w:r>
      <w:r>
        <w:rPr>
          <w:bCs/>
          <w:shd w:val="clear" w:color="auto" w:fill="FFFFFF"/>
          <w:lang w:val="nl-NL"/>
        </w:rPr>
        <w:t>21.4</w:t>
      </w:r>
      <w:r w:rsidRPr="00BB4D40">
        <w:rPr>
          <w:bCs/>
          <w:shd w:val="clear" w:color="auto" w:fill="FFFFFF"/>
          <w:lang w:val="nl-NL"/>
        </w:rPr>
        <w:t>%</w:t>
      </w:r>
    </w:p>
    <w:p w14:paraId="6AA91339" w14:textId="77777777" w:rsidR="0063307A" w:rsidRPr="00BB4D40" w:rsidRDefault="0063307A" w:rsidP="0063307A">
      <w:pPr>
        <w:spacing w:beforeLines="40" w:before="96" w:afterLines="40" w:after="96" w:line="264" w:lineRule="auto"/>
        <w:jc w:val="center"/>
        <w:rPr>
          <w:rFonts w:ascii="Arial" w:hAnsi="Arial" w:cs="Arial"/>
          <w:b/>
          <w:bCs/>
          <w:sz w:val="24"/>
          <w:szCs w:val="24"/>
          <w:lang w:val="it-IT"/>
        </w:rPr>
      </w:pPr>
      <w:r w:rsidRPr="00BB4D40">
        <w:rPr>
          <w:rFonts w:ascii="Arial" w:hAnsi="Arial" w:cs="Arial"/>
          <w:b/>
          <w:sz w:val="24"/>
          <w:szCs w:val="24"/>
          <w:lang w:val="pl-PL"/>
        </w:rPr>
        <w:t xml:space="preserve">Table 3. </w:t>
      </w:r>
      <w:r w:rsidRPr="00BB4D40">
        <w:rPr>
          <w:rFonts w:ascii="Arial" w:hAnsi="Arial" w:cs="Arial"/>
          <w:b/>
          <w:bCs/>
          <w:sz w:val="24"/>
          <w:szCs w:val="24"/>
          <w:lang w:val="it-IT"/>
        </w:rPr>
        <w:t xml:space="preserve">Retail sales of consumer goods and services </w:t>
      </w:r>
      <w:r w:rsidRPr="00BB4D40">
        <w:rPr>
          <w:b/>
        </w:rPr>
        <w:t>at current prices</w:t>
      </w:r>
    </w:p>
    <w:p w14:paraId="735365C5" w14:textId="77777777" w:rsidR="0063307A" w:rsidRPr="00BB4D40" w:rsidRDefault="0063307A" w:rsidP="0063307A">
      <w:pPr>
        <w:spacing w:beforeLines="40" w:before="96" w:afterLines="40" w:after="96" w:line="264" w:lineRule="auto"/>
        <w:ind w:firstLine="567"/>
        <w:jc w:val="center"/>
        <w:rPr>
          <w:rFonts w:ascii="Arial" w:hAnsi="Arial" w:cs="Arial"/>
          <w:b/>
          <w:bCs/>
          <w:sz w:val="2"/>
          <w:szCs w:val="20"/>
          <w:lang w:val="it-IT"/>
        </w:rPr>
      </w:pPr>
    </w:p>
    <w:p w14:paraId="61741E44" w14:textId="77777777" w:rsidR="0063307A" w:rsidRPr="00BB4D40" w:rsidRDefault="0063307A" w:rsidP="0063307A">
      <w:pPr>
        <w:tabs>
          <w:tab w:val="left" w:pos="2835"/>
        </w:tabs>
        <w:spacing w:beforeLines="40" w:before="96" w:afterLines="40" w:after="96" w:line="264" w:lineRule="auto"/>
        <w:ind w:firstLine="567"/>
        <w:jc w:val="right"/>
        <w:rPr>
          <w:rFonts w:ascii="Arial" w:hAnsi="Arial" w:cs="Arial"/>
          <w:b/>
          <w:bCs/>
          <w:i/>
          <w:sz w:val="12"/>
          <w:szCs w:val="20"/>
        </w:rPr>
      </w:pPr>
      <w:r w:rsidRPr="00BB4D40">
        <w:rPr>
          <w:rFonts w:ascii="Arial" w:hAnsi="Arial" w:cs="Arial"/>
          <w:b/>
          <w:bCs/>
          <w:i/>
          <w:sz w:val="20"/>
          <w:szCs w:val="20"/>
        </w:rPr>
        <w:t>Trillion VND</w:t>
      </w:r>
    </w:p>
    <w:tbl>
      <w:tblPr>
        <w:tblW w:w="9009" w:type="dxa"/>
        <w:jc w:val="center"/>
        <w:tblLayout w:type="fixed"/>
        <w:tblLook w:val="04A0" w:firstRow="1" w:lastRow="0" w:firstColumn="1" w:lastColumn="0" w:noHBand="0" w:noVBand="1"/>
      </w:tblPr>
      <w:tblGrid>
        <w:gridCol w:w="2949"/>
        <w:gridCol w:w="1402"/>
        <w:gridCol w:w="1720"/>
        <w:gridCol w:w="1486"/>
        <w:gridCol w:w="1452"/>
      </w:tblGrid>
      <w:tr w:rsidR="0063307A" w:rsidRPr="00BB4D40" w14:paraId="631212ED" w14:textId="77777777" w:rsidTr="00B73CE3">
        <w:trPr>
          <w:cantSplit/>
          <w:trHeight w:val="229"/>
          <w:jc w:val="center"/>
        </w:trPr>
        <w:tc>
          <w:tcPr>
            <w:tcW w:w="2949" w:type="dxa"/>
            <w:tcBorders>
              <w:top w:val="single" w:sz="8" w:space="0" w:color="auto"/>
              <w:left w:val="nil"/>
              <w:bottom w:val="nil"/>
              <w:right w:val="nil"/>
            </w:tcBorders>
            <w:vAlign w:val="center"/>
            <w:hideMark/>
          </w:tcPr>
          <w:p w14:paraId="3EB9FF87" w14:textId="77777777" w:rsidR="0063307A" w:rsidRPr="00BB4D40" w:rsidRDefault="0063307A" w:rsidP="00B73CE3">
            <w:pPr>
              <w:spacing w:before="20" w:after="20" w:line="276" w:lineRule="auto"/>
              <w:jc w:val="both"/>
              <w:rPr>
                <w:rFonts w:ascii="Arial" w:hAnsi="Arial" w:cs="Arial"/>
                <w:sz w:val="20"/>
                <w:szCs w:val="20"/>
              </w:rPr>
            </w:pPr>
            <w:r w:rsidRPr="00BB4D40">
              <w:rPr>
                <w:rFonts w:ascii="Arial" w:hAnsi="Arial" w:cs="Arial"/>
                <w:bCs/>
                <w:sz w:val="20"/>
                <w:szCs w:val="20"/>
              </w:rPr>
              <w:t> </w:t>
            </w:r>
          </w:p>
        </w:tc>
        <w:tc>
          <w:tcPr>
            <w:tcW w:w="1402" w:type="dxa"/>
            <w:vMerge w:val="restart"/>
            <w:tcBorders>
              <w:top w:val="single" w:sz="4" w:space="0" w:color="auto"/>
              <w:left w:val="nil"/>
              <w:bottom w:val="single" w:sz="4" w:space="0" w:color="auto"/>
              <w:right w:val="nil"/>
            </w:tcBorders>
            <w:vAlign w:val="center"/>
            <w:hideMark/>
          </w:tcPr>
          <w:p w14:paraId="008CBC4F" w14:textId="77777777" w:rsidR="0063307A" w:rsidRPr="00BB4D40" w:rsidRDefault="0063307A" w:rsidP="00B73CE3">
            <w:pPr>
              <w:spacing w:before="60" w:after="60" w:line="276" w:lineRule="auto"/>
              <w:jc w:val="center"/>
              <w:rPr>
                <w:rFonts w:ascii="Arial" w:hAnsi="Arial" w:cs="Arial"/>
                <w:bCs/>
                <w:sz w:val="20"/>
                <w:szCs w:val="20"/>
              </w:rPr>
            </w:pPr>
            <w:r w:rsidRPr="00BB4D40">
              <w:rPr>
                <w:rFonts w:ascii="Arial" w:hAnsi="Arial" w:cs="Arial"/>
                <w:bCs/>
                <w:sz w:val="20"/>
                <w:szCs w:val="20"/>
              </w:rPr>
              <w:t xml:space="preserve">Estimate </w:t>
            </w:r>
          </w:p>
          <w:p w14:paraId="3220C325" w14:textId="77777777" w:rsidR="0063307A" w:rsidRPr="00BB4D40" w:rsidRDefault="0063307A" w:rsidP="00B73CE3">
            <w:pPr>
              <w:spacing w:before="60" w:after="60" w:line="276" w:lineRule="auto"/>
              <w:jc w:val="center"/>
              <w:rPr>
                <w:rFonts w:ascii="Arial" w:hAnsi="Arial" w:cs="Arial"/>
                <w:bCs/>
                <w:sz w:val="20"/>
                <w:szCs w:val="20"/>
              </w:rPr>
            </w:pPr>
            <w:r>
              <w:rPr>
                <w:rFonts w:ascii="Arial" w:hAnsi="Arial" w:cs="Arial"/>
                <w:bCs/>
                <w:sz w:val="20"/>
                <w:szCs w:val="20"/>
              </w:rPr>
              <w:t>October</w:t>
            </w:r>
          </w:p>
          <w:p w14:paraId="2DEB2EDF" w14:textId="77777777" w:rsidR="0063307A" w:rsidRPr="00BB4D40" w:rsidRDefault="0063307A" w:rsidP="00B73CE3">
            <w:pPr>
              <w:spacing w:before="20" w:after="20" w:line="276" w:lineRule="auto"/>
              <w:jc w:val="center"/>
              <w:rPr>
                <w:rFonts w:ascii="Arial" w:hAnsi="Arial" w:cs="Arial"/>
                <w:sz w:val="20"/>
                <w:szCs w:val="20"/>
              </w:rPr>
            </w:pPr>
            <w:r w:rsidRPr="00BB4D40">
              <w:rPr>
                <w:rFonts w:ascii="Arial" w:hAnsi="Arial" w:cs="Arial"/>
                <w:bCs/>
                <w:sz w:val="20"/>
                <w:szCs w:val="20"/>
              </w:rPr>
              <w:t>2024</w:t>
            </w:r>
          </w:p>
        </w:tc>
        <w:tc>
          <w:tcPr>
            <w:tcW w:w="1720" w:type="dxa"/>
            <w:vMerge w:val="restart"/>
            <w:tcBorders>
              <w:top w:val="single" w:sz="4" w:space="0" w:color="auto"/>
              <w:left w:val="nil"/>
              <w:bottom w:val="single" w:sz="4" w:space="0" w:color="auto"/>
              <w:right w:val="nil"/>
            </w:tcBorders>
            <w:vAlign w:val="center"/>
            <w:hideMark/>
          </w:tcPr>
          <w:p w14:paraId="3271EA7B" w14:textId="77777777" w:rsidR="0063307A" w:rsidRPr="00BB4D40" w:rsidRDefault="0063307A" w:rsidP="00B73CE3">
            <w:pPr>
              <w:spacing w:before="60" w:after="60" w:line="276" w:lineRule="auto"/>
              <w:jc w:val="center"/>
              <w:rPr>
                <w:rFonts w:ascii="Arial" w:hAnsi="Arial" w:cs="Arial"/>
                <w:sz w:val="20"/>
                <w:szCs w:val="20"/>
                <w:lang w:val="pt-BR"/>
              </w:rPr>
            </w:pPr>
            <w:r w:rsidRPr="00BB4D40">
              <w:rPr>
                <w:rFonts w:ascii="Arial" w:hAnsi="Arial" w:cs="Arial"/>
                <w:bCs/>
                <w:sz w:val="20"/>
                <w:szCs w:val="20"/>
              </w:rPr>
              <w:t xml:space="preserve">Estimate </w:t>
            </w:r>
            <w:r>
              <w:rPr>
                <w:rFonts w:ascii="Arial" w:hAnsi="Arial" w:cs="Arial"/>
                <w:bCs/>
                <w:sz w:val="20"/>
                <w:szCs w:val="20"/>
              </w:rPr>
              <w:br/>
              <w:t xml:space="preserve">10 months </w:t>
            </w:r>
            <w:r w:rsidRPr="00BB4D40">
              <w:rPr>
                <w:rFonts w:ascii="Arial" w:hAnsi="Arial" w:cs="Arial"/>
                <w:bCs/>
                <w:sz w:val="20"/>
                <w:szCs w:val="20"/>
              </w:rPr>
              <w:br/>
              <w:t>of 2024</w:t>
            </w:r>
          </w:p>
        </w:tc>
        <w:tc>
          <w:tcPr>
            <w:tcW w:w="2938" w:type="dxa"/>
            <w:gridSpan w:val="2"/>
            <w:vMerge w:val="restart"/>
            <w:tcBorders>
              <w:top w:val="single" w:sz="4" w:space="0" w:color="auto"/>
              <w:left w:val="nil"/>
              <w:bottom w:val="single" w:sz="4" w:space="0" w:color="auto"/>
              <w:right w:val="nil"/>
            </w:tcBorders>
            <w:vAlign w:val="center"/>
            <w:hideMark/>
          </w:tcPr>
          <w:p w14:paraId="573D3B20" w14:textId="77777777" w:rsidR="0063307A" w:rsidRPr="00BB4D40" w:rsidRDefault="0063307A" w:rsidP="00B73CE3">
            <w:pPr>
              <w:spacing w:before="20" w:after="20" w:line="276" w:lineRule="auto"/>
              <w:jc w:val="center"/>
              <w:rPr>
                <w:rFonts w:ascii="Arial" w:hAnsi="Arial" w:cs="Arial"/>
                <w:sz w:val="20"/>
                <w:szCs w:val="20"/>
                <w:lang w:val="pt-BR"/>
              </w:rPr>
            </w:pPr>
            <w:r w:rsidRPr="00BB4D40">
              <w:rPr>
                <w:rFonts w:ascii="Arial" w:hAnsi="Arial" w:cs="Arial"/>
                <w:bCs/>
                <w:sz w:val="20"/>
                <w:szCs w:val="20"/>
              </w:rPr>
              <w:t>G</w:t>
            </w:r>
            <w:r w:rsidRPr="00BB4D40">
              <w:rPr>
                <w:rFonts w:ascii="Arial" w:hAnsi="Arial" w:cs="Arial"/>
                <w:bCs/>
                <w:sz w:val="20"/>
                <w:szCs w:val="20"/>
                <w:lang w:val="vi-VN"/>
              </w:rPr>
              <w:t>rowth rate</w:t>
            </w:r>
            <w:r w:rsidRPr="00BB4D40">
              <w:rPr>
                <w:rFonts w:ascii="Arial" w:hAnsi="Arial" w:cs="Arial"/>
                <w:bCs/>
                <w:sz w:val="20"/>
                <w:szCs w:val="20"/>
              </w:rPr>
              <w:t xml:space="preserve"> compared to the same period last year (%)</w:t>
            </w:r>
          </w:p>
        </w:tc>
      </w:tr>
      <w:tr w:rsidR="0063307A" w:rsidRPr="00BB4D40" w14:paraId="33225B47" w14:textId="77777777" w:rsidTr="00B73CE3">
        <w:trPr>
          <w:cantSplit/>
          <w:trHeight w:val="193"/>
          <w:jc w:val="center"/>
        </w:trPr>
        <w:tc>
          <w:tcPr>
            <w:tcW w:w="2949" w:type="dxa"/>
            <w:vAlign w:val="center"/>
            <w:hideMark/>
          </w:tcPr>
          <w:p w14:paraId="476CFD97" w14:textId="77777777" w:rsidR="0063307A" w:rsidRPr="00BB4D40" w:rsidRDefault="0063307A" w:rsidP="00B73CE3">
            <w:pPr>
              <w:rPr>
                <w:rFonts w:ascii="Arial" w:hAnsi="Arial" w:cs="Arial"/>
                <w:sz w:val="20"/>
                <w:szCs w:val="20"/>
                <w:lang w:val="pt-BR"/>
              </w:rPr>
            </w:pPr>
          </w:p>
        </w:tc>
        <w:tc>
          <w:tcPr>
            <w:tcW w:w="1402" w:type="dxa"/>
            <w:vMerge/>
            <w:tcBorders>
              <w:top w:val="single" w:sz="4" w:space="0" w:color="auto"/>
              <w:left w:val="nil"/>
              <w:bottom w:val="single" w:sz="4" w:space="0" w:color="auto"/>
              <w:right w:val="nil"/>
            </w:tcBorders>
            <w:vAlign w:val="center"/>
            <w:hideMark/>
          </w:tcPr>
          <w:p w14:paraId="3B496E7C" w14:textId="77777777" w:rsidR="0063307A" w:rsidRPr="00BB4D40" w:rsidRDefault="0063307A" w:rsidP="00B73CE3">
            <w:pPr>
              <w:spacing w:line="256" w:lineRule="auto"/>
              <w:rPr>
                <w:rFonts w:ascii="Arial" w:hAnsi="Arial" w:cs="Arial"/>
                <w:sz w:val="20"/>
                <w:szCs w:val="20"/>
              </w:rPr>
            </w:pPr>
          </w:p>
        </w:tc>
        <w:tc>
          <w:tcPr>
            <w:tcW w:w="1720" w:type="dxa"/>
            <w:vMerge/>
            <w:tcBorders>
              <w:top w:val="single" w:sz="4" w:space="0" w:color="auto"/>
              <w:left w:val="nil"/>
              <w:bottom w:val="single" w:sz="4" w:space="0" w:color="auto"/>
              <w:right w:val="nil"/>
            </w:tcBorders>
            <w:vAlign w:val="center"/>
            <w:hideMark/>
          </w:tcPr>
          <w:p w14:paraId="0B2062B7" w14:textId="77777777" w:rsidR="0063307A" w:rsidRPr="00BB4D40" w:rsidRDefault="0063307A" w:rsidP="00B73CE3">
            <w:pPr>
              <w:spacing w:line="256" w:lineRule="auto"/>
              <w:rPr>
                <w:rFonts w:ascii="Arial" w:hAnsi="Arial" w:cs="Arial"/>
                <w:sz w:val="20"/>
                <w:szCs w:val="20"/>
                <w:lang w:val="pt-BR"/>
              </w:rPr>
            </w:pPr>
          </w:p>
        </w:tc>
        <w:tc>
          <w:tcPr>
            <w:tcW w:w="2938" w:type="dxa"/>
            <w:gridSpan w:val="2"/>
            <w:vMerge/>
            <w:tcBorders>
              <w:top w:val="single" w:sz="4" w:space="0" w:color="auto"/>
              <w:left w:val="nil"/>
              <w:bottom w:val="single" w:sz="4" w:space="0" w:color="auto"/>
              <w:right w:val="nil"/>
            </w:tcBorders>
            <w:vAlign w:val="center"/>
            <w:hideMark/>
          </w:tcPr>
          <w:p w14:paraId="7477CDE2" w14:textId="77777777" w:rsidR="0063307A" w:rsidRPr="00BB4D40" w:rsidRDefault="0063307A" w:rsidP="00B73CE3">
            <w:pPr>
              <w:spacing w:line="256" w:lineRule="auto"/>
              <w:rPr>
                <w:rFonts w:ascii="Arial" w:hAnsi="Arial" w:cs="Arial"/>
                <w:sz w:val="20"/>
                <w:szCs w:val="20"/>
                <w:lang w:val="pt-BR"/>
              </w:rPr>
            </w:pPr>
          </w:p>
        </w:tc>
      </w:tr>
      <w:tr w:rsidR="0063307A" w:rsidRPr="00BB4D40" w14:paraId="53F41599" w14:textId="77777777" w:rsidTr="00B73CE3">
        <w:trPr>
          <w:cantSplit/>
          <w:trHeight w:val="106"/>
          <w:jc w:val="center"/>
        </w:trPr>
        <w:tc>
          <w:tcPr>
            <w:tcW w:w="2949" w:type="dxa"/>
            <w:vAlign w:val="center"/>
            <w:hideMark/>
          </w:tcPr>
          <w:p w14:paraId="48147627" w14:textId="77777777" w:rsidR="0063307A" w:rsidRPr="00BB4D40" w:rsidRDefault="0063307A" w:rsidP="00B73CE3">
            <w:pPr>
              <w:spacing w:line="256" w:lineRule="auto"/>
              <w:rPr>
                <w:rFonts w:asciiTheme="minorHAnsi" w:eastAsiaTheme="minorHAnsi" w:hAnsiTheme="minorHAnsi" w:cstheme="minorBidi"/>
                <w:sz w:val="20"/>
                <w:szCs w:val="20"/>
              </w:rPr>
            </w:pPr>
          </w:p>
        </w:tc>
        <w:tc>
          <w:tcPr>
            <w:tcW w:w="1402" w:type="dxa"/>
            <w:vMerge/>
            <w:tcBorders>
              <w:top w:val="single" w:sz="4" w:space="0" w:color="auto"/>
              <w:left w:val="nil"/>
              <w:bottom w:val="single" w:sz="4" w:space="0" w:color="auto"/>
              <w:right w:val="nil"/>
            </w:tcBorders>
            <w:vAlign w:val="center"/>
            <w:hideMark/>
          </w:tcPr>
          <w:p w14:paraId="54059B52" w14:textId="77777777" w:rsidR="0063307A" w:rsidRPr="00BB4D40" w:rsidRDefault="0063307A" w:rsidP="00B73CE3">
            <w:pPr>
              <w:spacing w:line="256" w:lineRule="auto"/>
              <w:rPr>
                <w:rFonts w:ascii="Arial" w:hAnsi="Arial" w:cs="Arial"/>
                <w:sz w:val="20"/>
                <w:szCs w:val="20"/>
              </w:rPr>
            </w:pPr>
          </w:p>
        </w:tc>
        <w:tc>
          <w:tcPr>
            <w:tcW w:w="1720" w:type="dxa"/>
            <w:vMerge/>
            <w:tcBorders>
              <w:top w:val="single" w:sz="4" w:space="0" w:color="auto"/>
              <w:left w:val="nil"/>
              <w:bottom w:val="single" w:sz="4" w:space="0" w:color="auto"/>
              <w:right w:val="nil"/>
            </w:tcBorders>
            <w:vAlign w:val="center"/>
            <w:hideMark/>
          </w:tcPr>
          <w:p w14:paraId="76247ADE" w14:textId="77777777" w:rsidR="0063307A" w:rsidRPr="00BB4D40" w:rsidRDefault="0063307A" w:rsidP="00B73CE3">
            <w:pPr>
              <w:spacing w:line="256" w:lineRule="auto"/>
              <w:rPr>
                <w:rFonts w:ascii="Arial" w:hAnsi="Arial" w:cs="Arial"/>
                <w:sz w:val="20"/>
                <w:szCs w:val="20"/>
                <w:lang w:val="pt-BR"/>
              </w:rPr>
            </w:pPr>
          </w:p>
        </w:tc>
        <w:tc>
          <w:tcPr>
            <w:tcW w:w="1486" w:type="dxa"/>
            <w:vMerge w:val="restart"/>
            <w:tcBorders>
              <w:top w:val="nil"/>
              <w:left w:val="nil"/>
              <w:bottom w:val="single" w:sz="4" w:space="0" w:color="auto"/>
              <w:right w:val="nil"/>
            </w:tcBorders>
            <w:vAlign w:val="center"/>
            <w:hideMark/>
          </w:tcPr>
          <w:p w14:paraId="708A8DEE" w14:textId="77777777" w:rsidR="0063307A" w:rsidRPr="00BB4D40" w:rsidRDefault="0063307A" w:rsidP="00B73CE3">
            <w:pPr>
              <w:spacing w:before="60" w:after="60" w:line="276" w:lineRule="auto"/>
              <w:jc w:val="center"/>
              <w:rPr>
                <w:rFonts w:ascii="Arial" w:hAnsi="Arial" w:cs="Arial"/>
                <w:bCs/>
                <w:sz w:val="20"/>
                <w:szCs w:val="20"/>
              </w:rPr>
            </w:pPr>
            <w:r>
              <w:rPr>
                <w:rFonts w:ascii="Arial" w:hAnsi="Arial" w:cs="Arial"/>
                <w:bCs/>
                <w:sz w:val="20"/>
                <w:szCs w:val="20"/>
              </w:rPr>
              <w:t>October</w:t>
            </w:r>
          </w:p>
          <w:p w14:paraId="0E73EA43" w14:textId="77777777" w:rsidR="0063307A" w:rsidRPr="00BB4D40" w:rsidRDefault="0063307A" w:rsidP="00B73CE3">
            <w:pPr>
              <w:spacing w:before="60" w:after="60" w:line="276" w:lineRule="auto"/>
              <w:jc w:val="center"/>
              <w:rPr>
                <w:rFonts w:ascii="Arial" w:hAnsi="Arial" w:cs="Arial"/>
                <w:sz w:val="20"/>
                <w:szCs w:val="20"/>
              </w:rPr>
            </w:pPr>
            <w:r w:rsidRPr="00BB4D40">
              <w:rPr>
                <w:rFonts w:ascii="Arial" w:hAnsi="Arial" w:cs="Arial"/>
                <w:bCs/>
                <w:sz w:val="20"/>
                <w:szCs w:val="20"/>
              </w:rPr>
              <w:t>in 2024</w:t>
            </w:r>
          </w:p>
        </w:tc>
        <w:tc>
          <w:tcPr>
            <w:tcW w:w="1452" w:type="dxa"/>
            <w:vMerge w:val="restart"/>
            <w:tcBorders>
              <w:top w:val="nil"/>
              <w:left w:val="nil"/>
              <w:bottom w:val="single" w:sz="4" w:space="0" w:color="auto"/>
              <w:right w:val="nil"/>
            </w:tcBorders>
            <w:vAlign w:val="center"/>
            <w:hideMark/>
          </w:tcPr>
          <w:p w14:paraId="0FEEB721" w14:textId="77777777" w:rsidR="0063307A" w:rsidRPr="00BB4D40" w:rsidRDefault="0063307A" w:rsidP="00B73CE3">
            <w:pPr>
              <w:spacing w:before="60" w:after="60" w:line="276" w:lineRule="auto"/>
              <w:jc w:val="center"/>
              <w:rPr>
                <w:rFonts w:ascii="Arial" w:hAnsi="Arial" w:cs="Arial"/>
                <w:sz w:val="20"/>
                <w:szCs w:val="20"/>
              </w:rPr>
            </w:pPr>
            <w:r>
              <w:rPr>
                <w:rFonts w:ascii="Arial" w:hAnsi="Arial" w:cs="Arial"/>
                <w:bCs/>
                <w:sz w:val="20"/>
                <w:szCs w:val="20"/>
              </w:rPr>
              <w:t>10</w:t>
            </w:r>
            <w:r w:rsidRPr="00BB4D40">
              <w:rPr>
                <w:rFonts w:ascii="Arial" w:hAnsi="Arial" w:cs="Arial"/>
                <w:bCs/>
                <w:sz w:val="20"/>
                <w:szCs w:val="20"/>
              </w:rPr>
              <w:t xml:space="preserve"> months</w:t>
            </w:r>
            <w:r w:rsidRPr="00BB4D40">
              <w:rPr>
                <w:rFonts w:ascii="Arial" w:hAnsi="Arial" w:cs="Arial"/>
                <w:bCs/>
                <w:sz w:val="20"/>
                <w:szCs w:val="20"/>
              </w:rPr>
              <w:br/>
              <w:t>of 2024</w:t>
            </w:r>
          </w:p>
        </w:tc>
      </w:tr>
      <w:tr w:rsidR="0063307A" w:rsidRPr="00BB4D40" w14:paraId="341D0D79" w14:textId="77777777" w:rsidTr="00B73CE3">
        <w:trPr>
          <w:cantSplit/>
          <w:trHeight w:val="454"/>
          <w:jc w:val="center"/>
        </w:trPr>
        <w:tc>
          <w:tcPr>
            <w:tcW w:w="2949" w:type="dxa"/>
            <w:vAlign w:val="center"/>
            <w:hideMark/>
          </w:tcPr>
          <w:p w14:paraId="55ED79A7" w14:textId="77777777" w:rsidR="0063307A" w:rsidRPr="00BB4D40" w:rsidRDefault="0063307A" w:rsidP="00B73CE3">
            <w:pPr>
              <w:rPr>
                <w:rFonts w:ascii="Arial" w:hAnsi="Arial" w:cs="Arial"/>
                <w:sz w:val="20"/>
                <w:szCs w:val="20"/>
              </w:rPr>
            </w:pPr>
          </w:p>
        </w:tc>
        <w:tc>
          <w:tcPr>
            <w:tcW w:w="1402" w:type="dxa"/>
            <w:vMerge/>
            <w:tcBorders>
              <w:top w:val="single" w:sz="4" w:space="0" w:color="auto"/>
              <w:left w:val="nil"/>
              <w:bottom w:val="single" w:sz="4" w:space="0" w:color="auto"/>
              <w:right w:val="nil"/>
            </w:tcBorders>
            <w:vAlign w:val="center"/>
            <w:hideMark/>
          </w:tcPr>
          <w:p w14:paraId="1260EB2A" w14:textId="77777777" w:rsidR="0063307A" w:rsidRPr="00BB4D40" w:rsidRDefault="0063307A" w:rsidP="00B73CE3">
            <w:pPr>
              <w:spacing w:line="256" w:lineRule="auto"/>
              <w:rPr>
                <w:rFonts w:ascii="Arial" w:hAnsi="Arial" w:cs="Arial"/>
                <w:sz w:val="20"/>
                <w:szCs w:val="20"/>
              </w:rPr>
            </w:pPr>
          </w:p>
        </w:tc>
        <w:tc>
          <w:tcPr>
            <w:tcW w:w="1720" w:type="dxa"/>
            <w:vMerge/>
            <w:tcBorders>
              <w:top w:val="single" w:sz="4" w:space="0" w:color="auto"/>
              <w:left w:val="nil"/>
              <w:bottom w:val="single" w:sz="4" w:space="0" w:color="auto"/>
              <w:right w:val="nil"/>
            </w:tcBorders>
            <w:vAlign w:val="center"/>
            <w:hideMark/>
          </w:tcPr>
          <w:p w14:paraId="2B2A6886" w14:textId="77777777" w:rsidR="0063307A" w:rsidRPr="00BB4D40" w:rsidRDefault="0063307A" w:rsidP="00B73CE3">
            <w:pPr>
              <w:spacing w:line="256" w:lineRule="auto"/>
              <w:rPr>
                <w:rFonts w:ascii="Arial" w:hAnsi="Arial" w:cs="Arial"/>
                <w:sz w:val="20"/>
                <w:szCs w:val="20"/>
                <w:lang w:val="pt-BR"/>
              </w:rPr>
            </w:pPr>
          </w:p>
        </w:tc>
        <w:tc>
          <w:tcPr>
            <w:tcW w:w="1486" w:type="dxa"/>
            <w:vMerge/>
            <w:tcBorders>
              <w:top w:val="nil"/>
              <w:left w:val="nil"/>
              <w:bottom w:val="single" w:sz="4" w:space="0" w:color="auto"/>
              <w:right w:val="nil"/>
            </w:tcBorders>
            <w:vAlign w:val="center"/>
            <w:hideMark/>
          </w:tcPr>
          <w:p w14:paraId="14F8B459" w14:textId="77777777" w:rsidR="0063307A" w:rsidRPr="00BB4D40" w:rsidRDefault="0063307A" w:rsidP="00B73CE3">
            <w:pPr>
              <w:spacing w:line="256" w:lineRule="auto"/>
              <w:rPr>
                <w:rFonts w:ascii="Arial" w:hAnsi="Arial" w:cs="Arial"/>
                <w:sz w:val="20"/>
                <w:szCs w:val="20"/>
              </w:rPr>
            </w:pPr>
          </w:p>
        </w:tc>
        <w:tc>
          <w:tcPr>
            <w:tcW w:w="1452" w:type="dxa"/>
            <w:vMerge/>
            <w:tcBorders>
              <w:top w:val="nil"/>
              <w:left w:val="nil"/>
              <w:bottom w:val="single" w:sz="4" w:space="0" w:color="auto"/>
              <w:right w:val="nil"/>
            </w:tcBorders>
            <w:vAlign w:val="center"/>
            <w:hideMark/>
          </w:tcPr>
          <w:p w14:paraId="242B81BE" w14:textId="77777777" w:rsidR="0063307A" w:rsidRPr="00BB4D40" w:rsidRDefault="0063307A" w:rsidP="00B73CE3">
            <w:pPr>
              <w:spacing w:line="256" w:lineRule="auto"/>
              <w:rPr>
                <w:rFonts w:ascii="Arial" w:hAnsi="Arial" w:cs="Arial"/>
                <w:sz w:val="20"/>
                <w:szCs w:val="20"/>
              </w:rPr>
            </w:pPr>
          </w:p>
        </w:tc>
      </w:tr>
      <w:tr w:rsidR="0063307A" w:rsidRPr="00BB4D40" w14:paraId="452CBDEF" w14:textId="77777777" w:rsidTr="00B73CE3">
        <w:trPr>
          <w:cantSplit/>
          <w:trHeight w:val="301"/>
          <w:jc w:val="center"/>
        </w:trPr>
        <w:tc>
          <w:tcPr>
            <w:tcW w:w="2949" w:type="dxa"/>
            <w:vAlign w:val="center"/>
            <w:hideMark/>
          </w:tcPr>
          <w:p w14:paraId="599A9E51" w14:textId="77777777" w:rsidR="0063307A" w:rsidRPr="00BB4D40" w:rsidRDefault="0063307A" w:rsidP="00B73CE3">
            <w:pPr>
              <w:spacing w:before="80" w:after="80" w:line="276" w:lineRule="auto"/>
              <w:rPr>
                <w:rFonts w:ascii="Arial" w:hAnsi="Arial" w:cs="Arial"/>
                <w:b/>
                <w:bCs/>
                <w:sz w:val="20"/>
                <w:szCs w:val="20"/>
              </w:rPr>
            </w:pPr>
            <w:r w:rsidRPr="00BB4D40">
              <w:rPr>
                <w:rFonts w:ascii="Arial" w:hAnsi="Arial" w:cs="Arial"/>
                <w:b/>
                <w:bCs/>
                <w:color w:val="000000" w:themeColor="text1"/>
                <w:sz w:val="20"/>
                <w:szCs w:val="20"/>
              </w:rPr>
              <w:t>Total</w:t>
            </w:r>
          </w:p>
        </w:tc>
        <w:tc>
          <w:tcPr>
            <w:tcW w:w="1402" w:type="dxa"/>
            <w:tcBorders>
              <w:top w:val="single" w:sz="4" w:space="0" w:color="auto"/>
              <w:left w:val="nil"/>
              <w:bottom w:val="nil"/>
              <w:right w:val="nil"/>
            </w:tcBorders>
            <w:vAlign w:val="center"/>
            <w:hideMark/>
          </w:tcPr>
          <w:p w14:paraId="1BB86E95" w14:textId="77777777" w:rsidR="0063307A" w:rsidRPr="00FC383C" w:rsidRDefault="0063307A" w:rsidP="00B73CE3">
            <w:pPr>
              <w:spacing w:before="80" w:after="80"/>
              <w:ind w:right="321"/>
              <w:jc w:val="right"/>
              <w:rPr>
                <w:rFonts w:ascii="Arial" w:hAnsi="Arial" w:cs="Arial"/>
                <w:b/>
                <w:bCs/>
                <w:sz w:val="20"/>
                <w:szCs w:val="20"/>
                <w:lang w:val="it-IT"/>
              </w:rPr>
            </w:pPr>
            <w:r w:rsidRPr="00FA1FEE">
              <w:rPr>
                <w:rFonts w:ascii="Arial" w:hAnsi="Arial" w:cs="Arial"/>
                <w:b/>
                <w:bCs/>
                <w:sz w:val="20"/>
                <w:szCs w:val="20"/>
              </w:rPr>
              <w:t xml:space="preserve">      545,7 </w:t>
            </w:r>
          </w:p>
        </w:tc>
        <w:tc>
          <w:tcPr>
            <w:tcW w:w="1720" w:type="dxa"/>
            <w:tcBorders>
              <w:top w:val="single" w:sz="4" w:space="0" w:color="auto"/>
              <w:left w:val="nil"/>
              <w:bottom w:val="nil"/>
              <w:right w:val="nil"/>
            </w:tcBorders>
            <w:vAlign w:val="center"/>
            <w:hideMark/>
          </w:tcPr>
          <w:p w14:paraId="0D7705DA" w14:textId="77777777" w:rsidR="0063307A" w:rsidRPr="00FC383C" w:rsidRDefault="0063307A" w:rsidP="00B73CE3">
            <w:pPr>
              <w:spacing w:before="80" w:after="80"/>
              <w:ind w:right="321"/>
              <w:jc w:val="right"/>
              <w:rPr>
                <w:rFonts w:ascii="Arial" w:hAnsi="Arial" w:cs="Arial"/>
                <w:b/>
                <w:bCs/>
                <w:sz w:val="20"/>
                <w:szCs w:val="20"/>
                <w:lang w:val="it-IT"/>
              </w:rPr>
            </w:pPr>
            <w:r w:rsidRPr="00FA1FEE">
              <w:rPr>
                <w:rFonts w:ascii="Arial" w:hAnsi="Arial" w:cs="Arial"/>
                <w:b/>
                <w:bCs/>
                <w:sz w:val="20"/>
                <w:szCs w:val="20"/>
              </w:rPr>
              <w:t xml:space="preserve">      5.246,2 </w:t>
            </w:r>
          </w:p>
        </w:tc>
        <w:tc>
          <w:tcPr>
            <w:tcW w:w="1486" w:type="dxa"/>
            <w:tcBorders>
              <w:top w:val="single" w:sz="4" w:space="0" w:color="auto"/>
              <w:left w:val="nil"/>
              <w:bottom w:val="nil"/>
              <w:right w:val="nil"/>
            </w:tcBorders>
            <w:vAlign w:val="center"/>
            <w:hideMark/>
          </w:tcPr>
          <w:p w14:paraId="2A2826C2" w14:textId="77777777" w:rsidR="0063307A" w:rsidRPr="00FC383C" w:rsidRDefault="0063307A" w:rsidP="00B73CE3">
            <w:pPr>
              <w:spacing w:before="80" w:after="80"/>
              <w:ind w:right="464"/>
              <w:jc w:val="right"/>
              <w:rPr>
                <w:rFonts w:ascii="Arial" w:hAnsi="Arial" w:cs="Arial"/>
                <w:b/>
                <w:bCs/>
                <w:sz w:val="20"/>
                <w:szCs w:val="20"/>
                <w:lang w:val="it-IT"/>
              </w:rPr>
            </w:pPr>
            <w:r w:rsidRPr="00FA1FEE">
              <w:rPr>
                <w:rFonts w:ascii="Arial" w:hAnsi="Arial" w:cs="Arial"/>
                <w:b/>
                <w:bCs/>
                <w:sz w:val="20"/>
                <w:szCs w:val="20"/>
              </w:rPr>
              <w:t>7,1</w:t>
            </w:r>
          </w:p>
        </w:tc>
        <w:tc>
          <w:tcPr>
            <w:tcW w:w="1452" w:type="dxa"/>
            <w:tcBorders>
              <w:top w:val="single" w:sz="4" w:space="0" w:color="auto"/>
              <w:left w:val="nil"/>
              <w:bottom w:val="nil"/>
              <w:right w:val="nil"/>
            </w:tcBorders>
            <w:vAlign w:val="center"/>
            <w:hideMark/>
          </w:tcPr>
          <w:p w14:paraId="61639A8B" w14:textId="77777777" w:rsidR="0063307A" w:rsidRPr="00FC383C" w:rsidRDefault="0063307A" w:rsidP="00B73CE3">
            <w:pPr>
              <w:spacing w:before="80" w:after="80"/>
              <w:ind w:right="464"/>
              <w:jc w:val="right"/>
              <w:rPr>
                <w:rFonts w:ascii="Arial" w:hAnsi="Arial" w:cs="Arial"/>
                <w:b/>
                <w:bCs/>
                <w:sz w:val="20"/>
                <w:szCs w:val="20"/>
                <w:lang w:val="it-IT"/>
              </w:rPr>
            </w:pPr>
            <w:r w:rsidRPr="00FA1FEE">
              <w:rPr>
                <w:rFonts w:ascii="Arial" w:hAnsi="Arial" w:cs="Arial"/>
                <w:b/>
                <w:bCs/>
                <w:sz w:val="20"/>
                <w:szCs w:val="20"/>
              </w:rPr>
              <w:t>8,5</w:t>
            </w:r>
          </w:p>
        </w:tc>
      </w:tr>
      <w:tr w:rsidR="0063307A" w:rsidRPr="00BB4D40" w14:paraId="6D270DA7" w14:textId="77777777" w:rsidTr="00B73CE3">
        <w:trPr>
          <w:cantSplit/>
          <w:trHeight w:val="260"/>
          <w:jc w:val="center"/>
        </w:trPr>
        <w:tc>
          <w:tcPr>
            <w:tcW w:w="2949" w:type="dxa"/>
            <w:vAlign w:val="center"/>
            <w:hideMark/>
          </w:tcPr>
          <w:p w14:paraId="607F41D4" w14:textId="77777777" w:rsidR="0063307A" w:rsidRPr="00BB4D40" w:rsidRDefault="0063307A" w:rsidP="00B73CE3">
            <w:pPr>
              <w:spacing w:line="276" w:lineRule="auto"/>
              <w:ind w:left="318"/>
              <w:rPr>
                <w:rFonts w:ascii="Arial" w:hAnsi="Arial" w:cs="Arial"/>
                <w:sz w:val="20"/>
                <w:szCs w:val="20"/>
              </w:rPr>
            </w:pPr>
            <w:r w:rsidRPr="00BB4D40">
              <w:rPr>
                <w:rFonts w:ascii="Arial" w:hAnsi="Arial" w:cs="Arial"/>
                <w:bCs/>
                <w:color w:val="000000" w:themeColor="text1"/>
                <w:sz w:val="20"/>
                <w:szCs w:val="20"/>
              </w:rPr>
              <w:t>Retail sale of goods</w:t>
            </w:r>
          </w:p>
        </w:tc>
        <w:tc>
          <w:tcPr>
            <w:tcW w:w="1402" w:type="dxa"/>
            <w:vAlign w:val="center"/>
            <w:hideMark/>
          </w:tcPr>
          <w:p w14:paraId="0D0D5136" w14:textId="77777777" w:rsidR="0063307A" w:rsidRPr="00FC383C" w:rsidRDefault="0063307A" w:rsidP="00B73CE3">
            <w:pPr>
              <w:ind w:right="321"/>
              <w:jc w:val="right"/>
              <w:rPr>
                <w:rFonts w:ascii="Arial" w:hAnsi="Arial" w:cs="Arial"/>
                <w:bCs/>
                <w:sz w:val="20"/>
                <w:szCs w:val="20"/>
                <w:lang w:val="it-IT"/>
              </w:rPr>
            </w:pPr>
            <w:r w:rsidRPr="00FA1FEE">
              <w:rPr>
                <w:rFonts w:ascii="Arial" w:hAnsi="Arial" w:cs="Arial"/>
                <w:sz w:val="20"/>
                <w:szCs w:val="20"/>
              </w:rPr>
              <w:t xml:space="preserve">      419,5 </w:t>
            </w:r>
          </w:p>
        </w:tc>
        <w:tc>
          <w:tcPr>
            <w:tcW w:w="1720" w:type="dxa"/>
            <w:vAlign w:val="center"/>
            <w:hideMark/>
          </w:tcPr>
          <w:p w14:paraId="52F14D5F" w14:textId="77777777" w:rsidR="0063307A" w:rsidRPr="00FC383C" w:rsidRDefault="0063307A" w:rsidP="00B73CE3">
            <w:pPr>
              <w:ind w:right="321"/>
              <w:jc w:val="right"/>
              <w:rPr>
                <w:rFonts w:ascii="Arial" w:hAnsi="Arial" w:cs="Arial"/>
                <w:bCs/>
                <w:sz w:val="20"/>
                <w:szCs w:val="20"/>
                <w:lang w:val="it-IT"/>
              </w:rPr>
            </w:pPr>
            <w:r w:rsidRPr="00FA1FEE">
              <w:rPr>
                <w:rFonts w:ascii="Arial" w:hAnsi="Arial" w:cs="Arial"/>
                <w:sz w:val="20"/>
                <w:szCs w:val="20"/>
              </w:rPr>
              <w:t xml:space="preserve">      4.048,</w:t>
            </w:r>
            <w:r>
              <w:rPr>
                <w:rFonts w:ascii="Arial" w:hAnsi="Arial" w:cs="Arial"/>
                <w:sz w:val="20"/>
                <w:szCs w:val="20"/>
              </w:rPr>
              <w:t>6</w:t>
            </w:r>
            <w:r w:rsidRPr="00FA1FEE">
              <w:rPr>
                <w:rFonts w:ascii="Arial" w:hAnsi="Arial" w:cs="Arial"/>
                <w:sz w:val="20"/>
                <w:szCs w:val="20"/>
              </w:rPr>
              <w:t xml:space="preserve"> </w:t>
            </w:r>
          </w:p>
        </w:tc>
        <w:tc>
          <w:tcPr>
            <w:tcW w:w="1486" w:type="dxa"/>
            <w:vAlign w:val="center"/>
            <w:hideMark/>
          </w:tcPr>
          <w:p w14:paraId="0E321DAA" w14:textId="77777777" w:rsidR="0063307A" w:rsidRPr="00FC383C" w:rsidRDefault="0063307A" w:rsidP="00B73CE3">
            <w:pPr>
              <w:ind w:right="464"/>
              <w:jc w:val="right"/>
              <w:rPr>
                <w:rFonts w:ascii="Arial" w:hAnsi="Arial" w:cs="Arial"/>
                <w:bCs/>
                <w:sz w:val="20"/>
                <w:szCs w:val="20"/>
                <w:lang w:val="it-IT"/>
              </w:rPr>
            </w:pPr>
            <w:r w:rsidRPr="00FA1FEE">
              <w:rPr>
                <w:rFonts w:ascii="Arial" w:hAnsi="Arial" w:cs="Arial"/>
                <w:sz w:val="20"/>
                <w:szCs w:val="20"/>
              </w:rPr>
              <w:t>7,4</w:t>
            </w:r>
          </w:p>
        </w:tc>
        <w:tc>
          <w:tcPr>
            <w:tcW w:w="1452" w:type="dxa"/>
            <w:vAlign w:val="center"/>
            <w:hideMark/>
          </w:tcPr>
          <w:p w14:paraId="33A8C8AB" w14:textId="77777777" w:rsidR="0063307A" w:rsidRPr="00FC383C" w:rsidRDefault="0063307A" w:rsidP="00B73CE3">
            <w:pPr>
              <w:ind w:right="464"/>
              <w:jc w:val="right"/>
              <w:rPr>
                <w:rFonts w:ascii="Arial" w:hAnsi="Arial" w:cs="Arial"/>
                <w:bCs/>
                <w:sz w:val="20"/>
                <w:szCs w:val="20"/>
                <w:lang w:val="it-IT"/>
              </w:rPr>
            </w:pPr>
            <w:r w:rsidRPr="00FA1FEE">
              <w:rPr>
                <w:rFonts w:ascii="Arial" w:hAnsi="Arial" w:cs="Arial"/>
                <w:sz w:val="20"/>
                <w:szCs w:val="20"/>
              </w:rPr>
              <w:t>7,8</w:t>
            </w:r>
          </w:p>
        </w:tc>
      </w:tr>
      <w:tr w:rsidR="0063307A" w:rsidRPr="00BB4D40" w14:paraId="08B4A6C9" w14:textId="77777777" w:rsidTr="00B73CE3">
        <w:trPr>
          <w:cantSplit/>
          <w:trHeight w:val="229"/>
          <w:jc w:val="center"/>
        </w:trPr>
        <w:tc>
          <w:tcPr>
            <w:tcW w:w="2949" w:type="dxa"/>
            <w:vAlign w:val="center"/>
            <w:hideMark/>
          </w:tcPr>
          <w:p w14:paraId="0E43AF17" w14:textId="77777777" w:rsidR="0063307A" w:rsidRPr="00BB4D40" w:rsidRDefault="0063307A" w:rsidP="00B73CE3">
            <w:pPr>
              <w:spacing w:line="276" w:lineRule="auto"/>
              <w:ind w:left="318"/>
              <w:rPr>
                <w:rFonts w:ascii="Arial" w:hAnsi="Arial" w:cs="Arial"/>
                <w:sz w:val="20"/>
                <w:szCs w:val="20"/>
              </w:rPr>
            </w:pPr>
            <w:r w:rsidRPr="00BB4D40">
              <w:rPr>
                <w:rFonts w:ascii="Arial" w:hAnsi="Arial" w:cs="Arial"/>
                <w:bCs/>
                <w:color w:val="000000" w:themeColor="text1"/>
                <w:sz w:val="20"/>
                <w:szCs w:val="20"/>
              </w:rPr>
              <w:t>Accommodation and catering service</w:t>
            </w:r>
          </w:p>
        </w:tc>
        <w:tc>
          <w:tcPr>
            <w:tcW w:w="1402" w:type="dxa"/>
            <w:vAlign w:val="center"/>
            <w:hideMark/>
          </w:tcPr>
          <w:p w14:paraId="55A0BCBA" w14:textId="77777777" w:rsidR="0063307A" w:rsidRPr="00FC383C" w:rsidRDefault="0063307A" w:rsidP="00B73CE3">
            <w:pPr>
              <w:ind w:right="321"/>
              <w:jc w:val="right"/>
              <w:rPr>
                <w:rFonts w:ascii="Arial" w:hAnsi="Arial" w:cs="Arial"/>
                <w:bCs/>
                <w:sz w:val="20"/>
                <w:szCs w:val="20"/>
                <w:lang w:val="it-IT"/>
              </w:rPr>
            </w:pPr>
            <w:r w:rsidRPr="00FA1FEE">
              <w:rPr>
                <w:rFonts w:ascii="Arial" w:hAnsi="Arial" w:cs="Arial"/>
                <w:sz w:val="20"/>
                <w:szCs w:val="20"/>
              </w:rPr>
              <w:t xml:space="preserve">        61,2 </w:t>
            </w:r>
          </w:p>
        </w:tc>
        <w:tc>
          <w:tcPr>
            <w:tcW w:w="1720" w:type="dxa"/>
            <w:vAlign w:val="center"/>
            <w:hideMark/>
          </w:tcPr>
          <w:p w14:paraId="12750E54" w14:textId="77777777" w:rsidR="0063307A" w:rsidRPr="00FC383C" w:rsidRDefault="0063307A" w:rsidP="00B73CE3">
            <w:pPr>
              <w:ind w:right="321"/>
              <w:jc w:val="right"/>
              <w:rPr>
                <w:rFonts w:ascii="Arial" w:hAnsi="Arial" w:cs="Arial"/>
                <w:bCs/>
                <w:sz w:val="20"/>
                <w:szCs w:val="20"/>
                <w:lang w:val="it-IT"/>
              </w:rPr>
            </w:pPr>
            <w:r w:rsidRPr="00FA1FEE">
              <w:rPr>
                <w:rFonts w:ascii="Arial" w:hAnsi="Arial" w:cs="Arial"/>
                <w:sz w:val="20"/>
                <w:szCs w:val="20"/>
              </w:rPr>
              <w:t xml:space="preserve">         602,3 </w:t>
            </w:r>
          </w:p>
        </w:tc>
        <w:tc>
          <w:tcPr>
            <w:tcW w:w="1486" w:type="dxa"/>
            <w:vAlign w:val="center"/>
            <w:hideMark/>
          </w:tcPr>
          <w:p w14:paraId="2FB36F6E" w14:textId="77777777" w:rsidR="0063307A" w:rsidRPr="00FC383C" w:rsidRDefault="0063307A" w:rsidP="00B73CE3">
            <w:pPr>
              <w:ind w:right="464"/>
              <w:jc w:val="right"/>
              <w:rPr>
                <w:rFonts w:ascii="Arial" w:hAnsi="Arial" w:cs="Arial"/>
                <w:bCs/>
                <w:sz w:val="20"/>
                <w:szCs w:val="20"/>
                <w:lang w:val="it-IT"/>
              </w:rPr>
            </w:pPr>
            <w:r w:rsidRPr="00FA1FEE">
              <w:rPr>
                <w:rFonts w:ascii="Arial" w:hAnsi="Arial" w:cs="Arial"/>
                <w:sz w:val="20"/>
                <w:szCs w:val="20"/>
              </w:rPr>
              <w:t>6,5</w:t>
            </w:r>
          </w:p>
        </w:tc>
        <w:tc>
          <w:tcPr>
            <w:tcW w:w="1452" w:type="dxa"/>
            <w:vAlign w:val="center"/>
            <w:hideMark/>
          </w:tcPr>
          <w:p w14:paraId="11C68A4F" w14:textId="77777777" w:rsidR="0063307A" w:rsidRPr="00FC383C" w:rsidRDefault="0063307A" w:rsidP="00B73CE3">
            <w:pPr>
              <w:ind w:right="464"/>
              <w:jc w:val="right"/>
              <w:rPr>
                <w:rFonts w:ascii="Arial" w:hAnsi="Arial" w:cs="Arial"/>
                <w:bCs/>
                <w:sz w:val="20"/>
                <w:szCs w:val="20"/>
                <w:lang w:val="it-IT"/>
              </w:rPr>
            </w:pPr>
            <w:r w:rsidRPr="00FA1FEE">
              <w:rPr>
                <w:rFonts w:ascii="Arial" w:hAnsi="Arial" w:cs="Arial"/>
                <w:sz w:val="20"/>
                <w:szCs w:val="20"/>
              </w:rPr>
              <w:t>12,5</w:t>
            </w:r>
          </w:p>
        </w:tc>
      </w:tr>
      <w:tr w:rsidR="0063307A" w:rsidRPr="00BB4D40" w14:paraId="02E75D86" w14:textId="77777777" w:rsidTr="00B73CE3">
        <w:trPr>
          <w:cantSplit/>
          <w:trHeight w:val="229"/>
          <w:jc w:val="center"/>
        </w:trPr>
        <w:tc>
          <w:tcPr>
            <w:tcW w:w="2949" w:type="dxa"/>
            <w:vAlign w:val="center"/>
            <w:hideMark/>
          </w:tcPr>
          <w:p w14:paraId="156F1555" w14:textId="77777777" w:rsidR="0063307A" w:rsidRPr="00BB4D40" w:rsidRDefault="0063307A" w:rsidP="00B73CE3">
            <w:pPr>
              <w:spacing w:line="276" w:lineRule="auto"/>
              <w:ind w:left="318"/>
              <w:rPr>
                <w:rFonts w:ascii="Arial" w:hAnsi="Arial" w:cs="Arial"/>
                <w:sz w:val="20"/>
                <w:szCs w:val="20"/>
              </w:rPr>
            </w:pPr>
            <w:r w:rsidRPr="00BB4D40">
              <w:rPr>
                <w:rFonts w:ascii="Arial" w:hAnsi="Arial" w:cs="Arial"/>
                <w:bCs/>
                <w:color w:val="000000" w:themeColor="text1"/>
                <w:sz w:val="20"/>
                <w:szCs w:val="20"/>
              </w:rPr>
              <w:t xml:space="preserve">Tourism revenue </w:t>
            </w:r>
          </w:p>
        </w:tc>
        <w:tc>
          <w:tcPr>
            <w:tcW w:w="1402" w:type="dxa"/>
            <w:vAlign w:val="center"/>
            <w:hideMark/>
          </w:tcPr>
          <w:p w14:paraId="61922D14" w14:textId="77777777" w:rsidR="0063307A" w:rsidRPr="00FC383C" w:rsidRDefault="0063307A" w:rsidP="00B73CE3">
            <w:pPr>
              <w:ind w:right="321"/>
              <w:jc w:val="right"/>
              <w:rPr>
                <w:rFonts w:ascii="Arial" w:hAnsi="Arial" w:cs="Arial"/>
                <w:bCs/>
                <w:sz w:val="20"/>
                <w:szCs w:val="20"/>
                <w:lang w:val="it-IT"/>
              </w:rPr>
            </w:pPr>
            <w:r w:rsidRPr="00FA1FEE">
              <w:rPr>
                <w:rFonts w:ascii="Arial" w:hAnsi="Arial" w:cs="Arial"/>
                <w:sz w:val="20"/>
                <w:szCs w:val="20"/>
              </w:rPr>
              <w:t xml:space="preserve">          4,8 </w:t>
            </w:r>
          </w:p>
        </w:tc>
        <w:tc>
          <w:tcPr>
            <w:tcW w:w="1720" w:type="dxa"/>
            <w:vAlign w:val="center"/>
            <w:hideMark/>
          </w:tcPr>
          <w:p w14:paraId="3FD831E1" w14:textId="77777777" w:rsidR="0063307A" w:rsidRPr="00FC383C" w:rsidRDefault="0063307A" w:rsidP="00B73CE3">
            <w:pPr>
              <w:ind w:right="321"/>
              <w:jc w:val="right"/>
              <w:rPr>
                <w:rFonts w:ascii="Arial" w:hAnsi="Arial" w:cs="Arial"/>
                <w:bCs/>
                <w:sz w:val="20"/>
                <w:szCs w:val="20"/>
                <w:lang w:val="it-IT"/>
              </w:rPr>
            </w:pPr>
            <w:r w:rsidRPr="00FA1FEE">
              <w:rPr>
                <w:rFonts w:ascii="Arial" w:hAnsi="Arial" w:cs="Arial"/>
                <w:sz w:val="20"/>
                <w:szCs w:val="20"/>
              </w:rPr>
              <w:t xml:space="preserve">           50,3 </w:t>
            </w:r>
          </w:p>
        </w:tc>
        <w:tc>
          <w:tcPr>
            <w:tcW w:w="1486" w:type="dxa"/>
            <w:vAlign w:val="center"/>
            <w:hideMark/>
          </w:tcPr>
          <w:p w14:paraId="63FE67DE" w14:textId="77777777" w:rsidR="0063307A" w:rsidRPr="00FC383C" w:rsidRDefault="0063307A" w:rsidP="00B73CE3">
            <w:pPr>
              <w:ind w:right="464"/>
              <w:jc w:val="right"/>
              <w:rPr>
                <w:rFonts w:ascii="Arial" w:hAnsi="Arial" w:cs="Arial"/>
                <w:bCs/>
                <w:sz w:val="20"/>
                <w:szCs w:val="20"/>
                <w:lang w:val="it-IT"/>
              </w:rPr>
            </w:pPr>
            <w:r w:rsidRPr="00FA1FEE">
              <w:rPr>
                <w:rFonts w:ascii="Arial" w:hAnsi="Arial" w:cs="Arial"/>
                <w:sz w:val="20"/>
                <w:szCs w:val="20"/>
              </w:rPr>
              <w:t>-1,9</w:t>
            </w:r>
          </w:p>
        </w:tc>
        <w:tc>
          <w:tcPr>
            <w:tcW w:w="1452" w:type="dxa"/>
            <w:vAlign w:val="center"/>
            <w:hideMark/>
          </w:tcPr>
          <w:p w14:paraId="31E39567" w14:textId="77777777" w:rsidR="0063307A" w:rsidRPr="00FC383C" w:rsidRDefault="0063307A" w:rsidP="00B73CE3">
            <w:pPr>
              <w:ind w:right="464"/>
              <w:jc w:val="right"/>
              <w:rPr>
                <w:rFonts w:ascii="Arial" w:hAnsi="Arial" w:cs="Arial"/>
                <w:bCs/>
                <w:sz w:val="20"/>
                <w:szCs w:val="20"/>
                <w:lang w:val="it-IT"/>
              </w:rPr>
            </w:pPr>
            <w:r w:rsidRPr="00FA1FEE">
              <w:rPr>
                <w:rFonts w:ascii="Arial" w:hAnsi="Arial" w:cs="Arial"/>
                <w:sz w:val="20"/>
                <w:szCs w:val="20"/>
              </w:rPr>
              <w:t>14,2</w:t>
            </w:r>
          </w:p>
        </w:tc>
      </w:tr>
      <w:tr w:rsidR="0063307A" w:rsidRPr="00BB4D40" w14:paraId="1AD15A8C" w14:textId="77777777" w:rsidTr="00B73CE3">
        <w:trPr>
          <w:cantSplit/>
          <w:trHeight w:val="316"/>
          <w:jc w:val="center"/>
        </w:trPr>
        <w:tc>
          <w:tcPr>
            <w:tcW w:w="2949" w:type="dxa"/>
            <w:tcBorders>
              <w:top w:val="nil"/>
              <w:left w:val="nil"/>
              <w:bottom w:val="single" w:sz="8" w:space="0" w:color="auto"/>
              <w:right w:val="nil"/>
            </w:tcBorders>
            <w:vAlign w:val="center"/>
            <w:hideMark/>
          </w:tcPr>
          <w:p w14:paraId="00FB8DA3" w14:textId="77777777" w:rsidR="0063307A" w:rsidRPr="00BB4D40" w:rsidRDefault="0063307A" w:rsidP="00B73CE3">
            <w:pPr>
              <w:spacing w:line="276" w:lineRule="auto"/>
              <w:ind w:left="318"/>
              <w:rPr>
                <w:rFonts w:ascii="Arial" w:hAnsi="Arial" w:cs="Arial"/>
                <w:sz w:val="20"/>
                <w:szCs w:val="20"/>
              </w:rPr>
            </w:pPr>
            <w:r w:rsidRPr="00BB4D40">
              <w:rPr>
                <w:rFonts w:ascii="Arial" w:hAnsi="Arial" w:cs="Arial"/>
                <w:bCs/>
                <w:color w:val="000000" w:themeColor="text1"/>
                <w:sz w:val="20"/>
                <w:szCs w:val="20"/>
              </w:rPr>
              <w:t>Other services</w:t>
            </w:r>
          </w:p>
        </w:tc>
        <w:tc>
          <w:tcPr>
            <w:tcW w:w="1402" w:type="dxa"/>
            <w:tcBorders>
              <w:top w:val="nil"/>
              <w:left w:val="nil"/>
              <w:bottom w:val="single" w:sz="4" w:space="0" w:color="auto"/>
              <w:right w:val="nil"/>
            </w:tcBorders>
            <w:vAlign w:val="center"/>
            <w:hideMark/>
          </w:tcPr>
          <w:p w14:paraId="4D756349" w14:textId="77777777" w:rsidR="0063307A" w:rsidRPr="00FC383C" w:rsidRDefault="0063307A" w:rsidP="00B73CE3">
            <w:pPr>
              <w:ind w:right="321"/>
              <w:jc w:val="right"/>
              <w:rPr>
                <w:rFonts w:ascii="Arial" w:hAnsi="Arial" w:cs="Arial"/>
                <w:bCs/>
                <w:sz w:val="20"/>
                <w:szCs w:val="20"/>
                <w:lang w:val="it-IT"/>
              </w:rPr>
            </w:pPr>
            <w:r w:rsidRPr="00FA1FEE">
              <w:rPr>
                <w:rFonts w:ascii="Arial" w:hAnsi="Arial" w:cs="Arial"/>
                <w:sz w:val="20"/>
                <w:szCs w:val="20"/>
              </w:rPr>
              <w:t xml:space="preserve">        60,2 </w:t>
            </w:r>
          </w:p>
        </w:tc>
        <w:tc>
          <w:tcPr>
            <w:tcW w:w="1720" w:type="dxa"/>
            <w:tcBorders>
              <w:top w:val="nil"/>
              <w:left w:val="nil"/>
              <w:bottom w:val="single" w:sz="4" w:space="0" w:color="auto"/>
              <w:right w:val="nil"/>
            </w:tcBorders>
            <w:vAlign w:val="center"/>
            <w:hideMark/>
          </w:tcPr>
          <w:p w14:paraId="2B6EB36B" w14:textId="77777777" w:rsidR="0063307A" w:rsidRPr="00FC383C" w:rsidRDefault="0063307A" w:rsidP="00B73CE3">
            <w:pPr>
              <w:ind w:right="321"/>
              <w:jc w:val="right"/>
              <w:rPr>
                <w:rFonts w:ascii="Arial" w:hAnsi="Arial" w:cs="Arial"/>
                <w:bCs/>
                <w:sz w:val="20"/>
                <w:szCs w:val="20"/>
                <w:lang w:val="it-IT"/>
              </w:rPr>
            </w:pPr>
            <w:r w:rsidRPr="00FA1FEE">
              <w:rPr>
                <w:rFonts w:ascii="Arial" w:hAnsi="Arial" w:cs="Arial"/>
                <w:sz w:val="20"/>
                <w:szCs w:val="20"/>
              </w:rPr>
              <w:t xml:space="preserve">         545,0 </w:t>
            </w:r>
          </w:p>
        </w:tc>
        <w:tc>
          <w:tcPr>
            <w:tcW w:w="1486" w:type="dxa"/>
            <w:tcBorders>
              <w:top w:val="nil"/>
              <w:left w:val="nil"/>
              <w:bottom w:val="single" w:sz="4" w:space="0" w:color="auto"/>
              <w:right w:val="nil"/>
            </w:tcBorders>
            <w:vAlign w:val="center"/>
            <w:hideMark/>
          </w:tcPr>
          <w:p w14:paraId="50E5D6AD" w14:textId="77777777" w:rsidR="0063307A" w:rsidRPr="00FC383C" w:rsidRDefault="0063307A" w:rsidP="00B73CE3">
            <w:pPr>
              <w:ind w:right="464"/>
              <w:jc w:val="right"/>
              <w:rPr>
                <w:rFonts w:ascii="Arial" w:hAnsi="Arial" w:cs="Arial"/>
                <w:bCs/>
                <w:sz w:val="20"/>
                <w:szCs w:val="20"/>
                <w:lang w:val="it-IT"/>
              </w:rPr>
            </w:pPr>
            <w:r w:rsidRPr="00FA1FEE">
              <w:rPr>
                <w:rFonts w:ascii="Arial" w:hAnsi="Arial" w:cs="Arial"/>
                <w:sz w:val="20"/>
                <w:szCs w:val="20"/>
              </w:rPr>
              <w:t>6,8</w:t>
            </w:r>
          </w:p>
        </w:tc>
        <w:tc>
          <w:tcPr>
            <w:tcW w:w="1452" w:type="dxa"/>
            <w:tcBorders>
              <w:top w:val="nil"/>
              <w:left w:val="nil"/>
              <w:bottom w:val="single" w:sz="4" w:space="0" w:color="auto"/>
              <w:right w:val="nil"/>
            </w:tcBorders>
            <w:vAlign w:val="center"/>
            <w:hideMark/>
          </w:tcPr>
          <w:p w14:paraId="1C699DA4" w14:textId="77777777" w:rsidR="0063307A" w:rsidRPr="00FC383C" w:rsidRDefault="0063307A" w:rsidP="00B73CE3">
            <w:pPr>
              <w:ind w:right="464"/>
              <w:jc w:val="right"/>
              <w:rPr>
                <w:rFonts w:ascii="Arial" w:hAnsi="Arial" w:cs="Arial"/>
                <w:bCs/>
                <w:sz w:val="20"/>
                <w:szCs w:val="20"/>
                <w:lang w:val="it-IT"/>
              </w:rPr>
            </w:pPr>
            <w:r w:rsidRPr="00FA1FEE">
              <w:rPr>
                <w:rFonts w:ascii="Arial" w:hAnsi="Arial" w:cs="Arial"/>
                <w:sz w:val="20"/>
                <w:szCs w:val="20"/>
              </w:rPr>
              <w:t>9,0</w:t>
            </w:r>
          </w:p>
        </w:tc>
      </w:tr>
    </w:tbl>
    <w:p w14:paraId="6C8B68A6" w14:textId="77777777" w:rsidR="0063307A" w:rsidRPr="00BB4D40" w:rsidRDefault="0063307A" w:rsidP="0063307A">
      <w:pPr>
        <w:spacing w:beforeLines="50" w:before="120" w:afterLines="40" w:after="96" w:line="264" w:lineRule="auto"/>
        <w:ind w:firstLine="567"/>
        <w:jc w:val="both"/>
        <w:rPr>
          <w:spacing w:val="-4"/>
        </w:rPr>
      </w:pPr>
      <w:r w:rsidRPr="00BB4D40">
        <w:rPr>
          <w:spacing w:val="-4"/>
        </w:rPr>
        <w:t xml:space="preserve">Generally for </w:t>
      </w:r>
      <w:r>
        <w:rPr>
          <w:spacing w:val="-4"/>
        </w:rPr>
        <w:t xml:space="preserve">ten months </w:t>
      </w:r>
      <w:r w:rsidRPr="00BB4D40">
        <w:rPr>
          <w:spacing w:val="-4"/>
        </w:rPr>
        <w:t xml:space="preserve">of 2024, the total retail sales of consumer goods and services at current prices was estimated at </w:t>
      </w:r>
      <w:r>
        <w:rPr>
          <w:spacing w:val="-4"/>
        </w:rPr>
        <w:t>5,246.2</w:t>
      </w:r>
      <w:r w:rsidRPr="00BB4D40">
        <w:rPr>
          <w:spacing w:val="-4"/>
        </w:rPr>
        <w:t xml:space="preserve"> trillion VND, up 8.</w:t>
      </w:r>
      <w:r>
        <w:rPr>
          <w:spacing w:val="-4"/>
        </w:rPr>
        <w:t>5</w:t>
      </w:r>
      <w:r w:rsidRPr="00BB4D40">
        <w:rPr>
          <w:spacing w:val="-4"/>
        </w:rPr>
        <w:t xml:space="preserve">% over the same period last year (up </w:t>
      </w:r>
      <w:r>
        <w:rPr>
          <w:spacing w:val="-4"/>
        </w:rPr>
        <w:t>9.8</w:t>
      </w:r>
      <w:r w:rsidRPr="00BB4D40">
        <w:rPr>
          <w:spacing w:val="-4"/>
        </w:rPr>
        <w:t xml:space="preserve">% in the same period in 2023), if excluding the price factor, up </w:t>
      </w:r>
      <w:r>
        <w:rPr>
          <w:spacing w:val="-4"/>
        </w:rPr>
        <w:t>4.6</w:t>
      </w:r>
      <w:r w:rsidRPr="00BB4D40">
        <w:rPr>
          <w:spacing w:val="-4"/>
        </w:rPr>
        <w:t xml:space="preserve">% (the same period in 2023 increased by </w:t>
      </w:r>
      <w:r>
        <w:rPr>
          <w:spacing w:val="-4"/>
        </w:rPr>
        <w:t>7.3</w:t>
      </w:r>
      <w:r w:rsidRPr="00BB4D40">
        <w:rPr>
          <w:spacing w:val="-4"/>
        </w:rPr>
        <w:t>%).</w:t>
      </w:r>
    </w:p>
    <w:p w14:paraId="3B3AA68F" w14:textId="77777777" w:rsidR="0063307A" w:rsidRDefault="0063307A" w:rsidP="0063307A">
      <w:pPr>
        <w:spacing w:beforeLines="40" w:before="96" w:afterLines="40" w:after="96"/>
        <w:jc w:val="center"/>
        <w:rPr>
          <w:rFonts w:ascii="Arial" w:hAnsi="Arial" w:cs="Arial"/>
          <w:b/>
          <w:bCs/>
          <w:sz w:val="24"/>
          <w:szCs w:val="24"/>
        </w:rPr>
      </w:pPr>
      <w:r w:rsidRPr="00BB4D40">
        <w:rPr>
          <w:rFonts w:ascii="Arial" w:hAnsi="Arial" w:cs="Arial"/>
          <w:b/>
          <w:bCs/>
          <w:sz w:val="24"/>
          <w:szCs w:val="24"/>
        </w:rPr>
        <w:t xml:space="preserve">Figure 11. Total retail sales of </w:t>
      </w:r>
      <w:r w:rsidRPr="00BB4D40">
        <w:rPr>
          <w:rFonts w:ascii="Arial" w:hAnsi="Arial" w:cs="Arial"/>
          <w:b/>
          <w:sz w:val="24"/>
          <w:szCs w:val="24"/>
        </w:rPr>
        <w:t xml:space="preserve">consumer </w:t>
      </w:r>
      <w:r w:rsidRPr="00BB4D40">
        <w:rPr>
          <w:rFonts w:ascii="Arial" w:hAnsi="Arial" w:cs="Arial"/>
          <w:b/>
          <w:bCs/>
          <w:sz w:val="24"/>
          <w:szCs w:val="24"/>
        </w:rPr>
        <w:t xml:space="preserve">goods and service </w:t>
      </w:r>
      <w:r w:rsidRPr="00BB4D40">
        <w:rPr>
          <w:rFonts w:ascii="Arial" w:hAnsi="Arial" w:cs="Arial"/>
          <w:b/>
          <w:bCs/>
          <w:sz w:val="24"/>
          <w:szCs w:val="24"/>
        </w:rPr>
        <w:br/>
        <w:t xml:space="preserve">in </w:t>
      </w:r>
      <w:r>
        <w:rPr>
          <w:rFonts w:ascii="Arial" w:hAnsi="Arial" w:cs="Arial"/>
          <w:b/>
          <w:bCs/>
          <w:sz w:val="24"/>
          <w:szCs w:val="24"/>
        </w:rPr>
        <w:t xml:space="preserve">10 months </w:t>
      </w:r>
      <w:r w:rsidRPr="00BB4D40">
        <w:rPr>
          <w:rFonts w:ascii="Arial" w:hAnsi="Arial" w:cs="Arial"/>
          <w:b/>
          <w:bCs/>
          <w:sz w:val="24"/>
          <w:szCs w:val="24"/>
        </w:rPr>
        <w:t>of 2020-2024</w:t>
      </w:r>
    </w:p>
    <w:p w14:paraId="54149856" w14:textId="77777777" w:rsidR="0063307A" w:rsidRDefault="0063307A" w:rsidP="0063307A">
      <w:pPr>
        <w:spacing w:beforeLines="40" w:before="96" w:afterLines="40" w:after="96"/>
        <w:jc w:val="center"/>
        <w:rPr>
          <w:rFonts w:ascii="Arial" w:hAnsi="Arial" w:cs="Arial"/>
          <w:b/>
          <w:bCs/>
          <w:sz w:val="24"/>
          <w:szCs w:val="24"/>
        </w:rPr>
      </w:pPr>
      <w:r>
        <w:rPr>
          <w:noProof/>
          <w14:ligatures w14:val="standardContextual"/>
        </w:rPr>
        <w:lastRenderedPageBreak/>
        <w:drawing>
          <wp:inline distT="0" distB="0" distL="0" distR="0" wp14:anchorId="3E402E2B" wp14:editId="3F380E20">
            <wp:extent cx="5000625" cy="2565400"/>
            <wp:effectExtent l="0" t="0" r="9525" b="6350"/>
            <wp:docPr id="2101778116" name="Chart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524F3A9" w14:textId="77777777" w:rsidR="0063307A" w:rsidRPr="00BB4D40" w:rsidRDefault="0063307A" w:rsidP="0063307A">
      <w:pPr>
        <w:pStyle w:val="HTMLPreformatted"/>
        <w:spacing w:beforeLines="40" w:before="96" w:afterLines="40" w:after="96" w:line="264" w:lineRule="auto"/>
        <w:ind w:firstLine="567"/>
        <w:jc w:val="center"/>
        <w:rPr>
          <w:rFonts w:ascii="Times New Roman" w:hAnsi="Times New Roman" w:cs="Times New Roman"/>
          <w:bCs/>
          <w:i/>
          <w:sz w:val="14"/>
          <w:szCs w:val="28"/>
          <w:lang w:val="nl-NL"/>
        </w:rPr>
      </w:pPr>
    </w:p>
    <w:p w14:paraId="65A45AC2" w14:textId="77777777" w:rsidR="0063307A" w:rsidRDefault="0063307A" w:rsidP="0063307A">
      <w:pPr>
        <w:pStyle w:val="HTMLPreformatted"/>
        <w:spacing w:beforeLines="40" w:before="96" w:afterLines="40" w:after="96" w:line="276" w:lineRule="auto"/>
        <w:ind w:firstLine="567"/>
        <w:jc w:val="both"/>
        <w:rPr>
          <w:rFonts w:ascii="Times New Roman" w:hAnsi="Times New Roman" w:cs="Times New Roman"/>
          <w:bCs/>
          <w:sz w:val="28"/>
          <w:szCs w:val="28"/>
          <w:lang w:val="it-IT"/>
        </w:rPr>
      </w:pPr>
      <w:r w:rsidRPr="00BB4D40">
        <w:rPr>
          <w:rFonts w:ascii="Times New Roman" w:hAnsi="Times New Roman" w:cs="Times New Roman"/>
          <w:bCs/>
          <w:i/>
          <w:sz w:val="28"/>
          <w:szCs w:val="28"/>
          <w:lang w:val="nl-NL"/>
        </w:rPr>
        <w:t>Retail sales of goods</w:t>
      </w:r>
      <w:r w:rsidRPr="00BB4D40">
        <w:rPr>
          <w:rFonts w:ascii="Times New Roman" w:hAnsi="Times New Roman" w:cs="Times New Roman"/>
          <w:bCs/>
          <w:sz w:val="28"/>
          <w:szCs w:val="28"/>
          <w:lang w:val="nl-NL"/>
        </w:rPr>
        <w:t xml:space="preserve"> </w:t>
      </w:r>
      <w:r>
        <w:rPr>
          <w:rFonts w:ascii="Times New Roman" w:hAnsi="Times New Roman" w:cs="Times New Roman"/>
          <w:bCs/>
          <w:sz w:val="28"/>
          <w:szCs w:val="28"/>
          <w:lang w:val="nl-NL"/>
        </w:rPr>
        <w:t>in ten months of 2024</w:t>
      </w:r>
      <w:r w:rsidRPr="00BB4D40">
        <w:rPr>
          <w:rFonts w:ascii="Times New Roman" w:hAnsi="Times New Roman" w:cs="Times New Roman"/>
          <w:bCs/>
          <w:sz w:val="28"/>
          <w:szCs w:val="28"/>
          <w:lang w:val="nl-NL"/>
        </w:rPr>
        <w:t xml:space="preserve"> were estimated at </w:t>
      </w:r>
      <w:r>
        <w:rPr>
          <w:rFonts w:ascii="Times New Roman" w:hAnsi="Times New Roman" w:cs="Times New Roman"/>
          <w:bCs/>
          <w:sz w:val="28"/>
          <w:szCs w:val="28"/>
          <w:shd w:val="clear" w:color="auto" w:fill="FFFFFF"/>
          <w:lang w:val="nl-NL"/>
        </w:rPr>
        <w:t>4,048.6</w:t>
      </w:r>
      <w:r w:rsidRPr="00BB4D40">
        <w:rPr>
          <w:rFonts w:ascii="Times New Roman" w:hAnsi="Times New Roman" w:cs="Times New Roman"/>
          <w:bCs/>
          <w:sz w:val="28"/>
          <w:szCs w:val="28"/>
          <w:shd w:val="clear" w:color="auto" w:fill="FFFFFF"/>
          <w:lang w:val="nl-NL"/>
        </w:rPr>
        <w:t xml:space="preserve"> </w:t>
      </w:r>
      <w:r w:rsidRPr="00BB4D40">
        <w:rPr>
          <w:rFonts w:ascii="Times New Roman" w:hAnsi="Times New Roman" w:cs="Times New Roman"/>
          <w:bCs/>
          <w:sz w:val="28"/>
          <w:szCs w:val="28"/>
          <w:lang w:val="nl-NL"/>
        </w:rPr>
        <w:t>trillion VND, accounting for 77.</w:t>
      </w:r>
      <w:r>
        <w:rPr>
          <w:rFonts w:ascii="Times New Roman" w:hAnsi="Times New Roman" w:cs="Times New Roman"/>
          <w:bCs/>
          <w:sz w:val="28"/>
          <w:szCs w:val="28"/>
          <w:lang w:val="nl-NL"/>
        </w:rPr>
        <w:t>2</w:t>
      </w:r>
      <w:r w:rsidRPr="00BB4D40">
        <w:rPr>
          <w:rFonts w:ascii="Times New Roman" w:hAnsi="Times New Roman" w:cs="Times New Roman"/>
          <w:bCs/>
          <w:sz w:val="28"/>
          <w:szCs w:val="28"/>
          <w:lang w:val="nl-NL"/>
        </w:rPr>
        <w:t>% of the total retail sales of consumer goods and services and up 7.</w:t>
      </w:r>
      <w:r>
        <w:rPr>
          <w:rFonts w:ascii="Times New Roman" w:hAnsi="Times New Roman" w:cs="Times New Roman"/>
          <w:bCs/>
          <w:sz w:val="28"/>
          <w:szCs w:val="28"/>
          <w:lang w:val="nl-NL"/>
        </w:rPr>
        <w:t>8</w:t>
      </w:r>
      <w:r w:rsidRPr="00BB4D40">
        <w:rPr>
          <w:rFonts w:ascii="Times New Roman" w:hAnsi="Times New Roman" w:cs="Times New Roman"/>
          <w:bCs/>
          <w:sz w:val="28"/>
          <w:szCs w:val="28"/>
          <w:lang w:val="nl-NL"/>
        </w:rPr>
        <w:t>% over the same period last year. In which, food and foodstuffs increased by 10.</w:t>
      </w:r>
      <w:r>
        <w:rPr>
          <w:rFonts w:ascii="Times New Roman" w:hAnsi="Times New Roman" w:cs="Times New Roman"/>
          <w:bCs/>
          <w:sz w:val="28"/>
          <w:szCs w:val="28"/>
          <w:lang w:val="nl-NL"/>
        </w:rPr>
        <w:t>7</w:t>
      </w:r>
      <w:r w:rsidRPr="00BB4D40">
        <w:rPr>
          <w:rFonts w:ascii="Times New Roman" w:hAnsi="Times New Roman" w:cs="Times New Roman"/>
          <w:bCs/>
          <w:sz w:val="28"/>
          <w:szCs w:val="28"/>
          <w:lang w:val="nl-NL"/>
        </w:rPr>
        <w:t xml:space="preserve">%; household appliances, tools and equipment increased by </w:t>
      </w:r>
      <w:r>
        <w:rPr>
          <w:rFonts w:ascii="Times New Roman" w:hAnsi="Times New Roman" w:cs="Times New Roman"/>
          <w:bCs/>
          <w:sz w:val="28"/>
          <w:szCs w:val="28"/>
          <w:lang w:val="nl-NL"/>
        </w:rPr>
        <w:t>8.0</w:t>
      </w:r>
      <w:r w:rsidRPr="00BB4D40">
        <w:rPr>
          <w:rFonts w:ascii="Times New Roman" w:hAnsi="Times New Roman" w:cs="Times New Roman"/>
          <w:bCs/>
          <w:sz w:val="28"/>
          <w:szCs w:val="28"/>
          <w:lang w:val="nl-NL"/>
        </w:rPr>
        <w:t xml:space="preserve">%; garment increased by </w:t>
      </w:r>
      <w:r>
        <w:rPr>
          <w:rFonts w:ascii="Times New Roman" w:hAnsi="Times New Roman" w:cs="Times New Roman"/>
          <w:bCs/>
          <w:sz w:val="28"/>
          <w:szCs w:val="28"/>
          <w:lang w:val="nl-NL"/>
        </w:rPr>
        <w:t>8.7</w:t>
      </w:r>
      <w:r w:rsidRPr="00BB4D40">
        <w:rPr>
          <w:rFonts w:ascii="Times New Roman" w:hAnsi="Times New Roman" w:cs="Times New Roman"/>
          <w:bCs/>
          <w:sz w:val="28"/>
          <w:szCs w:val="28"/>
          <w:lang w:val="nl-NL"/>
        </w:rPr>
        <w:t xml:space="preserve">%; means of transport (except for cars) rose up </w:t>
      </w:r>
      <w:r>
        <w:rPr>
          <w:rFonts w:ascii="Times New Roman" w:hAnsi="Times New Roman" w:cs="Times New Roman"/>
          <w:bCs/>
          <w:sz w:val="28"/>
          <w:szCs w:val="28"/>
          <w:shd w:val="clear" w:color="auto" w:fill="FFFFFF"/>
          <w:lang w:val="nl-NL"/>
        </w:rPr>
        <w:t>7.5</w:t>
      </w:r>
      <w:r w:rsidRPr="00BB4D40">
        <w:rPr>
          <w:rFonts w:ascii="Times New Roman" w:hAnsi="Times New Roman" w:cs="Times New Roman"/>
          <w:bCs/>
          <w:sz w:val="28"/>
          <w:szCs w:val="28"/>
          <w:shd w:val="clear" w:color="auto" w:fill="FFFFFF"/>
          <w:lang w:val="nl-NL"/>
        </w:rPr>
        <w:t xml:space="preserve">%; </w:t>
      </w:r>
      <w:r w:rsidRPr="00BB4D40">
        <w:rPr>
          <w:rFonts w:ascii="Times New Roman" w:hAnsi="Times New Roman" w:cs="Times New Roman"/>
          <w:bCs/>
          <w:sz w:val="28"/>
          <w:szCs w:val="28"/>
          <w:lang w:val="nl-NL"/>
        </w:rPr>
        <w:t xml:space="preserve">cultural and educational products increased by </w:t>
      </w:r>
      <w:r>
        <w:rPr>
          <w:rFonts w:ascii="Times New Roman" w:hAnsi="Times New Roman" w:cs="Times New Roman"/>
          <w:bCs/>
          <w:sz w:val="28"/>
          <w:szCs w:val="28"/>
          <w:shd w:val="clear" w:color="auto" w:fill="FFFFFF"/>
          <w:lang w:val="nl-NL"/>
        </w:rPr>
        <w:t>6.6</w:t>
      </w:r>
      <w:r w:rsidRPr="00BB4D40">
        <w:rPr>
          <w:rFonts w:ascii="Times New Roman" w:hAnsi="Times New Roman" w:cs="Times New Roman"/>
          <w:bCs/>
          <w:sz w:val="28"/>
          <w:szCs w:val="28"/>
          <w:shd w:val="clear" w:color="auto" w:fill="FFFFFF"/>
          <w:lang w:val="nl-NL"/>
        </w:rPr>
        <w:t xml:space="preserve">%. </w:t>
      </w:r>
      <w:r w:rsidRPr="00BB4D40">
        <w:rPr>
          <w:rFonts w:ascii="Times New Roman" w:hAnsi="Times New Roman" w:cs="Times New Roman"/>
          <w:bCs/>
          <w:sz w:val="28"/>
          <w:szCs w:val="28"/>
          <w:lang w:val="nl-NL"/>
        </w:rPr>
        <w:t>Retail sales of goods in the first five months of this year compared to the same period last year of some localities was as follows:</w:t>
      </w:r>
      <w:r w:rsidRPr="00BB4D40">
        <w:rPr>
          <w:rFonts w:ascii="Times New Roman" w:hAnsi="Times New Roman" w:cs="Times New Roman"/>
          <w:bCs/>
          <w:sz w:val="28"/>
          <w:szCs w:val="28"/>
          <w:lang w:val="it-IT"/>
        </w:rPr>
        <w:t xml:space="preserve"> </w:t>
      </w:r>
      <w:r w:rsidRPr="00AD756D">
        <w:rPr>
          <w:rFonts w:ascii="Times New Roman" w:hAnsi="Times New Roman" w:cs="Times New Roman"/>
          <w:bCs/>
          <w:sz w:val="28"/>
          <w:szCs w:val="28"/>
          <w:lang w:val="it-IT"/>
        </w:rPr>
        <w:t>Quang Ninh increased by 9.6%; Hai Phong increased by 9.5%; Thua Thien - Hue increased by 8.1%; Can Tho increased by 7.6%; Da Nang increased by 7.5%.</w:t>
      </w:r>
    </w:p>
    <w:p w14:paraId="6D3A9F70" w14:textId="77777777" w:rsidR="0063307A" w:rsidRDefault="0063307A" w:rsidP="0063307A">
      <w:pPr>
        <w:pStyle w:val="HTMLPreformatted"/>
        <w:spacing w:beforeLines="40" w:before="96" w:afterLines="40" w:after="96" w:line="276" w:lineRule="auto"/>
        <w:ind w:firstLine="567"/>
        <w:jc w:val="both"/>
        <w:rPr>
          <w:rFonts w:ascii="Times New Roman" w:hAnsi="Times New Roman" w:cs="Times New Roman"/>
          <w:bCs/>
          <w:spacing w:val="-4"/>
          <w:sz w:val="28"/>
          <w:szCs w:val="28"/>
          <w:lang w:val="nl-NL"/>
        </w:rPr>
      </w:pPr>
      <w:r w:rsidRPr="00BB4D40">
        <w:rPr>
          <w:rFonts w:ascii="Times New Roman" w:hAnsi="Times New Roman" w:cs="Times New Roman"/>
          <w:bCs/>
          <w:i/>
          <w:spacing w:val="-4"/>
          <w:sz w:val="28"/>
          <w:szCs w:val="28"/>
          <w:lang w:val="nl-NL"/>
        </w:rPr>
        <w:t>Revenue from accommodation and catering services</w:t>
      </w:r>
      <w:r w:rsidRPr="00BB4D40">
        <w:rPr>
          <w:rFonts w:ascii="Times New Roman" w:hAnsi="Times New Roman" w:cs="Times New Roman"/>
          <w:bCs/>
          <w:spacing w:val="-4"/>
          <w:sz w:val="28"/>
          <w:szCs w:val="28"/>
          <w:lang w:val="nl-NL"/>
        </w:rPr>
        <w:t xml:space="preserve"> </w:t>
      </w:r>
      <w:r>
        <w:rPr>
          <w:rFonts w:ascii="Times New Roman" w:hAnsi="Times New Roman" w:cs="Times New Roman"/>
          <w:bCs/>
          <w:spacing w:val="-4"/>
          <w:sz w:val="28"/>
          <w:szCs w:val="28"/>
          <w:lang w:val="nl-NL"/>
        </w:rPr>
        <w:t>in ten months of 2024</w:t>
      </w:r>
      <w:r w:rsidRPr="00BB4D40">
        <w:rPr>
          <w:rFonts w:ascii="Times New Roman" w:hAnsi="Times New Roman" w:cs="Times New Roman"/>
          <w:bCs/>
          <w:spacing w:val="-4"/>
          <w:sz w:val="28"/>
          <w:szCs w:val="28"/>
          <w:lang w:val="nl-NL"/>
        </w:rPr>
        <w:t xml:space="preserve"> was estimated at </w:t>
      </w:r>
      <w:r>
        <w:rPr>
          <w:rFonts w:ascii="Times New Roman" w:hAnsi="Times New Roman" w:cs="Times New Roman"/>
          <w:bCs/>
          <w:spacing w:val="-4"/>
          <w:sz w:val="28"/>
          <w:szCs w:val="28"/>
          <w:shd w:val="clear" w:color="auto" w:fill="FFFFFF"/>
          <w:lang w:val="nl-NL"/>
        </w:rPr>
        <w:t>602.3</w:t>
      </w:r>
      <w:r w:rsidRPr="00BB4D40">
        <w:rPr>
          <w:rFonts w:ascii="Times New Roman" w:hAnsi="Times New Roman" w:cs="Times New Roman"/>
          <w:bCs/>
          <w:spacing w:val="-4"/>
          <w:sz w:val="28"/>
          <w:szCs w:val="28"/>
          <w:shd w:val="clear" w:color="auto" w:fill="FFFFFF"/>
          <w:lang w:val="nl-NL"/>
        </w:rPr>
        <w:t xml:space="preserve"> </w:t>
      </w:r>
      <w:r w:rsidRPr="00BB4D40">
        <w:rPr>
          <w:rFonts w:ascii="Times New Roman" w:hAnsi="Times New Roman" w:cs="Times New Roman"/>
          <w:bCs/>
          <w:spacing w:val="-4"/>
          <w:sz w:val="28"/>
          <w:szCs w:val="28"/>
          <w:lang w:val="nl-NL"/>
        </w:rPr>
        <w:t xml:space="preserve">trillion VND, accounting for </w:t>
      </w:r>
      <w:r w:rsidRPr="00BB4D40">
        <w:rPr>
          <w:rFonts w:ascii="Times New Roman" w:hAnsi="Times New Roman" w:cs="Times New Roman"/>
          <w:bCs/>
          <w:spacing w:val="-4"/>
          <w:sz w:val="28"/>
          <w:szCs w:val="28"/>
          <w:shd w:val="clear" w:color="auto" w:fill="FFFFFF"/>
          <w:lang w:val="nl-NL"/>
        </w:rPr>
        <w:t>11.</w:t>
      </w:r>
      <w:r>
        <w:rPr>
          <w:rFonts w:ascii="Times New Roman" w:hAnsi="Times New Roman" w:cs="Times New Roman"/>
          <w:bCs/>
          <w:spacing w:val="-4"/>
          <w:sz w:val="28"/>
          <w:szCs w:val="28"/>
          <w:shd w:val="clear" w:color="auto" w:fill="FFFFFF"/>
          <w:lang w:val="nl-NL"/>
        </w:rPr>
        <w:t>5</w:t>
      </w:r>
      <w:r w:rsidRPr="00BB4D40">
        <w:rPr>
          <w:rFonts w:ascii="Times New Roman" w:hAnsi="Times New Roman" w:cs="Times New Roman"/>
          <w:bCs/>
          <w:spacing w:val="-4"/>
          <w:sz w:val="28"/>
          <w:szCs w:val="28"/>
          <w:lang w:val="nl-NL"/>
        </w:rPr>
        <w:t xml:space="preserve">% and up </w:t>
      </w:r>
      <w:r>
        <w:rPr>
          <w:rFonts w:ascii="Times New Roman" w:hAnsi="Times New Roman" w:cs="Times New Roman"/>
          <w:bCs/>
          <w:spacing w:val="-4"/>
          <w:sz w:val="28"/>
          <w:szCs w:val="28"/>
          <w:shd w:val="clear" w:color="auto" w:fill="FFFFFF"/>
          <w:lang w:val="nl-NL"/>
        </w:rPr>
        <w:t>12.5</w:t>
      </w:r>
      <w:r w:rsidRPr="00BB4D40">
        <w:rPr>
          <w:rFonts w:ascii="Times New Roman" w:hAnsi="Times New Roman" w:cs="Times New Roman"/>
          <w:bCs/>
          <w:spacing w:val="-4"/>
          <w:sz w:val="28"/>
          <w:szCs w:val="28"/>
          <w:lang w:val="nl-NL"/>
        </w:rPr>
        <w:t xml:space="preserve">% over the same period last year. Revenue </w:t>
      </w:r>
      <w:r>
        <w:rPr>
          <w:rFonts w:ascii="Times New Roman" w:hAnsi="Times New Roman" w:cs="Times New Roman"/>
          <w:bCs/>
          <w:spacing w:val="-4"/>
          <w:sz w:val="28"/>
          <w:szCs w:val="28"/>
          <w:lang w:val="nl-NL"/>
        </w:rPr>
        <w:t>in ten months of 2024</w:t>
      </w:r>
      <w:r w:rsidRPr="00BB4D40">
        <w:rPr>
          <w:rFonts w:ascii="Times New Roman" w:hAnsi="Times New Roman" w:cs="Times New Roman"/>
          <w:bCs/>
          <w:spacing w:val="-4"/>
          <w:sz w:val="28"/>
          <w:szCs w:val="28"/>
          <w:lang w:val="nl-NL"/>
        </w:rPr>
        <w:t xml:space="preserve"> compared to the same period last year of some localities </w:t>
      </w:r>
      <w:r w:rsidRPr="00BB4D40">
        <w:rPr>
          <w:rFonts w:ascii="Times New Roman" w:hAnsi="Times New Roman" w:cs="Times New Roman"/>
          <w:bCs/>
          <w:sz w:val="28"/>
          <w:szCs w:val="28"/>
          <w:lang w:val="nl-NL"/>
        </w:rPr>
        <w:t>was</w:t>
      </w:r>
      <w:r w:rsidRPr="00BB4D40">
        <w:rPr>
          <w:rFonts w:ascii="Times New Roman" w:hAnsi="Times New Roman" w:cs="Times New Roman"/>
          <w:bCs/>
          <w:spacing w:val="-4"/>
          <w:sz w:val="28"/>
          <w:szCs w:val="28"/>
          <w:lang w:val="nl-NL"/>
        </w:rPr>
        <w:t xml:space="preserve"> as follows: </w:t>
      </w:r>
      <w:r w:rsidRPr="00AD756D">
        <w:rPr>
          <w:rFonts w:ascii="Times New Roman" w:hAnsi="Times New Roman" w:cs="Times New Roman"/>
          <w:bCs/>
          <w:spacing w:val="-4"/>
          <w:sz w:val="28"/>
          <w:szCs w:val="28"/>
          <w:lang w:val="nl-NL"/>
        </w:rPr>
        <w:t>Khanh Hoa increased by 17.1%; Hai Phong increased by 13.1%; Can Tho increased by 11.6%; Binh Duong increased by 8.0%.</w:t>
      </w:r>
    </w:p>
    <w:p w14:paraId="7D037928" w14:textId="77777777" w:rsidR="0063307A" w:rsidRDefault="0063307A" w:rsidP="0063307A">
      <w:pPr>
        <w:pStyle w:val="HTMLPreformatted"/>
        <w:spacing w:beforeLines="40" w:before="96" w:afterLines="40" w:after="96" w:line="276" w:lineRule="auto"/>
        <w:ind w:firstLine="567"/>
        <w:jc w:val="both"/>
        <w:rPr>
          <w:rFonts w:ascii="Times New Roman" w:hAnsi="Times New Roman" w:cs="Times New Roman"/>
          <w:bCs/>
          <w:sz w:val="28"/>
          <w:szCs w:val="28"/>
          <w:lang w:val="nl-NL"/>
        </w:rPr>
      </w:pPr>
      <w:r w:rsidRPr="00BB4D40">
        <w:rPr>
          <w:rFonts w:ascii="Times New Roman" w:hAnsi="Times New Roman" w:cs="Times New Roman"/>
          <w:bCs/>
          <w:i/>
          <w:sz w:val="28"/>
          <w:szCs w:val="28"/>
          <w:lang w:val="nl-NL"/>
        </w:rPr>
        <w:t>Tourism revenue</w:t>
      </w:r>
      <w:r w:rsidRPr="00BB4D40">
        <w:rPr>
          <w:rFonts w:ascii="Times New Roman" w:hAnsi="Times New Roman" w:cs="Times New Roman"/>
          <w:bCs/>
          <w:sz w:val="28"/>
          <w:szCs w:val="28"/>
          <w:lang w:val="nl-NL"/>
        </w:rPr>
        <w:t xml:space="preserve"> </w:t>
      </w:r>
      <w:r>
        <w:rPr>
          <w:rFonts w:ascii="Times New Roman" w:hAnsi="Times New Roman" w:cs="Times New Roman"/>
          <w:bCs/>
          <w:sz w:val="28"/>
          <w:szCs w:val="28"/>
          <w:lang w:val="nl-NL"/>
        </w:rPr>
        <w:t>in ten months of 2024</w:t>
      </w:r>
      <w:r w:rsidRPr="00BB4D40">
        <w:rPr>
          <w:rFonts w:ascii="Times New Roman" w:hAnsi="Times New Roman" w:cs="Times New Roman"/>
          <w:bCs/>
          <w:sz w:val="28"/>
          <w:szCs w:val="28"/>
          <w:lang w:val="nl-NL"/>
        </w:rPr>
        <w:t xml:space="preserve"> was estimated at </w:t>
      </w:r>
      <w:r>
        <w:rPr>
          <w:rFonts w:ascii="Times New Roman" w:hAnsi="Times New Roman" w:cs="Times New Roman"/>
          <w:bCs/>
          <w:sz w:val="28"/>
          <w:szCs w:val="28"/>
          <w:lang w:val="nl-NL"/>
        </w:rPr>
        <w:t>50.3</w:t>
      </w:r>
      <w:r w:rsidRPr="00BB4D40">
        <w:rPr>
          <w:rFonts w:ascii="Times New Roman" w:hAnsi="Times New Roman" w:cs="Times New Roman"/>
          <w:bCs/>
          <w:sz w:val="28"/>
          <w:szCs w:val="28"/>
          <w:lang w:val="nl-NL"/>
        </w:rPr>
        <w:t xml:space="preserve"> trillion VND, accounting for </w:t>
      </w:r>
      <w:r>
        <w:rPr>
          <w:rFonts w:ascii="Times New Roman" w:hAnsi="Times New Roman" w:cs="Times New Roman"/>
          <w:bCs/>
          <w:sz w:val="28"/>
          <w:szCs w:val="28"/>
          <w:lang w:val="nl-NL"/>
        </w:rPr>
        <w:t>0.9</w:t>
      </w:r>
      <w:r w:rsidRPr="00BB4D40">
        <w:rPr>
          <w:rFonts w:ascii="Times New Roman" w:hAnsi="Times New Roman" w:cs="Times New Roman"/>
          <w:bCs/>
          <w:sz w:val="28"/>
          <w:szCs w:val="28"/>
          <w:lang w:val="nl-NL"/>
        </w:rPr>
        <w:t xml:space="preserve">% and up </w:t>
      </w:r>
      <w:r>
        <w:rPr>
          <w:rFonts w:ascii="Times New Roman" w:hAnsi="Times New Roman" w:cs="Times New Roman"/>
          <w:bCs/>
          <w:sz w:val="28"/>
          <w:szCs w:val="28"/>
          <w:lang w:val="nl-NL"/>
        </w:rPr>
        <w:t>14.2</w:t>
      </w:r>
      <w:r w:rsidRPr="00BB4D40">
        <w:rPr>
          <w:rFonts w:ascii="Times New Roman" w:hAnsi="Times New Roman" w:cs="Times New Roman"/>
          <w:bCs/>
          <w:sz w:val="28"/>
          <w:szCs w:val="28"/>
          <w:lang w:val="nl-NL"/>
        </w:rPr>
        <w:t xml:space="preserve">% over the same period last year. The revenue of some localities </w:t>
      </w:r>
      <w:r>
        <w:rPr>
          <w:rFonts w:ascii="Times New Roman" w:hAnsi="Times New Roman" w:cs="Times New Roman"/>
          <w:bCs/>
          <w:sz w:val="28"/>
          <w:szCs w:val="28"/>
          <w:lang w:val="nl-NL"/>
        </w:rPr>
        <w:t>in ten months of 2024</w:t>
      </w:r>
      <w:r w:rsidRPr="00BB4D40">
        <w:rPr>
          <w:rFonts w:ascii="Times New Roman" w:hAnsi="Times New Roman" w:cs="Times New Roman"/>
          <w:bCs/>
          <w:sz w:val="28"/>
          <w:szCs w:val="28"/>
          <w:lang w:val="nl-NL"/>
        </w:rPr>
        <w:t xml:space="preserve"> compared to the same period last year was as follows: </w:t>
      </w:r>
      <w:r w:rsidRPr="00AD756D">
        <w:rPr>
          <w:rFonts w:ascii="Times New Roman" w:hAnsi="Times New Roman" w:cs="Times New Roman"/>
          <w:bCs/>
          <w:sz w:val="28"/>
          <w:szCs w:val="28"/>
          <w:lang w:val="nl-NL"/>
        </w:rPr>
        <w:t>Can Tho increased by 31.2%; Ho Chi Minh City increased by 15.9%; Khanh Hoa increased by 15.4%; Binh Dinh increased by 11.9%; Ha</w:t>
      </w:r>
      <w:r>
        <w:rPr>
          <w:rFonts w:ascii="Times New Roman" w:hAnsi="Times New Roman" w:cs="Times New Roman"/>
          <w:bCs/>
          <w:sz w:val="28"/>
          <w:szCs w:val="28"/>
          <w:lang w:val="nl-NL"/>
        </w:rPr>
        <w:t xml:space="preserve"> N</w:t>
      </w:r>
      <w:r w:rsidRPr="00AD756D">
        <w:rPr>
          <w:rFonts w:ascii="Times New Roman" w:hAnsi="Times New Roman" w:cs="Times New Roman"/>
          <w:bCs/>
          <w:sz w:val="28"/>
          <w:szCs w:val="28"/>
          <w:lang w:val="nl-NL"/>
        </w:rPr>
        <w:t>oi increased by 9.8%; Da Nang increased by 6.1%.</w:t>
      </w:r>
    </w:p>
    <w:p w14:paraId="094BDBE9" w14:textId="77777777" w:rsidR="0063307A" w:rsidRPr="00BB4D40" w:rsidRDefault="0063307A" w:rsidP="0063307A">
      <w:pPr>
        <w:pStyle w:val="HTMLPreformatted"/>
        <w:spacing w:beforeLines="40" w:before="96" w:afterLines="40" w:after="96" w:line="276" w:lineRule="auto"/>
        <w:ind w:firstLine="567"/>
        <w:jc w:val="both"/>
        <w:rPr>
          <w:rFonts w:ascii="Times New Roman" w:hAnsi="Times New Roman" w:cs="Times New Roman"/>
          <w:bCs/>
          <w:sz w:val="28"/>
          <w:szCs w:val="28"/>
          <w:lang w:val="nl-NL"/>
        </w:rPr>
      </w:pPr>
      <w:r w:rsidRPr="00BB4D40">
        <w:rPr>
          <w:rFonts w:ascii="Times New Roman" w:hAnsi="Times New Roman" w:cs="Times New Roman"/>
          <w:bCs/>
          <w:i/>
          <w:sz w:val="28"/>
          <w:szCs w:val="28"/>
          <w:lang w:val="nl-NL"/>
        </w:rPr>
        <w:t>Other service revenue</w:t>
      </w:r>
      <w:r w:rsidRPr="00BB4D40">
        <w:rPr>
          <w:rFonts w:ascii="Times New Roman" w:hAnsi="Times New Roman" w:cs="Times New Roman"/>
          <w:bCs/>
          <w:sz w:val="28"/>
          <w:szCs w:val="28"/>
          <w:lang w:val="nl-NL"/>
        </w:rPr>
        <w:t xml:space="preserve"> </w:t>
      </w:r>
      <w:r>
        <w:rPr>
          <w:rFonts w:ascii="Times New Roman" w:hAnsi="Times New Roman" w:cs="Times New Roman"/>
          <w:bCs/>
          <w:sz w:val="28"/>
          <w:szCs w:val="28"/>
          <w:lang w:val="nl-NL"/>
        </w:rPr>
        <w:t>in ten months of 2024</w:t>
      </w:r>
      <w:r w:rsidRPr="00BB4D40">
        <w:rPr>
          <w:rFonts w:ascii="Times New Roman" w:hAnsi="Times New Roman" w:cs="Times New Roman"/>
          <w:bCs/>
          <w:sz w:val="28"/>
          <w:szCs w:val="28"/>
          <w:lang w:val="nl-NL"/>
        </w:rPr>
        <w:t xml:space="preserve"> was estimated at </w:t>
      </w:r>
      <w:r>
        <w:rPr>
          <w:rFonts w:ascii="Times New Roman" w:hAnsi="Times New Roman" w:cs="Times New Roman"/>
          <w:sz w:val="28"/>
          <w:szCs w:val="28"/>
          <w:lang w:val="nl-NL"/>
        </w:rPr>
        <w:t>545.0</w:t>
      </w:r>
      <w:r w:rsidRPr="00BB4D40">
        <w:rPr>
          <w:rFonts w:ascii="Times New Roman" w:hAnsi="Times New Roman" w:cs="Times New Roman"/>
          <w:sz w:val="28"/>
          <w:szCs w:val="28"/>
          <w:lang w:val="nl-NL"/>
        </w:rPr>
        <w:t xml:space="preserve"> </w:t>
      </w:r>
      <w:r w:rsidRPr="00BB4D40">
        <w:rPr>
          <w:rFonts w:ascii="Times New Roman" w:hAnsi="Times New Roman" w:cs="Times New Roman"/>
          <w:bCs/>
          <w:sz w:val="28"/>
          <w:szCs w:val="28"/>
          <w:lang w:val="nl-NL"/>
        </w:rPr>
        <w:t xml:space="preserve">trillion VND, accounting for </w:t>
      </w:r>
      <w:r w:rsidRPr="00BB4D40">
        <w:rPr>
          <w:rFonts w:ascii="Times New Roman" w:hAnsi="Times New Roman" w:cs="Times New Roman"/>
          <w:sz w:val="28"/>
          <w:szCs w:val="28"/>
          <w:lang w:val="nl-NL"/>
        </w:rPr>
        <w:t>10.</w:t>
      </w:r>
      <w:r>
        <w:rPr>
          <w:rFonts w:ascii="Times New Roman" w:hAnsi="Times New Roman" w:cs="Times New Roman"/>
          <w:sz w:val="28"/>
          <w:szCs w:val="28"/>
          <w:lang w:val="nl-NL"/>
        </w:rPr>
        <w:t>4</w:t>
      </w:r>
      <w:r w:rsidRPr="00BB4D40">
        <w:rPr>
          <w:rFonts w:ascii="Times New Roman" w:hAnsi="Times New Roman" w:cs="Times New Roman"/>
          <w:bCs/>
          <w:sz w:val="28"/>
          <w:szCs w:val="28"/>
          <w:lang w:val="nl-NL"/>
        </w:rPr>
        <w:t xml:space="preserve">% and up </w:t>
      </w:r>
      <w:r>
        <w:rPr>
          <w:rFonts w:ascii="Times New Roman" w:hAnsi="Times New Roman" w:cs="Times New Roman"/>
          <w:sz w:val="28"/>
          <w:szCs w:val="28"/>
          <w:lang w:val="nl-NL"/>
        </w:rPr>
        <w:t>9.0</w:t>
      </w:r>
      <w:r w:rsidRPr="00BB4D40">
        <w:rPr>
          <w:rFonts w:ascii="Times New Roman" w:hAnsi="Times New Roman" w:cs="Times New Roman"/>
          <w:bCs/>
          <w:sz w:val="28"/>
          <w:szCs w:val="28"/>
          <w:lang w:val="nl-NL"/>
        </w:rPr>
        <w:t xml:space="preserve">% over the same period last year. Revenue </w:t>
      </w:r>
      <w:r>
        <w:rPr>
          <w:rFonts w:ascii="Times New Roman" w:hAnsi="Times New Roman" w:cs="Times New Roman"/>
          <w:bCs/>
          <w:sz w:val="28"/>
          <w:szCs w:val="28"/>
          <w:lang w:val="nl-NL"/>
        </w:rPr>
        <w:t>in ten months of 2024</w:t>
      </w:r>
      <w:r w:rsidRPr="00BB4D40">
        <w:rPr>
          <w:rFonts w:ascii="Times New Roman" w:hAnsi="Times New Roman" w:cs="Times New Roman"/>
          <w:bCs/>
          <w:sz w:val="28"/>
          <w:szCs w:val="28"/>
          <w:lang w:val="nl-NL"/>
        </w:rPr>
        <w:t xml:space="preserve"> of some localities was as follows: </w:t>
      </w:r>
      <w:r w:rsidRPr="00CA76DA">
        <w:rPr>
          <w:rFonts w:ascii="Times New Roman" w:hAnsi="Times New Roman" w:cs="Times New Roman"/>
          <w:bCs/>
          <w:sz w:val="28"/>
          <w:szCs w:val="28"/>
          <w:lang w:val="nl-NL"/>
        </w:rPr>
        <w:t>Binh Dinh increased by 20.0%; Vung Tau increased by 13.7%; Can Tho increased by 11.7%; Hung Yen decreased by 9.9%; Da Nang decreased by 0.7%.</w:t>
      </w:r>
    </w:p>
    <w:bookmarkEnd w:id="7"/>
    <w:p w14:paraId="49B76C01" w14:textId="77777777" w:rsidR="0063307A" w:rsidRPr="00BF0DCD" w:rsidRDefault="0063307A" w:rsidP="0063307A">
      <w:pPr>
        <w:tabs>
          <w:tab w:val="left" w:pos="900"/>
        </w:tabs>
        <w:spacing w:before="40" w:after="40" w:line="288" w:lineRule="auto"/>
        <w:ind w:firstLine="562"/>
        <w:jc w:val="both"/>
        <w:rPr>
          <w:rStyle w:val="Strong"/>
          <w:rFonts w:eastAsiaTheme="majorEastAsia"/>
          <w:i/>
          <w:iCs/>
        </w:rPr>
      </w:pPr>
      <w:r>
        <w:rPr>
          <w:rStyle w:val="Strong"/>
          <w:rFonts w:eastAsiaTheme="majorEastAsia"/>
          <w:color w:val="000000" w:themeColor="text1"/>
          <w:lang w:val="de-DE"/>
        </w:rPr>
        <w:lastRenderedPageBreak/>
        <w:t>b</w:t>
      </w:r>
      <w:r w:rsidRPr="00BC5895">
        <w:rPr>
          <w:rStyle w:val="Strong"/>
          <w:rFonts w:eastAsiaTheme="majorEastAsia"/>
          <w:color w:val="000000" w:themeColor="text1"/>
          <w:lang w:val="de-DE"/>
        </w:rPr>
        <w:t xml:space="preserve">) </w:t>
      </w:r>
      <w:r w:rsidRPr="00BF0DCD">
        <w:rPr>
          <w:rStyle w:val="Strong"/>
          <w:rFonts w:eastAsiaTheme="majorEastAsia"/>
        </w:rPr>
        <w:t>Export and import of goods</w:t>
      </w:r>
      <w:r w:rsidRPr="006F47C2">
        <w:rPr>
          <w:b/>
          <w:bCs/>
          <w:i/>
          <w:iCs/>
          <w:vertAlign w:val="superscript"/>
        </w:rPr>
        <w:footnoteReference w:id="15"/>
      </w:r>
    </w:p>
    <w:p w14:paraId="1CB73815" w14:textId="77777777" w:rsidR="0063307A" w:rsidRPr="00405AE1" w:rsidRDefault="0063307A" w:rsidP="0063307A">
      <w:pPr>
        <w:tabs>
          <w:tab w:val="left" w:pos="900"/>
          <w:tab w:val="left" w:pos="9475"/>
        </w:tabs>
        <w:spacing w:before="120" w:after="120" w:line="288" w:lineRule="auto"/>
        <w:ind w:right="119" w:firstLine="567"/>
        <w:jc w:val="both"/>
        <w:rPr>
          <w:rFonts w:ascii="Times New Roman Italic" w:hAnsi="Times New Roman Italic"/>
          <w:i/>
          <w:lang w:val="es-NI"/>
        </w:rPr>
      </w:pPr>
      <w:r w:rsidRPr="00F351F4">
        <w:rPr>
          <w:rFonts w:ascii="Times New Roman Italic" w:hAnsi="Times New Roman Italic"/>
          <w:i/>
          <w:lang w:val="de-DE"/>
        </w:rPr>
        <w:t xml:space="preserve">Total </w:t>
      </w:r>
      <w:r>
        <w:rPr>
          <w:rFonts w:ascii="Times New Roman Italic" w:hAnsi="Times New Roman Italic"/>
          <w:i/>
          <w:lang w:val="de-DE"/>
        </w:rPr>
        <w:t>ex</w:t>
      </w:r>
      <w:r w:rsidRPr="00F351F4">
        <w:rPr>
          <w:rFonts w:ascii="Times New Roman Italic" w:hAnsi="Times New Roman Italic"/>
          <w:i/>
          <w:lang w:val="de-DE"/>
        </w:rPr>
        <w:t xml:space="preserve">port and </w:t>
      </w:r>
      <w:r>
        <w:rPr>
          <w:rFonts w:ascii="Times New Roman Italic" w:hAnsi="Times New Roman Italic"/>
          <w:i/>
          <w:lang w:val="de-DE"/>
        </w:rPr>
        <w:t>im</w:t>
      </w:r>
      <w:r w:rsidRPr="00F351F4">
        <w:rPr>
          <w:rFonts w:ascii="Times New Roman Italic" w:hAnsi="Times New Roman Italic"/>
          <w:i/>
          <w:lang w:val="de-DE"/>
        </w:rPr>
        <w:t>port turnover of goods</w:t>
      </w:r>
      <w:r w:rsidRPr="006F47C2">
        <w:rPr>
          <w:rFonts w:ascii="Times New Roman Italic" w:hAnsi="Times New Roman Italic"/>
          <w:i/>
          <w:iCs/>
          <w:vertAlign w:val="superscript"/>
        </w:rPr>
        <w:footnoteReference w:id="16"/>
      </w:r>
      <w:r w:rsidRPr="00F351F4">
        <w:rPr>
          <w:rFonts w:ascii="Times New Roman Italic" w:hAnsi="Times New Roman Italic"/>
          <w:i/>
          <w:lang w:val="de-DE"/>
        </w:rPr>
        <w:t xml:space="preserve"> in </w:t>
      </w:r>
      <w:r>
        <w:rPr>
          <w:rFonts w:ascii="Times New Roman Italic" w:hAnsi="Times New Roman Italic"/>
          <w:i/>
          <w:lang w:val="de-DE"/>
        </w:rPr>
        <w:t>10/2024</w:t>
      </w:r>
      <w:r w:rsidRPr="00F351F4">
        <w:rPr>
          <w:rFonts w:ascii="Times New Roman Italic" w:hAnsi="Times New Roman Italic"/>
          <w:i/>
          <w:lang w:val="de-DE"/>
        </w:rPr>
        <w:t xml:space="preserve"> was estimated at </w:t>
      </w:r>
      <w:r>
        <w:rPr>
          <w:rFonts w:ascii="Times New Roman Italic" w:hAnsi="Times New Roman Italic"/>
          <w:i/>
          <w:lang w:val="de-DE"/>
        </w:rPr>
        <w:t>69.19</w:t>
      </w:r>
      <w:r w:rsidRPr="00F351F4">
        <w:rPr>
          <w:rFonts w:ascii="Times New Roman Italic" w:hAnsi="Times New Roman Italic"/>
          <w:i/>
          <w:lang w:val="de-DE"/>
        </w:rPr>
        <w:t xml:space="preserve"> billion USD, </w:t>
      </w:r>
      <w:r>
        <w:rPr>
          <w:rFonts w:ascii="Times New Roman Italic" w:hAnsi="Times New Roman Italic"/>
          <w:i/>
          <w:lang w:val="de-DE"/>
        </w:rPr>
        <w:t>up</w:t>
      </w:r>
      <w:r w:rsidRPr="00F351F4">
        <w:rPr>
          <w:rFonts w:ascii="Times New Roman Italic" w:hAnsi="Times New Roman Italic"/>
          <w:i/>
          <w:lang w:val="de-DE"/>
        </w:rPr>
        <w:t xml:space="preserve"> </w:t>
      </w:r>
      <w:r>
        <w:rPr>
          <w:rFonts w:ascii="Times New Roman Italic" w:hAnsi="Times New Roman Italic"/>
          <w:i/>
          <w:lang w:val="de-DE"/>
        </w:rPr>
        <w:t>5.1</w:t>
      </w:r>
      <w:r w:rsidRPr="00F351F4">
        <w:rPr>
          <w:rFonts w:ascii="Times New Roman Italic" w:hAnsi="Times New Roman Italic"/>
          <w:i/>
          <w:lang w:val="de-DE"/>
        </w:rPr>
        <w:t xml:space="preserve">% over the previous month and </w:t>
      </w:r>
      <w:r>
        <w:rPr>
          <w:rFonts w:ascii="Times New Roman Italic" w:hAnsi="Times New Roman Italic"/>
          <w:i/>
          <w:lang w:val="de-DE"/>
        </w:rPr>
        <w:t>up</w:t>
      </w:r>
      <w:r w:rsidRPr="00F351F4">
        <w:rPr>
          <w:rFonts w:ascii="Times New Roman Italic" w:hAnsi="Times New Roman Italic"/>
          <w:i/>
          <w:lang w:val="de-DE"/>
        </w:rPr>
        <w:t xml:space="preserve"> </w:t>
      </w:r>
      <w:r>
        <w:rPr>
          <w:rFonts w:ascii="Times New Roman Italic" w:hAnsi="Times New Roman Italic"/>
          <w:i/>
          <w:lang w:val="de-DE"/>
        </w:rPr>
        <w:t>11.8</w:t>
      </w:r>
      <w:r w:rsidRPr="00F351F4">
        <w:rPr>
          <w:rFonts w:ascii="Times New Roman Italic" w:hAnsi="Times New Roman Italic"/>
          <w:i/>
          <w:lang w:val="de-DE"/>
        </w:rPr>
        <w:t>% over the same period last year.</w:t>
      </w:r>
      <w:r w:rsidRPr="00CB66F1">
        <w:rPr>
          <w:rFonts w:ascii="Times New Roman Italic" w:hAnsi="Times New Roman Italic"/>
          <w:i/>
          <w:lang w:val="de-DE"/>
        </w:rPr>
        <w:t xml:space="preserve"> </w:t>
      </w:r>
      <w:r w:rsidRPr="00D25A7C">
        <w:rPr>
          <w:rFonts w:ascii="Times New Roman Italic" w:hAnsi="Times New Roman Italic"/>
          <w:i/>
          <w:lang w:val="de-DE"/>
        </w:rPr>
        <w:t xml:space="preserve">Generally, in </w:t>
      </w:r>
      <w:r>
        <w:rPr>
          <w:rFonts w:ascii="Times New Roman Italic" w:hAnsi="Times New Roman Italic"/>
          <w:i/>
          <w:lang w:val="de-DE"/>
        </w:rPr>
        <w:t>ten months</w:t>
      </w:r>
      <w:r w:rsidRPr="00D25A7C">
        <w:rPr>
          <w:rFonts w:ascii="Times New Roman Italic" w:hAnsi="Times New Roman Italic"/>
          <w:i/>
          <w:lang w:val="de-DE"/>
        </w:rPr>
        <w:t xml:space="preserve"> of 2024, the total export and import turnover of goods reached </w:t>
      </w:r>
      <w:r>
        <w:rPr>
          <w:rFonts w:ascii="Times New Roman Italic" w:hAnsi="Times New Roman Italic"/>
          <w:i/>
          <w:lang w:val="de-DE"/>
        </w:rPr>
        <w:t>647.87</w:t>
      </w:r>
      <w:r w:rsidRPr="00D25A7C">
        <w:rPr>
          <w:rFonts w:ascii="Times New Roman Italic" w:hAnsi="Times New Roman Italic"/>
          <w:i/>
          <w:lang w:val="de-DE"/>
        </w:rPr>
        <w:t xml:space="preserve"> billion USD, up 1</w:t>
      </w:r>
      <w:r>
        <w:rPr>
          <w:rFonts w:ascii="Times New Roman Italic" w:hAnsi="Times New Roman Italic"/>
          <w:i/>
          <w:lang w:val="de-DE"/>
        </w:rPr>
        <w:t>5.8</w:t>
      </w:r>
      <w:r w:rsidRPr="00D25A7C">
        <w:rPr>
          <w:rFonts w:ascii="Times New Roman Italic" w:hAnsi="Times New Roman Italic"/>
          <w:i/>
          <w:lang w:val="de-DE"/>
        </w:rPr>
        <w:t>% over the same period last year, of which exports increased by 1</w:t>
      </w:r>
      <w:r>
        <w:rPr>
          <w:rFonts w:ascii="Times New Roman Italic" w:hAnsi="Times New Roman Italic"/>
          <w:i/>
          <w:lang w:val="de-DE"/>
        </w:rPr>
        <w:t>4.9</w:t>
      </w:r>
      <w:r w:rsidRPr="00D25A7C">
        <w:rPr>
          <w:rFonts w:ascii="Times New Roman Italic" w:hAnsi="Times New Roman Italic"/>
          <w:i/>
          <w:lang w:val="de-DE"/>
        </w:rPr>
        <w:t>%; imports increased by 1</w:t>
      </w:r>
      <w:r>
        <w:rPr>
          <w:rFonts w:ascii="Times New Roman Italic" w:hAnsi="Times New Roman Italic"/>
          <w:i/>
          <w:lang w:val="de-DE"/>
        </w:rPr>
        <w:t>6.8</w:t>
      </w:r>
      <w:r w:rsidRPr="00D25A7C">
        <w:rPr>
          <w:rFonts w:ascii="Times New Roman Italic" w:hAnsi="Times New Roman Italic"/>
          <w:i/>
          <w:lang w:val="de-DE"/>
        </w:rPr>
        <w:t>%</w:t>
      </w:r>
      <w:r>
        <w:rPr>
          <w:rStyle w:val="FootnoteReference"/>
          <w:rFonts w:ascii="Times New Roman Italic" w:eastAsiaTheme="majorEastAsia" w:hAnsi="Times New Roman Italic"/>
          <w:i/>
          <w:lang w:val="de-DE"/>
        </w:rPr>
        <w:footnoteReference w:id="17"/>
      </w:r>
      <w:r w:rsidRPr="00D25A7C">
        <w:rPr>
          <w:rFonts w:ascii="Times New Roman Italic" w:hAnsi="Times New Roman Italic"/>
          <w:i/>
          <w:lang w:val="de-DE"/>
        </w:rPr>
        <w:t xml:space="preserve">. The trade balance of goods had a surplus of </w:t>
      </w:r>
      <w:r>
        <w:rPr>
          <w:rFonts w:ascii="Times New Roman Italic" w:hAnsi="Times New Roman Italic"/>
          <w:i/>
          <w:lang w:val="de-DE"/>
        </w:rPr>
        <w:t>23.31</w:t>
      </w:r>
      <w:r w:rsidRPr="00D25A7C">
        <w:rPr>
          <w:rFonts w:ascii="Times New Roman Italic" w:hAnsi="Times New Roman Italic"/>
          <w:i/>
          <w:lang w:val="de-DE"/>
        </w:rPr>
        <w:t xml:space="preserve"> billion USD.</w:t>
      </w:r>
      <w:r>
        <w:rPr>
          <w:rFonts w:ascii="Times New Roman Italic" w:hAnsi="Times New Roman Italic"/>
          <w:i/>
          <w:lang w:val="es-NI"/>
        </w:rPr>
        <w:t xml:space="preserve"> </w:t>
      </w:r>
    </w:p>
    <w:p w14:paraId="3BEF4FAD" w14:textId="77777777" w:rsidR="0063307A" w:rsidRDefault="0063307A" w:rsidP="0063307A">
      <w:pPr>
        <w:tabs>
          <w:tab w:val="left" w:pos="900"/>
          <w:tab w:val="left" w:pos="9475"/>
        </w:tabs>
        <w:spacing w:before="240" w:after="240" w:line="288" w:lineRule="auto"/>
        <w:jc w:val="center"/>
        <w:rPr>
          <w:rFonts w:ascii="Arial" w:hAnsi="Arial" w:cs="Arial"/>
          <w:b/>
          <w:bCs/>
          <w:sz w:val="24"/>
          <w:szCs w:val="24"/>
          <w:lang w:val="es-NI"/>
        </w:rPr>
      </w:pPr>
      <w:r w:rsidRPr="00D25A7C">
        <w:rPr>
          <w:rFonts w:ascii="Arial" w:hAnsi="Arial" w:cs="Arial"/>
          <w:b/>
          <w:bCs/>
          <w:sz w:val="24"/>
          <w:szCs w:val="24"/>
          <w:lang w:val="es-NI"/>
        </w:rPr>
        <w:t>Figure 1</w:t>
      </w:r>
      <w:r>
        <w:rPr>
          <w:rFonts w:ascii="Arial" w:hAnsi="Arial" w:cs="Arial"/>
          <w:b/>
          <w:bCs/>
          <w:sz w:val="24"/>
          <w:szCs w:val="24"/>
          <w:lang w:val="es-NI"/>
        </w:rPr>
        <w:t>1</w:t>
      </w:r>
      <w:r w:rsidRPr="00D25A7C">
        <w:rPr>
          <w:rFonts w:ascii="Arial" w:hAnsi="Arial" w:cs="Arial"/>
          <w:b/>
          <w:bCs/>
          <w:sz w:val="24"/>
          <w:szCs w:val="24"/>
          <w:lang w:val="es-NI"/>
        </w:rPr>
        <w:t xml:space="preserve">. Import and export of goods in </w:t>
      </w:r>
      <w:r>
        <w:rPr>
          <w:rFonts w:ascii="Arial" w:hAnsi="Arial" w:cs="Arial"/>
          <w:b/>
          <w:bCs/>
          <w:sz w:val="24"/>
          <w:szCs w:val="24"/>
          <w:lang w:val="es-NI"/>
        </w:rPr>
        <w:t>10 months</w:t>
      </w:r>
      <w:r w:rsidRPr="00D25A7C">
        <w:rPr>
          <w:rFonts w:ascii="Arial" w:hAnsi="Arial" w:cs="Arial"/>
          <w:b/>
          <w:bCs/>
          <w:sz w:val="24"/>
          <w:szCs w:val="24"/>
          <w:lang w:val="es-NI"/>
        </w:rPr>
        <w:t xml:space="preserve"> of 2024</w:t>
      </w:r>
    </w:p>
    <w:p w14:paraId="66D075B7" w14:textId="77777777" w:rsidR="0063307A" w:rsidRPr="00D25A7C" w:rsidRDefault="0063307A" w:rsidP="0063307A">
      <w:pPr>
        <w:tabs>
          <w:tab w:val="left" w:pos="900"/>
          <w:tab w:val="left" w:pos="9475"/>
        </w:tabs>
        <w:spacing w:before="240" w:after="240" w:line="288" w:lineRule="auto"/>
        <w:jc w:val="center"/>
        <w:rPr>
          <w:iCs/>
          <w:spacing w:val="2"/>
          <w:lang w:val="es-NI"/>
        </w:rPr>
      </w:pPr>
      <w:r>
        <w:rPr>
          <w:noProof/>
        </w:rPr>
        <w:drawing>
          <wp:inline distT="0" distB="0" distL="0" distR="0" wp14:anchorId="6CBB6FF0" wp14:editId="6DC23256">
            <wp:extent cx="5354970" cy="1745673"/>
            <wp:effectExtent l="0" t="0" r="0" b="6985"/>
            <wp:docPr id="6267921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92142"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371588" cy="1751090"/>
                    </a:xfrm>
                    <a:prstGeom prst="rect">
                      <a:avLst/>
                    </a:prstGeom>
                  </pic:spPr>
                </pic:pic>
              </a:graphicData>
            </a:graphic>
          </wp:inline>
        </w:drawing>
      </w:r>
    </w:p>
    <w:p w14:paraId="6640CD76" w14:textId="77777777" w:rsidR="0063307A" w:rsidRPr="008816F9" w:rsidRDefault="0063307A" w:rsidP="0063307A">
      <w:pPr>
        <w:tabs>
          <w:tab w:val="left" w:pos="900"/>
          <w:tab w:val="left" w:pos="9475"/>
        </w:tabs>
        <w:spacing w:before="40" w:after="40" w:line="278" w:lineRule="auto"/>
        <w:ind w:right="119" w:firstLine="567"/>
        <w:jc w:val="both"/>
        <w:rPr>
          <w:rStyle w:val="Strong"/>
          <w:rFonts w:eastAsiaTheme="majorEastAsia"/>
          <w:i/>
          <w:iCs/>
          <w:color w:val="000000" w:themeColor="text1"/>
          <w:sz w:val="2"/>
          <w:szCs w:val="4"/>
          <w:lang w:val="de-DE"/>
        </w:rPr>
      </w:pPr>
    </w:p>
    <w:p w14:paraId="5F171BDB" w14:textId="77777777" w:rsidR="0063307A" w:rsidRPr="00D64BE4" w:rsidRDefault="0063307A" w:rsidP="0063307A">
      <w:pPr>
        <w:tabs>
          <w:tab w:val="left" w:pos="900"/>
        </w:tabs>
        <w:spacing w:after="40" w:line="288" w:lineRule="auto"/>
        <w:ind w:firstLine="561"/>
        <w:jc w:val="both"/>
        <w:rPr>
          <w:b/>
          <w:bCs/>
          <w:i/>
          <w:iCs/>
        </w:rPr>
      </w:pPr>
      <w:r w:rsidRPr="00D64BE4">
        <w:rPr>
          <w:b/>
          <w:bCs/>
          <w:i/>
          <w:iCs/>
        </w:rPr>
        <w:t>Export of goods</w:t>
      </w:r>
    </w:p>
    <w:p w14:paraId="1494814B" w14:textId="77777777" w:rsidR="0063307A" w:rsidRPr="00D25A7C" w:rsidRDefault="0063307A" w:rsidP="0063307A">
      <w:pPr>
        <w:tabs>
          <w:tab w:val="num" w:pos="0"/>
          <w:tab w:val="left" w:pos="9475"/>
        </w:tabs>
        <w:spacing w:beforeLines="40" w:before="96" w:afterLines="40" w:after="96" w:line="288" w:lineRule="auto"/>
        <w:ind w:right="6" w:firstLine="567"/>
        <w:jc w:val="both"/>
        <w:rPr>
          <w:bCs/>
          <w:lang w:val="de-DE"/>
        </w:rPr>
      </w:pPr>
      <w:r w:rsidRPr="00D25A7C">
        <w:rPr>
          <w:bCs/>
        </w:rPr>
        <w:t>Preliminary export turnover of goods in</w:t>
      </w:r>
      <w:r w:rsidRPr="00D25A7C">
        <w:rPr>
          <w:bCs/>
          <w:lang w:val="de-DE"/>
        </w:rPr>
        <w:t xml:space="preserve"> </w:t>
      </w:r>
      <w:r>
        <w:rPr>
          <w:bCs/>
          <w:lang w:val="de-DE"/>
        </w:rPr>
        <w:t>9/2024</w:t>
      </w:r>
      <w:r w:rsidRPr="00D25A7C">
        <w:rPr>
          <w:bCs/>
          <w:lang w:val="de-DE"/>
        </w:rPr>
        <w:t xml:space="preserve"> reached USD 3</w:t>
      </w:r>
      <w:r>
        <w:rPr>
          <w:bCs/>
          <w:lang w:val="de-DE"/>
        </w:rPr>
        <w:t>4.1</w:t>
      </w:r>
      <w:r w:rsidRPr="00D25A7C">
        <w:rPr>
          <w:bCs/>
          <w:lang w:val="de-DE"/>
        </w:rPr>
        <w:t xml:space="preserve"> billion</w:t>
      </w:r>
      <w:r>
        <w:rPr>
          <w:rStyle w:val="FootnoteReference"/>
          <w:rFonts w:eastAsiaTheme="majorEastAsia"/>
          <w:bCs/>
          <w:lang w:val="de-DE"/>
        </w:rPr>
        <w:footnoteReference w:id="18"/>
      </w:r>
      <w:r w:rsidRPr="00D25A7C">
        <w:rPr>
          <w:bCs/>
          <w:lang w:val="de-DE"/>
        </w:rPr>
        <w:t>.</w:t>
      </w:r>
    </w:p>
    <w:p w14:paraId="2030E0D5" w14:textId="77777777" w:rsidR="0063307A" w:rsidRPr="00D25A7C" w:rsidRDefault="0063307A" w:rsidP="0063307A">
      <w:pPr>
        <w:tabs>
          <w:tab w:val="num" w:pos="0"/>
          <w:tab w:val="left" w:pos="9475"/>
        </w:tabs>
        <w:spacing w:beforeLines="40" w:before="96" w:afterLines="40" w:after="96" w:line="288" w:lineRule="auto"/>
        <w:ind w:right="6" w:firstLine="567"/>
        <w:jc w:val="both"/>
        <w:rPr>
          <w:bCs/>
        </w:rPr>
      </w:pPr>
      <w:r w:rsidRPr="00AE72B5">
        <w:rPr>
          <w:bCs/>
          <w:i/>
          <w:iCs/>
        </w:rPr>
        <w:t>Preliminary</w:t>
      </w:r>
      <w:r w:rsidRPr="00D25A7C">
        <w:rPr>
          <w:bCs/>
          <w:i/>
          <w:iCs/>
        </w:rPr>
        <w:t xml:space="preserve"> </w:t>
      </w:r>
      <w:r>
        <w:rPr>
          <w:bCs/>
          <w:i/>
          <w:iCs/>
        </w:rPr>
        <w:t>e</w:t>
      </w:r>
      <w:r w:rsidRPr="00D25A7C">
        <w:rPr>
          <w:bCs/>
          <w:i/>
          <w:iCs/>
        </w:rPr>
        <w:t xml:space="preserve">xport turnover of goods in </w:t>
      </w:r>
      <w:r>
        <w:rPr>
          <w:bCs/>
          <w:i/>
          <w:iCs/>
        </w:rPr>
        <w:t>10/2024</w:t>
      </w:r>
      <w:r w:rsidRPr="00D25A7C">
        <w:rPr>
          <w:bCs/>
          <w:i/>
          <w:iCs/>
        </w:rPr>
        <w:t xml:space="preserve"> </w:t>
      </w:r>
      <w:r>
        <w:rPr>
          <w:bCs/>
          <w:lang w:val="de-DE"/>
        </w:rPr>
        <w:t>reached</w:t>
      </w:r>
      <w:r w:rsidRPr="00D25A7C">
        <w:rPr>
          <w:bCs/>
          <w:lang w:val="de-DE"/>
        </w:rPr>
        <w:t xml:space="preserve"> 3</w:t>
      </w:r>
      <w:r>
        <w:rPr>
          <w:bCs/>
          <w:lang w:val="de-DE"/>
        </w:rPr>
        <w:t>5.59</w:t>
      </w:r>
      <w:r w:rsidRPr="00D25A7C">
        <w:rPr>
          <w:bCs/>
          <w:lang w:val="de-DE"/>
        </w:rPr>
        <w:t xml:space="preserve"> billion USD, up </w:t>
      </w:r>
      <w:r>
        <w:rPr>
          <w:bCs/>
          <w:lang w:val="de-DE"/>
        </w:rPr>
        <w:t>4.4</w:t>
      </w:r>
      <w:r w:rsidRPr="00D25A7C">
        <w:rPr>
          <w:bCs/>
          <w:lang w:val="de-DE"/>
        </w:rPr>
        <w:t xml:space="preserve">% over the previous month. </w:t>
      </w:r>
      <w:r w:rsidRPr="00D25A7C">
        <w:rPr>
          <w:bCs/>
        </w:rPr>
        <w:t xml:space="preserve">Of which, the domestic economic sector gained </w:t>
      </w:r>
      <w:r>
        <w:rPr>
          <w:bCs/>
        </w:rPr>
        <w:t>10.3</w:t>
      </w:r>
      <w:r w:rsidRPr="00D25A7C">
        <w:rPr>
          <w:bCs/>
        </w:rPr>
        <w:t xml:space="preserve"> billion USD, increased by </w:t>
      </w:r>
      <w:r>
        <w:rPr>
          <w:bCs/>
        </w:rPr>
        <w:t>9.8</w:t>
      </w:r>
      <w:r w:rsidRPr="00D25A7C">
        <w:rPr>
          <w:bCs/>
        </w:rPr>
        <w:t>%; the FDI sector (including crude oil) reached 2</w:t>
      </w:r>
      <w:r>
        <w:rPr>
          <w:bCs/>
        </w:rPr>
        <w:t>5.29</w:t>
      </w:r>
      <w:r w:rsidRPr="00D25A7C">
        <w:rPr>
          <w:bCs/>
        </w:rPr>
        <w:t xml:space="preserve"> billion USD, increased by </w:t>
      </w:r>
      <w:r>
        <w:rPr>
          <w:bCs/>
        </w:rPr>
        <w:t>2.4</w:t>
      </w:r>
      <w:r w:rsidRPr="00D25A7C">
        <w:rPr>
          <w:bCs/>
        </w:rPr>
        <w:t xml:space="preserve">%. Compared to the same period last year, export turnover of goods in </w:t>
      </w:r>
      <w:r>
        <w:rPr>
          <w:bCs/>
        </w:rPr>
        <w:t>October</w:t>
      </w:r>
      <w:r w:rsidRPr="00D25A7C">
        <w:rPr>
          <w:bCs/>
        </w:rPr>
        <w:t xml:space="preserve"> increased by 1</w:t>
      </w:r>
      <w:r>
        <w:rPr>
          <w:bCs/>
        </w:rPr>
        <w:t>0.1</w:t>
      </w:r>
      <w:r w:rsidRPr="00D25A7C">
        <w:rPr>
          <w:bCs/>
        </w:rPr>
        <w:t xml:space="preserve">%, of which the domestic economic sector increased by </w:t>
      </w:r>
      <w:r>
        <w:rPr>
          <w:bCs/>
        </w:rPr>
        <w:t>17.7</w:t>
      </w:r>
      <w:r w:rsidRPr="00D25A7C">
        <w:rPr>
          <w:bCs/>
        </w:rPr>
        <w:t xml:space="preserve">%, the FDI sector (including crude oil) increased by </w:t>
      </w:r>
      <w:r>
        <w:rPr>
          <w:bCs/>
        </w:rPr>
        <w:t>17.3</w:t>
      </w:r>
      <w:r w:rsidRPr="00D25A7C">
        <w:rPr>
          <w:bCs/>
        </w:rPr>
        <w:t>%.</w:t>
      </w:r>
    </w:p>
    <w:p w14:paraId="0E2E02E7" w14:textId="77777777" w:rsidR="0063307A" w:rsidRPr="00D25A7C" w:rsidRDefault="0063307A" w:rsidP="0063307A">
      <w:pPr>
        <w:tabs>
          <w:tab w:val="num" w:pos="0"/>
          <w:tab w:val="left" w:pos="9475"/>
        </w:tabs>
        <w:spacing w:beforeLines="40" w:before="96" w:afterLines="40" w:after="96" w:line="288" w:lineRule="auto"/>
        <w:ind w:right="6" w:firstLine="567"/>
        <w:jc w:val="both"/>
        <w:rPr>
          <w:iCs/>
          <w:lang w:val="de-DE"/>
        </w:rPr>
      </w:pPr>
      <w:r w:rsidRPr="00D25A7C">
        <w:rPr>
          <w:i/>
          <w:iCs/>
        </w:rPr>
        <w:t>Generally in</w:t>
      </w:r>
      <w:r w:rsidRPr="00D25A7C">
        <w:rPr>
          <w:i/>
          <w:iCs/>
          <w:lang w:val="de-DE"/>
        </w:rPr>
        <w:t xml:space="preserve"> </w:t>
      </w:r>
      <w:r>
        <w:rPr>
          <w:i/>
          <w:iCs/>
          <w:lang w:val="de-DE"/>
        </w:rPr>
        <w:t>ten months</w:t>
      </w:r>
      <w:r w:rsidRPr="00D25A7C">
        <w:rPr>
          <w:i/>
          <w:iCs/>
          <w:lang w:val="de-DE"/>
        </w:rPr>
        <w:t xml:space="preserve"> of 2024</w:t>
      </w:r>
      <w:r w:rsidRPr="00D25A7C">
        <w:rPr>
          <w:iCs/>
          <w:lang w:val="de-DE"/>
        </w:rPr>
        <w:t xml:space="preserve">, </w:t>
      </w:r>
      <w:r>
        <w:rPr>
          <w:iCs/>
          <w:lang w:val="de-DE"/>
        </w:rPr>
        <w:t>p</w:t>
      </w:r>
      <w:r w:rsidRPr="00D25A7C">
        <w:rPr>
          <w:bCs/>
        </w:rPr>
        <w:t>reliminary</w:t>
      </w:r>
      <w:r w:rsidRPr="00D25A7C">
        <w:rPr>
          <w:iCs/>
        </w:rPr>
        <w:t xml:space="preserve"> export turnover </w:t>
      </w:r>
      <w:r>
        <w:rPr>
          <w:iCs/>
        </w:rPr>
        <w:t>reached</w:t>
      </w:r>
      <w:r w:rsidRPr="00D25A7C">
        <w:rPr>
          <w:iCs/>
        </w:rPr>
        <w:t xml:space="preserve"> </w:t>
      </w:r>
      <w:r>
        <w:rPr>
          <w:iCs/>
        </w:rPr>
        <w:t>335.59</w:t>
      </w:r>
      <w:r w:rsidRPr="00D25A7C">
        <w:rPr>
          <w:iCs/>
        </w:rPr>
        <w:t xml:space="preserve"> billion</w:t>
      </w:r>
      <w:r w:rsidRPr="00D25A7C">
        <w:rPr>
          <w:bCs/>
          <w:iCs/>
        </w:rPr>
        <w:t xml:space="preserve"> USD</w:t>
      </w:r>
      <w:r w:rsidRPr="00D25A7C">
        <w:rPr>
          <w:iCs/>
        </w:rPr>
        <w:t>, increased by 1</w:t>
      </w:r>
      <w:r>
        <w:rPr>
          <w:iCs/>
        </w:rPr>
        <w:t>4.9</w:t>
      </w:r>
      <w:r w:rsidRPr="00D25A7C">
        <w:rPr>
          <w:iCs/>
        </w:rPr>
        <w:t xml:space="preserve">% over </w:t>
      </w:r>
      <w:r w:rsidRPr="00D25A7C">
        <w:rPr>
          <w:bCs/>
          <w:iCs/>
        </w:rPr>
        <w:t>the same period last year</w:t>
      </w:r>
      <w:r w:rsidRPr="00D25A7C">
        <w:rPr>
          <w:iCs/>
        </w:rPr>
        <w:t xml:space="preserve">. Of which, the domestic economic sector </w:t>
      </w:r>
      <w:r w:rsidRPr="00D25A7C">
        <w:rPr>
          <w:bCs/>
          <w:iCs/>
        </w:rPr>
        <w:t>was</w:t>
      </w:r>
      <w:r w:rsidRPr="00D25A7C">
        <w:rPr>
          <w:iCs/>
        </w:rPr>
        <w:t xml:space="preserve"> </w:t>
      </w:r>
      <w:r>
        <w:rPr>
          <w:iCs/>
        </w:rPr>
        <w:t>93.97</w:t>
      </w:r>
      <w:r w:rsidRPr="00D25A7C">
        <w:rPr>
          <w:iCs/>
        </w:rPr>
        <w:t xml:space="preserve"> billion USD, went up 2</w:t>
      </w:r>
      <w:r>
        <w:rPr>
          <w:iCs/>
        </w:rPr>
        <w:t>0.7</w:t>
      </w:r>
      <w:r w:rsidRPr="00D25A7C">
        <w:rPr>
          <w:iCs/>
        </w:rPr>
        <w:t xml:space="preserve">%, accounting for </w:t>
      </w:r>
      <w:r w:rsidRPr="00D25A7C">
        <w:rPr>
          <w:iCs/>
        </w:rPr>
        <w:lastRenderedPageBreak/>
        <w:t>2</w:t>
      </w:r>
      <w:r>
        <w:rPr>
          <w:iCs/>
        </w:rPr>
        <w:t>8.0</w:t>
      </w:r>
      <w:r w:rsidRPr="00D25A7C">
        <w:rPr>
          <w:iCs/>
        </w:rPr>
        <w:t xml:space="preserve">% of total export turnover; the FDI sector (including crude oil) attained </w:t>
      </w:r>
      <w:r>
        <w:rPr>
          <w:iCs/>
        </w:rPr>
        <w:t xml:space="preserve">241.62 </w:t>
      </w:r>
      <w:r w:rsidRPr="00D25A7C">
        <w:rPr>
          <w:iCs/>
        </w:rPr>
        <w:t>billion USD, increased by 1</w:t>
      </w:r>
      <w:r>
        <w:rPr>
          <w:iCs/>
        </w:rPr>
        <w:t>2.8</w:t>
      </w:r>
      <w:r w:rsidRPr="00D25A7C">
        <w:rPr>
          <w:iCs/>
        </w:rPr>
        <w:t>%, sharing 7</w:t>
      </w:r>
      <w:r>
        <w:rPr>
          <w:iCs/>
        </w:rPr>
        <w:t>2.0</w:t>
      </w:r>
      <w:r w:rsidRPr="00D25A7C">
        <w:rPr>
          <w:iCs/>
        </w:rPr>
        <w:t>%.</w:t>
      </w:r>
      <w:r w:rsidRPr="00D25A7C">
        <w:rPr>
          <w:iCs/>
          <w:lang w:val="de-DE"/>
        </w:rPr>
        <w:t xml:space="preserve"> </w:t>
      </w:r>
    </w:p>
    <w:p w14:paraId="16322240" w14:textId="77777777" w:rsidR="0063307A" w:rsidRPr="00D25A7C" w:rsidRDefault="0063307A" w:rsidP="0063307A">
      <w:pPr>
        <w:tabs>
          <w:tab w:val="num" w:pos="0"/>
        </w:tabs>
        <w:spacing w:beforeLines="40" w:before="96" w:afterLines="40" w:after="96" w:line="288" w:lineRule="auto"/>
        <w:ind w:right="6" w:firstLine="567"/>
        <w:jc w:val="both"/>
        <w:rPr>
          <w:b/>
          <w:bCs/>
          <w:lang w:val="es-NI"/>
        </w:rPr>
      </w:pPr>
      <w:r w:rsidRPr="00D25A7C">
        <w:rPr>
          <w:i/>
          <w:iCs/>
          <w:lang w:val="de-DE"/>
        </w:rPr>
        <w:t xml:space="preserve">In </w:t>
      </w:r>
      <w:r>
        <w:rPr>
          <w:i/>
          <w:iCs/>
          <w:lang w:val="de-DE"/>
        </w:rPr>
        <w:t>ten months</w:t>
      </w:r>
      <w:r w:rsidRPr="00D25A7C">
        <w:rPr>
          <w:i/>
          <w:iCs/>
          <w:lang w:val="de-DE"/>
        </w:rPr>
        <w:t xml:space="preserve"> of 2024</w:t>
      </w:r>
      <w:r w:rsidRPr="00D25A7C">
        <w:rPr>
          <w:lang w:val="de-DE"/>
        </w:rPr>
        <w:t xml:space="preserve">, </w:t>
      </w:r>
      <w:r w:rsidRPr="00D25A7C">
        <w:t xml:space="preserve">there were </w:t>
      </w:r>
      <w:r>
        <w:t>31</w:t>
      </w:r>
      <w:r w:rsidRPr="00D25A7C">
        <w:t xml:space="preserve"> products with export turnover of over 1 billion USD, contributing 9</w:t>
      </w:r>
      <w:r>
        <w:t>2.6</w:t>
      </w:r>
      <w:r w:rsidRPr="00D25A7C">
        <w:t>% to the total export turnover (</w:t>
      </w:r>
      <w:r>
        <w:t>7</w:t>
      </w:r>
      <w:r w:rsidRPr="00D25A7C">
        <w:t xml:space="preserve"> products with export turnover of over </w:t>
      </w:r>
      <w:r>
        <w:t>10</w:t>
      </w:r>
      <w:r w:rsidRPr="00D25A7C">
        <w:t xml:space="preserve"> billion USD, accounting for </w:t>
      </w:r>
      <w:r>
        <w:t>66.5</w:t>
      </w:r>
      <w:r w:rsidRPr="00D25A7C">
        <w:t>%).</w:t>
      </w:r>
      <w:r w:rsidRPr="00D25A7C">
        <w:rPr>
          <w:lang w:val="de-DE"/>
        </w:rPr>
        <w:t xml:space="preserve"> </w:t>
      </w:r>
    </w:p>
    <w:p w14:paraId="1C58ABEC" w14:textId="77777777" w:rsidR="0063307A" w:rsidRPr="00D25A7C" w:rsidRDefault="0063307A" w:rsidP="0063307A">
      <w:pPr>
        <w:tabs>
          <w:tab w:val="num" w:pos="0"/>
          <w:tab w:val="left" w:pos="9475"/>
        </w:tabs>
        <w:spacing w:beforeLines="40" w:before="96" w:afterLines="40" w:after="96" w:line="264" w:lineRule="auto"/>
        <w:ind w:right="119" w:firstLine="567"/>
        <w:jc w:val="center"/>
        <w:rPr>
          <w:rFonts w:ascii="Arial" w:hAnsi="Arial" w:cs="Arial"/>
          <w:b/>
          <w:sz w:val="24"/>
          <w:szCs w:val="20"/>
          <w:lang w:val="pl-PL"/>
        </w:rPr>
      </w:pPr>
      <w:r w:rsidRPr="00D25A7C">
        <w:rPr>
          <w:rFonts w:ascii="Arial" w:hAnsi="Arial" w:cs="Arial"/>
          <w:b/>
          <w:sz w:val="24"/>
          <w:szCs w:val="20"/>
          <w:lang w:val="pl-PL"/>
        </w:rPr>
        <w:t xml:space="preserve">Table </w:t>
      </w:r>
      <w:r>
        <w:rPr>
          <w:rFonts w:ascii="Arial" w:hAnsi="Arial" w:cs="Arial"/>
          <w:b/>
          <w:sz w:val="24"/>
          <w:szCs w:val="20"/>
          <w:lang w:val="pl-PL"/>
        </w:rPr>
        <w:t>4</w:t>
      </w:r>
      <w:r w:rsidRPr="00D25A7C">
        <w:rPr>
          <w:rFonts w:ascii="Arial" w:hAnsi="Arial" w:cs="Arial"/>
          <w:b/>
          <w:sz w:val="24"/>
          <w:szCs w:val="20"/>
          <w:lang w:val="pl-PL"/>
        </w:rPr>
        <w:t xml:space="preserve">. Value of some export products in </w:t>
      </w:r>
      <w:r>
        <w:rPr>
          <w:rFonts w:ascii="Arial" w:hAnsi="Arial" w:cs="Arial"/>
          <w:b/>
          <w:sz w:val="24"/>
          <w:szCs w:val="20"/>
          <w:lang w:val="pl-PL"/>
        </w:rPr>
        <w:t>10 months</w:t>
      </w:r>
      <w:r w:rsidRPr="00D25A7C">
        <w:rPr>
          <w:rFonts w:ascii="Arial" w:hAnsi="Arial" w:cs="Arial"/>
          <w:b/>
          <w:sz w:val="24"/>
          <w:szCs w:val="20"/>
          <w:lang w:val="pl-PL"/>
        </w:rPr>
        <w:t xml:space="preserve"> of 2024</w:t>
      </w:r>
    </w:p>
    <w:tbl>
      <w:tblPr>
        <w:tblStyle w:val="TableGrid1"/>
        <w:tblW w:w="9711" w:type="dxa"/>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92"/>
        <w:gridCol w:w="1657"/>
        <w:gridCol w:w="3162"/>
      </w:tblGrid>
      <w:tr w:rsidR="0063307A" w:rsidRPr="00D25A7C" w14:paraId="6ABC4D3C" w14:textId="77777777" w:rsidTr="00B73CE3">
        <w:trPr>
          <w:trHeight w:val="781"/>
        </w:trPr>
        <w:tc>
          <w:tcPr>
            <w:tcW w:w="4892" w:type="dxa"/>
          </w:tcPr>
          <w:p w14:paraId="10C838D4" w14:textId="77777777" w:rsidR="0063307A" w:rsidRPr="00D25A7C" w:rsidRDefault="0063307A" w:rsidP="00B73CE3">
            <w:pPr>
              <w:tabs>
                <w:tab w:val="num" w:pos="0"/>
                <w:tab w:val="left" w:pos="9475"/>
              </w:tabs>
              <w:spacing w:before="40" w:after="40" w:line="288" w:lineRule="auto"/>
              <w:ind w:right="119"/>
              <w:jc w:val="right"/>
              <w:rPr>
                <w:rFonts w:ascii="Arial" w:hAnsi="Arial" w:cs="Arial"/>
                <w:b/>
                <w:bCs/>
                <w:i/>
                <w:iCs/>
                <w:sz w:val="20"/>
                <w:szCs w:val="20"/>
                <w:lang w:val="en"/>
              </w:rPr>
            </w:pPr>
          </w:p>
        </w:tc>
        <w:tc>
          <w:tcPr>
            <w:tcW w:w="1657" w:type="dxa"/>
            <w:tcBorders>
              <w:top w:val="single" w:sz="4" w:space="0" w:color="auto"/>
              <w:bottom w:val="single" w:sz="4" w:space="0" w:color="auto"/>
            </w:tcBorders>
          </w:tcPr>
          <w:p w14:paraId="6C38EA6A" w14:textId="77777777" w:rsidR="0063307A" w:rsidRPr="00D25A7C" w:rsidRDefault="0063307A" w:rsidP="00B73CE3">
            <w:pPr>
              <w:spacing w:before="40" w:after="40" w:line="288" w:lineRule="auto"/>
              <w:jc w:val="center"/>
              <w:rPr>
                <w:rFonts w:ascii="Arial" w:hAnsi="Arial" w:cs="Arial"/>
                <w:color w:val="000000"/>
                <w:sz w:val="20"/>
                <w:szCs w:val="20"/>
                <w:lang w:val="en"/>
              </w:rPr>
            </w:pPr>
            <w:r w:rsidRPr="00D25A7C">
              <w:rPr>
                <w:rFonts w:ascii="Arial" w:hAnsi="Arial" w:cs="Arial"/>
                <w:color w:val="000000"/>
                <w:sz w:val="20"/>
                <w:szCs w:val="20"/>
                <w:lang w:val="en-US"/>
              </w:rPr>
              <w:t>Estimate</w:t>
            </w:r>
          </w:p>
          <w:p w14:paraId="5E85D6B2" w14:textId="77777777" w:rsidR="0063307A" w:rsidRPr="00D25A7C" w:rsidRDefault="0063307A" w:rsidP="00B73CE3">
            <w:pPr>
              <w:spacing w:before="40" w:after="40" w:line="288" w:lineRule="auto"/>
              <w:jc w:val="center"/>
              <w:rPr>
                <w:rFonts w:ascii="Arial" w:hAnsi="Arial" w:cs="Arial"/>
                <w:b/>
                <w:bCs/>
                <w:i/>
                <w:iCs/>
                <w:sz w:val="20"/>
                <w:szCs w:val="20"/>
                <w:lang w:val="en"/>
              </w:rPr>
            </w:pPr>
            <w:r w:rsidRPr="00D25A7C">
              <w:rPr>
                <w:rFonts w:ascii="Arial" w:hAnsi="Arial" w:cs="Arial"/>
                <w:i/>
                <w:iCs/>
                <w:color w:val="000000"/>
                <w:sz w:val="20"/>
                <w:szCs w:val="20"/>
                <w:lang w:val="en-US"/>
              </w:rPr>
              <w:t>(Mill. USD)</w:t>
            </w:r>
          </w:p>
        </w:tc>
        <w:tc>
          <w:tcPr>
            <w:tcW w:w="3162" w:type="dxa"/>
            <w:tcBorders>
              <w:top w:val="single" w:sz="4" w:space="0" w:color="auto"/>
              <w:bottom w:val="single" w:sz="4" w:space="0" w:color="auto"/>
            </w:tcBorders>
          </w:tcPr>
          <w:p w14:paraId="4F8A63F9" w14:textId="77777777" w:rsidR="0063307A" w:rsidRPr="00D25A7C" w:rsidRDefault="0063307A" w:rsidP="00B73CE3">
            <w:pPr>
              <w:spacing w:before="40" w:after="40" w:line="288" w:lineRule="auto"/>
              <w:jc w:val="center"/>
              <w:rPr>
                <w:rFonts w:ascii="Arial" w:hAnsi="Arial" w:cs="Arial"/>
                <w:sz w:val="20"/>
                <w:szCs w:val="20"/>
                <w:lang w:val="en-US"/>
              </w:rPr>
            </w:pPr>
            <w:r w:rsidRPr="00D25A7C">
              <w:rPr>
                <w:rFonts w:ascii="Arial" w:hAnsi="Arial" w:cs="Arial"/>
                <w:sz w:val="20"/>
                <w:szCs w:val="20"/>
                <w:lang w:val="en"/>
              </w:rPr>
              <w:t xml:space="preserve">Growth rate </w:t>
            </w:r>
            <w:r w:rsidRPr="00D25A7C">
              <w:rPr>
                <w:rFonts w:ascii="Arial" w:hAnsi="Arial" w:cs="Arial"/>
                <w:sz w:val="20"/>
                <w:szCs w:val="20"/>
                <w:lang w:val="en-US"/>
              </w:rPr>
              <w:t>compare to</w:t>
            </w:r>
          </w:p>
          <w:p w14:paraId="0B2A2439" w14:textId="77777777" w:rsidR="0063307A" w:rsidRPr="00D25A7C" w:rsidRDefault="0063307A" w:rsidP="00B73CE3">
            <w:pPr>
              <w:spacing w:before="40" w:after="40" w:line="288" w:lineRule="auto"/>
              <w:jc w:val="center"/>
              <w:rPr>
                <w:rFonts w:ascii="Arial" w:hAnsi="Arial" w:cs="Arial"/>
                <w:sz w:val="20"/>
                <w:szCs w:val="20"/>
                <w:lang w:val="en"/>
              </w:rPr>
            </w:pPr>
            <w:r w:rsidRPr="00D25A7C">
              <w:rPr>
                <w:rFonts w:ascii="Arial" w:hAnsi="Arial" w:cs="Arial"/>
                <w:sz w:val="20"/>
                <w:szCs w:val="20"/>
                <w:lang w:val="en-US"/>
              </w:rPr>
              <w:t xml:space="preserve">the same period last year </w:t>
            </w:r>
            <w:r w:rsidRPr="00D25A7C">
              <w:rPr>
                <w:rFonts w:ascii="Arial" w:hAnsi="Arial" w:cs="Arial"/>
                <w:i/>
                <w:iCs/>
                <w:sz w:val="20"/>
                <w:szCs w:val="20"/>
                <w:lang w:val="en-US"/>
              </w:rPr>
              <w:t>(%)</w:t>
            </w:r>
          </w:p>
        </w:tc>
      </w:tr>
      <w:tr w:rsidR="0063307A" w:rsidRPr="00D25A7C" w14:paraId="190CC9DE" w14:textId="77777777" w:rsidTr="00B73CE3">
        <w:trPr>
          <w:trHeight w:val="426"/>
        </w:trPr>
        <w:tc>
          <w:tcPr>
            <w:tcW w:w="4892" w:type="dxa"/>
          </w:tcPr>
          <w:p w14:paraId="54EBEF48" w14:textId="77777777" w:rsidR="0063307A" w:rsidRPr="00D25A7C" w:rsidRDefault="0063307A" w:rsidP="00B73CE3">
            <w:pPr>
              <w:spacing w:before="40" w:after="40" w:line="288" w:lineRule="auto"/>
              <w:rPr>
                <w:rFonts w:ascii="Arial" w:hAnsi="Arial" w:cs="Arial"/>
                <w:b/>
                <w:bCs/>
                <w:color w:val="000000"/>
                <w:sz w:val="20"/>
                <w:szCs w:val="20"/>
                <w:lang w:val="en"/>
              </w:rPr>
            </w:pPr>
            <w:r w:rsidRPr="00D25A7C">
              <w:rPr>
                <w:rFonts w:ascii="Arial" w:hAnsi="Arial" w:cs="Arial"/>
                <w:b/>
                <w:bCs/>
                <w:sz w:val="20"/>
                <w:szCs w:val="20"/>
                <w:lang w:val="en"/>
              </w:rPr>
              <w:t xml:space="preserve">Items with a value of over </w:t>
            </w:r>
            <w:r>
              <w:rPr>
                <w:rFonts w:ascii="Arial" w:hAnsi="Arial" w:cs="Arial"/>
                <w:b/>
                <w:bCs/>
                <w:sz w:val="20"/>
                <w:szCs w:val="20"/>
                <w:lang w:val="en"/>
              </w:rPr>
              <w:t>10</w:t>
            </w:r>
            <w:r w:rsidRPr="00D25A7C">
              <w:rPr>
                <w:rFonts w:ascii="Arial" w:hAnsi="Arial" w:cs="Arial"/>
                <w:b/>
                <w:bCs/>
                <w:sz w:val="20"/>
                <w:szCs w:val="20"/>
                <w:lang w:val="en"/>
              </w:rPr>
              <w:t xml:space="preserve"> billion USD</w:t>
            </w:r>
          </w:p>
        </w:tc>
        <w:tc>
          <w:tcPr>
            <w:tcW w:w="1657" w:type="dxa"/>
            <w:tcBorders>
              <w:top w:val="single" w:sz="4" w:space="0" w:color="auto"/>
            </w:tcBorders>
          </w:tcPr>
          <w:p w14:paraId="7A4779FD" w14:textId="77777777" w:rsidR="0063307A" w:rsidRPr="00D25A7C" w:rsidRDefault="0063307A" w:rsidP="00B73CE3">
            <w:pPr>
              <w:tabs>
                <w:tab w:val="num" w:pos="0"/>
                <w:tab w:val="left" w:pos="9475"/>
              </w:tabs>
              <w:spacing w:before="40" w:after="40" w:line="288" w:lineRule="auto"/>
              <w:ind w:right="119"/>
              <w:jc w:val="right"/>
              <w:rPr>
                <w:rFonts w:ascii="Arial" w:hAnsi="Arial" w:cs="Arial"/>
                <w:b/>
                <w:bCs/>
                <w:i/>
                <w:iCs/>
                <w:sz w:val="20"/>
                <w:szCs w:val="20"/>
                <w:lang w:val="en"/>
              </w:rPr>
            </w:pPr>
          </w:p>
        </w:tc>
        <w:tc>
          <w:tcPr>
            <w:tcW w:w="3162" w:type="dxa"/>
            <w:tcBorders>
              <w:top w:val="single" w:sz="4" w:space="0" w:color="auto"/>
            </w:tcBorders>
          </w:tcPr>
          <w:p w14:paraId="231FE123" w14:textId="77777777" w:rsidR="0063307A" w:rsidRPr="00D25A7C" w:rsidRDefault="0063307A" w:rsidP="00B73CE3">
            <w:pPr>
              <w:tabs>
                <w:tab w:val="num" w:pos="0"/>
                <w:tab w:val="left" w:pos="9475"/>
              </w:tabs>
              <w:spacing w:before="40" w:after="40" w:line="288" w:lineRule="auto"/>
              <w:ind w:right="119"/>
              <w:jc w:val="right"/>
              <w:rPr>
                <w:rFonts w:ascii="Arial" w:hAnsi="Arial" w:cs="Arial"/>
                <w:b/>
                <w:bCs/>
                <w:i/>
                <w:iCs/>
                <w:sz w:val="20"/>
                <w:szCs w:val="20"/>
                <w:lang w:val="en"/>
              </w:rPr>
            </w:pPr>
          </w:p>
        </w:tc>
      </w:tr>
      <w:tr w:rsidR="0063307A" w:rsidRPr="00D25A7C" w14:paraId="7C778C10" w14:textId="77777777" w:rsidTr="00B73CE3">
        <w:trPr>
          <w:trHeight w:val="408"/>
        </w:trPr>
        <w:tc>
          <w:tcPr>
            <w:tcW w:w="4892" w:type="dxa"/>
            <w:vAlign w:val="center"/>
          </w:tcPr>
          <w:p w14:paraId="1AA90E6F" w14:textId="77777777" w:rsidR="0063307A" w:rsidRPr="00D25A7C" w:rsidRDefault="0063307A" w:rsidP="00B73CE3">
            <w:pPr>
              <w:spacing w:before="40" w:after="40" w:line="288" w:lineRule="auto"/>
              <w:ind w:firstLine="171"/>
              <w:rPr>
                <w:rFonts w:ascii="Arial" w:hAnsi="Arial" w:cs="Arial"/>
                <w:sz w:val="20"/>
                <w:szCs w:val="20"/>
                <w:lang w:val="en"/>
              </w:rPr>
            </w:pPr>
            <w:r w:rsidRPr="00D25A7C">
              <w:rPr>
                <w:rFonts w:ascii="Arial" w:hAnsi="Arial" w:cs="Arial"/>
                <w:sz w:val="20"/>
                <w:szCs w:val="20"/>
                <w:lang w:val="en"/>
              </w:rPr>
              <w:t>Electronic goods, computers and their parts</w:t>
            </w:r>
          </w:p>
        </w:tc>
        <w:tc>
          <w:tcPr>
            <w:tcW w:w="1657" w:type="dxa"/>
            <w:vAlign w:val="bottom"/>
          </w:tcPr>
          <w:p w14:paraId="629B886C" w14:textId="77777777" w:rsidR="0063307A" w:rsidRPr="00D25A7C" w:rsidRDefault="0063307A" w:rsidP="00B73CE3">
            <w:pPr>
              <w:spacing w:before="40" w:after="40" w:line="288" w:lineRule="auto"/>
              <w:ind w:right="317"/>
              <w:jc w:val="right"/>
              <w:rPr>
                <w:rFonts w:ascii="Arial" w:hAnsi="Arial" w:cs="Arial"/>
                <w:sz w:val="20"/>
                <w:szCs w:val="20"/>
                <w:lang w:val="en"/>
              </w:rPr>
            </w:pPr>
            <w:r w:rsidRPr="009E7CD4">
              <w:rPr>
                <w:rFonts w:ascii="Arial" w:hAnsi="Arial" w:cs="Arial"/>
                <w:sz w:val="20"/>
                <w:szCs w:val="20"/>
              </w:rPr>
              <w:t>58</w:t>
            </w:r>
            <w:r>
              <w:rPr>
                <w:rFonts w:ascii="Arial" w:hAnsi="Arial" w:cs="Arial"/>
                <w:sz w:val="20"/>
                <w:szCs w:val="20"/>
                <w:lang w:val="en-US"/>
              </w:rPr>
              <w:t>,</w:t>
            </w:r>
            <w:r w:rsidRPr="009E7CD4">
              <w:rPr>
                <w:rFonts w:ascii="Arial" w:hAnsi="Arial" w:cs="Arial"/>
                <w:sz w:val="20"/>
                <w:szCs w:val="20"/>
              </w:rPr>
              <w:t>666</w:t>
            </w:r>
          </w:p>
        </w:tc>
        <w:tc>
          <w:tcPr>
            <w:tcW w:w="3162" w:type="dxa"/>
            <w:vAlign w:val="bottom"/>
          </w:tcPr>
          <w:p w14:paraId="03CD77BF" w14:textId="77777777" w:rsidR="0063307A" w:rsidRPr="00D25A7C" w:rsidRDefault="0063307A" w:rsidP="00B73CE3">
            <w:pPr>
              <w:tabs>
                <w:tab w:val="left" w:pos="1735"/>
              </w:tabs>
              <w:spacing w:before="40" w:after="40" w:line="288" w:lineRule="auto"/>
              <w:ind w:right="1063"/>
              <w:jc w:val="right"/>
              <w:rPr>
                <w:rFonts w:ascii="Arial" w:hAnsi="Arial" w:cs="Arial"/>
                <w:sz w:val="20"/>
                <w:szCs w:val="20"/>
                <w:lang w:val="en"/>
              </w:rPr>
            </w:pPr>
            <w:r w:rsidRPr="009E7CD4">
              <w:rPr>
                <w:rFonts w:ascii="Arial" w:hAnsi="Arial" w:cs="Arial"/>
                <w:sz w:val="20"/>
                <w:szCs w:val="20"/>
              </w:rPr>
              <w:t>26</w:t>
            </w:r>
            <w:r>
              <w:rPr>
                <w:rFonts w:ascii="Arial" w:hAnsi="Arial" w:cs="Arial"/>
                <w:sz w:val="20"/>
                <w:szCs w:val="20"/>
              </w:rPr>
              <w:t>.</w:t>
            </w:r>
            <w:r w:rsidRPr="009E7CD4">
              <w:rPr>
                <w:rFonts w:ascii="Arial" w:hAnsi="Arial" w:cs="Arial"/>
                <w:sz w:val="20"/>
                <w:szCs w:val="20"/>
              </w:rPr>
              <w:t>1</w:t>
            </w:r>
          </w:p>
        </w:tc>
      </w:tr>
      <w:tr w:rsidR="0063307A" w:rsidRPr="00D25A7C" w14:paraId="779BAE0C" w14:textId="77777777" w:rsidTr="00B73CE3">
        <w:trPr>
          <w:trHeight w:val="426"/>
        </w:trPr>
        <w:tc>
          <w:tcPr>
            <w:tcW w:w="4892" w:type="dxa"/>
            <w:vAlign w:val="center"/>
          </w:tcPr>
          <w:p w14:paraId="11452C10" w14:textId="77777777" w:rsidR="0063307A" w:rsidRPr="00D25A7C" w:rsidRDefault="0063307A" w:rsidP="00B73CE3">
            <w:pPr>
              <w:spacing w:before="40" w:after="40" w:line="288" w:lineRule="auto"/>
              <w:ind w:firstLine="171"/>
              <w:rPr>
                <w:rFonts w:ascii="Arial" w:hAnsi="Arial" w:cs="Arial"/>
                <w:sz w:val="20"/>
                <w:szCs w:val="20"/>
                <w:lang w:val="en"/>
              </w:rPr>
            </w:pPr>
            <w:r w:rsidRPr="00D25A7C">
              <w:rPr>
                <w:rFonts w:ascii="Arial" w:hAnsi="Arial" w:cs="Arial"/>
                <w:sz w:val="20"/>
                <w:szCs w:val="20"/>
                <w:lang w:val="en"/>
              </w:rPr>
              <w:t xml:space="preserve">Phones all of kinds and their parts </w:t>
            </w:r>
          </w:p>
        </w:tc>
        <w:tc>
          <w:tcPr>
            <w:tcW w:w="1657" w:type="dxa"/>
            <w:vAlign w:val="bottom"/>
          </w:tcPr>
          <w:p w14:paraId="25B82B2B" w14:textId="77777777" w:rsidR="0063307A" w:rsidRPr="00D25A7C" w:rsidRDefault="0063307A" w:rsidP="00B73CE3">
            <w:pPr>
              <w:spacing w:before="40" w:after="40" w:line="288" w:lineRule="auto"/>
              <w:ind w:right="317"/>
              <w:jc w:val="right"/>
              <w:rPr>
                <w:rFonts w:ascii="Arial" w:hAnsi="Arial" w:cs="Arial"/>
                <w:sz w:val="20"/>
                <w:szCs w:val="20"/>
                <w:lang w:val="en"/>
              </w:rPr>
            </w:pPr>
            <w:r w:rsidRPr="009E7CD4">
              <w:rPr>
                <w:rFonts w:ascii="Arial" w:hAnsi="Arial" w:cs="Arial"/>
                <w:sz w:val="20"/>
                <w:szCs w:val="20"/>
              </w:rPr>
              <w:t>46</w:t>
            </w:r>
            <w:r>
              <w:rPr>
                <w:rFonts w:ascii="Arial" w:hAnsi="Arial" w:cs="Arial"/>
                <w:sz w:val="20"/>
                <w:szCs w:val="20"/>
                <w:lang w:val="en-US"/>
              </w:rPr>
              <w:t>,</w:t>
            </w:r>
            <w:r w:rsidRPr="009E7CD4">
              <w:rPr>
                <w:rFonts w:ascii="Arial" w:hAnsi="Arial" w:cs="Arial"/>
                <w:sz w:val="20"/>
                <w:szCs w:val="20"/>
              </w:rPr>
              <w:t>467</w:t>
            </w:r>
          </w:p>
        </w:tc>
        <w:tc>
          <w:tcPr>
            <w:tcW w:w="3162" w:type="dxa"/>
            <w:vAlign w:val="bottom"/>
          </w:tcPr>
          <w:p w14:paraId="255CE3CB" w14:textId="77777777" w:rsidR="0063307A" w:rsidRPr="00D25A7C" w:rsidRDefault="0063307A" w:rsidP="00B73CE3">
            <w:pPr>
              <w:tabs>
                <w:tab w:val="left" w:pos="1735"/>
              </w:tabs>
              <w:spacing w:before="40" w:after="40" w:line="288" w:lineRule="auto"/>
              <w:ind w:right="1063"/>
              <w:jc w:val="right"/>
              <w:rPr>
                <w:rFonts w:ascii="Arial" w:hAnsi="Arial" w:cs="Arial"/>
                <w:sz w:val="20"/>
                <w:szCs w:val="20"/>
                <w:lang w:val="en"/>
              </w:rPr>
            </w:pPr>
            <w:r w:rsidRPr="009E7CD4">
              <w:rPr>
                <w:rFonts w:ascii="Arial" w:hAnsi="Arial" w:cs="Arial"/>
                <w:sz w:val="20"/>
                <w:szCs w:val="20"/>
              </w:rPr>
              <w:t>4</w:t>
            </w:r>
            <w:r>
              <w:rPr>
                <w:rFonts w:ascii="Arial" w:hAnsi="Arial" w:cs="Arial"/>
                <w:sz w:val="20"/>
                <w:szCs w:val="20"/>
              </w:rPr>
              <w:t>.</w:t>
            </w:r>
            <w:r w:rsidRPr="009E7CD4">
              <w:rPr>
                <w:rFonts w:ascii="Arial" w:hAnsi="Arial" w:cs="Arial"/>
                <w:sz w:val="20"/>
                <w:szCs w:val="20"/>
              </w:rPr>
              <w:t>9</w:t>
            </w:r>
          </w:p>
        </w:tc>
      </w:tr>
      <w:tr w:rsidR="0063307A" w:rsidRPr="00D25A7C" w14:paraId="57366993" w14:textId="77777777" w:rsidTr="00B73CE3">
        <w:trPr>
          <w:trHeight w:val="408"/>
        </w:trPr>
        <w:tc>
          <w:tcPr>
            <w:tcW w:w="4892" w:type="dxa"/>
            <w:tcBorders>
              <w:bottom w:val="nil"/>
            </w:tcBorders>
            <w:vAlign w:val="center"/>
          </w:tcPr>
          <w:p w14:paraId="2A70F141" w14:textId="77777777" w:rsidR="0063307A" w:rsidRPr="00D25A7C" w:rsidRDefault="0063307A" w:rsidP="00B73CE3">
            <w:pPr>
              <w:spacing w:before="40" w:after="40" w:line="288" w:lineRule="auto"/>
              <w:ind w:firstLine="171"/>
              <w:rPr>
                <w:rFonts w:ascii="Arial" w:hAnsi="Arial" w:cs="Arial"/>
                <w:sz w:val="20"/>
                <w:szCs w:val="20"/>
                <w:lang w:val="en"/>
              </w:rPr>
            </w:pPr>
            <w:r w:rsidRPr="00D25A7C">
              <w:rPr>
                <w:rFonts w:ascii="Arial" w:hAnsi="Arial" w:cs="Arial"/>
                <w:sz w:val="20"/>
                <w:szCs w:val="20"/>
                <w:lang w:val="en"/>
              </w:rPr>
              <w:t>Machinery, instrument, accessory</w:t>
            </w:r>
          </w:p>
        </w:tc>
        <w:tc>
          <w:tcPr>
            <w:tcW w:w="1657" w:type="dxa"/>
            <w:tcBorders>
              <w:bottom w:val="nil"/>
            </w:tcBorders>
            <w:vAlign w:val="bottom"/>
          </w:tcPr>
          <w:p w14:paraId="49E41DDC" w14:textId="77777777" w:rsidR="0063307A" w:rsidRPr="00D25A7C" w:rsidRDefault="0063307A" w:rsidP="00B73CE3">
            <w:pPr>
              <w:spacing w:before="40" w:after="40" w:line="288" w:lineRule="auto"/>
              <w:ind w:right="320" w:firstLine="171"/>
              <w:jc w:val="right"/>
              <w:rPr>
                <w:rFonts w:ascii="Arial" w:hAnsi="Arial" w:cs="Arial"/>
                <w:sz w:val="20"/>
                <w:szCs w:val="20"/>
                <w:lang w:val="en"/>
              </w:rPr>
            </w:pPr>
            <w:r w:rsidRPr="009E7CD4">
              <w:rPr>
                <w:rFonts w:ascii="Arial" w:hAnsi="Arial" w:cs="Arial"/>
                <w:sz w:val="20"/>
                <w:szCs w:val="20"/>
              </w:rPr>
              <w:t>43</w:t>
            </w:r>
            <w:r>
              <w:rPr>
                <w:rFonts w:ascii="Arial" w:hAnsi="Arial" w:cs="Arial"/>
                <w:sz w:val="20"/>
                <w:szCs w:val="20"/>
                <w:lang w:val="en-US"/>
              </w:rPr>
              <w:t>,</w:t>
            </w:r>
            <w:r w:rsidRPr="009E7CD4">
              <w:rPr>
                <w:rFonts w:ascii="Arial" w:hAnsi="Arial" w:cs="Arial"/>
                <w:sz w:val="20"/>
                <w:szCs w:val="20"/>
              </w:rPr>
              <w:t>049</w:t>
            </w:r>
          </w:p>
        </w:tc>
        <w:tc>
          <w:tcPr>
            <w:tcW w:w="3162" w:type="dxa"/>
            <w:tcBorders>
              <w:bottom w:val="nil"/>
            </w:tcBorders>
            <w:vAlign w:val="bottom"/>
          </w:tcPr>
          <w:p w14:paraId="4F5A5331" w14:textId="77777777" w:rsidR="0063307A" w:rsidRPr="00D25A7C" w:rsidRDefault="0063307A" w:rsidP="00B73CE3">
            <w:pPr>
              <w:tabs>
                <w:tab w:val="left" w:pos="1735"/>
              </w:tabs>
              <w:spacing w:before="40" w:after="40" w:line="288" w:lineRule="auto"/>
              <w:ind w:right="1063"/>
              <w:jc w:val="right"/>
              <w:rPr>
                <w:rFonts w:ascii="Arial" w:hAnsi="Arial" w:cs="Arial"/>
                <w:sz w:val="20"/>
                <w:szCs w:val="20"/>
                <w:lang w:val="en"/>
              </w:rPr>
            </w:pPr>
            <w:r w:rsidRPr="009E7CD4">
              <w:rPr>
                <w:rFonts w:ascii="Arial" w:hAnsi="Arial" w:cs="Arial"/>
                <w:sz w:val="20"/>
                <w:szCs w:val="20"/>
              </w:rPr>
              <w:t>21</w:t>
            </w:r>
            <w:r>
              <w:rPr>
                <w:rFonts w:ascii="Arial" w:hAnsi="Arial" w:cs="Arial"/>
                <w:sz w:val="20"/>
                <w:szCs w:val="20"/>
              </w:rPr>
              <w:t>.</w:t>
            </w:r>
            <w:r w:rsidRPr="009E7CD4">
              <w:rPr>
                <w:rFonts w:ascii="Arial" w:hAnsi="Arial" w:cs="Arial"/>
                <w:sz w:val="20"/>
                <w:szCs w:val="20"/>
              </w:rPr>
              <w:t>5</w:t>
            </w:r>
          </w:p>
        </w:tc>
      </w:tr>
      <w:tr w:rsidR="0063307A" w:rsidRPr="00D25A7C" w14:paraId="51DAC9FB" w14:textId="77777777" w:rsidTr="00B73CE3">
        <w:trPr>
          <w:trHeight w:val="408"/>
        </w:trPr>
        <w:tc>
          <w:tcPr>
            <w:tcW w:w="4892" w:type="dxa"/>
            <w:tcBorders>
              <w:top w:val="nil"/>
              <w:bottom w:val="nil"/>
            </w:tcBorders>
            <w:vAlign w:val="center"/>
          </w:tcPr>
          <w:p w14:paraId="5D7D0005" w14:textId="77777777" w:rsidR="0063307A" w:rsidRPr="00D25A7C" w:rsidRDefault="0063307A" w:rsidP="00B73CE3">
            <w:pPr>
              <w:spacing w:before="40" w:after="40" w:line="288" w:lineRule="auto"/>
              <w:ind w:firstLine="171"/>
              <w:rPr>
                <w:rFonts w:ascii="Arial" w:hAnsi="Arial" w:cs="Arial"/>
                <w:sz w:val="20"/>
                <w:szCs w:val="20"/>
                <w:lang w:val="en"/>
              </w:rPr>
            </w:pPr>
            <w:r w:rsidRPr="00D25A7C">
              <w:rPr>
                <w:rFonts w:ascii="Arial" w:hAnsi="Arial" w:cs="Arial"/>
                <w:sz w:val="20"/>
                <w:szCs w:val="20"/>
                <w:lang w:val="en"/>
              </w:rPr>
              <w:t>Textiles and garments</w:t>
            </w:r>
          </w:p>
        </w:tc>
        <w:tc>
          <w:tcPr>
            <w:tcW w:w="1657" w:type="dxa"/>
            <w:tcBorders>
              <w:top w:val="nil"/>
              <w:bottom w:val="nil"/>
            </w:tcBorders>
            <w:vAlign w:val="bottom"/>
          </w:tcPr>
          <w:p w14:paraId="1F76B4EE" w14:textId="77777777" w:rsidR="0063307A" w:rsidRPr="00D25A7C" w:rsidRDefault="0063307A" w:rsidP="00B73CE3">
            <w:pPr>
              <w:spacing w:before="40" w:after="40" w:line="288" w:lineRule="auto"/>
              <w:ind w:right="317"/>
              <w:jc w:val="right"/>
              <w:rPr>
                <w:rFonts w:ascii="Arial" w:hAnsi="Arial" w:cs="Arial"/>
                <w:sz w:val="20"/>
                <w:szCs w:val="20"/>
                <w:lang w:val="en"/>
              </w:rPr>
            </w:pPr>
            <w:r w:rsidRPr="009E7CD4">
              <w:rPr>
                <w:rFonts w:ascii="Arial" w:hAnsi="Arial" w:cs="Arial"/>
                <w:sz w:val="20"/>
                <w:szCs w:val="20"/>
              </w:rPr>
              <w:t>30</w:t>
            </w:r>
            <w:r>
              <w:rPr>
                <w:rFonts w:ascii="Arial" w:hAnsi="Arial" w:cs="Arial"/>
                <w:sz w:val="20"/>
                <w:szCs w:val="20"/>
                <w:lang w:val="en-US"/>
              </w:rPr>
              <w:t>,</w:t>
            </w:r>
            <w:r w:rsidRPr="009E7CD4">
              <w:rPr>
                <w:rFonts w:ascii="Arial" w:hAnsi="Arial" w:cs="Arial"/>
                <w:sz w:val="20"/>
                <w:szCs w:val="20"/>
              </w:rPr>
              <w:t>572</w:t>
            </w:r>
          </w:p>
        </w:tc>
        <w:tc>
          <w:tcPr>
            <w:tcW w:w="3162" w:type="dxa"/>
            <w:tcBorders>
              <w:top w:val="nil"/>
              <w:bottom w:val="nil"/>
            </w:tcBorders>
            <w:vAlign w:val="bottom"/>
          </w:tcPr>
          <w:p w14:paraId="2807E4A1" w14:textId="77777777" w:rsidR="0063307A" w:rsidRPr="00D25A7C" w:rsidRDefault="0063307A" w:rsidP="00B73CE3">
            <w:pPr>
              <w:tabs>
                <w:tab w:val="left" w:pos="1735"/>
              </w:tabs>
              <w:spacing w:before="40" w:after="40" w:line="288" w:lineRule="auto"/>
              <w:ind w:right="1063"/>
              <w:jc w:val="right"/>
              <w:rPr>
                <w:rFonts w:ascii="Arial" w:hAnsi="Arial" w:cs="Arial"/>
                <w:sz w:val="20"/>
                <w:szCs w:val="20"/>
                <w:lang w:val="en"/>
              </w:rPr>
            </w:pPr>
            <w:r w:rsidRPr="009E7CD4">
              <w:rPr>
                <w:rFonts w:ascii="Arial" w:hAnsi="Arial" w:cs="Arial"/>
                <w:sz w:val="20"/>
                <w:szCs w:val="20"/>
              </w:rPr>
              <w:t>10</w:t>
            </w:r>
            <w:r>
              <w:rPr>
                <w:rFonts w:ascii="Arial" w:hAnsi="Arial" w:cs="Arial"/>
                <w:sz w:val="20"/>
                <w:szCs w:val="20"/>
              </w:rPr>
              <w:t>.</w:t>
            </w:r>
            <w:r w:rsidRPr="009E7CD4">
              <w:rPr>
                <w:rFonts w:ascii="Arial" w:hAnsi="Arial" w:cs="Arial"/>
                <w:sz w:val="20"/>
                <w:szCs w:val="20"/>
              </w:rPr>
              <w:t>5</w:t>
            </w:r>
          </w:p>
        </w:tc>
      </w:tr>
      <w:tr w:rsidR="0063307A" w:rsidRPr="00D25A7C" w14:paraId="5109C1E0" w14:textId="77777777" w:rsidTr="00B73CE3">
        <w:trPr>
          <w:trHeight w:val="408"/>
        </w:trPr>
        <w:tc>
          <w:tcPr>
            <w:tcW w:w="4892" w:type="dxa"/>
            <w:tcBorders>
              <w:top w:val="nil"/>
              <w:bottom w:val="nil"/>
            </w:tcBorders>
            <w:vAlign w:val="center"/>
          </w:tcPr>
          <w:p w14:paraId="518385B0" w14:textId="77777777" w:rsidR="0063307A" w:rsidRPr="00D25A7C" w:rsidRDefault="0063307A" w:rsidP="00B73CE3">
            <w:pPr>
              <w:spacing w:before="40" w:after="40" w:line="288" w:lineRule="auto"/>
              <w:ind w:firstLine="171"/>
              <w:rPr>
                <w:rFonts w:ascii="Arial" w:hAnsi="Arial" w:cs="Arial"/>
                <w:sz w:val="20"/>
                <w:szCs w:val="20"/>
                <w:lang w:val="en"/>
              </w:rPr>
            </w:pPr>
            <w:r w:rsidRPr="00D25A7C">
              <w:rPr>
                <w:rFonts w:ascii="Arial" w:hAnsi="Arial" w:cs="Arial"/>
                <w:sz w:val="20"/>
                <w:szCs w:val="20"/>
                <w:lang w:val="en"/>
              </w:rPr>
              <w:t>Footwear</w:t>
            </w:r>
          </w:p>
        </w:tc>
        <w:tc>
          <w:tcPr>
            <w:tcW w:w="1657" w:type="dxa"/>
            <w:tcBorders>
              <w:top w:val="nil"/>
              <w:bottom w:val="nil"/>
            </w:tcBorders>
            <w:vAlign w:val="bottom"/>
          </w:tcPr>
          <w:p w14:paraId="3DAC932B" w14:textId="77777777" w:rsidR="0063307A" w:rsidRPr="00D25A7C" w:rsidRDefault="0063307A" w:rsidP="00B73CE3">
            <w:pPr>
              <w:spacing w:before="40" w:after="40" w:line="288" w:lineRule="auto"/>
              <w:ind w:right="317"/>
              <w:jc w:val="right"/>
              <w:rPr>
                <w:rFonts w:ascii="Arial" w:hAnsi="Arial" w:cs="Arial"/>
                <w:sz w:val="20"/>
                <w:szCs w:val="20"/>
                <w:lang w:val="en"/>
              </w:rPr>
            </w:pPr>
            <w:r w:rsidRPr="009E7CD4">
              <w:rPr>
                <w:rFonts w:ascii="Arial" w:hAnsi="Arial" w:cs="Arial"/>
                <w:sz w:val="20"/>
                <w:szCs w:val="20"/>
              </w:rPr>
              <w:t>18</w:t>
            </w:r>
            <w:r>
              <w:rPr>
                <w:rFonts w:ascii="Arial" w:hAnsi="Arial" w:cs="Arial"/>
                <w:sz w:val="20"/>
                <w:szCs w:val="20"/>
                <w:lang w:val="en-US"/>
              </w:rPr>
              <w:t>,</w:t>
            </w:r>
            <w:r w:rsidRPr="009E7CD4">
              <w:rPr>
                <w:rFonts w:ascii="Arial" w:hAnsi="Arial" w:cs="Arial"/>
                <w:sz w:val="20"/>
                <w:szCs w:val="20"/>
              </w:rPr>
              <w:t>574</w:t>
            </w:r>
          </w:p>
        </w:tc>
        <w:tc>
          <w:tcPr>
            <w:tcW w:w="3162" w:type="dxa"/>
            <w:tcBorders>
              <w:top w:val="nil"/>
              <w:bottom w:val="nil"/>
            </w:tcBorders>
            <w:vAlign w:val="bottom"/>
          </w:tcPr>
          <w:p w14:paraId="2096B77C" w14:textId="77777777" w:rsidR="0063307A" w:rsidRPr="00D25A7C" w:rsidRDefault="0063307A" w:rsidP="00B73CE3">
            <w:pPr>
              <w:tabs>
                <w:tab w:val="left" w:pos="1735"/>
              </w:tabs>
              <w:spacing w:before="40" w:after="40" w:line="288" w:lineRule="auto"/>
              <w:ind w:right="1063"/>
              <w:jc w:val="right"/>
              <w:rPr>
                <w:rFonts w:ascii="Arial" w:hAnsi="Arial" w:cs="Arial"/>
                <w:sz w:val="20"/>
                <w:szCs w:val="20"/>
                <w:lang w:val="en"/>
              </w:rPr>
            </w:pPr>
            <w:r w:rsidRPr="009E7CD4">
              <w:rPr>
                <w:rFonts w:ascii="Arial" w:hAnsi="Arial" w:cs="Arial"/>
                <w:sz w:val="20"/>
                <w:szCs w:val="20"/>
              </w:rPr>
              <w:t>12</w:t>
            </w:r>
            <w:r>
              <w:rPr>
                <w:rFonts w:ascii="Arial" w:hAnsi="Arial" w:cs="Arial"/>
                <w:sz w:val="20"/>
                <w:szCs w:val="20"/>
              </w:rPr>
              <w:t>.</w:t>
            </w:r>
            <w:r w:rsidRPr="009E7CD4">
              <w:rPr>
                <w:rFonts w:ascii="Arial" w:hAnsi="Arial" w:cs="Arial"/>
                <w:sz w:val="20"/>
                <w:szCs w:val="20"/>
              </w:rPr>
              <w:t>9</w:t>
            </w:r>
          </w:p>
        </w:tc>
      </w:tr>
      <w:tr w:rsidR="0063307A" w:rsidRPr="00D25A7C" w14:paraId="68E836D9" w14:textId="77777777" w:rsidTr="00B73CE3">
        <w:trPr>
          <w:trHeight w:val="408"/>
        </w:trPr>
        <w:tc>
          <w:tcPr>
            <w:tcW w:w="4892" w:type="dxa"/>
            <w:tcBorders>
              <w:top w:val="nil"/>
              <w:bottom w:val="nil"/>
            </w:tcBorders>
            <w:vAlign w:val="center"/>
          </w:tcPr>
          <w:p w14:paraId="7E5F8031" w14:textId="77777777" w:rsidR="0063307A" w:rsidRPr="00D25A7C" w:rsidRDefault="0063307A" w:rsidP="00B73CE3">
            <w:pPr>
              <w:spacing w:before="40" w:after="40" w:line="288" w:lineRule="auto"/>
              <w:ind w:firstLine="171"/>
              <w:rPr>
                <w:rFonts w:ascii="Arial" w:hAnsi="Arial" w:cs="Arial"/>
                <w:sz w:val="20"/>
                <w:szCs w:val="20"/>
                <w:lang w:val="en"/>
              </w:rPr>
            </w:pPr>
            <w:r w:rsidRPr="00D25A7C">
              <w:rPr>
                <w:rFonts w:ascii="Arial" w:hAnsi="Arial" w:cs="Arial"/>
                <w:sz w:val="20"/>
                <w:szCs w:val="20"/>
                <w:lang w:val="en"/>
              </w:rPr>
              <w:t>Wood and products</w:t>
            </w:r>
          </w:p>
        </w:tc>
        <w:tc>
          <w:tcPr>
            <w:tcW w:w="1657" w:type="dxa"/>
            <w:tcBorders>
              <w:top w:val="nil"/>
              <w:bottom w:val="nil"/>
            </w:tcBorders>
            <w:vAlign w:val="bottom"/>
          </w:tcPr>
          <w:p w14:paraId="30C5E57E" w14:textId="77777777" w:rsidR="0063307A" w:rsidRPr="00D25A7C" w:rsidRDefault="0063307A" w:rsidP="00B73CE3">
            <w:pPr>
              <w:spacing w:before="40" w:after="40" w:line="288" w:lineRule="auto"/>
              <w:ind w:right="317"/>
              <w:jc w:val="right"/>
              <w:rPr>
                <w:rFonts w:ascii="Arial" w:hAnsi="Arial" w:cs="Arial"/>
                <w:sz w:val="20"/>
                <w:szCs w:val="20"/>
                <w:lang w:val="en"/>
              </w:rPr>
            </w:pPr>
            <w:r w:rsidRPr="009E7CD4">
              <w:rPr>
                <w:rFonts w:ascii="Arial" w:hAnsi="Arial" w:cs="Arial"/>
                <w:sz w:val="20"/>
                <w:szCs w:val="20"/>
              </w:rPr>
              <w:t>13</w:t>
            </w:r>
            <w:r>
              <w:rPr>
                <w:rFonts w:ascii="Arial" w:hAnsi="Arial" w:cs="Arial"/>
                <w:sz w:val="20"/>
                <w:szCs w:val="20"/>
                <w:lang w:val="en-US"/>
              </w:rPr>
              <w:t>,</w:t>
            </w:r>
            <w:r w:rsidRPr="009E7CD4">
              <w:rPr>
                <w:rFonts w:ascii="Arial" w:hAnsi="Arial" w:cs="Arial"/>
                <w:sz w:val="20"/>
                <w:szCs w:val="20"/>
              </w:rPr>
              <w:t>219</w:t>
            </w:r>
          </w:p>
        </w:tc>
        <w:tc>
          <w:tcPr>
            <w:tcW w:w="3162" w:type="dxa"/>
            <w:tcBorders>
              <w:top w:val="nil"/>
              <w:bottom w:val="nil"/>
            </w:tcBorders>
            <w:vAlign w:val="bottom"/>
          </w:tcPr>
          <w:p w14:paraId="3301D8D5" w14:textId="77777777" w:rsidR="0063307A" w:rsidRPr="00D25A7C" w:rsidRDefault="0063307A" w:rsidP="00B73CE3">
            <w:pPr>
              <w:tabs>
                <w:tab w:val="left" w:pos="1735"/>
              </w:tabs>
              <w:spacing w:before="40" w:after="40" w:line="288" w:lineRule="auto"/>
              <w:ind w:right="1063"/>
              <w:jc w:val="right"/>
              <w:rPr>
                <w:rFonts w:ascii="Arial" w:hAnsi="Arial" w:cs="Arial"/>
                <w:sz w:val="20"/>
                <w:szCs w:val="20"/>
                <w:lang w:val="en"/>
              </w:rPr>
            </w:pPr>
            <w:r w:rsidRPr="009E7CD4">
              <w:rPr>
                <w:rFonts w:ascii="Arial" w:hAnsi="Arial" w:cs="Arial"/>
                <w:sz w:val="20"/>
                <w:szCs w:val="20"/>
              </w:rPr>
              <w:t>21</w:t>
            </w:r>
            <w:r>
              <w:rPr>
                <w:rFonts w:ascii="Arial" w:hAnsi="Arial" w:cs="Arial"/>
                <w:sz w:val="20"/>
                <w:szCs w:val="20"/>
              </w:rPr>
              <w:t>.</w:t>
            </w:r>
            <w:r w:rsidRPr="009E7CD4">
              <w:rPr>
                <w:rFonts w:ascii="Arial" w:hAnsi="Arial" w:cs="Arial"/>
                <w:sz w:val="20"/>
                <w:szCs w:val="20"/>
              </w:rPr>
              <w:t>2</w:t>
            </w:r>
          </w:p>
        </w:tc>
      </w:tr>
      <w:tr w:rsidR="0063307A" w:rsidRPr="00D25A7C" w14:paraId="06284F0E" w14:textId="77777777" w:rsidTr="00B73CE3">
        <w:trPr>
          <w:trHeight w:val="408"/>
        </w:trPr>
        <w:tc>
          <w:tcPr>
            <w:tcW w:w="4892" w:type="dxa"/>
            <w:tcBorders>
              <w:top w:val="nil"/>
              <w:bottom w:val="single" w:sz="4" w:space="0" w:color="auto"/>
            </w:tcBorders>
            <w:vAlign w:val="center"/>
          </w:tcPr>
          <w:p w14:paraId="2F8D0A02" w14:textId="77777777" w:rsidR="0063307A" w:rsidRPr="00D25A7C" w:rsidRDefault="0063307A" w:rsidP="00B73CE3">
            <w:pPr>
              <w:spacing w:before="40" w:after="40" w:line="288" w:lineRule="auto"/>
              <w:ind w:firstLine="171"/>
              <w:rPr>
                <w:rFonts w:ascii="Arial" w:hAnsi="Arial" w:cs="Arial"/>
                <w:sz w:val="20"/>
                <w:szCs w:val="20"/>
                <w:lang w:val="en"/>
              </w:rPr>
            </w:pPr>
            <w:r w:rsidRPr="00334A03">
              <w:rPr>
                <w:rFonts w:ascii="Arial" w:hAnsi="Arial" w:cs="Arial"/>
                <w:sz w:val="20"/>
                <w:szCs w:val="20"/>
                <w:lang w:val="en"/>
              </w:rPr>
              <w:t>Means of transport and components</w:t>
            </w:r>
          </w:p>
        </w:tc>
        <w:tc>
          <w:tcPr>
            <w:tcW w:w="1657" w:type="dxa"/>
            <w:tcBorders>
              <w:top w:val="nil"/>
              <w:bottom w:val="single" w:sz="4" w:space="0" w:color="auto"/>
            </w:tcBorders>
            <w:vAlign w:val="bottom"/>
          </w:tcPr>
          <w:p w14:paraId="50C5CD23" w14:textId="77777777" w:rsidR="0063307A" w:rsidRPr="00AF38A3" w:rsidRDefault="0063307A" w:rsidP="00B73CE3">
            <w:pPr>
              <w:spacing w:before="40" w:after="40" w:line="288" w:lineRule="auto"/>
              <w:ind w:right="317"/>
              <w:jc w:val="right"/>
              <w:rPr>
                <w:rFonts w:ascii="Arial" w:hAnsi="Arial" w:cs="Arial"/>
                <w:sz w:val="20"/>
                <w:szCs w:val="20"/>
              </w:rPr>
            </w:pPr>
            <w:r w:rsidRPr="009E7CD4">
              <w:rPr>
                <w:rFonts w:ascii="Arial" w:hAnsi="Arial" w:cs="Arial"/>
                <w:sz w:val="20"/>
                <w:szCs w:val="20"/>
              </w:rPr>
              <w:t>12</w:t>
            </w:r>
            <w:r>
              <w:rPr>
                <w:rFonts w:ascii="Arial" w:hAnsi="Arial" w:cs="Arial"/>
                <w:sz w:val="20"/>
                <w:szCs w:val="20"/>
                <w:lang w:val="en-US"/>
              </w:rPr>
              <w:t>,</w:t>
            </w:r>
            <w:r w:rsidRPr="009E7CD4">
              <w:rPr>
                <w:rFonts w:ascii="Arial" w:hAnsi="Arial" w:cs="Arial"/>
                <w:sz w:val="20"/>
                <w:szCs w:val="20"/>
              </w:rPr>
              <w:t>517</w:t>
            </w:r>
          </w:p>
        </w:tc>
        <w:tc>
          <w:tcPr>
            <w:tcW w:w="3162" w:type="dxa"/>
            <w:tcBorders>
              <w:top w:val="nil"/>
              <w:bottom w:val="single" w:sz="4" w:space="0" w:color="auto"/>
            </w:tcBorders>
            <w:vAlign w:val="bottom"/>
          </w:tcPr>
          <w:p w14:paraId="4F5B8C75" w14:textId="77777777" w:rsidR="0063307A" w:rsidRPr="00AF38A3" w:rsidRDefault="0063307A" w:rsidP="00B73CE3">
            <w:pPr>
              <w:tabs>
                <w:tab w:val="left" w:pos="1735"/>
              </w:tabs>
              <w:spacing w:before="40" w:after="40" w:line="288" w:lineRule="auto"/>
              <w:ind w:right="1063"/>
              <w:jc w:val="right"/>
              <w:rPr>
                <w:rFonts w:ascii="Arial" w:hAnsi="Arial" w:cs="Arial"/>
                <w:sz w:val="20"/>
                <w:szCs w:val="20"/>
              </w:rPr>
            </w:pPr>
            <w:r w:rsidRPr="009E7CD4">
              <w:rPr>
                <w:rFonts w:ascii="Arial" w:hAnsi="Arial" w:cs="Arial"/>
                <w:sz w:val="20"/>
                <w:szCs w:val="20"/>
              </w:rPr>
              <w:t>5</w:t>
            </w:r>
            <w:r>
              <w:rPr>
                <w:rFonts w:ascii="Arial" w:hAnsi="Arial" w:cs="Arial"/>
                <w:sz w:val="20"/>
                <w:szCs w:val="20"/>
              </w:rPr>
              <w:t>.</w:t>
            </w:r>
            <w:r w:rsidRPr="009E7CD4">
              <w:rPr>
                <w:rFonts w:ascii="Arial" w:hAnsi="Arial" w:cs="Arial"/>
                <w:sz w:val="20"/>
                <w:szCs w:val="20"/>
              </w:rPr>
              <w:t>9</w:t>
            </w:r>
          </w:p>
        </w:tc>
      </w:tr>
    </w:tbl>
    <w:p w14:paraId="536D8ACD" w14:textId="77777777" w:rsidR="0063307A" w:rsidRPr="00D25A7C" w:rsidRDefault="0063307A" w:rsidP="0063307A">
      <w:pPr>
        <w:tabs>
          <w:tab w:val="num" w:pos="0"/>
          <w:tab w:val="left" w:pos="9475"/>
        </w:tabs>
        <w:spacing w:beforeLines="40" w:before="96" w:afterLines="40" w:after="96" w:line="264" w:lineRule="auto"/>
        <w:ind w:right="119" w:firstLine="567"/>
        <w:jc w:val="right"/>
        <w:rPr>
          <w:rFonts w:ascii="Arial" w:hAnsi="Arial" w:cs="Arial"/>
          <w:b/>
          <w:bCs/>
          <w:i/>
          <w:iCs/>
          <w:sz w:val="2"/>
          <w:szCs w:val="20"/>
          <w:lang w:val="es-NI"/>
        </w:rPr>
      </w:pPr>
    </w:p>
    <w:p w14:paraId="2C72B596" w14:textId="77777777" w:rsidR="0063307A" w:rsidRPr="00D25A7C" w:rsidRDefault="0063307A" w:rsidP="0063307A">
      <w:pPr>
        <w:spacing w:beforeLines="40" w:before="96" w:afterLines="40" w:after="96" w:line="264" w:lineRule="auto"/>
        <w:jc w:val="both"/>
        <w:rPr>
          <w:rFonts w:eastAsia="Batang"/>
          <w:bCs/>
          <w:iCs/>
        </w:rPr>
      </w:pPr>
      <w:r w:rsidRPr="00D25A7C">
        <w:rPr>
          <w:noProof/>
        </w:rPr>
        <mc:AlternateContent>
          <mc:Choice Requires="wps">
            <w:drawing>
              <wp:anchor distT="0" distB="0" distL="114300" distR="114300" simplePos="0" relativeHeight="251663360" behindDoc="0" locked="0" layoutInCell="1" allowOverlap="1" wp14:anchorId="4E11F9AA" wp14:editId="22A3C24E">
                <wp:simplePos x="0" y="0"/>
                <wp:positionH relativeFrom="column">
                  <wp:posOffset>24765</wp:posOffset>
                </wp:positionH>
                <wp:positionV relativeFrom="paragraph">
                  <wp:posOffset>64135</wp:posOffset>
                </wp:positionV>
                <wp:extent cx="3476625" cy="2190750"/>
                <wp:effectExtent l="0" t="0" r="9525" b="0"/>
                <wp:wrapSquare wrapText="bothSides"/>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190750"/>
                        </a:xfrm>
                        <a:prstGeom prst="rect">
                          <a:avLst/>
                        </a:prstGeom>
                        <a:solidFill>
                          <a:srgbClr val="FFFFFF"/>
                        </a:solidFill>
                        <a:ln w="9525">
                          <a:noFill/>
                          <a:miter lim="800000"/>
                          <a:headEnd/>
                          <a:tailEnd/>
                        </a:ln>
                      </wps:spPr>
                      <wps:txbx>
                        <w:txbxContent>
                          <w:p w14:paraId="0EBF88A4" w14:textId="77777777" w:rsidR="0063307A" w:rsidRPr="004B4D22" w:rsidRDefault="0063307A" w:rsidP="0063307A">
                            <w:pPr>
                              <w:spacing w:line="264" w:lineRule="auto"/>
                              <w:jc w:val="center"/>
                              <w:rPr>
                                <w:rFonts w:ascii="Arial" w:hAnsi="Arial" w:cs="Arial"/>
                                <w:b/>
                                <w:bCs/>
                                <w:sz w:val="24"/>
                                <w:szCs w:val="24"/>
                              </w:rPr>
                            </w:pPr>
                            <w:r w:rsidRPr="004B4D22">
                              <w:rPr>
                                <w:rFonts w:ascii="Arial" w:hAnsi="Arial" w:cs="Arial"/>
                                <w:b/>
                                <w:bCs/>
                                <w:sz w:val="24"/>
                                <w:szCs w:val="24"/>
                              </w:rPr>
                              <w:t>Figure 1</w:t>
                            </w:r>
                            <w:r>
                              <w:rPr>
                                <w:rFonts w:ascii="Arial" w:hAnsi="Arial" w:cs="Arial"/>
                                <w:b/>
                                <w:bCs/>
                                <w:sz w:val="24"/>
                                <w:szCs w:val="24"/>
                              </w:rPr>
                              <w:t>2</w:t>
                            </w:r>
                            <w:r w:rsidRPr="004B4D22">
                              <w:rPr>
                                <w:rFonts w:ascii="Arial" w:hAnsi="Arial" w:cs="Arial"/>
                                <w:b/>
                                <w:bCs/>
                                <w:sz w:val="24"/>
                                <w:szCs w:val="24"/>
                              </w:rPr>
                              <w:t>. Structure of exported groups</w:t>
                            </w:r>
                          </w:p>
                          <w:p w14:paraId="64E9A8FC" w14:textId="77777777" w:rsidR="0063307A" w:rsidRPr="004B4D22" w:rsidRDefault="0063307A" w:rsidP="0063307A">
                            <w:pPr>
                              <w:spacing w:line="264" w:lineRule="auto"/>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10 months</w:t>
                            </w:r>
                            <w:r w:rsidRPr="004B4D22">
                              <w:rPr>
                                <w:rFonts w:ascii="Arial" w:hAnsi="Arial" w:cs="Arial"/>
                                <w:b/>
                                <w:bCs/>
                                <w:sz w:val="24"/>
                                <w:szCs w:val="24"/>
                              </w:rPr>
                              <w:t xml:space="preserve"> of 2024</w:t>
                            </w:r>
                          </w:p>
                          <w:p w14:paraId="7304A83B" w14:textId="77777777" w:rsidR="0063307A" w:rsidRDefault="0063307A" w:rsidP="0063307A">
                            <w:pPr>
                              <w:ind w:left="-142"/>
                              <w:jc w:val="center"/>
                              <w:rPr>
                                <w:rFonts w:ascii="Arial" w:hAnsi="Arial" w:cs="Arial"/>
                                <w:sz w:val="24"/>
                                <w:szCs w:val="24"/>
                              </w:rPr>
                            </w:pPr>
                            <w:r w:rsidRPr="00B372C3">
                              <w:rPr>
                                <w:noProof/>
                              </w:rPr>
                              <w:drawing>
                                <wp:inline distT="0" distB="0" distL="0" distR="0" wp14:anchorId="14B6D3BA" wp14:editId="44E53673">
                                  <wp:extent cx="3395345" cy="1710690"/>
                                  <wp:effectExtent l="0" t="0" r="0" b="3810"/>
                                  <wp:docPr id="13159773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95345" cy="1710690"/>
                                          </a:xfrm>
                                          <a:prstGeom prst="rect">
                                            <a:avLst/>
                                          </a:prstGeom>
                                          <a:noFill/>
                                          <a:ln>
                                            <a:noFill/>
                                          </a:ln>
                                        </pic:spPr>
                                      </pic:pic>
                                    </a:graphicData>
                                  </a:graphic>
                                </wp:inline>
                              </w:drawing>
                            </w:r>
                          </w:p>
                        </w:txbxContent>
                      </wps:txbx>
                      <wps:bodyPr rot="0" vertOverflow="clip" horzOverflow="clip"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4E11F9AA" id="_x0000_t202" coordsize="21600,21600" o:spt="202" path="m,l,21600r21600,l21600,xe">
                <v:stroke joinstyle="miter"/>
                <v:path gradientshapeok="t" o:connecttype="rect"/>
              </v:shapetype>
              <v:shape id="Text Box 11" o:spid="_x0000_s1026" type="#_x0000_t202" style="position:absolute;left:0;text-align:left;margin-left:1.95pt;margin-top:5.05pt;width:273.7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" stroked="f">
                <v:textbox inset="1mm,1mm,1mm,1mm">
                  <w:txbxContent>
                    <w:p w14:paraId="0EBF88A4" w14:textId="77777777" w:rsidR="0063307A" w:rsidRPr="004B4D22" w:rsidRDefault="0063307A" w:rsidP="0063307A">
                      <w:pPr>
                        <w:spacing w:line="264" w:lineRule="auto"/>
                        <w:jc w:val="center"/>
                        <w:rPr>
                          <w:rFonts w:ascii="Arial" w:hAnsi="Arial" w:cs="Arial"/>
                          <w:b/>
                          <w:bCs/>
                          <w:sz w:val="24"/>
                          <w:szCs w:val="24"/>
                        </w:rPr>
                      </w:pPr>
                      <w:r w:rsidRPr="004B4D22">
                        <w:rPr>
                          <w:rFonts w:ascii="Arial" w:hAnsi="Arial" w:cs="Arial"/>
                          <w:b/>
                          <w:bCs/>
                          <w:sz w:val="24"/>
                          <w:szCs w:val="24"/>
                        </w:rPr>
                        <w:t>Figure 1</w:t>
                      </w:r>
                      <w:r>
                        <w:rPr>
                          <w:rFonts w:ascii="Arial" w:hAnsi="Arial" w:cs="Arial"/>
                          <w:b/>
                          <w:bCs/>
                          <w:sz w:val="24"/>
                          <w:szCs w:val="24"/>
                        </w:rPr>
                        <w:t>2</w:t>
                      </w:r>
                      <w:r w:rsidRPr="004B4D22">
                        <w:rPr>
                          <w:rFonts w:ascii="Arial" w:hAnsi="Arial" w:cs="Arial"/>
                          <w:b/>
                          <w:bCs/>
                          <w:sz w:val="24"/>
                          <w:szCs w:val="24"/>
                        </w:rPr>
                        <w:t>. Structure of exported groups</w:t>
                      </w:r>
                    </w:p>
                    <w:p w14:paraId="64E9A8FC" w14:textId="77777777" w:rsidR="0063307A" w:rsidRPr="004B4D22" w:rsidRDefault="0063307A" w:rsidP="0063307A">
                      <w:pPr>
                        <w:spacing w:line="264" w:lineRule="auto"/>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10 months</w:t>
                      </w:r>
                      <w:r w:rsidRPr="004B4D22">
                        <w:rPr>
                          <w:rFonts w:ascii="Arial" w:hAnsi="Arial" w:cs="Arial"/>
                          <w:b/>
                          <w:bCs/>
                          <w:sz w:val="24"/>
                          <w:szCs w:val="24"/>
                        </w:rPr>
                        <w:t xml:space="preserve"> of 2024</w:t>
                      </w:r>
                    </w:p>
                    <w:p w14:paraId="7304A83B" w14:textId="77777777" w:rsidR="0063307A" w:rsidRDefault="0063307A" w:rsidP="0063307A">
                      <w:pPr>
                        <w:ind w:left="-142"/>
                        <w:jc w:val="center"/>
                        <w:rPr>
                          <w:rFonts w:ascii="Arial" w:hAnsi="Arial" w:cs="Arial"/>
                          <w:sz w:val="24"/>
                          <w:szCs w:val="24"/>
                        </w:rPr>
                      </w:pPr>
                      <w:r w:rsidRPr="00B372C3">
                        <w:rPr>
                          <w:noProof/>
                        </w:rPr>
                        <w:drawing>
                          <wp:inline distT="0" distB="0" distL="0" distR="0" wp14:anchorId="14B6D3BA" wp14:editId="44E53673">
                            <wp:extent cx="3395345" cy="1710690"/>
                            <wp:effectExtent l="0" t="0" r="0" b="3810"/>
                            <wp:docPr id="13159773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5345" cy="1710690"/>
                                    </a:xfrm>
                                    <a:prstGeom prst="rect">
                                      <a:avLst/>
                                    </a:prstGeom>
                                    <a:noFill/>
                                    <a:ln>
                                      <a:noFill/>
                                    </a:ln>
                                  </pic:spPr>
                                </pic:pic>
                              </a:graphicData>
                            </a:graphic>
                          </wp:inline>
                        </w:drawing>
                      </w:r>
                    </w:p>
                  </w:txbxContent>
                </v:textbox>
                <w10:wrap type="square"/>
              </v:shape>
            </w:pict>
          </mc:Fallback>
        </mc:AlternateContent>
      </w:r>
      <w:r w:rsidRPr="00D25A7C">
        <w:rPr>
          <w:rFonts w:eastAsia="Batang"/>
          <w:bCs/>
          <w:i/>
          <w:iCs/>
          <w:noProof/>
        </w:rPr>
        <w:t>Regarding the structure of exported groups in</w:t>
      </w:r>
      <w:r w:rsidRPr="00D25A7C">
        <w:rPr>
          <w:rFonts w:eastAsia="Batang"/>
          <w:bCs/>
          <w:i/>
          <w:noProof/>
          <w:lang w:val="en"/>
        </w:rPr>
        <w:t xml:space="preserve"> </w:t>
      </w:r>
      <w:r>
        <w:rPr>
          <w:rFonts w:eastAsia="Batang"/>
          <w:bCs/>
          <w:i/>
          <w:noProof/>
          <w:lang w:val="en"/>
        </w:rPr>
        <w:t>ten months</w:t>
      </w:r>
      <w:r w:rsidRPr="00D25A7C">
        <w:rPr>
          <w:rFonts w:eastAsia="Batang"/>
          <w:bCs/>
          <w:i/>
          <w:noProof/>
          <w:lang w:val="en"/>
        </w:rPr>
        <w:t xml:space="preserve"> of 2024, </w:t>
      </w:r>
      <w:r w:rsidRPr="00D25A7C">
        <w:rPr>
          <w:rFonts w:eastAsia="Batang"/>
          <w:bCs/>
          <w:iCs/>
          <w:noProof/>
          <w:lang w:val="en"/>
        </w:rPr>
        <w:t xml:space="preserve">the group of fuels and minerals </w:t>
      </w:r>
      <w:r w:rsidRPr="00D25A7C">
        <w:rPr>
          <w:rFonts w:eastAsia="Batang"/>
          <w:bCs/>
          <w:iCs/>
          <w:noProof/>
        </w:rPr>
        <w:t xml:space="preserve">was estimated at </w:t>
      </w:r>
      <w:r>
        <w:rPr>
          <w:rFonts w:eastAsia="Batang"/>
          <w:bCs/>
          <w:iCs/>
          <w:noProof/>
        </w:rPr>
        <w:t>3.57</w:t>
      </w:r>
      <w:r w:rsidRPr="00D25A7C">
        <w:rPr>
          <w:rFonts w:eastAsia="Batang"/>
          <w:bCs/>
          <w:iCs/>
          <w:noProof/>
        </w:rPr>
        <w:t xml:space="preserve"> billion USD,</w:t>
      </w:r>
      <w:r w:rsidRPr="00D25A7C">
        <w:rPr>
          <w:rFonts w:eastAsia="Batang"/>
          <w:bCs/>
          <w:iCs/>
          <w:noProof/>
          <w:lang w:val="en"/>
        </w:rPr>
        <w:t xml:space="preserve"> accounting for </w:t>
      </w:r>
      <w:r w:rsidRPr="00D25A7C">
        <w:rPr>
          <w:rFonts w:eastAsia="Batang"/>
          <w:bCs/>
          <w:iCs/>
          <w:noProof/>
          <w:lang w:val="vi-VN"/>
        </w:rPr>
        <w:t>1</w:t>
      </w:r>
      <w:r w:rsidRPr="00D25A7C">
        <w:rPr>
          <w:rFonts w:eastAsia="Batang"/>
          <w:bCs/>
          <w:iCs/>
          <w:noProof/>
        </w:rPr>
        <w:t>.</w:t>
      </w:r>
      <w:r>
        <w:rPr>
          <w:rFonts w:eastAsia="Batang"/>
          <w:bCs/>
          <w:iCs/>
          <w:noProof/>
        </w:rPr>
        <w:t>1</w:t>
      </w:r>
      <w:r w:rsidRPr="00D25A7C">
        <w:rPr>
          <w:rFonts w:eastAsia="Batang"/>
          <w:bCs/>
          <w:iCs/>
          <w:noProof/>
          <w:lang w:val="en"/>
        </w:rPr>
        <w:t xml:space="preserve">%; the group of processing industry </w:t>
      </w:r>
      <w:r w:rsidRPr="00D25A7C">
        <w:rPr>
          <w:rFonts w:eastAsia="Batang"/>
          <w:bCs/>
          <w:iCs/>
          <w:noProof/>
        </w:rPr>
        <w:t xml:space="preserve">was estimated at </w:t>
      </w:r>
      <w:r>
        <w:rPr>
          <w:rFonts w:eastAsia="Batang"/>
          <w:bCs/>
          <w:iCs/>
          <w:noProof/>
        </w:rPr>
        <w:t>295.23</w:t>
      </w:r>
      <w:r w:rsidRPr="00D25A7C">
        <w:rPr>
          <w:rFonts w:eastAsia="Batang"/>
          <w:bCs/>
          <w:iCs/>
          <w:noProof/>
        </w:rPr>
        <w:t xml:space="preserve"> billion USD,</w:t>
      </w:r>
      <w:r w:rsidRPr="00D25A7C">
        <w:rPr>
          <w:rFonts w:eastAsia="Batang"/>
          <w:bCs/>
          <w:iCs/>
          <w:noProof/>
          <w:lang w:val="en"/>
        </w:rPr>
        <w:t xml:space="preserve"> accounting for </w:t>
      </w:r>
      <w:r w:rsidRPr="00D25A7C">
        <w:rPr>
          <w:rFonts w:eastAsia="Batang"/>
          <w:bCs/>
          <w:iCs/>
          <w:noProof/>
          <w:lang w:val="vi-VN"/>
        </w:rPr>
        <w:t>8</w:t>
      </w:r>
      <w:r>
        <w:rPr>
          <w:rFonts w:eastAsia="Batang"/>
          <w:bCs/>
          <w:iCs/>
          <w:noProof/>
        </w:rPr>
        <w:t>8.0</w:t>
      </w:r>
      <w:r w:rsidRPr="00D25A7C">
        <w:rPr>
          <w:rFonts w:eastAsia="Batang"/>
          <w:bCs/>
          <w:iCs/>
          <w:noProof/>
          <w:lang w:val="en"/>
        </w:rPr>
        <w:t xml:space="preserve">%;  agricultural and forestry products </w:t>
      </w:r>
      <w:r w:rsidRPr="00D25A7C">
        <w:rPr>
          <w:rFonts w:eastAsia="Batang"/>
          <w:bCs/>
          <w:iCs/>
          <w:noProof/>
        </w:rPr>
        <w:t xml:space="preserve">was estimated at </w:t>
      </w:r>
      <w:r>
        <w:rPr>
          <w:rFonts w:eastAsia="Batang"/>
          <w:bCs/>
          <w:iCs/>
          <w:noProof/>
        </w:rPr>
        <w:t>28.54</w:t>
      </w:r>
      <w:r w:rsidRPr="00D25A7C">
        <w:rPr>
          <w:rFonts w:eastAsia="Batang"/>
          <w:bCs/>
          <w:iCs/>
          <w:noProof/>
        </w:rPr>
        <w:t xml:space="preserve"> billion USD,</w:t>
      </w:r>
      <w:r w:rsidRPr="00D25A7C">
        <w:rPr>
          <w:rFonts w:eastAsia="Batang"/>
          <w:bCs/>
          <w:iCs/>
          <w:noProof/>
          <w:lang w:val="en"/>
        </w:rPr>
        <w:t xml:space="preserve"> accounting for 8.</w:t>
      </w:r>
      <w:r>
        <w:rPr>
          <w:rFonts w:eastAsia="Batang"/>
          <w:bCs/>
          <w:iCs/>
          <w:noProof/>
          <w:lang w:val="en"/>
        </w:rPr>
        <w:t>5</w:t>
      </w:r>
      <w:r w:rsidRPr="00D25A7C">
        <w:rPr>
          <w:rFonts w:eastAsia="Batang"/>
          <w:bCs/>
          <w:iCs/>
          <w:noProof/>
          <w:lang w:val="en"/>
        </w:rPr>
        <w:t xml:space="preserve">%; the group of fishery products </w:t>
      </w:r>
      <w:r w:rsidRPr="00D25A7C">
        <w:rPr>
          <w:rFonts w:eastAsia="Batang"/>
          <w:bCs/>
          <w:iCs/>
          <w:noProof/>
        </w:rPr>
        <w:t xml:space="preserve">was estimated at </w:t>
      </w:r>
      <w:r>
        <w:rPr>
          <w:rFonts w:eastAsia="Batang"/>
          <w:bCs/>
          <w:iCs/>
          <w:noProof/>
        </w:rPr>
        <w:t>8.25</w:t>
      </w:r>
      <w:r w:rsidRPr="00D25A7C">
        <w:rPr>
          <w:rFonts w:eastAsia="Batang"/>
          <w:bCs/>
          <w:iCs/>
          <w:noProof/>
        </w:rPr>
        <w:t xml:space="preserve"> billion USD,</w:t>
      </w:r>
      <w:r w:rsidRPr="00D25A7C">
        <w:rPr>
          <w:rFonts w:eastAsia="Batang"/>
          <w:bCs/>
          <w:iCs/>
          <w:noProof/>
          <w:lang w:val="en"/>
        </w:rPr>
        <w:t xml:space="preserve"> accounting for 2.</w:t>
      </w:r>
      <w:r>
        <w:rPr>
          <w:rFonts w:eastAsia="Batang"/>
          <w:bCs/>
          <w:iCs/>
          <w:noProof/>
          <w:lang w:val="en"/>
        </w:rPr>
        <w:t>4</w:t>
      </w:r>
      <w:r w:rsidRPr="00D25A7C">
        <w:rPr>
          <w:rFonts w:eastAsia="Batang"/>
          <w:bCs/>
          <w:iCs/>
          <w:noProof/>
          <w:lang w:val="en"/>
        </w:rPr>
        <w:t>%.</w:t>
      </w:r>
    </w:p>
    <w:p w14:paraId="47AD1089" w14:textId="77777777" w:rsidR="0063307A" w:rsidRPr="00D25A7C" w:rsidRDefault="0063307A" w:rsidP="0063307A">
      <w:pPr>
        <w:tabs>
          <w:tab w:val="left" w:pos="900"/>
          <w:tab w:val="left" w:pos="9475"/>
        </w:tabs>
        <w:spacing w:beforeLines="40" w:before="96" w:afterLines="40" w:after="96" w:line="264" w:lineRule="auto"/>
        <w:ind w:right="6" w:firstLine="567"/>
        <w:jc w:val="both"/>
        <w:rPr>
          <w:b/>
          <w:bCs/>
          <w:i/>
          <w:sz w:val="2"/>
          <w:lang w:val="de-DE"/>
        </w:rPr>
      </w:pPr>
    </w:p>
    <w:p w14:paraId="556037D4" w14:textId="77777777" w:rsidR="0063307A" w:rsidRPr="00D25A7C" w:rsidRDefault="0063307A" w:rsidP="0063307A">
      <w:pPr>
        <w:tabs>
          <w:tab w:val="num" w:pos="0"/>
          <w:tab w:val="left" w:pos="9475"/>
        </w:tabs>
        <w:spacing w:beforeLines="40" w:before="96" w:afterLines="40" w:after="96" w:line="259" w:lineRule="auto"/>
        <w:ind w:right="6" w:firstLine="567"/>
        <w:jc w:val="both"/>
        <w:rPr>
          <w:b/>
          <w:bCs/>
          <w:i/>
          <w:iCs/>
          <w:lang w:val="de-DE"/>
        </w:rPr>
      </w:pPr>
      <w:r w:rsidRPr="00D25A7C">
        <w:rPr>
          <w:b/>
          <w:bCs/>
          <w:i/>
          <w:iCs/>
          <w:lang w:val="de-DE"/>
        </w:rPr>
        <w:t>Import of goods</w:t>
      </w:r>
    </w:p>
    <w:p w14:paraId="674A949C" w14:textId="77777777" w:rsidR="0063307A" w:rsidRPr="00D25A7C" w:rsidRDefault="0063307A" w:rsidP="0063307A">
      <w:pPr>
        <w:tabs>
          <w:tab w:val="num" w:pos="0"/>
          <w:tab w:val="left" w:pos="9475"/>
        </w:tabs>
        <w:spacing w:beforeLines="40" w:before="96" w:afterLines="40" w:after="96" w:line="259" w:lineRule="auto"/>
        <w:ind w:right="6" w:firstLine="567"/>
        <w:jc w:val="both"/>
        <w:rPr>
          <w:lang w:val="en"/>
        </w:rPr>
      </w:pPr>
      <w:r w:rsidRPr="00D25A7C">
        <w:rPr>
          <w:bCs/>
        </w:rPr>
        <w:t xml:space="preserve">Preliminary import turnover of goods </w:t>
      </w:r>
      <w:r w:rsidRPr="00D25A7C">
        <w:rPr>
          <w:bCs/>
          <w:lang w:val="de-DE"/>
        </w:rPr>
        <w:t xml:space="preserve">in </w:t>
      </w:r>
      <w:r>
        <w:rPr>
          <w:bCs/>
          <w:lang w:val="de-DE"/>
        </w:rPr>
        <w:t>9/2024</w:t>
      </w:r>
      <w:r w:rsidRPr="00D25A7C">
        <w:rPr>
          <w:bCs/>
          <w:lang w:val="de-DE"/>
        </w:rPr>
        <w:t xml:space="preserve"> reached </w:t>
      </w:r>
      <w:r>
        <w:rPr>
          <w:bCs/>
          <w:lang w:val="de-DE"/>
        </w:rPr>
        <w:t>31.8</w:t>
      </w:r>
      <w:r w:rsidRPr="00D25A7C">
        <w:rPr>
          <w:bCs/>
          <w:lang w:val="de-DE"/>
        </w:rPr>
        <w:t xml:space="preserve"> billion USD</w:t>
      </w:r>
      <w:r>
        <w:rPr>
          <w:rStyle w:val="FootnoteReference"/>
          <w:rFonts w:eastAsiaTheme="majorEastAsia"/>
          <w:bCs/>
          <w:lang w:val="de-DE"/>
        </w:rPr>
        <w:footnoteReference w:id="19"/>
      </w:r>
      <w:r>
        <w:rPr>
          <w:bCs/>
          <w:lang w:val="de-DE"/>
        </w:rPr>
        <w:t>.</w:t>
      </w:r>
    </w:p>
    <w:p w14:paraId="33340149" w14:textId="77777777" w:rsidR="0063307A" w:rsidRPr="00D25A7C" w:rsidRDefault="0063307A" w:rsidP="0063307A">
      <w:pPr>
        <w:tabs>
          <w:tab w:val="num" w:pos="0"/>
          <w:tab w:val="left" w:pos="9475"/>
        </w:tabs>
        <w:spacing w:beforeLines="40" w:before="96" w:afterLines="40" w:after="96" w:line="259" w:lineRule="auto"/>
        <w:ind w:right="6" w:firstLine="567"/>
        <w:jc w:val="both"/>
        <w:rPr>
          <w:bCs/>
          <w:spacing w:val="-2"/>
        </w:rPr>
      </w:pPr>
      <w:r w:rsidRPr="00B5134D">
        <w:rPr>
          <w:bCs/>
          <w:i/>
          <w:iCs/>
        </w:rPr>
        <w:t xml:space="preserve">Preliminary import turnover of goods </w:t>
      </w:r>
      <w:r w:rsidRPr="00B5134D">
        <w:rPr>
          <w:bCs/>
          <w:i/>
          <w:iCs/>
          <w:lang w:val="de-DE"/>
        </w:rPr>
        <w:t>in</w:t>
      </w:r>
      <w:r w:rsidRPr="00D25A7C">
        <w:rPr>
          <w:bCs/>
          <w:lang w:val="de-DE"/>
        </w:rPr>
        <w:t xml:space="preserve"> </w:t>
      </w:r>
      <w:r>
        <w:rPr>
          <w:bCs/>
          <w:i/>
          <w:iCs/>
          <w:spacing w:val="-2"/>
          <w:lang w:val="de-DE"/>
        </w:rPr>
        <w:t>10/2024</w:t>
      </w:r>
      <w:r w:rsidRPr="00D25A7C">
        <w:rPr>
          <w:bCs/>
          <w:i/>
          <w:iCs/>
          <w:spacing w:val="-2"/>
          <w:lang w:val="de-DE"/>
        </w:rPr>
        <w:t xml:space="preserve"> </w:t>
      </w:r>
      <w:r>
        <w:rPr>
          <w:bCs/>
          <w:spacing w:val="-2"/>
        </w:rPr>
        <w:t>reached</w:t>
      </w:r>
      <w:r w:rsidRPr="00D25A7C">
        <w:rPr>
          <w:bCs/>
          <w:spacing w:val="-2"/>
        </w:rPr>
        <w:t xml:space="preserve"> 3</w:t>
      </w:r>
      <w:r>
        <w:rPr>
          <w:bCs/>
          <w:spacing w:val="-2"/>
        </w:rPr>
        <w:t>3.6</w:t>
      </w:r>
      <w:r w:rsidRPr="00D25A7C">
        <w:rPr>
          <w:bCs/>
          <w:spacing w:val="-2"/>
        </w:rPr>
        <w:t xml:space="preserve"> billion USD, </w:t>
      </w:r>
      <w:r>
        <w:rPr>
          <w:bCs/>
          <w:spacing w:val="-2"/>
        </w:rPr>
        <w:t>in</w:t>
      </w:r>
      <w:r w:rsidRPr="00D25A7C">
        <w:rPr>
          <w:bCs/>
          <w:spacing w:val="-2"/>
        </w:rPr>
        <w:t xml:space="preserve">creased by </w:t>
      </w:r>
      <w:r>
        <w:rPr>
          <w:bCs/>
          <w:spacing w:val="-2"/>
        </w:rPr>
        <w:t>5.8</w:t>
      </w:r>
      <w:r w:rsidRPr="00D25A7C">
        <w:rPr>
          <w:bCs/>
          <w:spacing w:val="-2"/>
        </w:rPr>
        <w:t>% over the previous month. Of which the domestic economic sector gained 1</w:t>
      </w:r>
      <w:r>
        <w:rPr>
          <w:bCs/>
          <w:spacing w:val="-2"/>
        </w:rPr>
        <w:t>2.68</w:t>
      </w:r>
      <w:r w:rsidRPr="00D25A7C">
        <w:rPr>
          <w:bCs/>
          <w:spacing w:val="-2"/>
        </w:rPr>
        <w:t xml:space="preserve"> billion USD, </w:t>
      </w:r>
      <w:r>
        <w:rPr>
          <w:bCs/>
          <w:spacing w:val="-2"/>
        </w:rPr>
        <w:t>in</w:t>
      </w:r>
      <w:r w:rsidRPr="00D25A7C">
        <w:rPr>
          <w:bCs/>
          <w:spacing w:val="-2"/>
        </w:rPr>
        <w:t xml:space="preserve">creased by </w:t>
      </w:r>
      <w:r>
        <w:rPr>
          <w:bCs/>
          <w:spacing w:val="-2"/>
        </w:rPr>
        <w:t>15.9</w:t>
      </w:r>
      <w:r w:rsidRPr="00D25A7C">
        <w:rPr>
          <w:bCs/>
          <w:spacing w:val="-2"/>
        </w:rPr>
        <w:t xml:space="preserve">%; the FDI sector reached </w:t>
      </w:r>
      <w:r>
        <w:rPr>
          <w:bCs/>
          <w:spacing w:val="-2"/>
        </w:rPr>
        <w:t>20.92</w:t>
      </w:r>
      <w:r w:rsidRPr="00D25A7C">
        <w:rPr>
          <w:bCs/>
          <w:spacing w:val="-2"/>
        </w:rPr>
        <w:t xml:space="preserve"> billion USD, </w:t>
      </w:r>
      <w:r>
        <w:rPr>
          <w:bCs/>
          <w:spacing w:val="-2"/>
        </w:rPr>
        <w:t>in</w:t>
      </w:r>
      <w:r w:rsidRPr="00D25A7C">
        <w:rPr>
          <w:bCs/>
          <w:spacing w:val="-2"/>
        </w:rPr>
        <w:t xml:space="preserve">creased by </w:t>
      </w:r>
      <w:r>
        <w:rPr>
          <w:bCs/>
          <w:spacing w:val="-2"/>
        </w:rPr>
        <w:t>0.5</w:t>
      </w:r>
      <w:r w:rsidRPr="00D25A7C">
        <w:rPr>
          <w:bCs/>
          <w:spacing w:val="-2"/>
        </w:rPr>
        <w:t xml:space="preserve">%. Compared to the same period last year, the import </w:t>
      </w:r>
      <w:r w:rsidRPr="00D25A7C">
        <w:rPr>
          <w:bCs/>
          <w:spacing w:val="-2"/>
        </w:rPr>
        <w:lastRenderedPageBreak/>
        <w:t>turnover of goods in</w:t>
      </w:r>
      <w:r>
        <w:rPr>
          <w:bCs/>
          <w:spacing w:val="-2"/>
        </w:rPr>
        <w:t xml:space="preserve"> October</w:t>
      </w:r>
      <w:r w:rsidRPr="00D25A7C">
        <w:rPr>
          <w:bCs/>
          <w:spacing w:val="-2"/>
        </w:rPr>
        <w:t xml:space="preserve"> increased by</w:t>
      </w:r>
      <w:r>
        <w:rPr>
          <w:bCs/>
          <w:spacing w:val="-2"/>
        </w:rPr>
        <w:t xml:space="preserve"> 13.6</w:t>
      </w:r>
      <w:r w:rsidRPr="00D25A7C">
        <w:rPr>
          <w:bCs/>
          <w:spacing w:val="-2"/>
        </w:rPr>
        <w:t xml:space="preserve">%, of which the domestic economic sector increased by </w:t>
      </w:r>
      <w:r>
        <w:rPr>
          <w:bCs/>
          <w:spacing w:val="-2"/>
        </w:rPr>
        <w:t>18.6</w:t>
      </w:r>
      <w:r w:rsidRPr="00D25A7C">
        <w:rPr>
          <w:bCs/>
          <w:spacing w:val="-2"/>
        </w:rPr>
        <w:t>%; the FDI sector increased by</w:t>
      </w:r>
      <w:r>
        <w:rPr>
          <w:bCs/>
          <w:spacing w:val="-2"/>
        </w:rPr>
        <w:t xml:space="preserve"> 10.7</w:t>
      </w:r>
      <w:r w:rsidRPr="00D25A7C">
        <w:rPr>
          <w:bCs/>
          <w:spacing w:val="-2"/>
        </w:rPr>
        <w:t>%.</w:t>
      </w:r>
      <w:r w:rsidRPr="00D25A7C">
        <w:rPr>
          <w:spacing w:val="-2"/>
          <w:lang w:val="de-DE"/>
        </w:rPr>
        <w:t xml:space="preserve"> </w:t>
      </w:r>
    </w:p>
    <w:p w14:paraId="6D221479" w14:textId="72F89684" w:rsidR="0063307A" w:rsidRPr="00D25A7C" w:rsidRDefault="0063307A" w:rsidP="0063307A">
      <w:pPr>
        <w:tabs>
          <w:tab w:val="num" w:pos="0"/>
          <w:tab w:val="left" w:pos="9475"/>
        </w:tabs>
        <w:spacing w:beforeLines="40" w:before="96" w:afterLines="40" w:after="96" w:line="259" w:lineRule="auto"/>
        <w:ind w:right="6" w:firstLine="567"/>
        <w:jc w:val="both"/>
        <w:rPr>
          <w:bCs/>
          <w:lang w:val="de-DE"/>
        </w:rPr>
      </w:pPr>
      <w:r w:rsidRPr="00D25A7C">
        <w:rPr>
          <w:i/>
          <w:iCs/>
        </w:rPr>
        <w:t>Generally, in</w:t>
      </w:r>
      <w:r w:rsidRPr="00D25A7C">
        <w:rPr>
          <w:i/>
          <w:iCs/>
          <w:lang w:val="de-DE"/>
        </w:rPr>
        <w:t xml:space="preserve"> </w:t>
      </w:r>
      <w:r>
        <w:rPr>
          <w:i/>
          <w:iCs/>
          <w:lang w:val="de-DE"/>
        </w:rPr>
        <w:t>ten months</w:t>
      </w:r>
      <w:r w:rsidRPr="00D25A7C">
        <w:rPr>
          <w:i/>
          <w:iCs/>
          <w:lang w:val="de-DE"/>
        </w:rPr>
        <w:t xml:space="preserve"> of 2024</w:t>
      </w:r>
      <w:r w:rsidRPr="00D25A7C">
        <w:rPr>
          <w:lang w:val="de-DE"/>
        </w:rPr>
        <w:t xml:space="preserve">, </w:t>
      </w:r>
      <w:r>
        <w:rPr>
          <w:lang w:val="de-DE"/>
        </w:rPr>
        <w:t>p</w:t>
      </w:r>
      <w:r w:rsidRPr="006D71F6">
        <w:rPr>
          <w:bCs/>
        </w:rPr>
        <w:t xml:space="preserve">reliminary import turnover of goods </w:t>
      </w:r>
      <w:r w:rsidRPr="006D71F6">
        <w:rPr>
          <w:bCs/>
          <w:spacing w:val="-2"/>
        </w:rPr>
        <w:t>reached</w:t>
      </w:r>
      <w:r w:rsidRPr="00D25A7C">
        <w:rPr>
          <w:bCs/>
          <w:spacing w:val="-2"/>
        </w:rPr>
        <w:t xml:space="preserve"> </w:t>
      </w:r>
      <w:r>
        <w:rPr>
          <w:bCs/>
          <w:spacing w:val="-2"/>
        </w:rPr>
        <w:t>312.28</w:t>
      </w:r>
      <w:r w:rsidRPr="00D25A7C">
        <w:t xml:space="preserve"> billion</w:t>
      </w:r>
      <w:r w:rsidRPr="00D25A7C">
        <w:rPr>
          <w:bCs/>
        </w:rPr>
        <w:t xml:space="preserve"> USD,</w:t>
      </w:r>
      <w:r w:rsidRPr="00D25A7C">
        <w:t xml:space="preserve"> increased by 1</w:t>
      </w:r>
      <w:r>
        <w:t>6.8</w:t>
      </w:r>
      <w:r w:rsidRPr="00D25A7C">
        <w:t xml:space="preserve">% over </w:t>
      </w:r>
      <w:r w:rsidRPr="00D25A7C">
        <w:rPr>
          <w:bCs/>
        </w:rPr>
        <w:t>the same period last year</w:t>
      </w:r>
      <w:r w:rsidRPr="00D25A7C">
        <w:t xml:space="preserve">. Of which the domestic economic sector reached </w:t>
      </w:r>
      <w:r>
        <w:t>113.58</w:t>
      </w:r>
      <w:r w:rsidRPr="00D25A7C">
        <w:t xml:space="preserve"> billion</w:t>
      </w:r>
      <w:r w:rsidRPr="00D25A7C">
        <w:rPr>
          <w:bCs/>
        </w:rPr>
        <w:t xml:space="preserve"> USD,</w:t>
      </w:r>
      <w:r w:rsidRPr="00D25A7C">
        <w:t xml:space="preserve"> went up </w:t>
      </w:r>
      <w:r>
        <w:t>18.8</w:t>
      </w:r>
      <w:r w:rsidRPr="00D25A7C">
        <w:t xml:space="preserve">%; the FDI sector gained </w:t>
      </w:r>
      <w:r>
        <w:t>198.7</w:t>
      </w:r>
      <w:r w:rsidRPr="00D25A7C">
        <w:t xml:space="preserve"> billion USD, up 1</w:t>
      </w:r>
      <w:r>
        <w:t>5.8</w:t>
      </w:r>
      <w:r w:rsidRPr="00D25A7C">
        <w:t>%.</w:t>
      </w:r>
      <w:r w:rsidRPr="00D25A7C">
        <w:rPr>
          <w:bCs/>
          <w:lang w:val="de-DE"/>
        </w:rPr>
        <w:t xml:space="preserve"> </w:t>
      </w:r>
    </w:p>
    <w:p w14:paraId="4F7866AF" w14:textId="77777777" w:rsidR="0063307A" w:rsidRPr="00D25A7C" w:rsidRDefault="0063307A" w:rsidP="0063307A">
      <w:pPr>
        <w:tabs>
          <w:tab w:val="left" w:pos="9475"/>
        </w:tabs>
        <w:spacing w:beforeLines="40" w:before="96" w:afterLines="40" w:after="96" w:line="259" w:lineRule="auto"/>
        <w:ind w:right="6" w:firstLine="567"/>
        <w:jc w:val="both"/>
        <w:rPr>
          <w:spacing w:val="-2"/>
        </w:rPr>
      </w:pPr>
      <w:r w:rsidRPr="00D25A7C">
        <w:rPr>
          <w:i/>
          <w:iCs/>
          <w:spacing w:val="-2"/>
          <w:lang w:val="en"/>
        </w:rPr>
        <w:t xml:space="preserve">In </w:t>
      </w:r>
      <w:r>
        <w:rPr>
          <w:i/>
          <w:iCs/>
          <w:spacing w:val="-2"/>
          <w:lang w:val="en"/>
        </w:rPr>
        <w:t>ten months</w:t>
      </w:r>
      <w:r w:rsidRPr="00D25A7C">
        <w:rPr>
          <w:i/>
          <w:iCs/>
          <w:spacing w:val="-2"/>
          <w:lang w:val="en"/>
        </w:rPr>
        <w:t xml:space="preserve"> of 2024</w:t>
      </w:r>
      <w:r w:rsidRPr="00D25A7C">
        <w:rPr>
          <w:spacing w:val="-2"/>
          <w:lang w:val="en"/>
        </w:rPr>
        <w:t xml:space="preserve">, there are </w:t>
      </w:r>
      <w:r>
        <w:rPr>
          <w:spacing w:val="-2"/>
          <w:lang w:val="en"/>
        </w:rPr>
        <w:t>42</w:t>
      </w:r>
      <w:r w:rsidRPr="00D25A7C">
        <w:rPr>
          <w:spacing w:val="-2"/>
          <w:lang w:val="en"/>
        </w:rPr>
        <w:t xml:space="preserve"> </w:t>
      </w:r>
      <w:r w:rsidRPr="00D25A7C">
        <w:rPr>
          <w:spacing w:val="-2"/>
        </w:rPr>
        <w:t xml:space="preserve">imported products with a turnover of over 1 billion USD, accounting for </w:t>
      </w:r>
      <w:r>
        <w:rPr>
          <w:spacing w:val="-2"/>
        </w:rPr>
        <w:t>92.1</w:t>
      </w:r>
      <w:r w:rsidRPr="00D25A7C">
        <w:rPr>
          <w:spacing w:val="-2"/>
        </w:rPr>
        <w:t>% of total import turnover (</w:t>
      </w:r>
      <w:r>
        <w:rPr>
          <w:spacing w:val="-2"/>
        </w:rPr>
        <w:t>4</w:t>
      </w:r>
      <w:r w:rsidRPr="00D25A7C">
        <w:rPr>
          <w:spacing w:val="-2"/>
        </w:rPr>
        <w:t xml:space="preserve"> products with import turnover of over </w:t>
      </w:r>
      <w:r>
        <w:rPr>
          <w:spacing w:val="-2"/>
        </w:rPr>
        <w:t>10</w:t>
      </w:r>
      <w:r w:rsidRPr="00D25A7C">
        <w:rPr>
          <w:spacing w:val="-2"/>
        </w:rPr>
        <w:t xml:space="preserve"> billion USD, accounting for </w:t>
      </w:r>
      <w:r>
        <w:rPr>
          <w:spacing w:val="-2"/>
        </w:rPr>
        <w:t>48.3</w:t>
      </w:r>
      <w:r w:rsidRPr="00D25A7C">
        <w:rPr>
          <w:spacing w:val="-2"/>
        </w:rPr>
        <w:t xml:space="preserve">%). </w:t>
      </w:r>
    </w:p>
    <w:p w14:paraId="590823CF" w14:textId="77777777" w:rsidR="0063307A" w:rsidRPr="00D25A7C" w:rsidRDefault="0063307A" w:rsidP="0063307A">
      <w:pPr>
        <w:tabs>
          <w:tab w:val="left" w:pos="9475"/>
        </w:tabs>
        <w:spacing w:before="240" w:after="240" w:line="264" w:lineRule="auto"/>
        <w:ind w:right="6" w:firstLine="567"/>
        <w:jc w:val="center"/>
        <w:rPr>
          <w:rFonts w:ascii="Arial" w:hAnsi="Arial" w:cs="Arial"/>
          <w:b/>
          <w:sz w:val="24"/>
          <w:szCs w:val="20"/>
          <w:lang w:val="pl-PL"/>
        </w:rPr>
      </w:pPr>
      <w:r w:rsidRPr="00D25A7C">
        <w:rPr>
          <w:rFonts w:ascii="Arial" w:hAnsi="Arial" w:cs="Arial"/>
          <w:b/>
          <w:sz w:val="24"/>
          <w:szCs w:val="20"/>
          <w:lang w:val="pl-PL"/>
        </w:rPr>
        <w:t xml:space="preserve">Table </w:t>
      </w:r>
      <w:r>
        <w:rPr>
          <w:rFonts w:ascii="Arial" w:hAnsi="Arial" w:cs="Arial"/>
          <w:b/>
          <w:sz w:val="24"/>
          <w:szCs w:val="20"/>
          <w:lang w:val="pl-PL"/>
        </w:rPr>
        <w:t>5</w:t>
      </w:r>
      <w:r w:rsidRPr="00D25A7C">
        <w:rPr>
          <w:rFonts w:ascii="Arial" w:hAnsi="Arial" w:cs="Arial"/>
          <w:b/>
          <w:sz w:val="24"/>
          <w:szCs w:val="20"/>
          <w:lang w:val="pl-PL"/>
        </w:rPr>
        <w:t xml:space="preserve">. Value of some imported goods in </w:t>
      </w:r>
      <w:r>
        <w:rPr>
          <w:rFonts w:ascii="Arial" w:hAnsi="Arial" w:cs="Arial"/>
          <w:b/>
          <w:sz w:val="24"/>
          <w:szCs w:val="20"/>
          <w:lang w:val="pl-PL"/>
        </w:rPr>
        <w:t>10 months</w:t>
      </w:r>
      <w:r w:rsidRPr="00D25A7C">
        <w:rPr>
          <w:rFonts w:ascii="Arial" w:hAnsi="Arial" w:cs="Arial"/>
          <w:b/>
          <w:sz w:val="24"/>
          <w:szCs w:val="20"/>
          <w:lang w:val="pl-PL"/>
        </w:rPr>
        <w:t xml:space="preserve"> of 2024</w:t>
      </w:r>
    </w:p>
    <w:tbl>
      <w:tblPr>
        <w:tblW w:w="9393" w:type="dxa"/>
        <w:tblLook w:val="04A0" w:firstRow="1" w:lastRow="0" w:firstColumn="1" w:lastColumn="0" w:noHBand="0" w:noVBand="1"/>
      </w:tblPr>
      <w:tblGrid>
        <w:gridCol w:w="276"/>
        <w:gridCol w:w="4209"/>
        <w:gridCol w:w="1963"/>
        <w:gridCol w:w="2945"/>
      </w:tblGrid>
      <w:tr w:rsidR="0063307A" w:rsidRPr="00D25A7C" w14:paraId="6F411924" w14:textId="77777777" w:rsidTr="00B73CE3">
        <w:trPr>
          <w:trHeight w:val="317"/>
        </w:trPr>
        <w:tc>
          <w:tcPr>
            <w:tcW w:w="276" w:type="dxa"/>
            <w:tcBorders>
              <w:top w:val="single" w:sz="4" w:space="0" w:color="auto"/>
              <w:left w:val="nil"/>
              <w:bottom w:val="nil"/>
              <w:right w:val="nil"/>
            </w:tcBorders>
            <w:shd w:val="clear" w:color="auto" w:fill="auto"/>
            <w:noWrap/>
            <w:vAlign w:val="center"/>
            <w:hideMark/>
          </w:tcPr>
          <w:p w14:paraId="2852AD0B" w14:textId="77777777" w:rsidR="0063307A" w:rsidRPr="00D25A7C" w:rsidRDefault="0063307A" w:rsidP="00B73CE3">
            <w:pPr>
              <w:spacing w:before="40" w:after="40" w:line="288" w:lineRule="auto"/>
              <w:rPr>
                <w:rFonts w:ascii="Arial" w:hAnsi="Arial" w:cs="Arial"/>
                <w:sz w:val="20"/>
                <w:szCs w:val="20"/>
                <w:lang w:val="en"/>
              </w:rPr>
            </w:pPr>
            <w:r w:rsidRPr="00D25A7C">
              <w:rPr>
                <w:rFonts w:ascii="Arial" w:hAnsi="Arial" w:cs="Arial"/>
                <w:sz w:val="20"/>
                <w:szCs w:val="20"/>
                <w:lang w:val="en"/>
              </w:rPr>
              <w:t> </w:t>
            </w:r>
          </w:p>
        </w:tc>
        <w:tc>
          <w:tcPr>
            <w:tcW w:w="4209" w:type="dxa"/>
            <w:tcBorders>
              <w:top w:val="single" w:sz="4" w:space="0" w:color="auto"/>
              <w:left w:val="nil"/>
              <w:bottom w:val="nil"/>
              <w:right w:val="nil"/>
            </w:tcBorders>
            <w:shd w:val="clear" w:color="auto" w:fill="auto"/>
            <w:noWrap/>
            <w:vAlign w:val="center"/>
            <w:hideMark/>
          </w:tcPr>
          <w:p w14:paraId="06C5479B" w14:textId="77777777" w:rsidR="0063307A" w:rsidRPr="00D25A7C" w:rsidRDefault="0063307A" w:rsidP="00B73CE3">
            <w:pPr>
              <w:spacing w:before="40" w:after="40" w:line="288" w:lineRule="auto"/>
              <w:jc w:val="center"/>
              <w:rPr>
                <w:rFonts w:ascii="Arial" w:hAnsi="Arial" w:cs="Arial"/>
                <w:sz w:val="20"/>
                <w:szCs w:val="20"/>
                <w:lang w:val="en"/>
              </w:rPr>
            </w:pPr>
            <w:r w:rsidRPr="00D25A7C">
              <w:rPr>
                <w:rFonts w:ascii="Arial" w:hAnsi="Arial" w:cs="Arial"/>
                <w:sz w:val="20"/>
                <w:szCs w:val="20"/>
                <w:lang w:val="en"/>
              </w:rPr>
              <w:t> </w:t>
            </w:r>
          </w:p>
        </w:tc>
        <w:tc>
          <w:tcPr>
            <w:tcW w:w="1963" w:type="dxa"/>
            <w:tcBorders>
              <w:top w:val="single" w:sz="4" w:space="0" w:color="auto"/>
              <w:left w:val="nil"/>
            </w:tcBorders>
            <w:shd w:val="clear" w:color="auto" w:fill="auto"/>
            <w:vAlign w:val="center"/>
            <w:hideMark/>
          </w:tcPr>
          <w:p w14:paraId="5958B928" w14:textId="77777777" w:rsidR="0063307A" w:rsidRPr="00D25A7C" w:rsidRDefault="0063307A" w:rsidP="00B73CE3">
            <w:pPr>
              <w:spacing w:before="40" w:after="40" w:line="288" w:lineRule="auto"/>
              <w:jc w:val="center"/>
              <w:rPr>
                <w:rFonts w:ascii="Arial" w:hAnsi="Arial" w:cs="Arial"/>
                <w:sz w:val="20"/>
                <w:szCs w:val="20"/>
                <w:lang w:val="en"/>
              </w:rPr>
            </w:pPr>
            <w:r w:rsidRPr="00D25A7C">
              <w:rPr>
                <w:rFonts w:ascii="Arial" w:hAnsi="Arial" w:cs="Arial"/>
                <w:sz w:val="20"/>
                <w:szCs w:val="20"/>
                <w:lang w:val="en"/>
              </w:rPr>
              <w:t>Estimate</w:t>
            </w:r>
          </w:p>
        </w:tc>
        <w:tc>
          <w:tcPr>
            <w:tcW w:w="2945" w:type="dxa"/>
            <w:tcBorders>
              <w:top w:val="single" w:sz="4" w:space="0" w:color="auto"/>
            </w:tcBorders>
            <w:shd w:val="clear" w:color="auto" w:fill="auto"/>
            <w:vAlign w:val="center"/>
            <w:hideMark/>
          </w:tcPr>
          <w:p w14:paraId="3BC4280C" w14:textId="77777777" w:rsidR="0063307A" w:rsidRPr="00D25A7C" w:rsidRDefault="0063307A" w:rsidP="00B73CE3">
            <w:pPr>
              <w:spacing w:before="40" w:after="40" w:line="288" w:lineRule="auto"/>
              <w:jc w:val="center"/>
              <w:rPr>
                <w:rFonts w:ascii="Arial" w:hAnsi="Arial" w:cs="Arial"/>
                <w:sz w:val="20"/>
                <w:szCs w:val="20"/>
                <w:lang w:val="en"/>
              </w:rPr>
            </w:pPr>
            <w:r w:rsidRPr="00D25A7C">
              <w:rPr>
                <w:rFonts w:ascii="Arial" w:hAnsi="Arial" w:cs="Arial"/>
                <w:sz w:val="20"/>
                <w:szCs w:val="20"/>
                <w:lang w:val="en"/>
              </w:rPr>
              <w:t>Growth rate compare to</w:t>
            </w:r>
          </w:p>
        </w:tc>
      </w:tr>
      <w:tr w:rsidR="0063307A" w:rsidRPr="00D25A7C" w14:paraId="1F580DB7" w14:textId="77777777" w:rsidTr="00B73CE3">
        <w:trPr>
          <w:trHeight w:val="152"/>
        </w:trPr>
        <w:tc>
          <w:tcPr>
            <w:tcW w:w="276" w:type="dxa"/>
            <w:tcBorders>
              <w:top w:val="nil"/>
              <w:left w:val="nil"/>
              <w:bottom w:val="nil"/>
              <w:right w:val="nil"/>
            </w:tcBorders>
            <w:shd w:val="clear" w:color="auto" w:fill="auto"/>
            <w:noWrap/>
            <w:vAlign w:val="center"/>
            <w:hideMark/>
          </w:tcPr>
          <w:p w14:paraId="2F6E708B" w14:textId="77777777" w:rsidR="0063307A" w:rsidRPr="00D25A7C" w:rsidRDefault="0063307A" w:rsidP="00B73CE3">
            <w:pPr>
              <w:spacing w:before="40" w:after="40" w:line="288" w:lineRule="auto"/>
              <w:jc w:val="center"/>
              <w:rPr>
                <w:rFonts w:ascii="Arial" w:hAnsi="Arial" w:cs="Arial"/>
                <w:color w:val="000000"/>
                <w:sz w:val="20"/>
                <w:szCs w:val="20"/>
                <w:lang w:val="en"/>
              </w:rPr>
            </w:pPr>
          </w:p>
        </w:tc>
        <w:tc>
          <w:tcPr>
            <w:tcW w:w="4209" w:type="dxa"/>
            <w:tcBorders>
              <w:top w:val="nil"/>
              <w:left w:val="nil"/>
              <w:bottom w:val="nil"/>
              <w:right w:val="nil"/>
            </w:tcBorders>
            <w:shd w:val="clear" w:color="auto" w:fill="auto"/>
            <w:noWrap/>
            <w:vAlign w:val="center"/>
            <w:hideMark/>
          </w:tcPr>
          <w:p w14:paraId="3AE03EB7" w14:textId="77777777" w:rsidR="0063307A" w:rsidRPr="00D25A7C" w:rsidRDefault="0063307A" w:rsidP="00B73CE3">
            <w:pPr>
              <w:spacing w:before="40" w:after="40" w:line="288" w:lineRule="auto"/>
              <w:rPr>
                <w:rFonts w:ascii="Arial" w:hAnsi="Arial" w:cs="Arial"/>
                <w:sz w:val="20"/>
                <w:szCs w:val="20"/>
                <w:lang w:val="en"/>
              </w:rPr>
            </w:pPr>
          </w:p>
        </w:tc>
        <w:tc>
          <w:tcPr>
            <w:tcW w:w="1963" w:type="dxa"/>
            <w:tcBorders>
              <w:top w:val="nil"/>
              <w:left w:val="nil"/>
              <w:bottom w:val="single" w:sz="4" w:space="0" w:color="auto"/>
            </w:tcBorders>
            <w:shd w:val="clear" w:color="auto" w:fill="auto"/>
            <w:vAlign w:val="center"/>
            <w:hideMark/>
          </w:tcPr>
          <w:p w14:paraId="47D2D17D" w14:textId="77777777" w:rsidR="0063307A" w:rsidRPr="00D25A7C" w:rsidRDefault="0063307A" w:rsidP="00B73CE3">
            <w:pPr>
              <w:spacing w:before="40" w:after="40" w:line="288" w:lineRule="auto"/>
              <w:jc w:val="center"/>
              <w:rPr>
                <w:rFonts w:ascii="Arial" w:hAnsi="Arial" w:cs="Arial"/>
                <w:sz w:val="20"/>
                <w:szCs w:val="20"/>
                <w:lang w:val="en"/>
              </w:rPr>
            </w:pPr>
            <w:r w:rsidRPr="00D25A7C">
              <w:rPr>
                <w:rFonts w:ascii="Arial" w:hAnsi="Arial" w:cs="Arial"/>
                <w:i/>
                <w:iCs/>
                <w:sz w:val="20"/>
                <w:szCs w:val="20"/>
                <w:lang w:val="en"/>
              </w:rPr>
              <w:t>(Mill. USD)</w:t>
            </w:r>
          </w:p>
        </w:tc>
        <w:tc>
          <w:tcPr>
            <w:tcW w:w="2945" w:type="dxa"/>
            <w:tcBorders>
              <w:top w:val="nil"/>
              <w:bottom w:val="single" w:sz="4" w:space="0" w:color="auto"/>
            </w:tcBorders>
            <w:shd w:val="clear" w:color="auto" w:fill="auto"/>
            <w:vAlign w:val="center"/>
            <w:hideMark/>
          </w:tcPr>
          <w:p w14:paraId="7DBB8E89" w14:textId="77777777" w:rsidR="0063307A" w:rsidRPr="00D25A7C" w:rsidRDefault="0063307A" w:rsidP="00B73CE3">
            <w:pPr>
              <w:spacing w:before="40" w:after="40" w:line="288" w:lineRule="auto"/>
              <w:jc w:val="center"/>
              <w:rPr>
                <w:rFonts w:ascii="Arial" w:hAnsi="Arial" w:cs="Arial"/>
                <w:sz w:val="20"/>
                <w:szCs w:val="20"/>
                <w:lang w:val="en"/>
              </w:rPr>
            </w:pPr>
            <w:r w:rsidRPr="00D25A7C">
              <w:rPr>
                <w:rFonts w:ascii="Arial" w:hAnsi="Arial" w:cs="Arial"/>
                <w:sz w:val="20"/>
                <w:szCs w:val="20"/>
                <w:lang w:val="en"/>
              </w:rPr>
              <w:t xml:space="preserve">the same period last year </w:t>
            </w:r>
            <w:r w:rsidRPr="00D25A7C">
              <w:rPr>
                <w:rFonts w:ascii="Arial" w:hAnsi="Arial" w:cs="Arial"/>
                <w:i/>
                <w:iCs/>
                <w:sz w:val="20"/>
                <w:szCs w:val="20"/>
                <w:lang w:val="en"/>
              </w:rPr>
              <w:t>(%)</w:t>
            </w:r>
          </w:p>
        </w:tc>
      </w:tr>
      <w:tr w:rsidR="0063307A" w:rsidRPr="00D25A7C" w14:paraId="27360751" w14:textId="77777777" w:rsidTr="00B73CE3">
        <w:trPr>
          <w:trHeight w:val="317"/>
        </w:trPr>
        <w:tc>
          <w:tcPr>
            <w:tcW w:w="4485" w:type="dxa"/>
            <w:gridSpan w:val="2"/>
            <w:tcBorders>
              <w:top w:val="nil"/>
              <w:left w:val="nil"/>
              <w:bottom w:val="nil"/>
              <w:right w:val="nil"/>
            </w:tcBorders>
            <w:shd w:val="clear" w:color="auto" w:fill="auto"/>
            <w:noWrap/>
            <w:vAlign w:val="center"/>
            <w:hideMark/>
          </w:tcPr>
          <w:p w14:paraId="1012E758" w14:textId="77777777" w:rsidR="0063307A" w:rsidRPr="00D25A7C" w:rsidRDefault="0063307A" w:rsidP="00B73CE3">
            <w:pPr>
              <w:spacing w:before="40" w:after="40" w:line="288" w:lineRule="auto"/>
              <w:rPr>
                <w:rFonts w:ascii="Arial" w:hAnsi="Arial" w:cs="Arial"/>
                <w:b/>
                <w:bCs/>
                <w:color w:val="000000"/>
                <w:sz w:val="20"/>
                <w:szCs w:val="20"/>
                <w:lang w:val="en"/>
              </w:rPr>
            </w:pPr>
            <w:r w:rsidRPr="00D25A7C">
              <w:rPr>
                <w:rFonts w:ascii="Arial" w:hAnsi="Arial" w:cs="Arial"/>
                <w:b/>
                <w:bCs/>
                <w:sz w:val="20"/>
                <w:szCs w:val="20"/>
                <w:lang w:val="en"/>
              </w:rPr>
              <w:t xml:space="preserve">Items with a value of over </w:t>
            </w:r>
            <w:r>
              <w:rPr>
                <w:rFonts w:ascii="Arial" w:hAnsi="Arial" w:cs="Arial"/>
                <w:b/>
                <w:bCs/>
                <w:sz w:val="20"/>
                <w:szCs w:val="20"/>
                <w:lang w:val="en"/>
              </w:rPr>
              <w:t>10</w:t>
            </w:r>
            <w:r w:rsidRPr="00D25A7C">
              <w:rPr>
                <w:rFonts w:ascii="Arial" w:hAnsi="Arial" w:cs="Arial"/>
                <w:b/>
                <w:bCs/>
                <w:sz w:val="20"/>
                <w:szCs w:val="20"/>
                <w:lang w:val="en"/>
              </w:rPr>
              <w:t xml:space="preserve"> billion USD</w:t>
            </w:r>
          </w:p>
        </w:tc>
        <w:tc>
          <w:tcPr>
            <w:tcW w:w="1963" w:type="dxa"/>
            <w:tcBorders>
              <w:top w:val="nil"/>
              <w:left w:val="nil"/>
              <w:bottom w:val="nil"/>
              <w:right w:val="nil"/>
            </w:tcBorders>
            <w:shd w:val="clear" w:color="auto" w:fill="auto"/>
            <w:noWrap/>
            <w:vAlign w:val="center"/>
            <w:hideMark/>
          </w:tcPr>
          <w:p w14:paraId="4041E7D8" w14:textId="77777777" w:rsidR="0063307A" w:rsidRPr="00D25A7C" w:rsidRDefault="0063307A" w:rsidP="00B73CE3">
            <w:pPr>
              <w:spacing w:before="40" w:after="40" w:line="288" w:lineRule="auto"/>
              <w:rPr>
                <w:rFonts w:ascii="Arial" w:hAnsi="Arial" w:cs="Arial"/>
                <w:sz w:val="20"/>
                <w:szCs w:val="20"/>
                <w:lang w:val="en"/>
              </w:rPr>
            </w:pPr>
          </w:p>
        </w:tc>
        <w:tc>
          <w:tcPr>
            <w:tcW w:w="2945" w:type="dxa"/>
            <w:tcBorders>
              <w:top w:val="nil"/>
              <w:left w:val="nil"/>
              <w:bottom w:val="nil"/>
              <w:right w:val="nil"/>
            </w:tcBorders>
            <w:shd w:val="clear" w:color="auto" w:fill="auto"/>
            <w:noWrap/>
            <w:vAlign w:val="center"/>
            <w:hideMark/>
          </w:tcPr>
          <w:p w14:paraId="3B68313F" w14:textId="77777777" w:rsidR="0063307A" w:rsidRPr="00D25A7C" w:rsidRDefault="0063307A" w:rsidP="00B73CE3">
            <w:pPr>
              <w:spacing w:before="40" w:after="40" w:line="288" w:lineRule="auto"/>
              <w:rPr>
                <w:rFonts w:ascii="Arial" w:hAnsi="Arial" w:cs="Arial"/>
                <w:sz w:val="20"/>
                <w:szCs w:val="20"/>
                <w:lang w:val="en"/>
              </w:rPr>
            </w:pPr>
          </w:p>
        </w:tc>
      </w:tr>
      <w:tr w:rsidR="0063307A" w:rsidRPr="00D25A7C" w14:paraId="4ECD47B0" w14:textId="77777777" w:rsidTr="00B73CE3">
        <w:trPr>
          <w:trHeight w:val="317"/>
        </w:trPr>
        <w:tc>
          <w:tcPr>
            <w:tcW w:w="276" w:type="dxa"/>
            <w:tcBorders>
              <w:top w:val="nil"/>
              <w:left w:val="nil"/>
              <w:right w:val="nil"/>
            </w:tcBorders>
            <w:shd w:val="clear" w:color="auto" w:fill="auto"/>
            <w:noWrap/>
            <w:vAlign w:val="center"/>
            <w:hideMark/>
          </w:tcPr>
          <w:p w14:paraId="5EC38890" w14:textId="77777777" w:rsidR="0063307A" w:rsidRPr="00D25A7C" w:rsidRDefault="0063307A" w:rsidP="00B73CE3">
            <w:pPr>
              <w:spacing w:before="40" w:after="40" w:line="288" w:lineRule="auto"/>
              <w:jc w:val="right"/>
              <w:rPr>
                <w:rFonts w:ascii="Arial" w:hAnsi="Arial" w:cs="Arial"/>
                <w:sz w:val="20"/>
                <w:szCs w:val="20"/>
                <w:lang w:val="en"/>
              </w:rPr>
            </w:pPr>
          </w:p>
        </w:tc>
        <w:tc>
          <w:tcPr>
            <w:tcW w:w="4209" w:type="dxa"/>
            <w:tcBorders>
              <w:top w:val="nil"/>
              <w:left w:val="nil"/>
              <w:right w:val="nil"/>
            </w:tcBorders>
            <w:shd w:val="clear" w:color="auto" w:fill="auto"/>
            <w:noWrap/>
            <w:vAlign w:val="bottom"/>
            <w:hideMark/>
          </w:tcPr>
          <w:p w14:paraId="0E5AE9DC" w14:textId="77777777" w:rsidR="0063307A" w:rsidRPr="00D25A7C" w:rsidRDefault="0063307A" w:rsidP="00B73CE3">
            <w:pPr>
              <w:spacing w:before="40" w:after="40" w:line="288" w:lineRule="auto"/>
              <w:rPr>
                <w:rFonts w:ascii="Arial" w:hAnsi="Arial" w:cs="Arial"/>
                <w:sz w:val="20"/>
                <w:szCs w:val="20"/>
                <w:lang w:val="en"/>
              </w:rPr>
            </w:pPr>
            <w:r w:rsidRPr="00D25A7C">
              <w:rPr>
                <w:rFonts w:ascii="Arial" w:hAnsi="Arial" w:cs="Arial"/>
                <w:sz w:val="20"/>
                <w:szCs w:val="20"/>
                <w:lang w:val="en"/>
              </w:rPr>
              <w:t>Electronic devices, computers and their parts</w:t>
            </w:r>
          </w:p>
        </w:tc>
        <w:tc>
          <w:tcPr>
            <w:tcW w:w="1963" w:type="dxa"/>
            <w:tcBorders>
              <w:top w:val="nil"/>
              <w:left w:val="nil"/>
              <w:right w:val="nil"/>
            </w:tcBorders>
            <w:shd w:val="clear" w:color="auto" w:fill="auto"/>
            <w:noWrap/>
            <w:vAlign w:val="bottom"/>
            <w:hideMark/>
          </w:tcPr>
          <w:p w14:paraId="50CA65D4" w14:textId="77777777" w:rsidR="0063307A" w:rsidRPr="00D25A7C" w:rsidRDefault="0063307A" w:rsidP="00B73CE3">
            <w:pPr>
              <w:spacing w:before="40" w:after="40" w:line="288" w:lineRule="auto"/>
              <w:ind w:right="458"/>
              <w:jc w:val="right"/>
              <w:rPr>
                <w:rFonts w:ascii="Arial" w:hAnsi="Arial" w:cs="Arial"/>
                <w:sz w:val="20"/>
                <w:szCs w:val="20"/>
                <w:lang w:val="en"/>
              </w:rPr>
            </w:pPr>
            <w:r w:rsidRPr="00934D25">
              <w:rPr>
                <w:rFonts w:ascii="Arial" w:hAnsi="Arial" w:cs="Arial"/>
                <w:sz w:val="20"/>
                <w:szCs w:val="20"/>
              </w:rPr>
              <w:t>88</w:t>
            </w:r>
            <w:r>
              <w:rPr>
                <w:rFonts w:ascii="Arial" w:hAnsi="Arial" w:cs="Arial"/>
                <w:sz w:val="20"/>
                <w:szCs w:val="20"/>
              </w:rPr>
              <w:t>,</w:t>
            </w:r>
            <w:r w:rsidRPr="00934D25">
              <w:rPr>
                <w:rFonts w:ascii="Arial" w:hAnsi="Arial" w:cs="Arial"/>
                <w:sz w:val="20"/>
                <w:szCs w:val="20"/>
              </w:rPr>
              <w:t>253</w:t>
            </w:r>
          </w:p>
        </w:tc>
        <w:tc>
          <w:tcPr>
            <w:tcW w:w="2945" w:type="dxa"/>
            <w:tcBorders>
              <w:top w:val="nil"/>
              <w:left w:val="nil"/>
              <w:right w:val="nil"/>
            </w:tcBorders>
            <w:shd w:val="clear" w:color="auto" w:fill="auto"/>
            <w:noWrap/>
            <w:vAlign w:val="bottom"/>
          </w:tcPr>
          <w:p w14:paraId="7FB145BC" w14:textId="77777777" w:rsidR="0063307A" w:rsidRPr="00D25A7C" w:rsidRDefault="0063307A" w:rsidP="00B73CE3">
            <w:pPr>
              <w:spacing w:before="40" w:after="40" w:line="288" w:lineRule="auto"/>
              <w:ind w:right="1068"/>
              <w:jc w:val="right"/>
              <w:rPr>
                <w:rFonts w:ascii="Arial" w:hAnsi="Arial" w:cs="Arial"/>
                <w:sz w:val="20"/>
                <w:szCs w:val="20"/>
                <w:lang w:val="en"/>
              </w:rPr>
            </w:pPr>
            <w:r w:rsidRPr="00934D25">
              <w:rPr>
                <w:rFonts w:ascii="Arial" w:hAnsi="Arial" w:cs="Arial"/>
                <w:sz w:val="20"/>
                <w:szCs w:val="20"/>
              </w:rPr>
              <w:t>23</w:t>
            </w:r>
            <w:r>
              <w:rPr>
                <w:rFonts w:ascii="Arial" w:hAnsi="Arial" w:cs="Arial"/>
                <w:sz w:val="20"/>
                <w:szCs w:val="20"/>
              </w:rPr>
              <w:t>.</w:t>
            </w:r>
            <w:r w:rsidRPr="00934D25">
              <w:rPr>
                <w:rFonts w:ascii="Arial" w:hAnsi="Arial" w:cs="Arial"/>
                <w:sz w:val="20"/>
                <w:szCs w:val="20"/>
              </w:rPr>
              <w:t>7</w:t>
            </w:r>
          </w:p>
        </w:tc>
      </w:tr>
      <w:tr w:rsidR="0063307A" w:rsidRPr="00D25A7C" w14:paraId="547C4726" w14:textId="77777777" w:rsidTr="00B73CE3">
        <w:trPr>
          <w:trHeight w:val="317"/>
        </w:trPr>
        <w:tc>
          <w:tcPr>
            <w:tcW w:w="276" w:type="dxa"/>
            <w:tcBorders>
              <w:top w:val="nil"/>
              <w:left w:val="nil"/>
              <w:bottom w:val="nil"/>
              <w:right w:val="nil"/>
            </w:tcBorders>
            <w:shd w:val="clear" w:color="auto" w:fill="auto"/>
            <w:noWrap/>
            <w:vAlign w:val="center"/>
            <w:hideMark/>
          </w:tcPr>
          <w:p w14:paraId="344417A9" w14:textId="77777777" w:rsidR="0063307A" w:rsidRPr="00D25A7C" w:rsidRDefault="0063307A" w:rsidP="00B73CE3">
            <w:pPr>
              <w:spacing w:before="40" w:after="40" w:line="288" w:lineRule="auto"/>
              <w:rPr>
                <w:rFonts w:ascii="Arial" w:hAnsi="Arial" w:cs="Arial"/>
                <w:sz w:val="20"/>
                <w:szCs w:val="20"/>
                <w:lang w:val="en"/>
              </w:rPr>
            </w:pPr>
          </w:p>
        </w:tc>
        <w:tc>
          <w:tcPr>
            <w:tcW w:w="4209" w:type="dxa"/>
            <w:tcBorders>
              <w:top w:val="nil"/>
              <w:left w:val="nil"/>
              <w:bottom w:val="nil"/>
              <w:right w:val="nil"/>
            </w:tcBorders>
            <w:shd w:val="clear" w:color="auto" w:fill="auto"/>
            <w:noWrap/>
            <w:vAlign w:val="bottom"/>
            <w:hideMark/>
          </w:tcPr>
          <w:p w14:paraId="334C7760" w14:textId="77777777" w:rsidR="0063307A" w:rsidRPr="00D25A7C" w:rsidRDefault="0063307A" w:rsidP="00B73CE3">
            <w:pPr>
              <w:spacing w:before="40" w:after="40" w:line="288" w:lineRule="auto"/>
              <w:rPr>
                <w:rFonts w:ascii="Arial" w:hAnsi="Arial" w:cs="Arial"/>
                <w:sz w:val="20"/>
                <w:szCs w:val="20"/>
                <w:lang w:val="en"/>
              </w:rPr>
            </w:pPr>
            <w:r w:rsidRPr="00D25A7C">
              <w:rPr>
                <w:rFonts w:ascii="Arial" w:hAnsi="Arial" w:cs="Arial"/>
                <w:sz w:val="20"/>
                <w:szCs w:val="20"/>
                <w:lang w:val="en"/>
              </w:rPr>
              <w:t>Machinery, instrument, accessory</w:t>
            </w:r>
          </w:p>
        </w:tc>
        <w:tc>
          <w:tcPr>
            <w:tcW w:w="1963" w:type="dxa"/>
            <w:tcBorders>
              <w:top w:val="nil"/>
              <w:left w:val="nil"/>
              <w:bottom w:val="nil"/>
              <w:right w:val="nil"/>
            </w:tcBorders>
            <w:shd w:val="clear" w:color="auto" w:fill="auto"/>
            <w:noWrap/>
            <w:vAlign w:val="bottom"/>
            <w:hideMark/>
          </w:tcPr>
          <w:p w14:paraId="178C7492" w14:textId="77777777" w:rsidR="0063307A" w:rsidRPr="00D25A7C" w:rsidRDefault="0063307A" w:rsidP="00B73CE3">
            <w:pPr>
              <w:spacing w:before="40" w:after="40" w:line="288" w:lineRule="auto"/>
              <w:ind w:right="458" w:firstLine="28"/>
              <w:jc w:val="right"/>
              <w:rPr>
                <w:rFonts w:ascii="Arial" w:hAnsi="Arial" w:cs="Arial"/>
                <w:sz w:val="20"/>
                <w:szCs w:val="20"/>
                <w:lang w:val="en"/>
              </w:rPr>
            </w:pPr>
            <w:r w:rsidRPr="00934D25">
              <w:rPr>
                <w:rFonts w:ascii="Arial" w:hAnsi="Arial" w:cs="Arial"/>
                <w:sz w:val="20"/>
                <w:szCs w:val="20"/>
              </w:rPr>
              <w:t>39</w:t>
            </w:r>
            <w:r>
              <w:rPr>
                <w:rFonts w:ascii="Arial" w:hAnsi="Arial" w:cs="Arial"/>
                <w:sz w:val="20"/>
                <w:szCs w:val="20"/>
              </w:rPr>
              <w:t>,</w:t>
            </w:r>
            <w:r w:rsidRPr="00934D25">
              <w:rPr>
                <w:rFonts w:ascii="Arial" w:hAnsi="Arial" w:cs="Arial"/>
                <w:sz w:val="20"/>
                <w:szCs w:val="20"/>
              </w:rPr>
              <w:t>701</w:t>
            </w:r>
          </w:p>
        </w:tc>
        <w:tc>
          <w:tcPr>
            <w:tcW w:w="2945" w:type="dxa"/>
            <w:tcBorders>
              <w:top w:val="nil"/>
              <w:left w:val="nil"/>
              <w:bottom w:val="nil"/>
              <w:right w:val="nil"/>
            </w:tcBorders>
            <w:shd w:val="clear" w:color="auto" w:fill="auto"/>
            <w:noWrap/>
            <w:vAlign w:val="bottom"/>
          </w:tcPr>
          <w:p w14:paraId="0260BE97" w14:textId="77777777" w:rsidR="0063307A" w:rsidRPr="00D25A7C" w:rsidRDefault="0063307A" w:rsidP="00B73CE3">
            <w:pPr>
              <w:spacing w:before="40" w:after="40" w:line="288" w:lineRule="auto"/>
              <w:ind w:right="1068"/>
              <w:jc w:val="right"/>
              <w:rPr>
                <w:rFonts w:ascii="Arial" w:hAnsi="Arial" w:cs="Arial"/>
                <w:sz w:val="20"/>
                <w:szCs w:val="20"/>
                <w:lang w:val="en"/>
              </w:rPr>
            </w:pPr>
            <w:r w:rsidRPr="00934D25">
              <w:rPr>
                <w:rFonts w:ascii="Arial" w:hAnsi="Arial" w:cs="Arial"/>
                <w:sz w:val="20"/>
                <w:szCs w:val="20"/>
              </w:rPr>
              <w:t>17</w:t>
            </w:r>
            <w:r>
              <w:rPr>
                <w:rFonts w:ascii="Arial" w:hAnsi="Arial" w:cs="Arial"/>
                <w:sz w:val="20"/>
                <w:szCs w:val="20"/>
              </w:rPr>
              <w:t>.</w:t>
            </w:r>
            <w:r w:rsidRPr="00934D25">
              <w:rPr>
                <w:rFonts w:ascii="Arial" w:hAnsi="Arial" w:cs="Arial"/>
                <w:sz w:val="20"/>
                <w:szCs w:val="20"/>
              </w:rPr>
              <w:t>0</w:t>
            </w:r>
          </w:p>
        </w:tc>
      </w:tr>
      <w:tr w:rsidR="0063307A" w:rsidRPr="00D25A7C" w14:paraId="6FD947E5" w14:textId="77777777" w:rsidTr="00B73CE3">
        <w:trPr>
          <w:trHeight w:val="317"/>
        </w:trPr>
        <w:tc>
          <w:tcPr>
            <w:tcW w:w="276" w:type="dxa"/>
            <w:tcBorders>
              <w:top w:val="nil"/>
              <w:left w:val="nil"/>
              <w:bottom w:val="nil"/>
              <w:right w:val="nil"/>
            </w:tcBorders>
            <w:shd w:val="clear" w:color="auto" w:fill="auto"/>
            <w:noWrap/>
            <w:vAlign w:val="center"/>
          </w:tcPr>
          <w:p w14:paraId="3EC261A9" w14:textId="77777777" w:rsidR="0063307A" w:rsidRPr="00D25A7C" w:rsidRDefault="0063307A" w:rsidP="00B73CE3">
            <w:pPr>
              <w:spacing w:before="40" w:after="40" w:line="288" w:lineRule="auto"/>
              <w:rPr>
                <w:rFonts w:ascii="Arial" w:hAnsi="Arial" w:cs="Arial"/>
                <w:sz w:val="20"/>
                <w:szCs w:val="20"/>
                <w:lang w:val="en"/>
              </w:rPr>
            </w:pPr>
          </w:p>
        </w:tc>
        <w:tc>
          <w:tcPr>
            <w:tcW w:w="4209" w:type="dxa"/>
            <w:tcBorders>
              <w:top w:val="nil"/>
              <w:left w:val="nil"/>
              <w:bottom w:val="nil"/>
              <w:right w:val="nil"/>
            </w:tcBorders>
            <w:shd w:val="clear" w:color="auto" w:fill="auto"/>
            <w:noWrap/>
            <w:vAlign w:val="bottom"/>
          </w:tcPr>
          <w:p w14:paraId="42296D9B" w14:textId="77777777" w:rsidR="0063307A" w:rsidRPr="00D25A7C" w:rsidRDefault="0063307A" w:rsidP="00B73CE3">
            <w:pPr>
              <w:spacing w:before="40" w:after="40" w:line="288" w:lineRule="auto"/>
              <w:rPr>
                <w:rFonts w:ascii="Arial" w:hAnsi="Arial" w:cs="Arial"/>
                <w:sz w:val="20"/>
                <w:szCs w:val="20"/>
                <w:lang w:val="en"/>
              </w:rPr>
            </w:pPr>
            <w:r w:rsidRPr="00B372C3">
              <w:rPr>
                <w:rFonts w:ascii="Arial" w:hAnsi="Arial" w:cs="Arial"/>
                <w:sz w:val="20"/>
                <w:szCs w:val="20"/>
                <w:lang w:val="en"/>
              </w:rPr>
              <w:t>Fabrics</w:t>
            </w:r>
          </w:p>
        </w:tc>
        <w:tc>
          <w:tcPr>
            <w:tcW w:w="1963" w:type="dxa"/>
            <w:tcBorders>
              <w:top w:val="nil"/>
              <w:left w:val="nil"/>
              <w:bottom w:val="nil"/>
              <w:right w:val="nil"/>
            </w:tcBorders>
            <w:shd w:val="clear" w:color="auto" w:fill="auto"/>
            <w:noWrap/>
            <w:vAlign w:val="bottom"/>
          </w:tcPr>
          <w:p w14:paraId="4A5EABA6" w14:textId="77777777" w:rsidR="0063307A" w:rsidRPr="00AF38A3" w:rsidRDefault="0063307A" w:rsidP="00B73CE3">
            <w:pPr>
              <w:spacing w:before="40" w:after="40" w:line="288" w:lineRule="auto"/>
              <w:ind w:right="458" w:firstLine="28"/>
              <w:jc w:val="right"/>
              <w:rPr>
                <w:rFonts w:ascii="Arial" w:hAnsi="Arial" w:cs="Arial"/>
                <w:sz w:val="20"/>
                <w:szCs w:val="20"/>
              </w:rPr>
            </w:pPr>
            <w:r w:rsidRPr="00934D25">
              <w:rPr>
                <w:rFonts w:ascii="Arial" w:hAnsi="Arial" w:cs="Arial"/>
                <w:sz w:val="20"/>
                <w:szCs w:val="20"/>
              </w:rPr>
              <w:t>12</w:t>
            </w:r>
            <w:r>
              <w:rPr>
                <w:rFonts w:ascii="Arial" w:hAnsi="Arial" w:cs="Arial"/>
                <w:sz w:val="20"/>
                <w:szCs w:val="20"/>
              </w:rPr>
              <w:t>,</w:t>
            </w:r>
            <w:r w:rsidRPr="00934D25">
              <w:rPr>
                <w:rFonts w:ascii="Arial" w:hAnsi="Arial" w:cs="Arial"/>
                <w:sz w:val="20"/>
                <w:szCs w:val="20"/>
              </w:rPr>
              <w:t>273</w:t>
            </w:r>
          </w:p>
        </w:tc>
        <w:tc>
          <w:tcPr>
            <w:tcW w:w="2945" w:type="dxa"/>
            <w:tcBorders>
              <w:top w:val="nil"/>
              <w:left w:val="nil"/>
              <w:bottom w:val="nil"/>
              <w:right w:val="nil"/>
            </w:tcBorders>
            <w:shd w:val="clear" w:color="auto" w:fill="auto"/>
            <w:noWrap/>
            <w:vAlign w:val="bottom"/>
          </w:tcPr>
          <w:p w14:paraId="2CEBDF11" w14:textId="77777777" w:rsidR="0063307A" w:rsidRPr="00AF38A3" w:rsidRDefault="0063307A" w:rsidP="00B73CE3">
            <w:pPr>
              <w:spacing w:before="40" w:after="40" w:line="288" w:lineRule="auto"/>
              <w:ind w:right="1068"/>
              <w:jc w:val="right"/>
              <w:rPr>
                <w:rFonts w:ascii="Arial" w:hAnsi="Arial" w:cs="Arial"/>
                <w:sz w:val="20"/>
                <w:szCs w:val="20"/>
              </w:rPr>
            </w:pPr>
            <w:r w:rsidRPr="00934D25">
              <w:rPr>
                <w:rFonts w:ascii="Arial" w:hAnsi="Arial" w:cs="Arial"/>
                <w:sz w:val="20"/>
                <w:szCs w:val="20"/>
              </w:rPr>
              <w:t>14</w:t>
            </w:r>
            <w:r>
              <w:rPr>
                <w:rFonts w:ascii="Arial" w:hAnsi="Arial" w:cs="Arial"/>
                <w:sz w:val="20"/>
                <w:szCs w:val="20"/>
              </w:rPr>
              <w:t>.</w:t>
            </w:r>
            <w:r w:rsidRPr="00934D25">
              <w:rPr>
                <w:rFonts w:ascii="Arial" w:hAnsi="Arial" w:cs="Arial"/>
                <w:sz w:val="20"/>
                <w:szCs w:val="20"/>
              </w:rPr>
              <w:t>7</w:t>
            </w:r>
          </w:p>
        </w:tc>
      </w:tr>
      <w:tr w:rsidR="0063307A" w:rsidRPr="00D25A7C" w14:paraId="65300319" w14:textId="77777777" w:rsidTr="00B73CE3">
        <w:trPr>
          <w:trHeight w:val="317"/>
        </w:trPr>
        <w:tc>
          <w:tcPr>
            <w:tcW w:w="276" w:type="dxa"/>
            <w:tcBorders>
              <w:top w:val="nil"/>
              <w:left w:val="nil"/>
              <w:bottom w:val="nil"/>
              <w:right w:val="nil"/>
            </w:tcBorders>
            <w:shd w:val="clear" w:color="auto" w:fill="auto"/>
            <w:noWrap/>
            <w:vAlign w:val="center"/>
          </w:tcPr>
          <w:p w14:paraId="7DA80949" w14:textId="77777777" w:rsidR="0063307A" w:rsidRPr="00D25A7C" w:rsidRDefault="0063307A" w:rsidP="00B73CE3">
            <w:pPr>
              <w:spacing w:before="40" w:after="40" w:line="288" w:lineRule="auto"/>
              <w:rPr>
                <w:rFonts w:ascii="Arial" w:hAnsi="Arial" w:cs="Arial"/>
                <w:sz w:val="20"/>
                <w:szCs w:val="20"/>
                <w:lang w:val="en"/>
              </w:rPr>
            </w:pPr>
          </w:p>
        </w:tc>
        <w:tc>
          <w:tcPr>
            <w:tcW w:w="4209" w:type="dxa"/>
            <w:tcBorders>
              <w:top w:val="nil"/>
              <w:left w:val="nil"/>
              <w:bottom w:val="single" w:sz="4" w:space="0" w:color="auto"/>
              <w:right w:val="nil"/>
            </w:tcBorders>
            <w:shd w:val="clear" w:color="auto" w:fill="auto"/>
            <w:noWrap/>
            <w:vAlign w:val="bottom"/>
          </w:tcPr>
          <w:p w14:paraId="32792158" w14:textId="77777777" w:rsidR="0063307A" w:rsidRPr="00D25A7C" w:rsidRDefault="0063307A" w:rsidP="00B73CE3">
            <w:pPr>
              <w:spacing w:before="40" w:after="40" w:line="288" w:lineRule="auto"/>
              <w:rPr>
                <w:rFonts w:ascii="Arial" w:hAnsi="Arial" w:cs="Arial"/>
                <w:sz w:val="20"/>
                <w:szCs w:val="20"/>
                <w:lang w:val="en"/>
              </w:rPr>
            </w:pPr>
            <w:r w:rsidRPr="00B372C3">
              <w:rPr>
                <w:rFonts w:ascii="Arial" w:hAnsi="Arial" w:cs="Arial"/>
                <w:sz w:val="20"/>
                <w:szCs w:val="20"/>
                <w:lang w:val="en"/>
              </w:rPr>
              <w:t>Iron, steel</w:t>
            </w:r>
          </w:p>
        </w:tc>
        <w:tc>
          <w:tcPr>
            <w:tcW w:w="1963" w:type="dxa"/>
            <w:tcBorders>
              <w:top w:val="nil"/>
              <w:left w:val="nil"/>
              <w:bottom w:val="single" w:sz="4" w:space="0" w:color="auto"/>
              <w:right w:val="nil"/>
            </w:tcBorders>
            <w:shd w:val="clear" w:color="auto" w:fill="auto"/>
            <w:noWrap/>
            <w:vAlign w:val="bottom"/>
          </w:tcPr>
          <w:p w14:paraId="6C00EF21" w14:textId="77777777" w:rsidR="0063307A" w:rsidRPr="00AF38A3" w:rsidRDefault="0063307A" w:rsidP="00B73CE3">
            <w:pPr>
              <w:spacing w:before="40" w:after="40" w:line="288" w:lineRule="auto"/>
              <w:ind w:right="458" w:firstLine="28"/>
              <w:jc w:val="right"/>
              <w:rPr>
                <w:rFonts w:ascii="Arial" w:hAnsi="Arial" w:cs="Arial"/>
                <w:sz w:val="20"/>
                <w:szCs w:val="20"/>
              </w:rPr>
            </w:pPr>
            <w:r w:rsidRPr="00934D25">
              <w:rPr>
                <w:rFonts w:ascii="Arial" w:hAnsi="Arial" w:cs="Arial"/>
                <w:sz w:val="20"/>
                <w:szCs w:val="20"/>
              </w:rPr>
              <w:t>10</w:t>
            </w:r>
            <w:r>
              <w:rPr>
                <w:rFonts w:ascii="Arial" w:hAnsi="Arial" w:cs="Arial"/>
                <w:sz w:val="20"/>
                <w:szCs w:val="20"/>
              </w:rPr>
              <w:t>,</w:t>
            </w:r>
            <w:r w:rsidRPr="00934D25">
              <w:rPr>
                <w:rFonts w:ascii="Arial" w:hAnsi="Arial" w:cs="Arial"/>
                <w:sz w:val="20"/>
                <w:szCs w:val="20"/>
              </w:rPr>
              <w:t>477</w:t>
            </w:r>
          </w:p>
        </w:tc>
        <w:tc>
          <w:tcPr>
            <w:tcW w:w="2945" w:type="dxa"/>
            <w:tcBorders>
              <w:top w:val="nil"/>
              <w:left w:val="nil"/>
              <w:bottom w:val="single" w:sz="4" w:space="0" w:color="auto"/>
              <w:right w:val="nil"/>
            </w:tcBorders>
            <w:shd w:val="clear" w:color="auto" w:fill="auto"/>
            <w:noWrap/>
            <w:vAlign w:val="bottom"/>
          </w:tcPr>
          <w:p w14:paraId="7AE2ADBC" w14:textId="77777777" w:rsidR="0063307A" w:rsidRPr="00AF38A3" w:rsidRDefault="0063307A" w:rsidP="00B73CE3">
            <w:pPr>
              <w:spacing w:before="40" w:after="40" w:line="288" w:lineRule="auto"/>
              <w:ind w:right="1068"/>
              <w:jc w:val="right"/>
              <w:rPr>
                <w:rFonts w:ascii="Arial" w:hAnsi="Arial" w:cs="Arial"/>
                <w:sz w:val="20"/>
                <w:szCs w:val="20"/>
              </w:rPr>
            </w:pPr>
            <w:r w:rsidRPr="00934D25">
              <w:rPr>
                <w:rFonts w:ascii="Arial" w:hAnsi="Arial" w:cs="Arial"/>
                <w:sz w:val="20"/>
                <w:szCs w:val="20"/>
              </w:rPr>
              <w:t>23</w:t>
            </w:r>
            <w:r>
              <w:rPr>
                <w:rFonts w:ascii="Arial" w:hAnsi="Arial" w:cs="Arial"/>
                <w:sz w:val="20"/>
                <w:szCs w:val="20"/>
              </w:rPr>
              <w:t>.</w:t>
            </w:r>
            <w:r w:rsidRPr="00934D25">
              <w:rPr>
                <w:rFonts w:ascii="Arial" w:hAnsi="Arial" w:cs="Arial"/>
                <w:sz w:val="20"/>
                <w:szCs w:val="20"/>
              </w:rPr>
              <w:t>2</w:t>
            </w:r>
          </w:p>
        </w:tc>
      </w:tr>
    </w:tbl>
    <w:p w14:paraId="7DF3D562" w14:textId="77777777" w:rsidR="0063307A" w:rsidRPr="00D25A7C" w:rsidRDefault="0063307A" w:rsidP="0063307A">
      <w:pPr>
        <w:tabs>
          <w:tab w:val="num" w:pos="0"/>
          <w:tab w:val="left" w:pos="9475"/>
        </w:tabs>
        <w:spacing w:beforeLines="40" w:before="96" w:afterLines="40" w:after="96" w:line="264" w:lineRule="auto"/>
        <w:ind w:right="187" w:firstLine="567"/>
        <w:jc w:val="right"/>
        <w:rPr>
          <w:rFonts w:ascii="Arial" w:hAnsi="Arial" w:cs="Arial"/>
          <w:b/>
          <w:bCs/>
          <w:i/>
          <w:iCs/>
          <w:sz w:val="2"/>
          <w:szCs w:val="20"/>
        </w:rPr>
      </w:pPr>
      <w:r w:rsidRPr="00D25A7C">
        <w:rPr>
          <w:noProof/>
        </w:rPr>
        <mc:AlternateContent>
          <mc:Choice Requires="wps">
            <w:drawing>
              <wp:anchor distT="0" distB="0" distL="114300" distR="114300" simplePos="0" relativeHeight="251666432" behindDoc="0" locked="0" layoutInCell="1" allowOverlap="1" wp14:anchorId="7F61F21D" wp14:editId="6B92432F">
                <wp:simplePos x="0" y="0"/>
                <wp:positionH relativeFrom="column">
                  <wp:posOffset>81915</wp:posOffset>
                </wp:positionH>
                <wp:positionV relativeFrom="paragraph">
                  <wp:posOffset>170815</wp:posOffset>
                </wp:positionV>
                <wp:extent cx="3248025" cy="2725420"/>
                <wp:effectExtent l="0" t="0" r="9525" b="0"/>
                <wp:wrapSquare wrapText="bothSides"/>
                <wp:docPr id="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725420"/>
                        </a:xfrm>
                        <a:prstGeom prst="rect">
                          <a:avLst/>
                        </a:prstGeom>
                        <a:solidFill>
                          <a:srgbClr val="FFFFFF"/>
                        </a:solidFill>
                        <a:ln w="9525">
                          <a:noFill/>
                          <a:miter lim="800000"/>
                          <a:headEnd/>
                          <a:tailEnd/>
                        </a:ln>
                      </wps:spPr>
                      <wps:txbx>
                        <w:txbxContent>
                          <w:p w14:paraId="2866B63E" w14:textId="77777777" w:rsidR="0063307A" w:rsidRPr="004B4D22" w:rsidRDefault="0063307A" w:rsidP="0063307A">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Figure </w:t>
                            </w:r>
                            <w:r>
                              <w:rPr>
                                <w:rFonts w:ascii="Arial" w:hAnsi="Arial" w:cs="Arial"/>
                                <w:b/>
                                <w:bCs/>
                                <w:sz w:val="24"/>
                                <w:szCs w:val="24"/>
                              </w:rPr>
                              <w:t>13</w:t>
                            </w:r>
                            <w:r w:rsidRPr="004B4D22">
                              <w:rPr>
                                <w:rFonts w:ascii="Arial" w:hAnsi="Arial" w:cs="Arial"/>
                                <w:b/>
                                <w:bCs/>
                                <w:sz w:val="24"/>
                                <w:szCs w:val="24"/>
                              </w:rPr>
                              <w:t>. Structure of imported groups</w:t>
                            </w:r>
                          </w:p>
                          <w:p w14:paraId="076A218C" w14:textId="77777777" w:rsidR="0063307A" w:rsidRPr="004B4D22" w:rsidRDefault="0063307A" w:rsidP="0063307A">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10 months</w:t>
                            </w:r>
                            <w:r w:rsidRPr="004B4D22">
                              <w:rPr>
                                <w:rFonts w:ascii="Arial" w:hAnsi="Arial" w:cs="Arial"/>
                                <w:b/>
                                <w:bCs/>
                                <w:sz w:val="24"/>
                                <w:szCs w:val="24"/>
                              </w:rPr>
                              <w:t xml:space="preserve"> of 2024</w:t>
                            </w:r>
                          </w:p>
                          <w:p w14:paraId="0D95B41B" w14:textId="77777777" w:rsidR="0063307A" w:rsidRDefault="0063307A" w:rsidP="0063307A">
                            <w:pPr>
                              <w:ind w:left="-142"/>
                              <w:jc w:val="right"/>
                              <w:rPr>
                                <w:rFonts w:ascii="Arial" w:hAnsi="Arial" w:cs="Arial"/>
                                <w:sz w:val="24"/>
                                <w:szCs w:val="24"/>
                              </w:rPr>
                            </w:pPr>
                            <w:r w:rsidRPr="001A31AE">
                              <w:rPr>
                                <w:noProof/>
                              </w:rPr>
                              <w:drawing>
                                <wp:inline distT="0" distB="0" distL="0" distR="0" wp14:anchorId="432B24C8" wp14:editId="692EF69A">
                                  <wp:extent cx="3056255" cy="2012315"/>
                                  <wp:effectExtent l="0" t="0" r="0" b="6985"/>
                                  <wp:docPr id="14715568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6255" cy="2012315"/>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1F21D" id="Text Box 9" o:spid="_x0000_s1027" type="#_x0000_t202" style="position:absolute;left:0;text-align:left;margin-left:6.45pt;margin-top:13.45pt;width:255.75pt;height:21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" stroked="f">
                <v:textbox>
                  <w:txbxContent>
                    <w:p w14:paraId="2866B63E" w14:textId="77777777" w:rsidR="0063307A" w:rsidRPr="004B4D22" w:rsidRDefault="0063307A" w:rsidP="0063307A">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Figure </w:t>
                      </w:r>
                      <w:r>
                        <w:rPr>
                          <w:rFonts w:ascii="Arial" w:hAnsi="Arial" w:cs="Arial"/>
                          <w:b/>
                          <w:bCs/>
                          <w:sz w:val="24"/>
                          <w:szCs w:val="24"/>
                        </w:rPr>
                        <w:t>13</w:t>
                      </w:r>
                      <w:r w:rsidRPr="004B4D22">
                        <w:rPr>
                          <w:rFonts w:ascii="Arial" w:hAnsi="Arial" w:cs="Arial"/>
                          <w:b/>
                          <w:bCs/>
                          <w:sz w:val="24"/>
                          <w:szCs w:val="24"/>
                        </w:rPr>
                        <w:t>. Structure of imported groups</w:t>
                      </w:r>
                    </w:p>
                    <w:p w14:paraId="076A218C" w14:textId="77777777" w:rsidR="0063307A" w:rsidRPr="004B4D22" w:rsidRDefault="0063307A" w:rsidP="0063307A">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10 months</w:t>
                      </w:r>
                      <w:r w:rsidRPr="004B4D22">
                        <w:rPr>
                          <w:rFonts w:ascii="Arial" w:hAnsi="Arial" w:cs="Arial"/>
                          <w:b/>
                          <w:bCs/>
                          <w:sz w:val="24"/>
                          <w:szCs w:val="24"/>
                        </w:rPr>
                        <w:t xml:space="preserve"> of 2024</w:t>
                      </w:r>
                    </w:p>
                    <w:p w14:paraId="0D95B41B" w14:textId="77777777" w:rsidR="0063307A" w:rsidRDefault="0063307A" w:rsidP="0063307A">
                      <w:pPr>
                        <w:ind w:left="-142"/>
                        <w:jc w:val="right"/>
                        <w:rPr>
                          <w:rFonts w:ascii="Arial" w:hAnsi="Arial" w:cs="Arial"/>
                          <w:sz w:val="24"/>
                          <w:szCs w:val="24"/>
                        </w:rPr>
                      </w:pPr>
                      <w:r w:rsidRPr="001A31AE">
                        <w:rPr>
                          <w:noProof/>
                        </w:rPr>
                        <w:drawing>
                          <wp:inline distT="0" distB="0" distL="0" distR="0" wp14:anchorId="432B24C8" wp14:editId="692EF69A">
                            <wp:extent cx="3056255" cy="2012315"/>
                            <wp:effectExtent l="0" t="0" r="0" b="6985"/>
                            <wp:docPr id="14715568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6255" cy="2012315"/>
                                    </a:xfrm>
                                    <a:prstGeom prst="rect">
                                      <a:avLst/>
                                    </a:prstGeom>
                                    <a:noFill/>
                                    <a:ln>
                                      <a:noFill/>
                                    </a:ln>
                                  </pic:spPr>
                                </pic:pic>
                              </a:graphicData>
                            </a:graphic>
                          </wp:inline>
                        </w:drawing>
                      </w:r>
                    </w:p>
                  </w:txbxContent>
                </v:textbox>
                <w10:wrap type="square"/>
              </v:shape>
            </w:pict>
          </mc:Fallback>
        </mc:AlternateContent>
      </w:r>
    </w:p>
    <w:p w14:paraId="0E4E01BF" w14:textId="77777777" w:rsidR="0063307A" w:rsidRPr="001A31AE" w:rsidRDefault="0063307A" w:rsidP="0063307A">
      <w:pPr>
        <w:tabs>
          <w:tab w:val="left" w:pos="9475"/>
        </w:tabs>
        <w:spacing w:beforeLines="40" w:before="96" w:afterLines="40" w:after="96" w:line="259" w:lineRule="auto"/>
        <w:ind w:right="6"/>
        <w:jc w:val="both"/>
        <w:rPr>
          <w:rFonts w:eastAsia="Batang"/>
          <w:b/>
          <w:bCs/>
          <w:spacing w:val="-6"/>
        </w:rPr>
      </w:pPr>
      <w:r w:rsidRPr="00D25A7C">
        <w:rPr>
          <w:rFonts w:eastAsia="Batang"/>
          <w:i/>
          <w:iCs/>
          <w:noProof/>
          <w:spacing w:val="-6"/>
        </w:rPr>
        <w:t xml:space="preserve">Regarding the structure of imported groups </w:t>
      </w:r>
      <w:r w:rsidRPr="00D25A7C">
        <w:rPr>
          <w:rFonts w:eastAsia="Batang"/>
          <w:bCs/>
          <w:i/>
          <w:iCs/>
          <w:spacing w:val="-6"/>
        </w:rPr>
        <w:t xml:space="preserve">in </w:t>
      </w:r>
      <w:r>
        <w:rPr>
          <w:rFonts w:eastAsia="Batang"/>
          <w:bCs/>
          <w:i/>
          <w:iCs/>
          <w:spacing w:val="-6"/>
        </w:rPr>
        <w:t>ten months</w:t>
      </w:r>
      <w:r w:rsidRPr="00D25A7C">
        <w:rPr>
          <w:rFonts w:eastAsia="Batang"/>
          <w:bCs/>
          <w:i/>
          <w:iCs/>
          <w:spacing w:val="-6"/>
        </w:rPr>
        <w:t xml:space="preserve"> of 2024, </w:t>
      </w:r>
      <w:r w:rsidRPr="00D25A7C">
        <w:rPr>
          <w:rFonts w:eastAsia="Batang"/>
          <w:bCs/>
          <w:spacing w:val="-6"/>
        </w:rPr>
        <w:t xml:space="preserve">the group of production materials was estimated at </w:t>
      </w:r>
      <w:r>
        <w:rPr>
          <w:rFonts w:eastAsia="Batang"/>
          <w:bCs/>
          <w:spacing w:val="-6"/>
        </w:rPr>
        <w:t>292.57</w:t>
      </w:r>
      <w:r w:rsidRPr="00D25A7C">
        <w:rPr>
          <w:rFonts w:eastAsia="Batang"/>
          <w:bCs/>
          <w:spacing w:val="-6"/>
        </w:rPr>
        <w:t xml:space="preserve"> billion USD, accounted for 9</w:t>
      </w:r>
      <w:r>
        <w:rPr>
          <w:rFonts w:eastAsia="Batang"/>
          <w:bCs/>
          <w:spacing w:val="-6"/>
        </w:rPr>
        <w:t>3.7</w:t>
      </w:r>
      <w:r w:rsidRPr="00D25A7C">
        <w:rPr>
          <w:rFonts w:eastAsia="Batang"/>
          <w:bCs/>
          <w:spacing w:val="-6"/>
        </w:rPr>
        <w:t>%, in which the group of machinery, equipment, tools spare parts accounted for 4</w:t>
      </w:r>
      <w:r>
        <w:rPr>
          <w:rFonts w:eastAsia="Batang"/>
          <w:bCs/>
          <w:spacing w:val="-6"/>
        </w:rPr>
        <w:t>7.3</w:t>
      </w:r>
      <w:r w:rsidRPr="00D25A7C">
        <w:rPr>
          <w:rFonts w:eastAsia="Batang"/>
          <w:bCs/>
          <w:spacing w:val="-6"/>
        </w:rPr>
        <w:t>%; raw materials, fuel and materials accounted for 4</w:t>
      </w:r>
      <w:r>
        <w:rPr>
          <w:rFonts w:eastAsia="Batang"/>
          <w:bCs/>
          <w:spacing w:val="-6"/>
        </w:rPr>
        <w:t>6.4</w:t>
      </w:r>
      <w:r w:rsidRPr="00D25A7C">
        <w:rPr>
          <w:rFonts w:eastAsia="Batang"/>
          <w:bCs/>
          <w:spacing w:val="-6"/>
        </w:rPr>
        <w:t xml:space="preserve">%. The group of consumer products was estimated at </w:t>
      </w:r>
      <w:r>
        <w:rPr>
          <w:rFonts w:eastAsia="Batang"/>
          <w:bCs/>
          <w:spacing w:val="-6"/>
        </w:rPr>
        <w:t>19.71</w:t>
      </w:r>
      <w:r w:rsidRPr="00D25A7C">
        <w:rPr>
          <w:rFonts w:eastAsia="Batang"/>
          <w:bCs/>
          <w:spacing w:val="-6"/>
        </w:rPr>
        <w:t xml:space="preserve"> billion USD, accounted for 6</w:t>
      </w:r>
      <w:r>
        <w:rPr>
          <w:rFonts w:eastAsia="Batang"/>
          <w:bCs/>
          <w:spacing w:val="-6"/>
        </w:rPr>
        <w:t>.3</w:t>
      </w:r>
      <w:r w:rsidRPr="00D25A7C">
        <w:rPr>
          <w:rFonts w:eastAsia="Batang"/>
          <w:bCs/>
          <w:spacing w:val="-6"/>
        </w:rPr>
        <w:t>%</w:t>
      </w:r>
      <w:r>
        <w:rPr>
          <w:rFonts w:eastAsia="Batang"/>
          <w:bCs/>
          <w:spacing w:val="-6"/>
        </w:rPr>
        <w:t>.</w:t>
      </w:r>
    </w:p>
    <w:p w14:paraId="61A5BAA7" w14:textId="77777777" w:rsidR="0063307A" w:rsidRPr="00C92367" w:rsidRDefault="0063307A" w:rsidP="0063307A">
      <w:pPr>
        <w:tabs>
          <w:tab w:val="num" w:pos="0"/>
          <w:tab w:val="left" w:pos="9475"/>
        </w:tabs>
        <w:spacing w:beforeLines="100" w:before="240" w:afterLines="100" w:after="240" w:line="264" w:lineRule="auto"/>
        <w:ind w:right="6" w:firstLine="567"/>
        <w:jc w:val="both"/>
        <w:rPr>
          <w:i/>
          <w:spacing w:val="-2"/>
        </w:rPr>
      </w:pPr>
      <w:r w:rsidRPr="00C92367">
        <w:rPr>
          <w:bCs/>
          <w:i/>
          <w:spacing w:val="-2"/>
          <w:lang w:val="en"/>
        </w:rPr>
        <w:t xml:space="preserve">Regarding the export and import market of goods in </w:t>
      </w:r>
      <w:r>
        <w:rPr>
          <w:bCs/>
          <w:i/>
          <w:spacing w:val="-2"/>
          <w:lang w:val="en"/>
        </w:rPr>
        <w:t>ten months</w:t>
      </w:r>
      <w:r w:rsidRPr="00C92367">
        <w:rPr>
          <w:bCs/>
          <w:i/>
          <w:spacing w:val="-2"/>
          <w:lang w:val="en"/>
        </w:rPr>
        <w:t xml:space="preserve"> of 2024, </w:t>
      </w:r>
      <w:r w:rsidRPr="00C92367">
        <w:rPr>
          <w:bCs/>
          <w:iCs/>
          <w:spacing w:val="-2"/>
          <w:lang w:val="en"/>
        </w:rPr>
        <w:t xml:space="preserve">the United States was the Viet Nam's largest export market with a turnover of </w:t>
      </w:r>
      <w:r>
        <w:rPr>
          <w:bCs/>
          <w:iCs/>
          <w:spacing w:val="-2"/>
          <w:lang w:val="en"/>
        </w:rPr>
        <w:t>98.4</w:t>
      </w:r>
      <w:r w:rsidRPr="00C92367">
        <w:rPr>
          <w:bCs/>
          <w:iCs/>
          <w:spacing w:val="-2"/>
          <w:lang w:val="en"/>
        </w:rPr>
        <w:t xml:space="preserve"> billion USD.</w:t>
      </w:r>
      <w:r w:rsidRPr="00C92367">
        <w:rPr>
          <w:bCs/>
          <w:iCs/>
          <w:spacing w:val="-2"/>
        </w:rPr>
        <w:t xml:space="preserve"> China remained the largest import market of Viet Nam with a turnover of </w:t>
      </w:r>
      <w:r>
        <w:rPr>
          <w:bCs/>
          <w:iCs/>
          <w:spacing w:val="-2"/>
        </w:rPr>
        <w:t>117.7</w:t>
      </w:r>
      <w:r w:rsidRPr="00C92367">
        <w:rPr>
          <w:bCs/>
          <w:iCs/>
          <w:spacing w:val="-2"/>
        </w:rPr>
        <w:t xml:space="preserve"> billion USD. </w:t>
      </w:r>
      <w:r w:rsidRPr="00C92367">
        <w:rPr>
          <w:bCs/>
          <w:iCs/>
          <w:spacing w:val="-2"/>
          <w:lang w:val="en"/>
        </w:rPr>
        <w:t xml:space="preserve">In </w:t>
      </w:r>
      <w:r>
        <w:rPr>
          <w:bCs/>
          <w:iCs/>
          <w:spacing w:val="-2"/>
          <w:lang w:val="en"/>
        </w:rPr>
        <w:t>ten months</w:t>
      </w:r>
      <w:r w:rsidRPr="00C92367">
        <w:rPr>
          <w:bCs/>
          <w:iCs/>
          <w:spacing w:val="-2"/>
          <w:lang w:val="en"/>
        </w:rPr>
        <w:t xml:space="preserve"> of 2024, the trade surplus to the United States reached </w:t>
      </w:r>
      <w:r>
        <w:rPr>
          <w:bCs/>
          <w:iCs/>
          <w:spacing w:val="-2"/>
          <w:lang w:val="en"/>
        </w:rPr>
        <w:t>86.1</w:t>
      </w:r>
      <w:r w:rsidRPr="00C92367">
        <w:rPr>
          <w:bCs/>
          <w:iCs/>
          <w:spacing w:val="-2"/>
          <w:lang w:val="en"/>
        </w:rPr>
        <w:t xml:space="preserve"> billion USD, up 26</w:t>
      </w:r>
      <w:r>
        <w:rPr>
          <w:bCs/>
          <w:iCs/>
          <w:spacing w:val="-2"/>
          <w:lang w:val="en"/>
        </w:rPr>
        <w:t>.9</w:t>
      </w:r>
      <w:r w:rsidRPr="00C92367">
        <w:rPr>
          <w:bCs/>
          <w:iCs/>
          <w:spacing w:val="-2"/>
          <w:lang w:val="en"/>
        </w:rPr>
        <w:t>% over the same period last year; the trade surplus to the EU 2</w:t>
      </w:r>
      <w:r>
        <w:rPr>
          <w:bCs/>
          <w:iCs/>
          <w:spacing w:val="-2"/>
          <w:lang w:val="en"/>
        </w:rPr>
        <w:t>8.5</w:t>
      </w:r>
      <w:r w:rsidRPr="00C92367">
        <w:rPr>
          <w:bCs/>
          <w:iCs/>
          <w:spacing w:val="-2"/>
          <w:lang w:val="en"/>
        </w:rPr>
        <w:t xml:space="preserve"> billion USD, up </w:t>
      </w:r>
      <w:r>
        <w:rPr>
          <w:bCs/>
          <w:iCs/>
          <w:spacing w:val="-2"/>
          <w:lang w:val="en"/>
        </w:rPr>
        <w:t>18.6</w:t>
      </w:r>
      <w:r w:rsidRPr="00C92367">
        <w:rPr>
          <w:bCs/>
          <w:iCs/>
          <w:spacing w:val="-2"/>
          <w:lang w:val="en"/>
        </w:rPr>
        <w:t xml:space="preserve">%; the trade surplus to Japan was </w:t>
      </w:r>
      <w:r>
        <w:rPr>
          <w:bCs/>
          <w:iCs/>
          <w:spacing w:val="-2"/>
          <w:lang w:val="en"/>
        </w:rPr>
        <w:t>2.4</w:t>
      </w:r>
      <w:r w:rsidRPr="00C92367">
        <w:rPr>
          <w:bCs/>
          <w:iCs/>
          <w:spacing w:val="-2"/>
          <w:lang w:val="en"/>
        </w:rPr>
        <w:t xml:space="preserve"> billion USD, </w:t>
      </w:r>
      <w:r>
        <w:rPr>
          <w:bCs/>
          <w:iCs/>
          <w:spacing w:val="-2"/>
          <w:lang w:val="en"/>
        </w:rPr>
        <w:t>up</w:t>
      </w:r>
      <w:r w:rsidRPr="00C92367">
        <w:rPr>
          <w:bCs/>
          <w:iCs/>
          <w:spacing w:val="-2"/>
          <w:lang w:val="en"/>
        </w:rPr>
        <w:t xml:space="preserve"> </w:t>
      </w:r>
      <w:r>
        <w:rPr>
          <w:bCs/>
          <w:iCs/>
          <w:spacing w:val="-2"/>
          <w:lang w:val="en"/>
        </w:rPr>
        <w:t>56.9</w:t>
      </w:r>
      <w:r w:rsidRPr="00C92367">
        <w:rPr>
          <w:bCs/>
          <w:iCs/>
          <w:spacing w:val="-2"/>
          <w:lang w:val="en"/>
        </w:rPr>
        <w:t xml:space="preserve">%; the trade deficit from China was </w:t>
      </w:r>
      <w:r>
        <w:rPr>
          <w:bCs/>
          <w:iCs/>
          <w:spacing w:val="-2"/>
          <w:lang w:val="en"/>
        </w:rPr>
        <w:t>66.9</w:t>
      </w:r>
      <w:r w:rsidRPr="00C92367">
        <w:rPr>
          <w:bCs/>
          <w:iCs/>
          <w:spacing w:val="-2"/>
          <w:lang w:val="en"/>
        </w:rPr>
        <w:t xml:space="preserve"> billion USD, went </w:t>
      </w:r>
      <w:r w:rsidRPr="00C92367">
        <w:rPr>
          <w:bCs/>
          <w:iCs/>
          <w:spacing w:val="-2"/>
          <w:lang w:val="en"/>
        </w:rPr>
        <w:lastRenderedPageBreak/>
        <w:t>up 6</w:t>
      </w:r>
      <w:r>
        <w:rPr>
          <w:bCs/>
          <w:iCs/>
          <w:spacing w:val="-2"/>
          <w:lang w:val="en"/>
        </w:rPr>
        <w:t>8</w:t>
      </w:r>
      <w:r w:rsidRPr="00C92367">
        <w:rPr>
          <w:bCs/>
          <w:iCs/>
          <w:spacing w:val="-2"/>
          <w:lang w:val="en"/>
        </w:rPr>
        <w:t>.</w:t>
      </w:r>
      <w:r>
        <w:rPr>
          <w:bCs/>
          <w:iCs/>
          <w:spacing w:val="-2"/>
          <w:lang w:val="en"/>
        </w:rPr>
        <w:t>5</w:t>
      </w:r>
      <w:r w:rsidRPr="00C92367">
        <w:rPr>
          <w:bCs/>
          <w:iCs/>
          <w:spacing w:val="-2"/>
          <w:lang w:val="en"/>
        </w:rPr>
        <w:t xml:space="preserve">%; the trade deficit from Korea was </w:t>
      </w:r>
      <w:r>
        <w:rPr>
          <w:bCs/>
          <w:iCs/>
          <w:spacing w:val="-2"/>
          <w:lang w:val="en"/>
        </w:rPr>
        <w:t>25.3</w:t>
      </w:r>
      <w:r w:rsidRPr="00C92367">
        <w:rPr>
          <w:bCs/>
          <w:iCs/>
          <w:spacing w:val="-2"/>
          <w:lang w:val="en"/>
        </w:rPr>
        <w:t xml:space="preserve"> billion USD, went up </w:t>
      </w:r>
      <w:r>
        <w:rPr>
          <w:bCs/>
          <w:iCs/>
          <w:spacing w:val="-2"/>
          <w:lang w:val="en"/>
        </w:rPr>
        <w:t>8</w:t>
      </w:r>
      <w:r w:rsidRPr="00C92367">
        <w:rPr>
          <w:bCs/>
          <w:iCs/>
          <w:spacing w:val="-2"/>
          <w:lang w:val="en"/>
        </w:rPr>
        <w:t>.</w:t>
      </w:r>
      <w:r>
        <w:rPr>
          <w:bCs/>
          <w:iCs/>
          <w:spacing w:val="-2"/>
          <w:lang w:val="en"/>
        </w:rPr>
        <w:t>1</w:t>
      </w:r>
      <w:r w:rsidRPr="00C92367">
        <w:rPr>
          <w:bCs/>
          <w:iCs/>
          <w:spacing w:val="-2"/>
          <w:lang w:val="en"/>
        </w:rPr>
        <w:t xml:space="preserve">%; the trade deficit from ASEAN was </w:t>
      </w:r>
      <w:r>
        <w:rPr>
          <w:bCs/>
          <w:iCs/>
          <w:spacing w:val="-2"/>
          <w:lang w:val="en"/>
        </w:rPr>
        <w:t>7.3</w:t>
      </w:r>
      <w:r w:rsidRPr="00C92367">
        <w:rPr>
          <w:bCs/>
          <w:iCs/>
          <w:spacing w:val="-2"/>
          <w:lang w:val="en"/>
        </w:rPr>
        <w:t xml:space="preserve"> billion USD, increased by </w:t>
      </w:r>
      <w:r>
        <w:rPr>
          <w:bCs/>
          <w:iCs/>
          <w:spacing w:val="-2"/>
          <w:lang w:val="en"/>
        </w:rPr>
        <w:t>6.4</w:t>
      </w:r>
      <w:r w:rsidRPr="00C92367">
        <w:rPr>
          <w:bCs/>
          <w:iCs/>
          <w:spacing w:val="-2"/>
          <w:lang w:val="en"/>
        </w:rPr>
        <w:t>%.</w:t>
      </w:r>
    </w:p>
    <w:p w14:paraId="2DF67056" w14:textId="4B1AD5B0" w:rsidR="0063307A" w:rsidRPr="00D25A7C" w:rsidRDefault="0063307A" w:rsidP="0063307A">
      <w:pPr>
        <w:tabs>
          <w:tab w:val="num" w:pos="0"/>
          <w:tab w:val="left" w:pos="9475"/>
        </w:tabs>
        <w:spacing w:beforeLines="40" w:before="96" w:afterLines="40" w:after="96" w:line="264" w:lineRule="auto"/>
        <w:ind w:right="6" w:firstLine="567"/>
        <w:jc w:val="center"/>
        <w:rPr>
          <w:rFonts w:ascii="Arial" w:hAnsi="Arial" w:cs="Arial"/>
          <w:b/>
          <w:iCs/>
          <w:sz w:val="24"/>
          <w:szCs w:val="24"/>
        </w:rPr>
      </w:pPr>
      <w:r w:rsidRPr="00D25A7C">
        <w:rPr>
          <w:rFonts w:ascii="Arial" w:hAnsi="Arial" w:cs="Arial"/>
          <w:b/>
          <w:iCs/>
          <w:sz w:val="24"/>
          <w:szCs w:val="24"/>
          <w:lang w:val="en"/>
        </w:rPr>
        <w:t>Figure 1</w:t>
      </w:r>
      <w:r>
        <w:rPr>
          <w:rFonts w:ascii="Arial" w:hAnsi="Arial" w:cs="Arial"/>
          <w:b/>
          <w:iCs/>
          <w:sz w:val="24"/>
          <w:szCs w:val="24"/>
          <w:lang w:val="en"/>
        </w:rPr>
        <w:t>4</w:t>
      </w:r>
      <w:r w:rsidRPr="00D25A7C">
        <w:rPr>
          <w:rFonts w:ascii="Arial" w:hAnsi="Arial" w:cs="Arial"/>
          <w:b/>
          <w:iCs/>
          <w:sz w:val="24"/>
          <w:szCs w:val="24"/>
          <w:lang w:val="en"/>
        </w:rPr>
        <w:t xml:space="preserve">. Major commodities import and export markets </w:t>
      </w:r>
      <w:r w:rsidRPr="00D25A7C">
        <w:rPr>
          <w:rFonts w:ascii="Arial" w:hAnsi="Arial" w:cs="Arial"/>
          <w:b/>
          <w:iCs/>
          <w:sz w:val="24"/>
          <w:szCs w:val="24"/>
          <w:lang w:val="en"/>
        </w:rPr>
        <w:br/>
        <w:t xml:space="preserve"> in </w:t>
      </w:r>
      <w:r>
        <w:rPr>
          <w:rFonts w:ascii="Arial" w:hAnsi="Arial" w:cs="Arial"/>
          <w:b/>
          <w:iCs/>
          <w:sz w:val="24"/>
          <w:szCs w:val="24"/>
          <w:lang w:val="en"/>
        </w:rPr>
        <w:t>10 months</w:t>
      </w:r>
      <w:r w:rsidRPr="00D25A7C">
        <w:rPr>
          <w:rFonts w:ascii="Arial" w:hAnsi="Arial" w:cs="Arial"/>
          <w:b/>
          <w:iCs/>
          <w:sz w:val="24"/>
          <w:szCs w:val="24"/>
          <w:lang w:val="en"/>
        </w:rPr>
        <w:t xml:space="preserve"> of 2024</w:t>
      </w:r>
    </w:p>
    <w:tbl>
      <w:tblPr>
        <w:tblStyle w:val="TableGrid2"/>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8"/>
        <w:gridCol w:w="604"/>
        <w:gridCol w:w="2212"/>
        <w:gridCol w:w="2770"/>
        <w:gridCol w:w="1413"/>
        <w:gridCol w:w="523"/>
      </w:tblGrid>
      <w:tr w:rsidR="0063307A" w:rsidRPr="00D25A7C" w14:paraId="5EF3F242" w14:textId="77777777" w:rsidTr="00B73CE3">
        <w:trPr>
          <w:trHeight w:val="3989"/>
          <w:jc w:val="center"/>
        </w:trPr>
        <w:tc>
          <w:tcPr>
            <w:tcW w:w="4564" w:type="dxa"/>
            <w:gridSpan w:val="3"/>
            <w:hideMark/>
          </w:tcPr>
          <w:p w14:paraId="62405AA6" w14:textId="77777777" w:rsidR="0063307A" w:rsidRPr="00D25A7C" w:rsidRDefault="0063307A" w:rsidP="00B73CE3">
            <w:pPr>
              <w:tabs>
                <w:tab w:val="num" w:pos="0"/>
                <w:tab w:val="left" w:pos="9475"/>
              </w:tabs>
              <w:spacing w:beforeLines="40" w:before="96" w:afterLines="40" w:after="96" w:line="264" w:lineRule="auto"/>
              <w:ind w:right="-118"/>
              <w:jc w:val="both"/>
              <w:rPr>
                <w:iCs/>
              </w:rPr>
            </w:pPr>
            <w:r>
              <w:rPr>
                <w:noProof/>
              </w:rPr>
              <w:drawing>
                <wp:inline distT="0" distB="0" distL="0" distR="0" wp14:anchorId="65285DA1" wp14:editId="589CD78F">
                  <wp:extent cx="2814452" cy="2312670"/>
                  <wp:effectExtent l="0" t="0" r="5080" b="11430"/>
                  <wp:docPr id="763371889" name="Chart 1">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706" w:type="dxa"/>
            <w:gridSpan w:val="3"/>
            <w:hideMark/>
          </w:tcPr>
          <w:p w14:paraId="59E2701D" w14:textId="77777777" w:rsidR="0063307A" w:rsidRPr="00D25A7C" w:rsidRDefault="0063307A" w:rsidP="00B73CE3">
            <w:pPr>
              <w:tabs>
                <w:tab w:val="num" w:pos="-134"/>
                <w:tab w:val="left" w:pos="9475"/>
              </w:tabs>
              <w:spacing w:beforeLines="40" w:before="96" w:afterLines="40" w:after="96" w:line="264" w:lineRule="auto"/>
              <w:ind w:right="6" w:hanging="134"/>
              <w:jc w:val="both"/>
              <w:rPr>
                <w:iCs/>
              </w:rPr>
            </w:pPr>
            <w:r>
              <w:rPr>
                <w:noProof/>
              </w:rPr>
              <w:drawing>
                <wp:inline distT="0" distB="0" distL="0" distR="0" wp14:anchorId="14065C46" wp14:editId="530E9C4E">
                  <wp:extent cx="2851150" cy="2312670"/>
                  <wp:effectExtent l="0" t="0" r="6350" b="11430"/>
                  <wp:docPr id="1148816549" name="Chart 1">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63307A" w:rsidRPr="00D25A7C" w14:paraId="22A1445E" w14:textId="77777777" w:rsidTr="00B73CE3">
        <w:trPr>
          <w:gridAfter w:val="1"/>
          <w:wAfter w:w="523" w:type="dxa"/>
          <w:trHeight w:val="160"/>
          <w:jc w:val="center"/>
        </w:trPr>
        <w:tc>
          <w:tcPr>
            <w:tcW w:w="1748" w:type="dxa"/>
          </w:tcPr>
          <w:p w14:paraId="4FA1B321" w14:textId="77777777" w:rsidR="0063307A" w:rsidRPr="00D25A7C" w:rsidRDefault="0063307A" w:rsidP="00B73CE3">
            <w:pPr>
              <w:spacing w:beforeLines="40" w:before="96" w:afterLines="40" w:after="96" w:line="264" w:lineRule="auto"/>
              <w:ind w:firstLine="567"/>
              <w:jc w:val="both"/>
              <w:rPr>
                <w:b/>
                <w:bCs/>
                <w:i/>
                <w:iCs/>
              </w:rPr>
            </w:pPr>
          </w:p>
        </w:tc>
        <w:tc>
          <w:tcPr>
            <w:tcW w:w="604" w:type="dxa"/>
          </w:tcPr>
          <w:p w14:paraId="0961DB13" w14:textId="77777777" w:rsidR="0063307A" w:rsidRPr="00D25A7C" w:rsidRDefault="0063307A" w:rsidP="00B73CE3">
            <w:pPr>
              <w:spacing w:beforeLines="40" w:before="96" w:afterLines="40" w:after="96" w:line="264" w:lineRule="auto"/>
              <w:ind w:firstLine="567"/>
              <w:jc w:val="both"/>
              <w:rPr>
                <w:b/>
                <w:bCs/>
                <w:i/>
                <w:iCs/>
                <w:color w:val="FF0000"/>
              </w:rPr>
            </w:pPr>
          </w:p>
        </w:tc>
        <w:tc>
          <w:tcPr>
            <w:tcW w:w="2212" w:type="dxa"/>
            <w:hideMark/>
          </w:tcPr>
          <w:p w14:paraId="0A1E1277" w14:textId="77777777" w:rsidR="0063307A" w:rsidRPr="00D25A7C" w:rsidRDefault="0063307A" w:rsidP="00B73CE3">
            <w:pPr>
              <w:spacing w:beforeLines="40" w:before="96" w:afterLines="40" w:after="96" w:line="264" w:lineRule="auto"/>
              <w:ind w:firstLine="567"/>
              <w:jc w:val="both"/>
              <w:rPr>
                <w:b/>
                <w:bCs/>
                <w:i/>
                <w:iCs/>
              </w:rPr>
            </w:pPr>
            <w:r w:rsidRPr="00D25A7C">
              <w:rPr>
                <w:noProof/>
              </w:rPr>
              <mc:AlternateContent>
                <mc:Choice Requires="wps">
                  <w:drawing>
                    <wp:anchor distT="0" distB="0" distL="114300" distR="114300" simplePos="0" relativeHeight="251664384" behindDoc="0" locked="0" layoutInCell="1" allowOverlap="1" wp14:anchorId="728F42FC" wp14:editId="7D09B7E7">
                      <wp:simplePos x="0" y="0"/>
                      <wp:positionH relativeFrom="column">
                        <wp:posOffset>98425</wp:posOffset>
                      </wp:positionH>
                      <wp:positionV relativeFrom="paragraph">
                        <wp:posOffset>36195</wp:posOffset>
                      </wp:positionV>
                      <wp:extent cx="125730" cy="90170"/>
                      <wp:effectExtent l="0" t="0" r="0" b="0"/>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E854A" id="Rectangle 7" o:spid="_x0000_s1026" style="position:absolute;margin-left:7.75pt;margin-top:2.85pt;width:9.9pt;height: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" fillcolor="#c00000" stroked="f" strokeweight="1pt"/>
                  </w:pict>
                </mc:Fallback>
              </mc:AlternateContent>
            </w:r>
            <w:r w:rsidRPr="00D25A7C">
              <w:rPr>
                <w:rFonts w:ascii="Arial" w:hAnsi="Arial" w:cs="Arial"/>
                <w:b/>
                <w:bCs/>
                <w:iCs/>
                <w:sz w:val="16"/>
                <w:szCs w:val="16"/>
              </w:rPr>
              <w:t>Export of goods</w:t>
            </w:r>
          </w:p>
        </w:tc>
        <w:tc>
          <w:tcPr>
            <w:tcW w:w="2770" w:type="dxa"/>
            <w:hideMark/>
          </w:tcPr>
          <w:p w14:paraId="3EB7194D" w14:textId="77777777" w:rsidR="0063307A" w:rsidRPr="00D25A7C" w:rsidRDefault="0063307A" w:rsidP="00B73CE3">
            <w:pPr>
              <w:spacing w:beforeLines="40" w:before="96" w:afterLines="40" w:after="96" w:line="264" w:lineRule="auto"/>
              <w:ind w:firstLine="567"/>
              <w:jc w:val="both"/>
              <w:rPr>
                <w:b/>
                <w:bCs/>
                <w:i/>
                <w:iCs/>
              </w:rPr>
            </w:pPr>
            <w:r w:rsidRPr="00D25A7C">
              <w:rPr>
                <w:noProof/>
              </w:rPr>
              <mc:AlternateContent>
                <mc:Choice Requires="wps">
                  <w:drawing>
                    <wp:anchor distT="0" distB="0" distL="114300" distR="114300" simplePos="0" relativeHeight="251665408" behindDoc="0" locked="0" layoutInCell="1" allowOverlap="1" wp14:anchorId="78E10A95" wp14:editId="6C5FE518">
                      <wp:simplePos x="0" y="0"/>
                      <wp:positionH relativeFrom="column">
                        <wp:posOffset>109855</wp:posOffset>
                      </wp:positionH>
                      <wp:positionV relativeFrom="paragraph">
                        <wp:posOffset>36195</wp:posOffset>
                      </wp:positionV>
                      <wp:extent cx="125730" cy="90170"/>
                      <wp:effectExtent l="0" t="0" r="26670" b="24130"/>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cap="flat" cmpd="sng" algn="ctr">
                                <a:solidFill>
                                  <a:srgbClr val="E7E6E6">
                                    <a:lumMod val="2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99C0A" id="Rectangle 6" o:spid="_x0000_s1026" style="position:absolute;margin-left:8.65pt;margin-top:2.85pt;width:9.9pt;height: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" fillcolor="yellow" strokecolor="#3b3838" strokeweight=".5pt">
                      <v:path arrowok="t"/>
                    </v:rect>
                  </w:pict>
                </mc:Fallback>
              </mc:AlternateContent>
            </w:r>
            <w:r w:rsidRPr="00D25A7C">
              <w:rPr>
                <w:rFonts w:ascii="Arial" w:hAnsi="Arial" w:cs="Arial"/>
                <w:b/>
                <w:bCs/>
                <w:iCs/>
                <w:sz w:val="16"/>
                <w:szCs w:val="16"/>
              </w:rPr>
              <w:t>Import of goods</w:t>
            </w:r>
          </w:p>
        </w:tc>
        <w:tc>
          <w:tcPr>
            <w:tcW w:w="1413" w:type="dxa"/>
          </w:tcPr>
          <w:p w14:paraId="1152700C" w14:textId="77777777" w:rsidR="0063307A" w:rsidRPr="00D25A7C" w:rsidRDefault="0063307A" w:rsidP="00B73CE3">
            <w:pPr>
              <w:spacing w:beforeLines="40" w:before="96" w:afterLines="40" w:after="96" w:line="264" w:lineRule="auto"/>
              <w:ind w:firstLine="567"/>
              <w:jc w:val="both"/>
              <w:rPr>
                <w:b/>
                <w:bCs/>
                <w:i/>
                <w:iCs/>
              </w:rPr>
            </w:pPr>
          </w:p>
        </w:tc>
      </w:tr>
    </w:tbl>
    <w:p w14:paraId="1FC892FB" w14:textId="77777777" w:rsidR="0063307A" w:rsidRPr="00D25A7C" w:rsidRDefault="0063307A" w:rsidP="0063307A">
      <w:pPr>
        <w:spacing w:beforeLines="40" w:before="96" w:afterLines="40" w:after="96" w:line="264" w:lineRule="auto"/>
        <w:ind w:firstLine="567"/>
        <w:jc w:val="both"/>
        <w:rPr>
          <w:iCs/>
        </w:rPr>
      </w:pPr>
      <w:r w:rsidRPr="00D25A7C">
        <w:rPr>
          <w:i/>
        </w:rPr>
        <w:t xml:space="preserve">The </w:t>
      </w:r>
      <w:r w:rsidRPr="00AE4A46">
        <w:rPr>
          <w:i/>
        </w:rPr>
        <w:t>preliminary</w:t>
      </w:r>
      <w:r>
        <w:rPr>
          <w:i/>
        </w:rPr>
        <w:t xml:space="preserve"> </w:t>
      </w:r>
      <w:r w:rsidRPr="00D25A7C">
        <w:rPr>
          <w:i/>
        </w:rPr>
        <w:t>trade balance of goods</w:t>
      </w:r>
      <w:r w:rsidRPr="00D25A7C">
        <w:rPr>
          <w:iCs/>
        </w:rPr>
        <w:t xml:space="preserve"> in </w:t>
      </w:r>
      <w:r>
        <w:rPr>
          <w:iCs/>
        </w:rPr>
        <w:t>September</w:t>
      </w:r>
      <w:r w:rsidRPr="00D25A7C">
        <w:rPr>
          <w:iCs/>
          <w:lang w:val="en"/>
        </w:rPr>
        <w:t xml:space="preserve"> had a trade </w:t>
      </w:r>
      <w:r>
        <w:rPr>
          <w:iCs/>
          <w:lang w:val="en"/>
        </w:rPr>
        <w:t>surplus</w:t>
      </w:r>
      <w:r w:rsidRPr="00D25A7C">
        <w:rPr>
          <w:iCs/>
          <w:lang w:val="en"/>
        </w:rPr>
        <w:t xml:space="preserve"> of </w:t>
      </w:r>
      <w:r>
        <w:rPr>
          <w:iCs/>
          <w:lang w:val="en"/>
        </w:rPr>
        <w:t xml:space="preserve">2.32 </w:t>
      </w:r>
      <w:r w:rsidRPr="00D25A7C">
        <w:rPr>
          <w:iCs/>
          <w:lang w:val="en"/>
        </w:rPr>
        <w:t>billion USD</w:t>
      </w:r>
      <w:r w:rsidRPr="00D25A7C">
        <w:rPr>
          <w:vertAlign w:val="superscript"/>
          <w:lang w:val="en"/>
        </w:rPr>
        <w:footnoteReference w:id="20"/>
      </w:r>
      <w:r w:rsidRPr="00D25A7C">
        <w:rPr>
          <w:iCs/>
          <w:lang w:val="en"/>
        </w:rPr>
        <w:t xml:space="preserve">; </w:t>
      </w:r>
      <w:r w:rsidRPr="00AE4A46">
        <w:rPr>
          <w:iCs/>
          <w:lang w:val="en"/>
        </w:rPr>
        <w:t xml:space="preserve">the </w:t>
      </w:r>
      <w:r>
        <w:rPr>
          <w:iCs/>
          <w:lang w:val="en"/>
        </w:rPr>
        <w:t>nine</w:t>
      </w:r>
      <w:r w:rsidRPr="00AE4A46">
        <w:rPr>
          <w:iCs/>
          <w:lang w:val="en"/>
        </w:rPr>
        <w:t xml:space="preserve">-month trade surplus was </w:t>
      </w:r>
      <w:r>
        <w:rPr>
          <w:iCs/>
          <w:lang w:val="en"/>
        </w:rPr>
        <w:t>21</w:t>
      </w:r>
      <w:r w:rsidRPr="00AE4A46">
        <w:rPr>
          <w:iCs/>
          <w:lang w:val="en"/>
        </w:rPr>
        <w:t>.</w:t>
      </w:r>
      <w:r>
        <w:rPr>
          <w:iCs/>
          <w:lang w:val="en"/>
        </w:rPr>
        <w:t>32</w:t>
      </w:r>
      <w:r w:rsidRPr="00AE4A46">
        <w:rPr>
          <w:iCs/>
          <w:lang w:val="en"/>
        </w:rPr>
        <w:t xml:space="preserve"> billion USD; and the preliminary trade surplus in </w:t>
      </w:r>
      <w:r>
        <w:rPr>
          <w:iCs/>
          <w:lang w:val="en"/>
        </w:rPr>
        <w:t>October</w:t>
      </w:r>
      <w:r w:rsidRPr="00AE4A46">
        <w:rPr>
          <w:iCs/>
          <w:lang w:val="en"/>
        </w:rPr>
        <w:t xml:space="preserve"> was </w:t>
      </w:r>
      <w:r>
        <w:rPr>
          <w:iCs/>
          <w:lang w:val="en"/>
        </w:rPr>
        <w:t>1.99</w:t>
      </w:r>
      <w:r w:rsidRPr="00AE4A46">
        <w:rPr>
          <w:iCs/>
          <w:lang w:val="en"/>
        </w:rPr>
        <w:t xml:space="preserve"> billion USD.</w:t>
      </w:r>
      <w:r w:rsidRPr="00D25A7C">
        <w:rPr>
          <w:iCs/>
          <w:lang w:val="en"/>
        </w:rPr>
        <w:t xml:space="preserve"> Generally in </w:t>
      </w:r>
      <w:r>
        <w:rPr>
          <w:iCs/>
          <w:lang w:val="en"/>
        </w:rPr>
        <w:t>ten months</w:t>
      </w:r>
      <w:r w:rsidRPr="00D25A7C">
        <w:rPr>
          <w:iCs/>
          <w:lang w:val="en"/>
        </w:rPr>
        <w:t xml:space="preserve"> of 2024, </w:t>
      </w:r>
      <w:r w:rsidRPr="00AE4A46">
        <w:rPr>
          <w:iCs/>
          <w:lang w:val="en"/>
        </w:rPr>
        <w:t>the preliminary trade balance of goods</w:t>
      </w:r>
      <w:r w:rsidRPr="00D25A7C">
        <w:rPr>
          <w:iCs/>
          <w:lang w:val="en"/>
        </w:rPr>
        <w:t xml:space="preserve"> ha</w:t>
      </w:r>
      <w:r>
        <w:rPr>
          <w:iCs/>
          <w:lang w:val="en"/>
        </w:rPr>
        <w:t>d</w:t>
      </w:r>
      <w:r w:rsidRPr="00D25A7C">
        <w:rPr>
          <w:iCs/>
          <w:lang w:val="en"/>
        </w:rPr>
        <w:t xml:space="preserve"> a trade surplus of </w:t>
      </w:r>
      <w:r>
        <w:rPr>
          <w:iCs/>
          <w:lang w:val="en"/>
        </w:rPr>
        <w:t>23.31</w:t>
      </w:r>
      <w:r w:rsidRPr="00D25A7C">
        <w:rPr>
          <w:iCs/>
          <w:lang w:val="en"/>
        </w:rPr>
        <w:t xml:space="preserve"> billion USD (in the same period last year, the trade surplus of </w:t>
      </w:r>
      <w:r>
        <w:rPr>
          <w:iCs/>
          <w:lang w:val="en"/>
        </w:rPr>
        <w:t>24.8</w:t>
      </w:r>
      <w:r w:rsidRPr="00D25A7C">
        <w:rPr>
          <w:iCs/>
          <w:lang w:val="en"/>
        </w:rPr>
        <w:t xml:space="preserve"> billion USD). Of which, the domestic economic sector has a trade deficit of 1</w:t>
      </w:r>
      <w:r>
        <w:rPr>
          <w:iCs/>
          <w:lang w:val="en"/>
        </w:rPr>
        <w:t>9.61</w:t>
      </w:r>
      <w:r w:rsidRPr="00D25A7C">
        <w:rPr>
          <w:iCs/>
          <w:lang w:val="en"/>
        </w:rPr>
        <w:t xml:space="preserve"> billion USD; the FDI sector (including crude oil) had a trade surplus of </w:t>
      </w:r>
      <w:r>
        <w:rPr>
          <w:iCs/>
          <w:lang w:val="en"/>
        </w:rPr>
        <w:t>42.92</w:t>
      </w:r>
      <w:r w:rsidRPr="00D25A7C">
        <w:rPr>
          <w:iCs/>
          <w:lang w:val="en"/>
        </w:rPr>
        <w:t xml:space="preserve"> billion USD.</w:t>
      </w:r>
    </w:p>
    <w:p w14:paraId="4DBFED42" w14:textId="77777777" w:rsidR="0063307A" w:rsidRPr="00A138C9" w:rsidRDefault="0063307A" w:rsidP="0063307A">
      <w:pPr>
        <w:pStyle w:val="NormalWeb"/>
        <w:spacing w:after="120" w:line="264" w:lineRule="auto"/>
        <w:ind w:firstLine="720"/>
        <w:jc w:val="both"/>
        <w:rPr>
          <w:b/>
          <w:bCs/>
          <w:i/>
          <w:iCs/>
          <w:sz w:val="28"/>
          <w:szCs w:val="28"/>
          <w:lang w:val="nl-NL"/>
        </w:rPr>
      </w:pPr>
      <w:r w:rsidRPr="00A138C9">
        <w:rPr>
          <w:b/>
          <w:bCs/>
          <w:i/>
          <w:iCs/>
          <w:sz w:val="28"/>
          <w:szCs w:val="28"/>
          <w:lang w:val="nl-NL"/>
        </w:rPr>
        <w:t>c) Consumer price index, gold price index and US dollar price index</w:t>
      </w:r>
    </w:p>
    <w:p w14:paraId="56FDED5E" w14:textId="77777777" w:rsidR="0063307A" w:rsidRPr="00A138C9" w:rsidRDefault="0063307A" w:rsidP="0063307A">
      <w:pPr>
        <w:pStyle w:val="NormalWeb"/>
        <w:spacing w:after="120" w:line="264" w:lineRule="auto"/>
        <w:ind w:firstLine="720"/>
        <w:jc w:val="both"/>
        <w:rPr>
          <w:sz w:val="28"/>
          <w:szCs w:val="28"/>
          <w:lang w:val="nl-NL"/>
        </w:rPr>
      </w:pPr>
      <w:r w:rsidRPr="00A138C9">
        <w:rPr>
          <w:sz w:val="28"/>
          <w:szCs w:val="28"/>
          <w:lang w:val="nl-NL"/>
        </w:rPr>
        <w:t xml:space="preserve">Food prices continue to increase due to the impact of storms, domestic gasoline prices increase according to world prices, and housing rental prices increase are the main causes of the consumer price index (CPI) in October 2024 increased 0.33% compared to the previous month. CPI in October increased by 2.52% compared to December 2023 and increased by 2.89% over the same period last year. </w:t>
      </w:r>
    </w:p>
    <w:p w14:paraId="66881AAB" w14:textId="77777777" w:rsidR="0063307A" w:rsidRPr="00A138C9" w:rsidRDefault="0063307A" w:rsidP="0063307A">
      <w:pPr>
        <w:pStyle w:val="NormalWeb"/>
        <w:spacing w:after="120" w:line="264" w:lineRule="auto"/>
        <w:ind w:firstLine="720"/>
        <w:jc w:val="both"/>
        <w:rPr>
          <w:sz w:val="28"/>
          <w:szCs w:val="28"/>
          <w:lang w:val="nl-NL"/>
        </w:rPr>
      </w:pPr>
      <w:r w:rsidRPr="00A138C9">
        <w:rPr>
          <w:sz w:val="28"/>
          <w:szCs w:val="28"/>
          <w:lang w:val="nl-NL"/>
        </w:rPr>
        <w:t>On average in the ten months of 2024, CPI increased by 3.78% over the same period last year; Core inflation increased by 2.69%.</w:t>
      </w:r>
    </w:p>
    <w:p w14:paraId="0E740510" w14:textId="77777777" w:rsidR="0063307A" w:rsidRPr="000C4008" w:rsidRDefault="0063307A" w:rsidP="0063307A">
      <w:pPr>
        <w:pStyle w:val="NormalWeb"/>
        <w:spacing w:before="0" w:beforeAutospacing="0" w:after="120" w:afterAutospacing="0" w:line="264" w:lineRule="auto"/>
        <w:ind w:firstLine="720"/>
        <w:jc w:val="both"/>
        <w:rPr>
          <w:sz w:val="28"/>
          <w:szCs w:val="28"/>
          <w:lang w:val="nl-NL"/>
        </w:rPr>
      </w:pPr>
      <w:r w:rsidRPr="00A138C9">
        <w:rPr>
          <w:sz w:val="28"/>
          <w:szCs w:val="28"/>
          <w:lang w:val="nl-NL"/>
        </w:rPr>
        <w:lastRenderedPageBreak/>
        <w:t>In the 0.33% increase in CPI in October 2024 compared to the previous month, there were 10 groups of goods and services with increased price indexes and 01 group of goods with decreased price indexes.</w:t>
      </w:r>
    </w:p>
    <w:p w14:paraId="13F302B8" w14:textId="1CEA5FC6" w:rsidR="0063307A" w:rsidRPr="00487B42" w:rsidRDefault="009B0E4B" w:rsidP="0063307A">
      <w:pPr>
        <w:spacing w:after="120" w:line="264" w:lineRule="auto"/>
        <w:ind w:firstLine="720"/>
        <w:jc w:val="both"/>
        <w:rPr>
          <w:rFonts w:ascii="Arial" w:eastAsia="Calibri" w:hAnsi="Arial" w:cs="Arial"/>
          <w:b/>
          <w:bCs/>
          <w:iCs/>
          <w:sz w:val="24"/>
          <w:szCs w:val="24"/>
          <w:lang w:val="vi-VN" w:eastAsia="x-none"/>
        </w:rPr>
      </w:pPr>
      <w:r w:rsidRPr="0019633D">
        <w:rPr>
          <w:rFonts w:ascii="Arial" w:hAnsi="Arial" w:cs="Arial"/>
          <w:b/>
          <w:lang w:val="nl-NL"/>
        </w:rPr>
        <w:t>Figure 15.</w:t>
      </w:r>
      <w:r>
        <w:rPr>
          <w:rFonts w:ascii="Arial" w:hAnsi="Arial" w:cs="Arial"/>
          <w:b/>
          <w:lang w:val="nl-NL"/>
        </w:rPr>
        <w:t xml:space="preserve"> </w:t>
      </w:r>
      <w:r w:rsidR="0063307A" w:rsidRPr="00CE6A2A">
        <w:rPr>
          <w:rFonts w:ascii="Arial" w:hAnsi="Arial" w:cs="Arial"/>
          <w:b/>
          <w:lang w:val="nl-NL"/>
        </w:rPr>
        <w:t xml:space="preserve"> </w:t>
      </w:r>
      <w:r w:rsidR="0063307A" w:rsidRPr="00487B42">
        <w:rPr>
          <w:rFonts w:ascii="Arial" w:eastAsia="Calibri" w:hAnsi="Arial" w:cs="Arial"/>
          <w:b/>
          <w:bCs/>
          <w:iCs/>
          <w:sz w:val="24"/>
          <w:szCs w:val="24"/>
          <w:lang w:val="vi-VN" w:eastAsia="x-none"/>
        </w:rPr>
        <w:t xml:space="preserve">CPI growth rate in </w:t>
      </w:r>
      <w:r w:rsidR="0063307A">
        <w:rPr>
          <w:rFonts w:ascii="Arial" w:eastAsia="Calibri" w:hAnsi="Arial" w:cs="Arial"/>
          <w:b/>
          <w:bCs/>
          <w:iCs/>
          <w:sz w:val="24"/>
          <w:szCs w:val="24"/>
          <w:lang w:eastAsia="x-none"/>
        </w:rPr>
        <w:t>10/</w:t>
      </w:r>
      <w:r w:rsidR="0063307A" w:rsidRPr="00487B42">
        <w:rPr>
          <w:rFonts w:ascii="Arial" w:eastAsia="Calibri" w:hAnsi="Arial" w:cs="Arial"/>
          <w:b/>
          <w:bCs/>
          <w:iCs/>
          <w:sz w:val="24"/>
          <w:szCs w:val="24"/>
          <w:lang w:val="vi-VN" w:eastAsia="x-none"/>
        </w:rPr>
        <w:t>2024 compared to the previous month</w:t>
      </w:r>
    </w:p>
    <w:p w14:paraId="6CBC0064" w14:textId="77777777" w:rsidR="0063307A" w:rsidRDefault="0063307A" w:rsidP="0063307A">
      <w:pPr>
        <w:pStyle w:val="NormalWeb"/>
        <w:spacing w:before="60" w:beforeAutospacing="0" w:after="20" w:afterAutospacing="0" w:line="252" w:lineRule="auto"/>
        <w:jc w:val="center"/>
        <w:rPr>
          <w:rFonts w:ascii="Arial" w:hAnsi="Arial" w:cs="Arial"/>
          <w:b/>
          <w:lang w:val="nl-NL"/>
        </w:rPr>
      </w:pPr>
      <w:r>
        <w:rPr>
          <w:noProof/>
          <w14:ligatures w14:val="standardContextual"/>
        </w:rPr>
        <w:drawing>
          <wp:inline distT="0" distB="0" distL="0" distR="0" wp14:anchorId="734F757B" wp14:editId="4A5ADF54">
            <wp:extent cx="5972175" cy="3747135"/>
            <wp:effectExtent l="0" t="0" r="9525" b="5715"/>
            <wp:docPr id="1261349846"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367FB56" w14:textId="77777777" w:rsidR="0063307A" w:rsidRDefault="0063307A" w:rsidP="0063307A">
      <w:pPr>
        <w:pStyle w:val="NormalWeb"/>
        <w:spacing w:before="60" w:beforeAutospacing="0" w:after="20" w:afterAutospacing="0" w:line="252" w:lineRule="auto"/>
        <w:jc w:val="center"/>
        <w:rPr>
          <w:rFonts w:ascii="Arial" w:hAnsi="Arial" w:cs="Arial"/>
          <w:b/>
          <w:lang w:val="nl-NL"/>
        </w:rPr>
      </w:pPr>
    </w:p>
    <w:p w14:paraId="4721C139" w14:textId="77777777" w:rsidR="0063307A" w:rsidRPr="00A138C9" w:rsidRDefault="0063307A" w:rsidP="0063307A">
      <w:pPr>
        <w:pStyle w:val="NormalWeb"/>
        <w:spacing w:after="120" w:line="264" w:lineRule="auto"/>
        <w:ind w:firstLine="720"/>
        <w:jc w:val="both"/>
        <w:rPr>
          <w:sz w:val="28"/>
          <w:szCs w:val="28"/>
          <w:lang w:val="nl-NL"/>
        </w:rPr>
      </w:pPr>
      <w:r w:rsidRPr="00A138C9">
        <w:rPr>
          <w:sz w:val="28"/>
          <w:szCs w:val="28"/>
          <w:lang w:val="nl-NL"/>
        </w:rPr>
        <w:t>Ten groups of goods and services with increased price indexes include:</w:t>
      </w:r>
    </w:p>
    <w:p w14:paraId="74FE7D46" w14:textId="77777777" w:rsidR="0063307A" w:rsidRDefault="0063307A" w:rsidP="0063307A">
      <w:pPr>
        <w:pStyle w:val="NormalWeb"/>
        <w:spacing w:before="0" w:beforeAutospacing="0" w:after="120" w:afterAutospacing="0" w:line="264" w:lineRule="auto"/>
        <w:ind w:firstLine="720"/>
        <w:jc w:val="both"/>
        <w:rPr>
          <w:sz w:val="28"/>
          <w:szCs w:val="28"/>
          <w:lang w:val="nl-NL"/>
        </w:rPr>
      </w:pPr>
      <w:r w:rsidRPr="00A138C9">
        <w:rPr>
          <w:i/>
          <w:iCs/>
          <w:sz w:val="28"/>
          <w:szCs w:val="28"/>
          <w:lang w:val="nl-NL"/>
        </w:rPr>
        <w:t>- The transport group</w:t>
      </w:r>
      <w:r w:rsidRPr="00A138C9">
        <w:rPr>
          <w:sz w:val="28"/>
          <w:szCs w:val="28"/>
          <w:lang w:val="nl-NL"/>
        </w:rPr>
        <w:t xml:space="preserve"> increased the most with 0.66% (</w:t>
      </w:r>
      <w:r w:rsidRPr="00A138C9">
        <w:rPr>
          <w:iCs/>
          <w:sz w:val="28"/>
          <w:szCs w:val="28"/>
          <w:lang w:val="es-NI"/>
        </w:rPr>
        <w:t>making the general</w:t>
      </w:r>
      <w:r w:rsidRPr="00FC383C">
        <w:rPr>
          <w:iCs/>
          <w:lang w:val="es-NI"/>
        </w:rPr>
        <w:t xml:space="preserve"> CPI</w:t>
      </w:r>
      <w:r w:rsidRPr="00A138C9">
        <w:rPr>
          <w:sz w:val="28"/>
          <w:szCs w:val="28"/>
          <w:lang w:val="nl-NL"/>
        </w:rPr>
        <w:t xml:space="preserve"> increase of 0.06 percentage points), mainly due to: Diesel oil price increased by 2.27%; </w:t>
      </w:r>
      <w:r>
        <w:rPr>
          <w:sz w:val="28"/>
          <w:szCs w:val="28"/>
          <w:lang w:val="nl-NL"/>
        </w:rPr>
        <w:t>d</w:t>
      </w:r>
      <w:r w:rsidRPr="00A138C9">
        <w:rPr>
          <w:sz w:val="28"/>
          <w:szCs w:val="28"/>
          <w:lang w:val="nl-NL"/>
        </w:rPr>
        <w:t xml:space="preserve">omestic gasoline prices increased by 0.98% due to the impact of price adjustments during the month. Passenger transport prices by air increased by 32.75% due to increased consumer demand; </w:t>
      </w:r>
      <w:r>
        <w:rPr>
          <w:sz w:val="28"/>
          <w:szCs w:val="28"/>
          <w:lang w:val="nl-NL"/>
        </w:rPr>
        <w:t>p</w:t>
      </w:r>
      <w:r w:rsidRPr="00A138C9">
        <w:rPr>
          <w:sz w:val="28"/>
          <w:szCs w:val="28"/>
          <w:lang w:val="nl-NL"/>
        </w:rPr>
        <w:t xml:space="preserve">rices of other bicycle parts increased by 0.48%; motorbike repair increased by 0.45%; bicycle repair increased by 0.27%; Other motorbike spare parts increased by 0.25%; </w:t>
      </w:r>
      <w:r>
        <w:rPr>
          <w:sz w:val="28"/>
          <w:szCs w:val="28"/>
          <w:lang w:val="nl-NL"/>
        </w:rPr>
        <w:t>b</w:t>
      </w:r>
      <w:r w:rsidRPr="00A138C9">
        <w:rPr>
          <w:sz w:val="28"/>
          <w:szCs w:val="28"/>
          <w:lang w:val="nl-NL"/>
        </w:rPr>
        <w:t xml:space="preserve">icycle tires and tubes increased by 0.21%; </w:t>
      </w:r>
      <w:r>
        <w:rPr>
          <w:sz w:val="28"/>
          <w:szCs w:val="28"/>
          <w:lang w:val="nl-NL"/>
        </w:rPr>
        <w:t>m</w:t>
      </w:r>
      <w:r w:rsidRPr="00A138C9">
        <w:rPr>
          <w:sz w:val="28"/>
          <w:szCs w:val="28"/>
          <w:lang w:val="nl-NL"/>
        </w:rPr>
        <w:t>otorcycle tires and tubes increased by 0.19%. In addition, there are a number of discounted items: New car prices and passenger transport prices by road both decreased by 0.1%; used cars decreased by 0.23%.</w:t>
      </w:r>
    </w:p>
    <w:p w14:paraId="6218D0E7" w14:textId="77777777" w:rsidR="0063307A" w:rsidRPr="001936C1" w:rsidRDefault="0063307A" w:rsidP="0063307A">
      <w:pPr>
        <w:pStyle w:val="NormalWeb"/>
        <w:spacing w:before="0" w:beforeAutospacing="0" w:after="120" w:afterAutospacing="0" w:line="264" w:lineRule="auto"/>
        <w:ind w:firstLine="720"/>
        <w:jc w:val="both"/>
        <w:rPr>
          <w:spacing w:val="-2"/>
          <w:sz w:val="28"/>
          <w:szCs w:val="28"/>
          <w:lang w:val="nl-NL"/>
        </w:rPr>
      </w:pPr>
      <w:r w:rsidRPr="00A138C9">
        <w:rPr>
          <w:i/>
          <w:iCs/>
          <w:spacing w:val="-2"/>
          <w:sz w:val="28"/>
          <w:szCs w:val="28"/>
          <w:lang w:val="nl-NL"/>
        </w:rPr>
        <w:t xml:space="preserve">- Food and </w:t>
      </w:r>
      <w:r>
        <w:rPr>
          <w:i/>
          <w:iCs/>
          <w:spacing w:val="-2"/>
          <w:sz w:val="28"/>
          <w:szCs w:val="28"/>
          <w:lang w:val="nl-NL"/>
        </w:rPr>
        <w:t>foodstuff</w:t>
      </w:r>
      <w:r w:rsidRPr="00A138C9">
        <w:rPr>
          <w:i/>
          <w:iCs/>
          <w:spacing w:val="-2"/>
          <w:sz w:val="28"/>
          <w:szCs w:val="28"/>
          <w:lang w:val="nl-NL"/>
        </w:rPr>
        <w:t xml:space="preserve"> group</w:t>
      </w:r>
      <w:r w:rsidRPr="00A138C9">
        <w:rPr>
          <w:spacing w:val="-2"/>
          <w:sz w:val="28"/>
          <w:szCs w:val="28"/>
          <w:lang w:val="nl-NL"/>
        </w:rPr>
        <w:t xml:space="preserve"> increased by 0.55% (</w:t>
      </w:r>
      <w:r w:rsidRPr="00A138C9">
        <w:rPr>
          <w:iCs/>
          <w:sz w:val="28"/>
          <w:szCs w:val="28"/>
          <w:lang w:val="es-NI"/>
        </w:rPr>
        <w:t>making the general</w:t>
      </w:r>
      <w:r w:rsidRPr="00FC383C">
        <w:rPr>
          <w:iCs/>
          <w:lang w:val="es-NI"/>
        </w:rPr>
        <w:t xml:space="preserve"> CPI</w:t>
      </w:r>
      <w:r w:rsidRPr="00A138C9">
        <w:rPr>
          <w:spacing w:val="-2"/>
          <w:sz w:val="28"/>
          <w:szCs w:val="28"/>
          <w:lang w:val="nl-NL"/>
        </w:rPr>
        <w:t xml:space="preserve"> increase by 0.18 percentage points). Of which, food increased by 0.77%</w:t>
      </w:r>
      <w:r w:rsidRPr="001936C1">
        <w:rPr>
          <w:rStyle w:val="FootnoteReference"/>
          <w:spacing w:val="-2"/>
        </w:rPr>
        <w:footnoteReference w:id="21"/>
      </w:r>
      <w:r w:rsidRPr="00A138C9">
        <w:rPr>
          <w:spacing w:val="-2"/>
          <w:sz w:val="28"/>
          <w:szCs w:val="28"/>
          <w:lang w:val="nl-NL"/>
        </w:rPr>
        <w:t>; food</w:t>
      </w:r>
      <w:r>
        <w:rPr>
          <w:spacing w:val="-2"/>
          <w:sz w:val="28"/>
          <w:szCs w:val="28"/>
          <w:lang w:val="nl-NL"/>
        </w:rPr>
        <w:t xml:space="preserve">stuff </w:t>
      </w:r>
      <w:r w:rsidRPr="00A138C9">
        <w:rPr>
          <w:spacing w:val="-2"/>
          <w:sz w:val="28"/>
          <w:szCs w:val="28"/>
          <w:lang w:val="nl-NL"/>
        </w:rPr>
        <w:lastRenderedPageBreak/>
        <w:t>increased by 0.66%</w:t>
      </w:r>
      <w:r w:rsidRPr="001936C1">
        <w:rPr>
          <w:rStyle w:val="FootnoteReference"/>
          <w:spacing w:val="-2"/>
        </w:rPr>
        <w:footnoteReference w:id="22"/>
      </w:r>
      <w:r w:rsidRPr="00A138C9">
        <w:rPr>
          <w:spacing w:val="-2"/>
          <w:sz w:val="28"/>
          <w:szCs w:val="28"/>
          <w:lang w:val="nl-NL"/>
        </w:rPr>
        <w:t xml:space="preserve"> (impact increased by 0.14 percentage points); </w:t>
      </w:r>
      <w:r>
        <w:rPr>
          <w:spacing w:val="-2"/>
          <w:sz w:val="28"/>
          <w:szCs w:val="28"/>
          <w:lang w:val="nl-NL"/>
        </w:rPr>
        <w:t>e</w:t>
      </w:r>
      <w:r w:rsidRPr="00A138C9">
        <w:rPr>
          <w:spacing w:val="-2"/>
          <w:sz w:val="28"/>
          <w:szCs w:val="28"/>
          <w:lang w:val="nl-NL"/>
        </w:rPr>
        <w:t>ating out at home increased by 0.19%</w:t>
      </w:r>
      <w:r w:rsidRPr="001936C1">
        <w:rPr>
          <w:rStyle w:val="FootnoteReference"/>
          <w:spacing w:val="-2"/>
        </w:rPr>
        <w:footnoteReference w:id="23"/>
      </w:r>
      <w:r w:rsidRPr="00A138C9">
        <w:rPr>
          <w:spacing w:val="-2"/>
          <w:sz w:val="28"/>
          <w:szCs w:val="28"/>
          <w:lang w:val="nl-NL"/>
        </w:rPr>
        <w:t>.</w:t>
      </w:r>
    </w:p>
    <w:p w14:paraId="6D130C1A" w14:textId="77777777" w:rsidR="0063307A" w:rsidRPr="001936C1" w:rsidRDefault="0063307A" w:rsidP="0063307A">
      <w:pPr>
        <w:pStyle w:val="NormalWeb"/>
        <w:spacing w:before="0" w:beforeAutospacing="0" w:after="120" w:afterAutospacing="0" w:line="264" w:lineRule="auto"/>
        <w:ind w:firstLine="720"/>
        <w:jc w:val="both"/>
        <w:rPr>
          <w:spacing w:val="-2"/>
          <w:sz w:val="28"/>
          <w:szCs w:val="28"/>
          <w:lang w:val="nl-NL"/>
        </w:rPr>
      </w:pPr>
      <w:r w:rsidRPr="00A138C9">
        <w:rPr>
          <w:i/>
          <w:iCs/>
          <w:spacing w:val="-2"/>
          <w:sz w:val="28"/>
          <w:szCs w:val="28"/>
          <w:lang w:val="nl-NL"/>
        </w:rPr>
        <w:t>- The education group</w:t>
      </w:r>
      <w:r w:rsidRPr="00A138C9">
        <w:rPr>
          <w:spacing w:val="-2"/>
          <w:sz w:val="28"/>
          <w:szCs w:val="28"/>
          <w:lang w:val="nl-NL"/>
        </w:rPr>
        <w:t xml:space="preserve"> increased by 0.48%, of which the price of educational services increased by 0.53% due to some private preschools, colleges, vocational schools, intermediate schools, universities, and postgraduate schools increasing tuition. In addition, some localities also have tuition exemption and reduction policies to support people affected by storms and floods such as Quang Ninh, Ha Giang, Yen Bai... In addition, the price of pens increased by 0, 13%; </w:t>
      </w:r>
      <w:r>
        <w:rPr>
          <w:spacing w:val="-2"/>
          <w:sz w:val="28"/>
          <w:szCs w:val="28"/>
          <w:lang w:val="nl-NL"/>
        </w:rPr>
        <w:t>p</w:t>
      </w:r>
      <w:r w:rsidRPr="00A138C9">
        <w:rPr>
          <w:spacing w:val="-2"/>
          <w:sz w:val="28"/>
          <w:szCs w:val="28"/>
          <w:lang w:val="nl-NL"/>
        </w:rPr>
        <w:t xml:space="preserve">rices of stationery and other school supplies increased by 0.09%; </w:t>
      </w:r>
      <w:r>
        <w:rPr>
          <w:spacing w:val="-2"/>
          <w:sz w:val="28"/>
          <w:szCs w:val="28"/>
          <w:lang w:val="nl-NL"/>
        </w:rPr>
        <w:t>p</w:t>
      </w:r>
      <w:r w:rsidRPr="00A138C9">
        <w:rPr>
          <w:spacing w:val="-2"/>
          <w:sz w:val="28"/>
          <w:szCs w:val="28"/>
          <w:lang w:val="nl-NL"/>
        </w:rPr>
        <w:t>rices of paper products and textbooks both increased by 0.07%.</w:t>
      </w:r>
    </w:p>
    <w:p w14:paraId="0EC427A7" w14:textId="77777777" w:rsidR="0063307A" w:rsidRPr="0005042C" w:rsidRDefault="0063307A" w:rsidP="0063307A">
      <w:pPr>
        <w:spacing w:after="120" w:line="264" w:lineRule="auto"/>
        <w:ind w:firstLine="720"/>
        <w:jc w:val="both"/>
      </w:pPr>
      <w:r w:rsidRPr="0005042C">
        <w:rPr>
          <w:i/>
          <w:iCs/>
        </w:rPr>
        <w:t>- Other goods and services group</w:t>
      </w:r>
      <w:r w:rsidRPr="0005042C">
        <w:t xml:space="preserve"> increased by 0.26%. Of which, jewelry prices increased by 4.67% according to domestic gold prices; </w:t>
      </w:r>
      <w:r>
        <w:t>e</w:t>
      </w:r>
      <w:r w:rsidRPr="0005042C">
        <w:t xml:space="preserve">lderly care services increased by 0.69%; watch repair increased by 0.51%; personal care services increased by 0.46%; </w:t>
      </w:r>
      <w:r>
        <w:t>e</w:t>
      </w:r>
      <w:r w:rsidRPr="0005042C">
        <w:t>nvironmental sanitation services increased by 0.4%.</w:t>
      </w:r>
    </w:p>
    <w:p w14:paraId="1631DBDB" w14:textId="77777777" w:rsidR="0063307A" w:rsidRPr="000C4008" w:rsidRDefault="0063307A" w:rsidP="0063307A">
      <w:pPr>
        <w:spacing w:after="120" w:line="264" w:lineRule="auto"/>
        <w:ind w:firstLine="720"/>
        <w:jc w:val="both"/>
      </w:pPr>
      <w:r w:rsidRPr="0005042C">
        <w:rPr>
          <w:i/>
          <w:iCs/>
        </w:rPr>
        <w:t>- Household appliances and equipment group</w:t>
      </w:r>
      <w:r w:rsidRPr="0005042C">
        <w:t xml:space="preserve"> increased by 0.2% due to increased consumer demand and many promotional programs in some localities have ended. Of which, the price of electric irons increased by 1.27%; vacuum cleaners increased by 0.68%; bathroom water heater increased by 0.67%; beds, wardrobes, tables and chairs increased by 0.58%; plastic and rubber products increased by 0.42%; home appliance repair services increased by 0.25%; </w:t>
      </w:r>
      <w:r>
        <w:t>r</w:t>
      </w:r>
      <w:r w:rsidRPr="0005042C">
        <w:t xml:space="preserve">ent of household appliances increased by 0.24%; </w:t>
      </w:r>
      <w:r>
        <w:t>s</w:t>
      </w:r>
      <w:r w:rsidRPr="0005042C">
        <w:t xml:space="preserve">oaps, detergents and other consumer goods increased by 0.22%; </w:t>
      </w:r>
      <w:r>
        <w:t>w</w:t>
      </w:r>
      <w:r w:rsidRPr="0005042C">
        <w:t xml:space="preserve">aiter hiring increased by 0.19%; wall clocks, desk clocks, and mirrors increased by 0.14%; home textiles increased by 0.12%; electrical appliances increased by 0.08%; </w:t>
      </w:r>
      <w:r>
        <w:t>g</w:t>
      </w:r>
      <w:r w:rsidRPr="0005042C">
        <w:t>lass, porcelain, and porcelain products increased by 0.05%.</w:t>
      </w:r>
    </w:p>
    <w:p w14:paraId="11CC1E27" w14:textId="77777777" w:rsidR="0063307A" w:rsidRPr="000C4008" w:rsidRDefault="0063307A" w:rsidP="0063307A">
      <w:pPr>
        <w:pStyle w:val="NormalWeb"/>
        <w:spacing w:before="0" w:beforeAutospacing="0" w:after="120" w:afterAutospacing="0" w:line="264" w:lineRule="auto"/>
        <w:ind w:firstLine="720"/>
        <w:jc w:val="both"/>
        <w:rPr>
          <w:sz w:val="28"/>
          <w:szCs w:val="28"/>
        </w:rPr>
      </w:pPr>
      <w:r w:rsidRPr="0005042C">
        <w:rPr>
          <w:i/>
          <w:iCs/>
          <w:sz w:val="28"/>
          <w:szCs w:val="28"/>
        </w:rPr>
        <w:t xml:space="preserve">- Beverage and </w:t>
      </w:r>
      <w:r w:rsidRPr="0005042C">
        <w:rPr>
          <w:i/>
          <w:iCs/>
          <w:sz w:val="28"/>
          <w:szCs w:val="28"/>
          <w:lang w:val="vi-VN"/>
        </w:rPr>
        <w:t>cigarette</w:t>
      </w:r>
      <w:r w:rsidRPr="0005042C">
        <w:rPr>
          <w:i/>
          <w:iCs/>
          <w:sz w:val="28"/>
          <w:szCs w:val="28"/>
        </w:rPr>
        <w:t xml:space="preserve"> group</w:t>
      </w:r>
      <w:r w:rsidRPr="0005042C">
        <w:rPr>
          <w:sz w:val="28"/>
          <w:szCs w:val="28"/>
        </w:rPr>
        <w:t xml:space="preserve"> increased by 0.11% due to increased labor costs and exchange rates. Specifically: Mineral water prices increased by 0.27%; smoking increased by 0.23%; fruit juice increased by 0.15%; bottled beer increased by 0.13%; </w:t>
      </w:r>
      <w:r>
        <w:rPr>
          <w:sz w:val="28"/>
          <w:szCs w:val="28"/>
        </w:rPr>
        <w:t>w</w:t>
      </w:r>
      <w:r w:rsidRPr="0005042C">
        <w:rPr>
          <w:sz w:val="28"/>
          <w:szCs w:val="28"/>
        </w:rPr>
        <w:t>ine of all kinds increased by 0.06%.</w:t>
      </w:r>
    </w:p>
    <w:p w14:paraId="5EAD7D7B" w14:textId="77777777" w:rsidR="0063307A" w:rsidRPr="000C4008" w:rsidRDefault="0063307A" w:rsidP="0063307A">
      <w:pPr>
        <w:pStyle w:val="NormalWeb"/>
        <w:spacing w:before="0" w:beforeAutospacing="0" w:after="120" w:afterAutospacing="0" w:line="264" w:lineRule="auto"/>
        <w:ind w:firstLine="720"/>
        <w:jc w:val="both"/>
        <w:rPr>
          <w:sz w:val="28"/>
          <w:szCs w:val="28"/>
        </w:rPr>
      </w:pPr>
      <w:r w:rsidRPr="0005042C">
        <w:rPr>
          <w:i/>
          <w:iCs/>
          <w:sz w:val="28"/>
          <w:szCs w:val="28"/>
        </w:rPr>
        <w:t>- The group of housing, electricity and water, fuel and construction materials</w:t>
      </w:r>
      <w:r w:rsidRPr="0005042C">
        <w:rPr>
          <w:sz w:val="28"/>
          <w:szCs w:val="28"/>
        </w:rPr>
        <w:t xml:space="preserve"> increased by 0.11%</w:t>
      </w:r>
      <w:r w:rsidRPr="009A6B2A">
        <w:rPr>
          <w:rStyle w:val="FootnoteReference"/>
          <w:iCs/>
          <w:color w:val="000000" w:themeColor="text1"/>
        </w:rPr>
        <w:footnoteReference w:id="24"/>
      </w:r>
      <w:r w:rsidRPr="0005042C">
        <w:rPr>
          <w:sz w:val="28"/>
          <w:szCs w:val="28"/>
        </w:rPr>
        <w:t xml:space="preserve"> mainly due to the following reasons: Gas prices </w:t>
      </w:r>
      <w:r w:rsidRPr="0005042C">
        <w:rPr>
          <w:sz w:val="28"/>
          <w:szCs w:val="28"/>
        </w:rPr>
        <w:lastRenderedPageBreak/>
        <w:t xml:space="preserve">increased by 1.17%, the reason is that from October 1, 2024, gas prices in water adjusted to increase according to world gas prices; </w:t>
      </w:r>
      <w:r>
        <w:rPr>
          <w:sz w:val="28"/>
          <w:szCs w:val="28"/>
        </w:rPr>
        <w:t>k</w:t>
      </w:r>
      <w:r w:rsidRPr="0005042C">
        <w:rPr>
          <w:sz w:val="28"/>
          <w:szCs w:val="28"/>
        </w:rPr>
        <w:t xml:space="preserve">erosene prices increased by 1% due to the impact of price adjustments during the month; </w:t>
      </w:r>
      <w:r>
        <w:rPr>
          <w:sz w:val="28"/>
          <w:szCs w:val="28"/>
        </w:rPr>
        <w:t>h</w:t>
      </w:r>
      <w:r w:rsidRPr="0005042C">
        <w:rPr>
          <w:sz w:val="28"/>
          <w:szCs w:val="28"/>
        </w:rPr>
        <w:t xml:space="preserve">ouse rent increased by 0.73%; </w:t>
      </w:r>
      <w:r>
        <w:rPr>
          <w:sz w:val="28"/>
          <w:szCs w:val="28"/>
        </w:rPr>
        <w:t>d</w:t>
      </w:r>
      <w:r w:rsidRPr="0005042C">
        <w:rPr>
          <w:sz w:val="28"/>
          <w:szCs w:val="28"/>
        </w:rPr>
        <w:t>omestic water increased by 0.24%. In the opposite direction, household electricity prices decreased by 2.02% due to cool weather, so consumer demand decreased.</w:t>
      </w:r>
    </w:p>
    <w:p w14:paraId="40B3C42E" w14:textId="77777777" w:rsidR="0063307A" w:rsidRPr="0005042C" w:rsidRDefault="0063307A" w:rsidP="0063307A">
      <w:pPr>
        <w:pStyle w:val="NormalWeb"/>
        <w:spacing w:before="0" w:beforeAutospacing="0" w:after="120" w:afterAutospacing="0" w:line="264" w:lineRule="auto"/>
        <w:ind w:firstLine="720"/>
        <w:jc w:val="both"/>
        <w:rPr>
          <w:bCs/>
          <w:sz w:val="28"/>
          <w:szCs w:val="28"/>
          <w:lang w:val="en-US"/>
        </w:rPr>
      </w:pPr>
      <w:r w:rsidRPr="0005042C">
        <w:rPr>
          <w:bCs/>
          <w:i/>
          <w:iCs/>
          <w:sz w:val="28"/>
          <w:szCs w:val="28"/>
          <w:lang w:val="en-US"/>
        </w:rPr>
        <w:t>- The garment, hat and footwear group</w:t>
      </w:r>
      <w:r w:rsidRPr="0005042C">
        <w:rPr>
          <w:bCs/>
          <w:sz w:val="28"/>
          <w:szCs w:val="28"/>
          <w:lang w:val="en-US"/>
        </w:rPr>
        <w:t xml:space="preserve"> increased by 0.09% due to increased shopping demand when the weather changes. In particular, the price of shoe and sandals services increased by 0.32%; </w:t>
      </w:r>
      <w:r>
        <w:rPr>
          <w:bCs/>
          <w:sz w:val="28"/>
          <w:szCs w:val="28"/>
          <w:lang w:val="en-US"/>
        </w:rPr>
        <w:t>g</w:t>
      </w:r>
      <w:r w:rsidRPr="0005042C">
        <w:rPr>
          <w:bCs/>
          <w:sz w:val="28"/>
          <w:szCs w:val="28"/>
          <w:lang w:val="en-US"/>
        </w:rPr>
        <w:t xml:space="preserve">arment services increased by 0.25%; </w:t>
      </w:r>
      <w:r>
        <w:rPr>
          <w:bCs/>
          <w:sz w:val="28"/>
          <w:szCs w:val="28"/>
          <w:lang w:val="en-US"/>
        </w:rPr>
        <w:t>o</w:t>
      </w:r>
      <w:r w:rsidRPr="0005042C">
        <w:rPr>
          <w:bCs/>
          <w:sz w:val="28"/>
          <w:szCs w:val="28"/>
          <w:lang w:val="en-US"/>
        </w:rPr>
        <w:t xml:space="preserve">ther garments increased by 0.18%; fabrics of all kinds increased by 0.12%; </w:t>
      </w:r>
      <w:r>
        <w:rPr>
          <w:bCs/>
          <w:sz w:val="28"/>
          <w:szCs w:val="28"/>
          <w:lang w:val="en-US"/>
        </w:rPr>
        <w:t>r</w:t>
      </w:r>
      <w:r w:rsidRPr="0005042C">
        <w:rPr>
          <w:bCs/>
          <w:sz w:val="28"/>
          <w:szCs w:val="28"/>
          <w:lang w:val="en-US"/>
        </w:rPr>
        <w:t xml:space="preserve">eady-made clothes increased by 0.1%; </w:t>
      </w:r>
      <w:r>
        <w:rPr>
          <w:bCs/>
          <w:sz w:val="28"/>
          <w:szCs w:val="28"/>
          <w:lang w:val="en-US"/>
        </w:rPr>
        <w:t>h</w:t>
      </w:r>
      <w:r w:rsidRPr="0005042C">
        <w:rPr>
          <w:bCs/>
          <w:sz w:val="28"/>
          <w:szCs w:val="28"/>
          <w:lang w:val="en-US"/>
        </w:rPr>
        <w:t>eadwear increased by 0.06%.</w:t>
      </w:r>
    </w:p>
    <w:p w14:paraId="4B79F326" w14:textId="77777777" w:rsidR="0063307A" w:rsidRPr="000C4008" w:rsidRDefault="0063307A" w:rsidP="0063307A">
      <w:pPr>
        <w:spacing w:after="120" w:line="264" w:lineRule="auto"/>
        <w:ind w:firstLine="720"/>
        <w:jc w:val="both"/>
        <w:rPr>
          <w:lang w:val="nl-NL"/>
        </w:rPr>
      </w:pPr>
      <w:r w:rsidRPr="0005042C">
        <w:rPr>
          <w:i/>
          <w:iCs/>
          <w:lang w:val="nl-NL"/>
        </w:rPr>
        <w:t>- The culture, entertainment and tourism group</w:t>
      </w:r>
      <w:r w:rsidRPr="0005042C">
        <w:rPr>
          <w:lang w:val="nl-NL"/>
        </w:rPr>
        <w:t xml:space="preserve"> increased by 0.09% because the month had Vietnamese Women's Day, so the demand for buying flowers increased, the price of plants and ornamental flowers increased by 1.27%; </w:t>
      </w:r>
      <w:r>
        <w:rPr>
          <w:lang w:val="nl-NL"/>
        </w:rPr>
        <w:t>w</w:t>
      </w:r>
      <w:r w:rsidRPr="0005042C">
        <w:rPr>
          <w:lang w:val="nl-NL"/>
        </w:rPr>
        <w:t xml:space="preserve">atching movies and music increased by 0.38%. Besides, newspaper prices of all types increased by 1.48%; </w:t>
      </w:r>
      <w:r>
        <w:rPr>
          <w:lang w:val="nl-NL"/>
        </w:rPr>
        <w:t>c</w:t>
      </w:r>
      <w:r w:rsidRPr="0005042C">
        <w:rPr>
          <w:lang w:val="nl-NL"/>
        </w:rPr>
        <w:t>hildren's toy prices increased by 0.07%.</w:t>
      </w:r>
    </w:p>
    <w:p w14:paraId="2071DBDD" w14:textId="77777777" w:rsidR="0063307A" w:rsidRPr="000C4008" w:rsidRDefault="0063307A" w:rsidP="0063307A">
      <w:pPr>
        <w:pStyle w:val="NormalWeb"/>
        <w:spacing w:before="0" w:beforeAutospacing="0" w:after="120" w:afterAutospacing="0" w:line="264" w:lineRule="auto"/>
        <w:ind w:firstLine="720"/>
        <w:jc w:val="both"/>
        <w:rPr>
          <w:bCs/>
          <w:sz w:val="28"/>
          <w:szCs w:val="28"/>
          <w:lang w:val="nl-NL"/>
        </w:rPr>
      </w:pPr>
      <w:r w:rsidRPr="00025FBE">
        <w:rPr>
          <w:bCs/>
          <w:i/>
          <w:iCs/>
          <w:sz w:val="28"/>
          <w:szCs w:val="28"/>
          <w:lang w:val="nl-NL"/>
        </w:rPr>
        <w:t>- The group of medicines and medical services</w:t>
      </w:r>
      <w:r w:rsidRPr="00025FBE">
        <w:rPr>
          <w:bCs/>
          <w:sz w:val="28"/>
          <w:szCs w:val="28"/>
          <w:lang w:val="nl-NL"/>
        </w:rPr>
        <w:t xml:space="preserve"> increased by 0.02% due to the transition between the two seasons, flu and respiratory diseases increased, so the demand for pain relief, fever reduction, respiratory medicine, etc. vitamins and minerals increased. Of which, gastrointestinal drugs increased by 0.25%; cardiovascular drugs increased by 0.09%; pain relievers and antipyretics increased by 0.07%; </w:t>
      </w:r>
      <w:r>
        <w:rPr>
          <w:bCs/>
          <w:sz w:val="28"/>
          <w:szCs w:val="28"/>
          <w:lang w:val="nl-NL"/>
        </w:rPr>
        <w:t>v</w:t>
      </w:r>
      <w:r w:rsidRPr="00025FBE">
        <w:rPr>
          <w:bCs/>
          <w:sz w:val="28"/>
          <w:szCs w:val="28"/>
          <w:lang w:val="nl-NL"/>
        </w:rPr>
        <w:t>itamin and mineral drugs increased by 0.01%.</w:t>
      </w:r>
    </w:p>
    <w:p w14:paraId="4B0C65B5" w14:textId="77777777" w:rsidR="0063307A" w:rsidRPr="00025FBE" w:rsidRDefault="0063307A" w:rsidP="0063307A">
      <w:pPr>
        <w:pStyle w:val="NormalWeb"/>
        <w:spacing w:before="0" w:beforeAutospacing="0" w:after="120" w:afterAutospacing="0" w:line="264" w:lineRule="auto"/>
        <w:ind w:firstLine="720"/>
        <w:jc w:val="both"/>
        <w:rPr>
          <w:bCs/>
          <w:sz w:val="28"/>
          <w:szCs w:val="28"/>
          <w:lang w:val="nl-NL"/>
        </w:rPr>
      </w:pPr>
      <w:r w:rsidRPr="00025FBE">
        <w:rPr>
          <w:bCs/>
          <w:i/>
          <w:iCs/>
          <w:sz w:val="28"/>
          <w:szCs w:val="28"/>
          <w:lang w:val="nl-NL"/>
        </w:rPr>
        <w:t>Particularly, the post and telecommunications group</w:t>
      </w:r>
      <w:r w:rsidRPr="00025FBE">
        <w:rPr>
          <w:bCs/>
          <w:sz w:val="28"/>
          <w:szCs w:val="28"/>
          <w:lang w:val="nl-NL"/>
        </w:rPr>
        <w:t xml:space="preserve"> decreased by 0.05%. Of which, smartphone and tablet accessories decreased by 0.46%; prices of smart mobile phones and tablets decreased by 0.28%; </w:t>
      </w:r>
      <w:r>
        <w:rPr>
          <w:bCs/>
          <w:sz w:val="28"/>
          <w:szCs w:val="28"/>
          <w:lang w:val="nl-NL"/>
        </w:rPr>
        <w:t>t</w:t>
      </w:r>
      <w:r w:rsidRPr="00025FBE">
        <w:rPr>
          <w:bCs/>
          <w:sz w:val="28"/>
          <w:szCs w:val="28"/>
          <w:lang w:val="nl-NL"/>
        </w:rPr>
        <w:t>he price of regular mobile phones decreased by 0.17%. In contrast, phone repair prices increased by 0.4% due to increased labor costs.</w:t>
      </w:r>
    </w:p>
    <w:p w14:paraId="35A6A1FA" w14:textId="77777777" w:rsidR="0063307A" w:rsidRPr="00025FBE" w:rsidRDefault="0063307A" w:rsidP="0063307A">
      <w:pPr>
        <w:pStyle w:val="NormalWeb"/>
        <w:spacing w:after="120" w:line="264" w:lineRule="auto"/>
        <w:ind w:firstLine="720"/>
        <w:jc w:val="both"/>
        <w:rPr>
          <w:color w:val="000000" w:themeColor="text1"/>
          <w:sz w:val="28"/>
          <w:szCs w:val="28"/>
          <w:lang w:val="pl-PL"/>
        </w:rPr>
      </w:pPr>
      <w:r w:rsidRPr="00025FBE">
        <w:rPr>
          <w:i/>
          <w:iCs/>
          <w:color w:val="000000" w:themeColor="text1"/>
          <w:sz w:val="28"/>
          <w:szCs w:val="28"/>
          <w:lang w:val="pl-PL"/>
        </w:rPr>
        <w:t>Core inflation</w:t>
      </w:r>
      <w:r w:rsidRPr="00FC383C">
        <w:rPr>
          <w:rStyle w:val="FootnoteReference"/>
        </w:rPr>
        <w:footnoteReference w:id="25"/>
      </w:r>
      <w:r w:rsidRPr="00025FBE">
        <w:rPr>
          <w:color w:val="000000" w:themeColor="text1"/>
          <w:sz w:val="28"/>
          <w:szCs w:val="28"/>
          <w:lang w:val="pl-PL"/>
        </w:rPr>
        <w:t xml:space="preserve"> in October 2024 increased by 0.23% over the previous month, up 2.68% over the same period last year. </w:t>
      </w:r>
    </w:p>
    <w:p w14:paraId="54A0C9C3" w14:textId="77777777" w:rsidR="0063307A" w:rsidRPr="000C4008" w:rsidRDefault="0063307A" w:rsidP="0063307A">
      <w:pPr>
        <w:pStyle w:val="NormalWeb"/>
        <w:spacing w:before="0" w:beforeAutospacing="0" w:after="120" w:afterAutospacing="0" w:line="264" w:lineRule="auto"/>
        <w:ind w:firstLine="720"/>
        <w:jc w:val="both"/>
        <w:rPr>
          <w:color w:val="000000" w:themeColor="text1"/>
          <w:sz w:val="28"/>
          <w:szCs w:val="28"/>
          <w:lang w:val="pl-PL"/>
        </w:rPr>
      </w:pPr>
      <w:r w:rsidRPr="00025FBE">
        <w:rPr>
          <w:color w:val="000000" w:themeColor="text1"/>
          <w:sz w:val="28"/>
          <w:szCs w:val="28"/>
          <w:lang w:val="pl-PL"/>
        </w:rPr>
        <w:t>On average in the ten months of 2024, core inflation will increase by 2.69% over the same period in 2023, lower than the general average CPI increase (3.78%), mainly due to food and electricity prices. Activities, educational services, medical services and petroleum are factors that increase CPI but are in the group of goods excluded from the list of core inflation calculations.</w:t>
      </w:r>
    </w:p>
    <w:p w14:paraId="376924CB" w14:textId="11DC3248" w:rsidR="0063307A" w:rsidRPr="00F274AF" w:rsidRDefault="0063307A" w:rsidP="0063307A">
      <w:pPr>
        <w:spacing w:after="120" w:line="264" w:lineRule="auto"/>
        <w:ind w:firstLine="720"/>
        <w:jc w:val="both"/>
        <w:rPr>
          <w:color w:val="000000" w:themeColor="text1"/>
        </w:rPr>
      </w:pPr>
      <w:r w:rsidRPr="00025FBE">
        <w:rPr>
          <w:color w:val="000000" w:themeColor="text1"/>
        </w:rPr>
        <w:t xml:space="preserve">Domestic gold prices fluctuate in the same direction as world gold prices. As of October 27, 2024, the average world gold price is at 2,693.44 USD/ounce, </w:t>
      </w:r>
      <w:r w:rsidRPr="00025FBE">
        <w:rPr>
          <w:color w:val="000000" w:themeColor="text1"/>
        </w:rPr>
        <w:lastRenderedPageBreak/>
        <w:t xml:space="preserve">up 4.0% compared to September 2024 due to increasingly serious geopolitical tensions in the Middle </w:t>
      </w:r>
      <w:r w:rsidR="00E87438" w:rsidRPr="00025FBE">
        <w:rPr>
          <w:color w:val="000000" w:themeColor="text1"/>
        </w:rPr>
        <w:t>East.</w:t>
      </w:r>
      <w:r w:rsidRPr="00025FBE">
        <w:rPr>
          <w:color w:val="000000" w:themeColor="text1"/>
        </w:rPr>
        <w:t xml:space="preserve"> In addition, the prolonged conflict between Russia and Ukraine and fluctuations in the Korean Peninsula have increased concerns about global political instability. Along with that, the fact that major central banks such as the European Central Bank (ECB) and the US Federal Reserve (FED) continue to implement loosening monetary policies has contributed to promoting the increase in economic growth. gold price. Domestically, the gold price index in October 2024 increased by 5.96% compared to the previous month; an increase of 29.97% compared to December 2023; increased 38.88% over the same period last year. On average, in the ten months of 2024, the gold price index increased by 27.48%.</w:t>
      </w:r>
    </w:p>
    <w:p w14:paraId="60C7FD5B" w14:textId="4781BB0A" w:rsidR="0063307A" w:rsidRPr="00E87438" w:rsidRDefault="0063307A" w:rsidP="00E87438">
      <w:pPr>
        <w:spacing w:after="120" w:line="264" w:lineRule="auto"/>
        <w:ind w:firstLine="720"/>
        <w:jc w:val="both"/>
      </w:pPr>
      <w:r w:rsidRPr="00025FBE">
        <w:rPr>
          <w:lang w:val="vi-VN"/>
        </w:rPr>
        <w:t>As of October 27, 2024, the US dollar price index on the international market reached 102.88 points, up 1.91% over the previous month due to better-than-expected US economic data, along with Escalating geopolitical risks in global hot spots are also factors driving the rise of the USD. Domestically, the average US dollar price on the free market is around 25,050 VND/USD. The US dollar price index in October 2024 increased by 0.7% compared to the previous month; an increase of 2.41% compared to December 2023; increased 1.89% over the same period last year. On average in the ten months of 2024, the US dollar price index increased by 5.1%.</w:t>
      </w:r>
    </w:p>
    <w:p w14:paraId="4A53D678" w14:textId="77777777" w:rsidR="0063307A" w:rsidRPr="0058653F" w:rsidRDefault="0063307A" w:rsidP="0063307A">
      <w:pPr>
        <w:spacing w:after="40" w:line="276" w:lineRule="auto"/>
        <w:ind w:firstLine="567"/>
        <w:jc w:val="both"/>
        <w:rPr>
          <w:bCs/>
          <w:i/>
          <w:lang w:val="it-IT"/>
        </w:rPr>
      </w:pPr>
      <w:r w:rsidRPr="0058653F">
        <w:rPr>
          <w:b/>
          <w:bCs/>
          <w:i/>
          <w:iCs/>
          <w:lang w:val="nl-NL"/>
        </w:rPr>
        <w:t xml:space="preserve">d) </w:t>
      </w:r>
      <w:r w:rsidRPr="0058653F">
        <w:rPr>
          <w:b/>
          <w:bCs/>
          <w:i/>
          <w:iCs/>
          <w:lang w:val="fr-FR"/>
        </w:rPr>
        <w:t>Transport</w:t>
      </w:r>
      <w:r w:rsidRPr="0058653F">
        <w:rPr>
          <w:bCs/>
          <w:i/>
          <w:lang w:val="it-IT"/>
        </w:rPr>
        <w:t xml:space="preserve"> </w:t>
      </w:r>
    </w:p>
    <w:p w14:paraId="0D57A57E" w14:textId="77777777" w:rsidR="0063307A" w:rsidRPr="0058653F" w:rsidRDefault="0063307A" w:rsidP="0063307A">
      <w:pPr>
        <w:pStyle w:val="ListParagraph"/>
        <w:tabs>
          <w:tab w:val="left" w:pos="567"/>
        </w:tabs>
        <w:spacing w:before="40" w:after="40"/>
        <w:ind w:left="0" w:firstLine="567"/>
        <w:jc w:val="both"/>
        <w:rPr>
          <w:bCs/>
          <w:i/>
          <w:lang w:val="it-IT"/>
        </w:rPr>
      </w:pPr>
      <w:r w:rsidRPr="0058653F">
        <w:rPr>
          <w:bCs/>
          <w:i/>
          <w:lang w:val="it-IT"/>
        </w:rPr>
        <w:t xml:space="preserve">Transport activity in </w:t>
      </w:r>
      <w:r>
        <w:rPr>
          <w:bCs/>
          <w:i/>
          <w:lang w:val="it-IT"/>
        </w:rPr>
        <w:t>October</w:t>
      </w:r>
      <w:r w:rsidRPr="0058653F">
        <w:rPr>
          <w:bCs/>
          <w:i/>
          <w:lang w:val="it-IT"/>
        </w:rPr>
        <w:t xml:space="preserve"> maintained a positive growth rate compared to the same period last year</w:t>
      </w:r>
      <w:r>
        <w:rPr>
          <w:bCs/>
          <w:i/>
          <w:lang w:val="it-IT"/>
        </w:rPr>
        <w:t>. P</w:t>
      </w:r>
      <w:r w:rsidRPr="0058653F">
        <w:rPr>
          <w:bCs/>
          <w:i/>
          <w:lang w:val="it-IT"/>
        </w:rPr>
        <w:t>assenger carried</w:t>
      </w:r>
      <w:r>
        <w:rPr>
          <w:bCs/>
          <w:i/>
          <w:lang w:val="it-IT"/>
        </w:rPr>
        <w:t xml:space="preserve"> in 10/2023</w:t>
      </w:r>
      <w:r w:rsidRPr="0058653F">
        <w:rPr>
          <w:bCs/>
          <w:i/>
          <w:lang w:val="it-IT"/>
        </w:rPr>
        <w:t xml:space="preserve"> increased by </w:t>
      </w:r>
      <w:r>
        <w:rPr>
          <w:i/>
          <w:lang w:val="it-IT"/>
        </w:rPr>
        <w:t>6.5</w:t>
      </w:r>
      <w:r w:rsidRPr="0058653F">
        <w:rPr>
          <w:bCs/>
          <w:i/>
          <w:lang w:val="it-IT"/>
        </w:rPr>
        <w:t xml:space="preserve">% and passenger traffic increased by </w:t>
      </w:r>
      <w:r>
        <w:rPr>
          <w:i/>
          <w:lang w:val="it-IT"/>
        </w:rPr>
        <w:t>25.7</w:t>
      </w:r>
      <w:r w:rsidRPr="0058653F">
        <w:rPr>
          <w:bCs/>
          <w:i/>
          <w:lang w:val="it-IT"/>
        </w:rPr>
        <w:t>%</w:t>
      </w:r>
      <w:r w:rsidRPr="0058653F">
        <w:t xml:space="preserve"> </w:t>
      </w:r>
      <w:r w:rsidRPr="0058653F">
        <w:rPr>
          <w:bCs/>
          <w:i/>
          <w:lang w:val="it-IT"/>
        </w:rPr>
        <w:t xml:space="preserve">due to the high number of international visitors to Viet Nam and </w:t>
      </w:r>
      <w:r w:rsidRPr="00017C3F">
        <w:rPr>
          <w:bCs/>
          <w:i/>
          <w:lang w:val="it-IT"/>
        </w:rPr>
        <w:t>the increase in demand for air transport compared to the same period last year</w:t>
      </w:r>
      <w:r>
        <w:rPr>
          <w:bCs/>
          <w:i/>
          <w:lang w:val="it-IT"/>
        </w:rPr>
        <w:t>. F</w:t>
      </w:r>
      <w:r w:rsidRPr="0058653F">
        <w:rPr>
          <w:bCs/>
          <w:i/>
          <w:lang w:val="it-IT"/>
        </w:rPr>
        <w:t xml:space="preserve">reight </w:t>
      </w:r>
      <w:r>
        <w:rPr>
          <w:bCs/>
          <w:i/>
          <w:lang w:val="it-IT"/>
        </w:rPr>
        <w:t>carried</w:t>
      </w:r>
      <w:r w:rsidRPr="0058653F">
        <w:rPr>
          <w:bCs/>
          <w:i/>
          <w:lang w:val="it-IT"/>
        </w:rPr>
        <w:t xml:space="preserve"> </w:t>
      </w:r>
      <w:r>
        <w:rPr>
          <w:bCs/>
          <w:i/>
          <w:lang w:val="it-IT"/>
        </w:rPr>
        <w:t>in 10/2023</w:t>
      </w:r>
      <w:r w:rsidRPr="0058653F">
        <w:rPr>
          <w:bCs/>
          <w:i/>
          <w:lang w:val="it-IT"/>
        </w:rPr>
        <w:t xml:space="preserve"> increased by </w:t>
      </w:r>
      <w:r w:rsidRPr="0058653F">
        <w:rPr>
          <w:i/>
          <w:lang w:val="nl-NL"/>
        </w:rPr>
        <w:t>1</w:t>
      </w:r>
      <w:r>
        <w:rPr>
          <w:i/>
          <w:lang w:val="nl-NL"/>
        </w:rPr>
        <w:t>1.9</w:t>
      </w:r>
      <w:r w:rsidRPr="0058653F">
        <w:rPr>
          <w:bCs/>
          <w:i/>
          <w:lang w:val="it-IT"/>
        </w:rPr>
        <w:t xml:space="preserve">% </w:t>
      </w:r>
      <w:r>
        <w:rPr>
          <w:bCs/>
          <w:i/>
          <w:lang w:val="it-IT"/>
        </w:rPr>
        <w:t xml:space="preserve">and freight </w:t>
      </w:r>
      <w:r w:rsidRPr="0058653F">
        <w:rPr>
          <w:bCs/>
          <w:i/>
          <w:lang w:val="it-IT"/>
        </w:rPr>
        <w:t xml:space="preserve">carried </w:t>
      </w:r>
      <w:r>
        <w:rPr>
          <w:bCs/>
          <w:i/>
          <w:lang w:val="it-IT"/>
        </w:rPr>
        <w:t xml:space="preserve">up </w:t>
      </w:r>
      <w:r>
        <w:rPr>
          <w:i/>
          <w:lang w:val="nl-NL"/>
        </w:rPr>
        <w:t>7.3</w:t>
      </w:r>
      <w:r w:rsidRPr="0058653F">
        <w:rPr>
          <w:bCs/>
          <w:i/>
          <w:lang w:val="it-IT"/>
        </w:rPr>
        <w:t>% in traffic compared to the same period last year</w:t>
      </w:r>
      <w:r>
        <w:rPr>
          <w:bCs/>
          <w:i/>
          <w:lang w:val="it-IT"/>
        </w:rPr>
        <w:t>.</w:t>
      </w:r>
    </w:p>
    <w:p w14:paraId="76749BD3" w14:textId="77777777" w:rsidR="0063307A" w:rsidRPr="0058653F" w:rsidRDefault="0063307A" w:rsidP="0063307A">
      <w:pPr>
        <w:spacing w:before="40" w:after="40" w:line="276" w:lineRule="auto"/>
        <w:ind w:firstLine="567"/>
        <w:jc w:val="both"/>
        <w:rPr>
          <w:bCs/>
          <w:i/>
          <w:lang w:val="it-IT"/>
        </w:rPr>
      </w:pPr>
      <w:r w:rsidRPr="0058653F">
        <w:rPr>
          <w:bCs/>
          <w:i/>
          <w:lang w:val="it-IT"/>
        </w:rPr>
        <w:t xml:space="preserve">In </w:t>
      </w:r>
      <w:r>
        <w:rPr>
          <w:bCs/>
          <w:i/>
          <w:lang w:val="it-IT"/>
        </w:rPr>
        <w:t>10</w:t>
      </w:r>
      <w:r w:rsidRPr="0058653F">
        <w:rPr>
          <w:bCs/>
          <w:i/>
          <w:lang w:val="it-IT"/>
        </w:rPr>
        <w:t xml:space="preserve"> months of 2023, passenger carried  increased by </w:t>
      </w:r>
      <w:r w:rsidRPr="0058653F">
        <w:rPr>
          <w:i/>
          <w:lang w:val="nl-NL"/>
        </w:rPr>
        <w:t>1</w:t>
      </w:r>
      <w:r>
        <w:rPr>
          <w:i/>
          <w:lang w:val="nl-NL"/>
        </w:rPr>
        <w:t>2.5</w:t>
      </w:r>
      <w:r w:rsidRPr="0058653F">
        <w:rPr>
          <w:bCs/>
          <w:i/>
          <w:lang w:val="it-IT"/>
        </w:rPr>
        <w:t xml:space="preserve">% and passenger traffic increased by </w:t>
      </w:r>
      <w:r w:rsidRPr="0058653F">
        <w:rPr>
          <w:i/>
          <w:lang w:val="nl-NL"/>
        </w:rPr>
        <w:t>2</w:t>
      </w:r>
      <w:r>
        <w:rPr>
          <w:i/>
          <w:lang w:val="nl-NL"/>
        </w:rPr>
        <w:t>7.6</w:t>
      </w:r>
      <w:r w:rsidRPr="0058653F">
        <w:rPr>
          <w:bCs/>
          <w:i/>
          <w:lang w:val="it-IT"/>
        </w:rPr>
        <w:t xml:space="preserve">% over the same period last year; freight </w:t>
      </w:r>
      <w:r>
        <w:rPr>
          <w:bCs/>
          <w:i/>
          <w:lang w:val="it-IT"/>
        </w:rPr>
        <w:t xml:space="preserve">transport </w:t>
      </w:r>
      <w:r w:rsidRPr="0058653F">
        <w:rPr>
          <w:bCs/>
          <w:i/>
          <w:lang w:val="it-IT"/>
        </w:rPr>
        <w:t xml:space="preserve">increased by </w:t>
      </w:r>
      <w:r w:rsidRPr="0058653F">
        <w:rPr>
          <w:i/>
          <w:lang w:val="nl-NL"/>
        </w:rPr>
        <w:t>1</w:t>
      </w:r>
      <w:r>
        <w:rPr>
          <w:i/>
          <w:lang w:val="nl-NL"/>
        </w:rPr>
        <w:t>4.4</w:t>
      </w:r>
      <w:r w:rsidRPr="0058653F">
        <w:rPr>
          <w:bCs/>
          <w:i/>
          <w:lang w:val="it-IT"/>
        </w:rPr>
        <w:t xml:space="preserve">% and freight traffic increased by </w:t>
      </w:r>
      <w:r w:rsidRPr="0058653F">
        <w:rPr>
          <w:i/>
          <w:lang w:val="nl-NL"/>
        </w:rPr>
        <w:t>1</w:t>
      </w:r>
      <w:r>
        <w:rPr>
          <w:i/>
          <w:lang w:val="nl-NL"/>
        </w:rPr>
        <w:t>1.</w:t>
      </w:r>
      <w:r w:rsidRPr="0058653F">
        <w:rPr>
          <w:i/>
          <w:lang w:val="nl-NL"/>
        </w:rPr>
        <w:t>4</w:t>
      </w:r>
      <w:r w:rsidRPr="0058653F">
        <w:rPr>
          <w:bCs/>
          <w:i/>
          <w:lang w:val="it-IT"/>
        </w:rPr>
        <w:t>% over the same period last year.</w:t>
      </w:r>
    </w:p>
    <w:p w14:paraId="728AF1AC" w14:textId="77777777" w:rsidR="0063307A" w:rsidRPr="0058653F" w:rsidRDefault="0063307A" w:rsidP="0063307A">
      <w:pPr>
        <w:tabs>
          <w:tab w:val="left" w:pos="567"/>
        </w:tabs>
        <w:spacing w:before="120" w:after="120" w:line="276" w:lineRule="auto"/>
        <w:ind w:firstLine="567"/>
        <w:jc w:val="both"/>
        <w:rPr>
          <w:lang w:val="pl-PL"/>
        </w:rPr>
      </w:pPr>
      <w:r w:rsidRPr="0058653F">
        <w:rPr>
          <w:lang w:val="pl-PL"/>
        </w:rPr>
        <w:t xml:space="preserve">Passenger carried in </w:t>
      </w:r>
      <w:r>
        <w:rPr>
          <w:lang w:val="pl-PL"/>
        </w:rPr>
        <w:t xml:space="preserve">October </w:t>
      </w:r>
      <w:r w:rsidRPr="0058653F">
        <w:rPr>
          <w:lang w:val="pl-PL"/>
        </w:rPr>
        <w:t xml:space="preserve">was estimated at </w:t>
      </w:r>
      <w:r w:rsidRPr="0058653F">
        <w:rPr>
          <w:lang w:val="nl-NL"/>
        </w:rPr>
        <w:t>39</w:t>
      </w:r>
      <w:r>
        <w:rPr>
          <w:lang w:val="nl-NL"/>
        </w:rPr>
        <w:t>9.7</w:t>
      </w:r>
      <w:r w:rsidRPr="0058653F">
        <w:rPr>
          <w:lang w:val="nl-NL"/>
        </w:rPr>
        <w:t xml:space="preserve"> </w:t>
      </w:r>
      <w:r w:rsidRPr="0058653F">
        <w:rPr>
          <w:lang w:val="pl-PL"/>
        </w:rPr>
        <w:t xml:space="preserve">million passengers, decreased </w:t>
      </w:r>
      <w:r>
        <w:rPr>
          <w:lang w:val="pl-PL"/>
        </w:rPr>
        <w:t>by 0.3</w:t>
      </w:r>
      <w:r w:rsidRPr="0058653F">
        <w:rPr>
          <w:lang w:val="pl-PL"/>
        </w:rPr>
        <w:t xml:space="preserve">% over the previous month and passenger traffic was </w:t>
      </w:r>
      <w:r w:rsidRPr="0058653F">
        <w:rPr>
          <w:lang w:val="nl-NL"/>
        </w:rPr>
        <w:t>2</w:t>
      </w:r>
      <w:r>
        <w:rPr>
          <w:lang w:val="nl-NL"/>
        </w:rPr>
        <w:t>2.3</w:t>
      </w:r>
      <w:r w:rsidRPr="0058653F">
        <w:rPr>
          <w:lang w:val="nl-NL"/>
        </w:rPr>
        <w:t xml:space="preserve"> </w:t>
      </w:r>
      <w:r w:rsidRPr="0058653F">
        <w:rPr>
          <w:lang w:val="pl-PL"/>
        </w:rPr>
        <w:t xml:space="preserve">billion passengers-kilometers, up </w:t>
      </w:r>
      <w:r w:rsidRPr="0058653F">
        <w:rPr>
          <w:lang w:val="nl-NL"/>
        </w:rPr>
        <w:t>2</w:t>
      </w:r>
      <w:r>
        <w:rPr>
          <w:lang w:val="nl-NL"/>
        </w:rPr>
        <w:t>.2</w:t>
      </w:r>
      <w:r w:rsidRPr="0058653F">
        <w:rPr>
          <w:lang w:val="pl-PL"/>
        </w:rPr>
        <w:t xml:space="preserve">%. In </w:t>
      </w:r>
      <w:r>
        <w:rPr>
          <w:lang w:val="pl-PL"/>
        </w:rPr>
        <w:t>10</w:t>
      </w:r>
      <w:r w:rsidRPr="0058653F">
        <w:rPr>
          <w:lang w:val="pl-PL"/>
        </w:rPr>
        <w:t xml:space="preserve"> months of 2023, passenger carried was estimated at </w:t>
      </w:r>
      <w:r w:rsidRPr="0058653F">
        <w:rPr>
          <w:lang w:val="nl-NL"/>
        </w:rPr>
        <w:t>3</w:t>
      </w:r>
      <w:r>
        <w:rPr>
          <w:lang w:val="nl-NL"/>
        </w:rPr>
        <w:t>,807.8</w:t>
      </w:r>
      <w:r w:rsidRPr="0058653F">
        <w:rPr>
          <w:lang w:val="nl-NL"/>
        </w:rPr>
        <w:t xml:space="preserve"> </w:t>
      </w:r>
      <w:r w:rsidRPr="0058653F">
        <w:rPr>
          <w:lang w:val="pl-PL"/>
        </w:rPr>
        <w:t xml:space="preserve">million passengers, up </w:t>
      </w:r>
      <w:r w:rsidRPr="0058653F">
        <w:rPr>
          <w:lang w:val="nl-NL"/>
        </w:rPr>
        <w:t>1</w:t>
      </w:r>
      <w:r>
        <w:rPr>
          <w:lang w:val="nl-NL"/>
        </w:rPr>
        <w:t>2.5</w:t>
      </w:r>
      <w:r w:rsidRPr="0058653F">
        <w:rPr>
          <w:lang w:val="pl-PL"/>
        </w:rPr>
        <w:t xml:space="preserve">% over the same period last year and passenger traffic was </w:t>
      </w:r>
      <w:r>
        <w:rPr>
          <w:lang w:val="nl-NL"/>
        </w:rPr>
        <w:t>206.2</w:t>
      </w:r>
      <w:r w:rsidRPr="0058653F">
        <w:rPr>
          <w:lang w:val="nl-NL"/>
        </w:rPr>
        <w:t xml:space="preserve"> </w:t>
      </w:r>
      <w:r w:rsidRPr="0058653F">
        <w:rPr>
          <w:lang w:val="pl-PL"/>
        </w:rPr>
        <w:t xml:space="preserve">billion passengers.km, increased by </w:t>
      </w:r>
      <w:r w:rsidRPr="0058653F">
        <w:rPr>
          <w:lang w:val="nl-NL"/>
        </w:rPr>
        <w:t>2</w:t>
      </w:r>
      <w:r>
        <w:rPr>
          <w:lang w:val="nl-NL"/>
        </w:rPr>
        <w:t>7.6</w:t>
      </w:r>
      <w:r w:rsidRPr="0058653F">
        <w:rPr>
          <w:lang w:val="pl-PL"/>
        </w:rPr>
        <w:t xml:space="preserve">%. In which, domestic transport reached </w:t>
      </w:r>
      <w:r w:rsidRPr="0058653F">
        <w:rPr>
          <w:lang w:val="nl-NL"/>
        </w:rPr>
        <w:t>3</w:t>
      </w:r>
      <w:r>
        <w:rPr>
          <w:lang w:val="nl-NL"/>
        </w:rPr>
        <w:t>,794.</w:t>
      </w:r>
      <w:r w:rsidRPr="0058653F">
        <w:rPr>
          <w:lang w:val="nl-NL"/>
        </w:rPr>
        <w:t xml:space="preserve">6 </w:t>
      </w:r>
      <w:r w:rsidRPr="0058653F">
        <w:rPr>
          <w:lang w:val="pl-PL"/>
        </w:rPr>
        <w:t xml:space="preserve">million passengers, up </w:t>
      </w:r>
      <w:r w:rsidRPr="0058653F">
        <w:rPr>
          <w:lang w:val="nl-NL"/>
        </w:rPr>
        <w:t>1</w:t>
      </w:r>
      <w:r>
        <w:rPr>
          <w:lang w:val="nl-NL"/>
        </w:rPr>
        <w:t>2.</w:t>
      </w:r>
      <w:r w:rsidRPr="0058653F">
        <w:rPr>
          <w:lang w:val="nl-NL"/>
        </w:rPr>
        <w:t>2</w:t>
      </w:r>
      <w:r w:rsidRPr="0058653F">
        <w:rPr>
          <w:lang w:val="pl-PL"/>
        </w:rPr>
        <w:t xml:space="preserve">% over the same period last year and </w:t>
      </w:r>
      <w:r w:rsidRPr="0058653F">
        <w:rPr>
          <w:lang w:val="nl-NL"/>
        </w:rPr>
        <w:t>1</w:t>
      </w:r>
      <w:r>
        <w:rPr>
          <w:lang w:val="nl-NL"/>
        </w:rPr>
        <w:t>68.1</w:t>
      </w:r>
      <w:r w:rsidRPr="0058653F">
        <w:rPr>
          <w:lang w:val="nl-NL"/>
        </w:rPr>
        <w:t xml:space="preserve"> </w:t>
      </w:r>
      <w:r w:rsidRPr="0058653F">
        <w:rPr>
          <w:lang w:val="pl-PL"/>
        </w:rPr>
        <w:t xml:space="preserve">billion passengers-kilometers, up </w:t>
      </w:r>
      <w:r w:rsidRPr="0058653F">
        <w:rPr>
          <w:lang w:val="nl-NL"/>
        </w:rPr>
        <w:t>1</w:t>
      </w:r>
      <w:r>
        <w:rPr>
          <w:lang w:val="nl-NL"/>
        </w:rPr>
        <w:t>1.9</w:t>
      </w:r>
      <w:r w:rsidRPr="0058653F">
        <w:rPr>
          <w:lang w:val="pl-PL"/>
        </w:rPr>
        <w:t xml:space="preserve">%; overseas </w:t>
      </w:r>
      <w:r w:rsidRPr="0058653F">
        <w:rPr>
          <w:lang w:val="pl-PL"/>
        </w:rPr>
        <w:lastRenderedPageBreak/>
        <w:t xml:space="preserve">transport reached </w:t>
      </w:r>
      <w:r>
        <w:rPr>
          <w:lang w:val="nl-NL"/>
        </w:rPr>
        <w:t>13.2</w:t>
      </w:r>
      <w:r w:rsidRPr="0058653F">
        <w:rPr>
          <w:lang w:val="nl-NL"/>
        </w:rPr>
        <w:t xml:space="preserve"> </w:t>
      </w:r>
      <w:r w:rsidRPr="0058653F">
        <w:rPr>
          <w:lang w:val="pl-PL"/>
        </w:rPr>
        <w:t xml:space="preserve">million passengers, </w:t>
      </w:r>
      <w:r>
        <w:rPr>
          <w:lang w:val="nl-NL"/>
        </w:rPr>
        <w:t>3.6</w:t>
      </w:r>
      <w:r w:rsidRPr="0058653F">
        <w:rPr>
          <w:lang w:val="nl-NL"/>
        </w:rPr>
        <w:t xml:space="preserve"> </w:t>
      </w:r>
      <w:r w:rsidRPr="0058653F">
        <w:rPr>
          <w:lang w:val="pl-PL"/>
        </w:rPr>
        <w:t xml:space="preserve">times higher and </w:t>
      </w:r>
      <w:r>
        <w:rPr>
          <w:lang w:val="nl-NL"/>
        </w:rPr>
        <w:t>38.1</w:t>
      </w:r>
      <w:r w:rsidRPr="0058653F">
        <w:rPr>
          <w:lang w:val="nl-NL"/>
        </w:rPr>
        <w:t xml:space="preserve"> </w:t>
      </w:r>
      <w:r w:rsidRPr="0058653F">
        <w:rPr>
          <w:lang w:val="pl-PL"/>
        </w:rPr>
        <w:t xml:space="preserve">billion passengers-kilometers, </w:t>
      </w:r>
      <w:r w:rsidRPr="0058653F">
        <w:rPr>
          <w:lang w:val="nl-NL"/>
        </w:rPr>
        <w:t>3</w:t>
      </w:r>
      <w:r>
        <w:rPr>
          <w:lang w:val="nl-NL"/>
        </w:rPr>
        <w:t>.4</w:t>
      </w:r>
      <w:r w:rsidRPr="0058653F">
        <w:rPr>
          <w:lang w:val="nl-NL"/>
        </w:rPr>
        <w:t xml:space="preserve"> </w:t>
      </w:r>
      <w:r w:rsidRPr="0058653F">
        <w:rPr>
          <w:lang w:val="pl-PL"/>
        </w:rPr>
        <w:t xml:space="preserve">times higher than the same period last year. </w:t>
      </w:r>
    </w:p>
    <w:p w14:paraId="576655C9" w14:textId="77777777" w:rsidR="0063307A" w:rsidRPr="0058653F" w:rsidRDefault="0063307A" w:rsidP="0063307A">
      <w:pPr>
        <w:tabs>
          <w:tab w:val="left" w:pos="567"/>
        </w:tabs>
        <w:spacing w:before="120" w:after="120" w:line="276" w:lineRule="auto"/>
        <w:ind w:firstLine="567"/>
        <w:jc w:val="both"/>
        <w:rPr>
          <w:rFonts w:ascii="Arial" w:hAnsi="Arial" w:cs="Arial"/>
          <w:b/>
          <w:sz w:val="16"/>
          <w:szCs w:val="20"/>
          <w:lang w:val="pl-PL"/>
        </w:rPr>
      </w:pPr>
      <w:r w:rsidRPr="0058653F">
        <w:rPr>
          <w:lang w:val="pl-PL"/>
        </w:rPr>
        <w:t xml:space="preserve">In terms of transportation, all </w:t>
      </w:r>
      <w:r w:rsidRPr="00DF3351">
        <w:rPr>
          <w:lang w:val="pl-PL"/>
        </w:rPr>
        <w:t xml:space="preserve">types of transport </w:t>
      </w:r>
      <w:r w:rsidRPr="0058653F">
        <w:rPr>
          <w:lang w:val="pl-PL"/>
        </w:rPr>
        <w:t xml:space="preserve">in </w:t>
      </w:r>
      <w:r>
        <w:rPr>
          <w:lang w:val="pl-PL"/>
        </w:rPr>
        <w:t>10</w:t>
      </w:r>
      <w:r w:rsidRPr="0058653F">
        <w:rPr>
          <w:lang w:val="pl-PL"/>
        </w:rPr>
        <w:t xml:space="preserve"> months</w:t>
      </w:r>
      <w:r>
        <w:rPr>
          <w:lang w:val="pl-PL"/>
        </w:rPr>
        <w:t xml:space="preserve"> </w:t>
      </w:r>
      <w:r w:rsidRPr="0058653F">
        <w:rPr>
          <w:lang w:val="pl-PL"/>
        </w:rPr>
        <w:t>of 2023 increased sharply compared to the same period last year.</w:t>
      </w:r>
    </w:p>
    <w:p w14:paraId="0BF5D511" w14:textId="77777777" w:rsidR="0063307A" w:rsidRPr="0058653F" w:rsidRDefault="0063307A" w:rsidP="0063307A">
      <w:pPr>
        <w:spacing w:before="120" w:after="120" w:line="276" w:lineRule="auto"/>
        <w:ind w:firstLine="567"/>
        <w:jc w:val="center"/>
        <w:rPr>
          <w:rFonts w:ascii="Times New Roman Bold" w:hAnsi="Times New Roman Bold"/>
          <w:b/>
          <w:bCs/>
          <w:lang w:val="fr-FR"/>
        </w:rPr>
      </w:pPr>
      <w:r w:rsidRPr="0058653F">
        <w:rPr>
          <w:rFonts w:ascii="Times New Roman Bold" w:hAnsi="Times New Roman Bold"/>
          <w:b/>
          <w:bCs/>
          <w:iCs/>
          <w:lang w:val="fr-FR"/>
        </w:rPr>
        <w:t xml:space="preserve">Table 6 : Passengers transport in </w:t>
      </w:r>
      <w:r>
        <w:rPr>
          <w:rFonts w:ascii="Times New Roman Bold" w:hAnsi="Times New Roman Bold"/>
          <w:b/>
          <w:bCs/>
          <w:iCs/>
          <w:lang w:val="fr-FR"/>
        </w:rPr>
        <w:t>10</w:t>
      </w:r>
      <w:r w:rsidRPr="0058653F">
        <w:rPr>
          <w:rFonts w:ascii="Times New Roman Bold" w:hAnsi="Times New Roman Bold"/>
          <w:b/>
          <w:bCs/>
          <w:iCs/>
          <w:lang w:val="fr-FR"/>
        </w:rPr>
        <w:t xml:space="preserve"> months of 2023 </w:t>
      </w:r>
      <w:r w:rsidRPr="0058653F">
        <w:rPr>
          <w:rFonts w:ascii="Times New Roman Bold" w:hAnsi="Times New Roman Bold"/>
          <w:b/>
          <w:bCs/>
          <w:iCs/>
          <w:lang w:val="fr-FR"/>
        </w:rPr>
        <w:br/>
      </w:r>
      <w:r w:rsidRPr="0058653F">
        <w:rPr>
          <w:rFonts w:ascii="Times New Roman Bold" w:hAnsi="Times New Roman Bold"/>
          <w:b/>
          <w:bCs/>
          <w:lang w:val="fr-FR"/>
        </w:rPr>
        <w:t>by types of transport</w:t>
      </w:r>
    </w:p>
    <w:tbl>
      <w:tblPr>
        <w:tblW w:w="9323" w:type="dxa"/>
        <w:jc w:val="center"/>
        <w:tblLook w:val="04A0" w:firstRow="1" w:lastRow="0" w:firstColumn="1" w:lastColumn="0" w:noHBand="0" w:noVBand="1"/>
      </w:tblPr>
      <w:tblGrid>
        <w:gridCol w:w="1985"/>
        <w:gridCol w:w="1984"/>
        <w:gridCol w:w="2127"/>
        <w:gridCol w:w="1753"/>
        <w:gridCol w:w="1474"/>
      </w:tblGrid>
      <w:tr w:rsidR="0063307A" w:rsidRPr="0058653F" w14:paraId="6FFFB790" w14:textId="77777777" w:rsidTr="00B73CE3">
        <w:trPr>
          <w:trHeight w:val="451"/>
          <w:jc w:val="center"/>
        </w:trPr>
        <w:tc>
          <w:tcPr>
            <w:tcW w:w="1985" w:type="dxa"/>
            <w:tcBorders>
              <w:top w:val="single" w:sz="4" w:space="0" w:color="auto"/>
            </w:tcBorders>
            <w:shd w:val="clear" w:color="auto" w:fill="auto"/>
            <w:vAlign w:val="center"/>
            <w:hideMark/>
          </w:tcPr>
          <w:p w14:paraId="70FBA6DE" w14:textId="77777777" w:rsidR="0063307A" w:rsidRPr="0058653F" w:rsidRDefault="0063307A" w:rsidP="00B73CE3">
            <w:pPr>
              <w:spacing w:line="276" w:lineRule="auto"/>
              <w:ind w:firstLine="34"/>
              <w:jc w:val="center"/>
              <w:rPr>
                <w:rFonts w:ascii="Arial" w:hAnsi="Arial" w:cs="Arial"/>
                <w:sz w:val="20"/>
                <w:szCs w:val="20"/>
                <w:lang w:eastAsia="vi-VN"/>
              </w:rPr>
            </w:pPr>
          </w:p>
        </w:tc>
        <w:tc>
          <w:tcPr>
            <w:tcW w:w="4111" w:type="dxa"/>
            <w:gridSpan w:val="2"/>
            <w:tcBorders>
              <w:top w:val="single" w:sz="4" w:space="0" w:color="auto"/>
              <w:bottom w:val="single" w:sz="4" w:space="0" w:color="auto"/>
            </w:tcBorders>
            <w:shd w:val="clear" w:color="auto" w:fill="auto"/>
            <w:vAlign w:val="center"/>
            <w:hideMark/>
          </w:tcPr>
          <w:p w14:paraId="013D8D9C" w14:textId="77777777" w:rsidR="0063307A" w:rsidRPr="0058653F" w:rsidRDefault="0063307A" w:rsidP="00B73CE3">
            <w:pPr>
              <w:spacing w:line="276" w:lineRule="auto"/>
              <w:ind w:hanging="21"/>
              <w:jc w:val="center"/>
              <w:rPr>
                <w:rFonts w:ascii="Arial" w:hAnsi="Arial" w:cs="Arial"/>
                <w:sz w:val="20"/>
                <w:szCs w:val="20"/>
                <w:lang w:eastAsia="vi-VN"/>
              </w:rPr>
            </w:pPr>
            <w:r w:rsidRPr="0058653F">
              <w:rPr>
                <w:rFonts w:ascii="Arial" w:hAnsi="Arial" w:cs="Arial"/>
                <w:iCs/>
                <w:sz w:val="20"/>
                <w:szCs w:val="20"/>
                <w:lang w:eastAsia="vi-VN"/>
              </w:rPr>
              <w:t>Number of passenger</w:t>
            </w:r>
          </w:p>
        </w:tc>
        <w:tc>
          <w:tcPr>
            <w:tcW w:w="3227" w:type="dxa"/>
            <w:gridSpan w:val="2"/>
            <w:tcBorders>
              <w:top w:val="single" w:sz="4" w:space="0" w:color="auto"/>
              <w:bottom w:val="single" w:sz="4" w:space="0" w:color="auto"/>
            </w:tcBorders>
            <w:shd w:val="clear" w:color="auto" w:fill="auto"/>
            <w:vAlign w:val="center"/>
            <w:hideMark/>
          </w:tcPr>
          <w:p w14:paraId="316E4FFF" w14:textId="77777777" w:rsidR="0063307A" w:rsidRPr="0058653F" w:rsidRDefault="0063307A" w:rsidP="00B73CE3">
            <w:pPr>
              <w:spacing w:line="276" w:lineRule="auto"/>
              <w:ind w:firstLine="34"/>
              <w:jc w:val="center"/>
              <w:rPr>
                <w:rFonts w:ascii="Arial" w:hAnsi="Arial" w:cs="Arial"/>
                <w:color w:val="000000"/>
                <w:sz w:val="20"/>
                <w:szCs w:val="20"/>
                <w:lang w:eastAsia="vi-VN"/>
              </w:rPr>
            </w:pPr>
            <w:r w:rsidRPr="0058653F">
              <w:rPr>
                <w:rFonts w:ascii="Arial" w:hAnsi="Arial" w:cs="Arial"/>
                <w:color w:val="000000"/>
                <w:sz w:val="20"/>
                <w:szCs w:val="20"/>
                <w:lang w:eastAsia="vi-VN"/>
              </w:rPr>
              <w:t>Growth rate compared to the same period last year (%)</w:t>
            </w:r>
          </w:p>
        </w:tc>
      </w:tr>
      <w:tr w:rsidR="0063307A" w:rsidRPr="0058653F" w14:paraId="326147CB" w14:textId="77777777" w:rsidTr="00B73CE3">
        <w:trPr>
          <w:trHeight w:val="444"/>
          <w:jc w:val="center"/>
        </w:trPr>
        <w:tc>
          <w:tcPr>
            <w:tcW w:w="1985" w:type="dxa"/>
            <w:shd w:val="clear" w:color="auto" w:fill="auto"/>
            <w:vAlign w:val="center"/>
            <w:hideMark/>
          </w:tcPr>
          <w:p w14:paraId="4031F10F" w14:textId="77777777" w:rsidR="0063307A" w:rsidRPr="0058653F" w:rsidRDefault="0063307A" w:rsidP="00B73CE3">
            <w:pPr>
              <w:spacing w:line="276" w:lineRule="auto"/>
              <w:ind w:firstLine="34"/>
              <w:jc w:val="center"/>
              <w:rPr>
                <w:rFonts w:ascii="Arial" w:hAnsi="Arial" w:cs="Arial"/>
                <w:color w:val="000000"/>
                <w:sz w:val="20"/>
                <w:szCs w:val="20"/>
                <w:lang w:eastAsia="vi-VN"/>
              </w:rPr>
            </w:pPr>
          </w:p>
        </w:tc>
        <w:tc>
          <w:tcPr>
            <w:tcW w:w="1984" w:type="dxa"/>
            <w:tcBorders>
              <w:top w:val="single" w:sz="4" w:space="0" w:color="auto"/>
              <w:bottom w:val="single" w:sz="4" w:space="0" w:color="auto"/>
            </w:tcBorders>
            <w:shd w:val="clear" w:color="auto" w:fill="auto"/>
            <w:vAlign w:val="center"/>
            <w:hideMark/>
          </w:tcPr>
          <w:p w14:paraId="56F9914F" w14:textId="77777777" w:rsidR="0063307A" w:rsidRPr="0058653F" w:rsidRDefault="0063307A" w:rsidP="00B73CE3">
            <w:pPr>
              <w:spacing w:line="276" w:lineRule="auto"/>
              <w:ind w:hanging="21"/>
              <w:jc w:val="center"/>
              <w:rPr>
                <w:rFonts w:ascii="Arial" w:hAnsi="Arial" w:cs="Arial"/>
                <w:sz w:val="20"/>
                <w:szCs w:val="20"/>
                <w:lang w:eastAsia="vi-VN"/>
              </w:rPr>
            </w:pPr>
            <w:r w:rsidRPr="0058653F">
              <w:rPr>
                <w:rFonts w:ascii="Arial" w:hAnsi="Arial" w:cs="Arial"/>
                <w:sz w:val="20"/>
                <w:szCs w:val="20"/>
                <w:lang w:eastAsia="vi-VN"/>
              </w:rPr>
              <w:t>Carried</w:t>
            </w:r>
            <w:r w:rsidRPr="0058653F">
              <w:rPr>
                <w:rFonts w:ascii="Arial" w:hAnsi="Arial" w:cs="Arial"/>
                <w:sz w:val="20"/>
                <w:szCs w:val="20"/>
                <w:lang w:eastAsia="vi-VN"/>
              </w:rPr>
              <w:br/>
              <w:t>(Mill. passengers)</w:t>
            </w:r>
          </w:p>
        </w:tc>
        <w:tc>
          <w:tcPr>
            <w:tcW w:w="2127" w:type="dxa"/>
            <w:tcBorders>
              <w:top w:val="single" w:sz="4" w:space="0" w:color="auto"/>
              <w:bottom w:val="single" w:sz="4" w:space="0" w:color="auto"/>
            </w:tcBorders>
            <w:shd w:val="clear" w:color="auto" w:fill="auto"/>
            <w:vAlign w:val="center"/>
            <w:hideMark/>
          </w:tcPr>
          <w:p w14:paraId="3F485AC4" w14:textId="77777777" w:rsidR="0063307A" w:rsidRPr="0058653F" w:rsidRDefault="0063307A" w:rsidP="00B73CE3">
            <w:pPr>
              <w:spacing w:line="276" w:lineRule="auto"/>
              <w:ind w:hanging="21"/>
              <w:jc w:val="center"/>
              <w:rPr>
                <w:rFonts w:ascii="Arial" w:hAnsi="Arial" w:cs="Arial"/>
                <w:sz w:val="20"/>
                <w:szCs w:val="20"/>
                <w:lang w:eastAsia="vi-VN"/>
              </w:rPr>
            </w:pPr>
            <w:r w:rsidRPr="0058653F">
              <w:rPr>
                <w:rFonts w:ascii="Arial" w:hAnsi="Arial" w:cs="Arial"/>
                <w:sz w:val="20"/>
                <w:szCs w:val="20"/>
                <w:lang w:eastAsia="vi-VN"/>
              </w:rPr>
              <w:t>Traffic</w:t>
            </w:r>
            <w:r w:rsidRPr="0058653F">
              <w:rPr>
                <w:rFonts w:ascii="Arial" w:hAnsi="Arial" w:cs="Arial"/>
                <w:sz w:val="20"/>
                <w:szCs w:val="20"/>
                <w:lang w:eastAsia="vi-VN"/>
              </w:rPr>
              <w:br/>
              <w:t>(Bill. passengers-km)</w:t>
            </w:r>
          </w:p>
        </w:tc>
        <w:tc>
          <w:tcPr>
            <w:tcW w:w="1753" w:type="dxa"/>
            <w:tcBorders>
              <w:top w:val="single" w:sz="4" w:space="0" w:color="auto"/>
              <w:bottom w:val="single" w:sz="4" w:space="0" w:color="auto"/>
            </w:tcBorders>
            <w:shd w:val="clear" w:color="auto" w:fill="auto"/>
            <w:vAlign w:val="center"/>
            <w:hideMark/>
          </w:tcPr>
          <w:p w14:paraId="55CEED97" w14:textId="77777777" w:rsidR="0063307A" w:rsidRPr="0058653F" w:rsidRDefault="0063307A" w:rsidP="00B73CE3">
            <w:pPr>
              <w:spacing w:line="276" w:lineRule="auto"/>
              <w:ind w:firstLine="34"/>
              <w:jc w:val="center"/>
              <w:rPr>
                <w:rFonts w:ascii="Arial" w:hAnsi="Arial" w:cs="Arial"/>
                <w:sz w:val="20"/>
                <w:szCs w:val="20"/>
                <w:lang w:eastAsia="vi-VN"/>
              </w:rPr>
            </w:pPr>
            <w:bookmarkStart w:id="8" w:name="_Hlk116907733"/>
            <w:r w:rsidRPr="0058653F">
              <w:rPr>
                <w:rFonts w:ascii="Arial" w:hAnsi="Arial" w:cs="Arial"/>
                <w:sz w:val="20"/>
                <w:szCs w:val="20"/>
                <w:lang w:eastAsia="vi-VN"/>
              </w:rPr>
              <w:t>Carried</w:t>
            </w:r>
            <w:bookmarkEnd w:id="8"/>
          </w:p>
        </w:tc>
        <w:tc>
          <w:tcPr>
            <w:tcW w:w="1474" w:type="dxa"/>
            <w:tcBorders>
              <w:top w:val="single" w:sz="4" w:space="0" w:color="auto"/>
              <w:bottom w:val="single" w:sz="4" w:space="0" w:color="auto"/>
            </w:tcBorders>
            <w:shd w:val="clear" w:color="auto" w:fill="auto"/>
            <w:vAlign w:val="center"/>
            <w:hideMark/>
          </w:tcPr>
          <w:p w14:paraId="7E7D9244" w14:textId="77777777" w:rsidR="0063307A" w:rsidRPr="0058653F" w:rsidRDefault="0063307A" w:rsidP="00B73CE3">
            <w:pPr>
              <w:spacing w:line="276" w:lineRule="auto"/>
              <w:ind w:firstLine="34"/>
              <w:jc w:val="center"/>
              <w:rPr>
                <w:rFonts w:ascii="Arial" w:hAnsi="Arial" w:cs="Arial"/>
                <w:sz w:val="20"/>
                <w:szCs w:val="20"/>
                <w:lang w:eastAsia="vi-VN"/>
              </w:rPr>
            </w:pPr>
            <w:r w:rsidRPr="0058653F">
              <w:rPr>
                <w:rFonts w:ascii="Arial" w:hAnsi="Arial" w:cs="Arial"/>
                <w:sz w:val="20"/>
                <w:szCs w:val="20"/>
                <w:lang w:eastAsia="vi-VN"/>
              </w:rPr>
              <w:t>Traffic</w:t>
            </w:r>
          </w:p>
        </w:tc>
      </w:tr>
      <w:tr w:rsidR="0063307A" w:rsidRPr="0058653F" w14:paraId="0C0DA661" w14:textId="77777777" w:rsidTr="00B73CE3">
        <w:trPr>
          <w:trHeight w:val="402"/>
          <w:jc w:val="center"/>
        </w:trPr>
        <w:tc>
          <w:tcPr>
            <w:tcW w:w="1985" w:type="dxa"/>
            <w:shd w:val="clear" w:color="auto" w:fill="auto"/>
            <w:noWrap/>
            <w:vAlign w:val="center"/>
            <w:hideMark/>
          </w:tcPr>
          <w:p w14:paraId="590C11C8" w14:textId="77777777" w:rsidR="0063307A" w:rsidRPr="0058653F" w:rsidRDefault="0063307A" w:rsidP="00B73CE3">
            <w:pPr>
              <w:spacing w:line="276" w:lineRule="auto"/>
              <w:ind w:firstLine="34"/>
              <w:jc w:val="both"/>
              <w:rPr>
                <w:rFonts w:ascii="Arial" w:hAnsi="Arial" w:cs="Arial"/>
                <w:b/>
                <w:bCs/>
                <w:sz w:val="20"/>
                <w:szCs w:val="20"/>
                <w:lang w:eastAsia="vi-VN"/>
              </w:rPr>
            </w:pPr>
            <w:r w:rsidRPr="0058653F">
              <w:rPr>
                <w:rFonts w:ascii="Arial" w:hAnsi="Arial" w:cs="Arial"/>
                <w:b/>
                <w:bCs/>
                <w:sz w:val="20"/>
                <w:szCs w:val="20"/>
                <w:lang w:eastAsia="vi-VN"/>
              </w:rPr>
              <w:t>Total</w:t>
            </w:r>
          </w:p>
        </w:tc>
        <w:tc>
          <w:tcPr>
            <w:tcW w:w="1984" w:type="dxa"/>
            <w:tcBorders>
              <w:top w:val="single" w:sz="4" w:space="0" w:color="auto"/>
            </w:tcBorders>
            <w:shd w:val="clear" w:color="auto" w:fill="auto"/>
            <w:noWrap/>
            <w:vAlign w:val="center"/>
            <w:hideMark/>
          </w:tcPr>
          <w:p w14:paraId="3F131A18" w14:textId="77777777" w:rsidR="0063307A" w:rsidRPr="0058653F" w:rsidRDefault="0063307A" w:rsidP="00B73CE3">
            <w:pPr>
              <w:spacing w:line="276" w:lineRule="auto"/>
              <w:ind w:right="600"/>
              <w:jc w:val="right"/>
              <w:rPr>
                <w:rFonts w:ascii="Arial" w:hAnsi="Arial" w:cs="Arial"/>
                <w:b/>
                <w:bCs/>
                <w:sz w:val="20"/>
                <w:szCs w:val="20"/>
              </w:rPr>
            </w:pPr>
            <w:r w:rsidRPr="007D42A5">
              <w:rPr>
                <w:rFonts w:ascii="Arial" w:hAnsi="Arial" w:cs="Arial"/>
                <w:b/>
                <w:sz w:val="20"/>
                <w:szCs w:val="20"/>
              </w:rPr>
              <w:t>3</w:t>
            </w:r>
            <w:r>
              <w:rPr>
                <w:rFonts w:ascii="Arial" w:hAnsi="Arial" w:cs="Arial"/>
                <w:b/>
                <w:sz w:val="20"/>
                <w:szCs w:val="20"/>
              </w:rPr>
              <w:t>,</w:t>
            </w:r>
            <w:r w:rsidRPr="007D42A5">
              <w:rPr>
                <w:rFonts w:ascii="Arial" w:hAnsi="Arial" w:cs="Arial"/>
                <w:b/>
                <w:sz w:val="20"/>
                <w:szCs w:val="20"/>
              </w:rPr>
              <w:t>807</w:t>
            </w:r>
            <w:r>
              <w:rPr>
                <w:rFonts w:ascii="Arial" w:hAnsi="Arial" w:cs="Arial"/>
                <w:b/>
                <w:sz w:val="20"/>
                <w:szCs w:val="20"/>
              </w:rPr>
              <w:t>.</w:t>
            </w:r>
            <w:r w:rsidRPr="007D42A5">
              <w:rPr>
                <w:rFonts w:ascii="Arial" w:hAnsi="Arial" w:cs="Arial"/>
                <w:b/>
                <w:sz w:val="20"/>
                <w:szCs w:val="20"/>
              </w:rPr>
              <w:t>8</w:t>
            </w:r>
          </w:p>
        </w:tc>
        <w:tc>
          <w:tcPr>
            <w:tcW w:w="2127" w:type="dxa"/>
            <w:tcBorders>
              <w:top w:val="single" w:sz="4" w:space="0" w:color="auto"/>
            </w:tcBorders>
            <w:shd w:val="clear" w:color="auto" w:fill="auto"/>
            <w:noWrap/>
            <w:vAlign w:val="center"/>
            <w:hideMark/>
          </w:tcPr>
          <w:p w14:paraId="5ADCEEE6" w14:textId="77777777" w:rsidR="0063307A" w:rsidRPr="0058653F" w:rsidRDefault="0063307A" w:rsidP="00B73CE3">
            <w:pPr>
              <w:spacing w:line="276" w:lineRule="auto"/>
              <w:ind w:right="743"/>
              <w:jc w:val="right"/>
              <w:rPr>
                <w:rFonts w:ascii="Arial" w:hAnsi="Arial" w:cs="Arial"/>
                <w:b/>
                <w:bCs/>
                <w:sz w:val="20"/>
                <w:szCs w:val="20"/>
              </w:rPr>
            </w:pPr>
            <w:r w:rsidRPr="007D42A5">
              <w:rPr>
                <w:rFonts w:ascii="Arial" w:hAnsi="Arial" w:cs="Arial"/>
                <w:b/>
                <w:sz w:val="20"/>
                <w:szCs w:val="20"/>
              </w:rPr>
              <w:t>206</w:t>
            </w:r>
            <w:r>
              <w:rPr>
                <w:rFonts w:ascii="Arial" w:hAnsi="Arial" w:cs="Arial"/>
                <w:b/>
                <w:sz w:val="20"/>
                <w:szCs w:val="20"/>
              </w:rPr>
              <w:t>.</w:t>
            </w:r>
            <w:r w:rsidRPr="007D42A5">
              <w:rPr>
                <w:rFonts w:ascii="Arial" w:hAnsi="Arial" w:cs="Arial"/>
                <w:b/>
                <w:sz w:val="20"/>
                <w:szCs w:val="20"/>
              </w:rPr>
              <w:t>2</w:t>
            </w:r>
          </w:p>
        </w:tc>
        <w:tc>
          <w:tcPr>
            <w:tcW w:w="1753" w:type="dxa"/>
            <w:tcBorders>
              <w:top w:val="single" w:sz="4" w:space="0" w:color="auto"/>
            </w:tcBorders>
            <w:shd w:val="clear" w:color="auto" w:fill="auto"/>
            <w:noWrap/>
            <w:vAlign w:val="center"/>
            <w:hideMark/>
          </w:tcPr>
          <w:p w14:paraId="68C5C1C6" w14:textId="77777777" w:rsidR="0063307A" w:rsidRPr="0058653F" w:rsidRDefault="0063307A" w:rsidP="00B73CE3">
            <w:pPr>
              <w:spacing w:line="276" w:lineRule="auto"/>
              <w:ind w:right="435"/>
              <w:jc w:val="right"/>
              <w:rPr>
                <w:rFonts w:ascii="Arial" w:hAnsi="Arial" w:cs="Arial"/>
                <w:b/>
                <w:bCs/>
                <w:sz w:val="20"/>
                <w:szCs w:val="20"/>
              </w:rPr>
            </w:pPr>
            <w:r w:rsidRPr="007D42A5">
              <w:rPr>
                <w:rFonts w:ascii="Arial" w:hAnsi="Arial" w:cs="Arial"/>
                <w:b/>
                <w:sz w:val="20"/>
                <w:szCs w:val="20"/>
              </w:rPr>
              <w:t>12</w:t>
            </w:r>
            <w:r>
              <w:rPr>
                <w:rFonts w:ascii="Arial" w:hAnsi="Arial" w:cs="Arial"/>
                <w:b/>
                <w:sz w:val="20"/>
                <w:szCs w:val="20"/>
              </w:rPr>
              <w:t>.</w:t>
            </w:r>
            <w:r w:rsidRPr="007D42A5">
              <w:rPr>
                <w:rFonts w:ascii="Arial" w:hAnsi="Arial" w:cs="Arial"/>
                <w:b/>
                <w:sz w:val="20"/>
                <w:szCs w:val="20"/>
              </w:rPr>
              <w:t>5</w:t>
            </w:r>
          </w:p>
        </w:tc>
        <w:tc>
          <w:tcPr>
            <w:tcW w:w="1474" w:type="dxa"/>
            <w:tcBorders>
              <w:top w:val="single" w:sz="4" w:space="0" w:color="auto"/>
            </w:tcBorders>
            <w:shd w:val="clear" w:color="auto" w:fill="auto"/>
            <w:noWrap/>
            <w:vAlign w:val="center"/>
            <w:hideMark/>
          </w:tcPr>
          <w:p w14:paraId="05A7A911" w14:textId="77777777" w:rsidR="0063307A" w:rsidRPr="0058653F" w:rsidRDefault="0063307A" w:rsidP="00B73CE3">
            <w:pPr>
              <w:spacing w:line="276" w:lineRule="auto"/>
              <w:ind w:right="435"/>
              <w:jc w:val="right"/>
              <w:rPr>
                <w:rFonts w:ascii="Arial" w:hAnsi="Arial" w:cs="Arial"/>
                <w:b/>
                <w:bCs/>
                <w:sz w:val="20"/>
                <w:szCs w:val="20"/>
              </w:rPr>
            </w:pPr>
            <w:r w:rsidRPr="007D42A5">
              <w:rPr>
                <w:rFonts w:ascii="Arial" w:hAnsi="Arial" w:cs="Arial"/>
                <w:b/>
                <w:sz w:val="20"/>
                <w:szCs w:val="20"/>
              </w:rPr>
              <w:t>27</w:t>
            </w:r>
            <w:r>
              <w:rPr>
                <w:rFonts w:ascii="Arial" w:hAnsi="Arial" w:cs="Arial"/>
                <w:b/>
                <w:sz w:val="20"/>
                <w:szCs w:val="20"/>
              </w:rPr>
              <w:t>.</w:t>
            </w:r>
            <w:r w:rsidRPr="007D42A5">
              <w:rPr>
                <w:rFonts w:ascii="Arial" w:hAnsi="Arial" w:cs="Arial"/>
                <w:b/>
                <w:sz w:val="20"/>
                <w:szCs w:val="20"/>
              </w:rPr>
              <w:t>6</w:t>
            </w:r>
          </w:p>
        </w:tc>
      </w:tr>
      <w:tr w:rsidR="0063307A" w:rsidRPr="0058653F" w14:paraId="5B010C8A" w14:textId="77777777" w:rsidTr="00B73CE3">
        <w:trPr>
          <w:trHeight w:val="340"/>
          <w:jc w:val="center"/>
        </w:trPr>
        <w:tc>
          <w:tcPr>
            <w:tcW w:w="1985" w:type="dxa"/>
            <w:shd w:val="clear" w:color="auto" w:fill="auto"/>
            <w:noWrap/>
            <w:vAlign w:val="center"/>
            <w:hideMark/>
          </w:tcPr>
          <w:p w14:paraId="02B4895F" w14:textId="76EE6439" w:rsidR="0063307A" w:rsidRPr="0058653F" w:rsidRDefault="0063307A" w:rsidP="00B73CE3">
            <w:pPr>
              <w:tabs>
                <w:tab w:val="left" w:pos="407"/>
              </w:tabs>
              <w:spacing w:line="276" w:lineRule="auto"/>
              <w:ind w:firstLine="176"/>
              <w:jc w:val="both"/>
              <w:rPr>
                <w:rFonts w:ascii="Arial" w:hAnsi="Arial" w:cs="Arial"/>
                <w:sz w:val="20"/>
                <w:szCs w:val="20"/>
                <w:lang w:eastAsia="vi-VN"/>
              </w:rPr>
            </w:pPr>
            <w:r w:rsidRPr="0058653F">
              <w:rPr>
                <w:rFonts w:ascii="Arial" w:hAnsi="Arial" w:cs="Arial"/>
                <w:sz w:val="20"/>
                <w:szCs w:val="20"/>
                <w:lang w:eastAsia="vi-VN"/>
              </w:rPr>
              <w:t>Railway</w:t>
            </w:r>
          </w:p>
        </w:tc>
        <w:tc>
          <w:tcPr>
            <w:tcW w:w="1984" w:type="dxa"/>
            <w:shd w:val="clear" w:color="auto" w:fill="auto"/>
            <w:noWrap/>
            <w:vAlign w:val="center"/>
            <w:hideMark/>
          </w:tcPr>
          <w:p w14:paraId="6306A27A" w14:textId="77777777" w:rsidR="0063307A" w:rsidRPr="0058653F" w:rsidRDefault="0063307A" w:rsidP="00B73CE3">
            <w:pPr>
              <w:spacing w:line="276" w:lineRule="auto"/>
              <w:ind w:right="600"/>
              <w:jc w:val="right"/>
              <w:rPr>
                <w:rFonts w:ascii="Arial" w:hAnsi="Arial" w:cs="Arial"/>
                <w:sz w:val="20"/>
                <w:szCs w:val="20"/>
              </w:rPr>
            </w:pPr>
            <w:r w:rsidRPr="007D42A5">
              <w:rPr>
                <w:rFonts w:ascii="Arial" w:hAnsi="Arial" w:cs="Arial"/>
                <w:sz w:val="20"/>
                <w:szCs w:val="20"/>
              </w:rPr>
              <w:t>5</w:t>
            </w:r>
            <w:r>
              <w:rPr>
                <w:rFonts w:ascii="Arial" w:hAnsi="Arial" w:cs="Arial"/>
                <w:sz w:val="20"/>
                <w:szCs w:val="20"/>
              </w:rPr>
              <w:t>.</w:t>
            </w:r>
            <w:r w:rsidRPr="007D42A5">
              <w:rPr>
                <w:rFonts w:ascii="Arial" w:hAnsi="Arial" w:cs="Arial"/>
                <w:sz w:val="20"/>
                <w:szCs w:val="20"/>
              </w:rPr>
              <w:t>2</w:t>
            </w:r>
          </w:p>
        </w:tc>
        <w:tc>
          <w:tcPr>
            <w:tcW w:w="2127" w:type="dxa"/>
            <w:shd w:val="clear" w:color="auto" w:fill="auto"/>
            <w:noWrap/>
            <w:vAlign w:val="center"/>
            <w:hideMark/>
          </w:tcPr>
          <w:p w14:paraId="10941F88" w14:textId="77777777" w:rsidR="0063307A" w:rsidRPr="0058653F" w:rsidRDefault="0063307A" w:rsidP="00B73CE3">
            <w:pPr>
              <w:spacing w:line="276" w:lineRule="auto"/>
              <w:ind w:right="743"/>
              <w:jc w:val="right"/>
              <w:rPr>
                <w:rFonts w:ascii="Arial" w:hAnsi="Arial" w:cs="Arial"/>
                <w:sz w:val="20"/>
                <w:szCs w:val="20"/>
              </w:rPr>
            </w:pPr>
            <w:r w:rsidRPr="007D42A5">
              <w:rPr>
                <w:rFonts w:ascii="Arial" w:hAnsi="Arial" w:cs="Arial"/>
                <w:sz w:val="20"/>
                <w:szCs w:val="20"/>
              </w:rPr>
              <w:t>1</w:t>
            </w:r>
            <w:r>
              <w:rPr>
                <w:rFonts w:ascii="Arial" w:hAnsi="Arial" w:cs="Arial"/>
                <w:sz w:val="20"/>
                <w:szCs w:val="20"/>
              </w:rPr>
              <w:t>.</w:t>
            </w:r>
            <w:r w:rsidRPr="007D42A5">
              <w:rPr>
                <w:rFonts w:ascii="Arial" w:hAnsi="Arial" w:cs="Arial"/>
                <w:sz w:val="20"/>
                <w:szCs w:val="20"/>
              </w:rPr>
              <w:t>9</w:t>
            </w:r>
          </w:p>
        </w:tc>
        <w:tc>
          <w:tcPr>
            <w:tcW w:w="1753" w:type="dxa"/>
            <w:shd w:val="clear" w:color="auto" w:fill="auto"/>
            <w:noWrap/>
            <w:vAlign w:val="center"/>
            <w:hideMark/>
          </w:tcPr>
          <w:p w14:paraId="1D8A5C88" w14:textId="77777777" w:rsidR="0063307A" w:rsidRPr="0058653F" w:rsidRDefault="0063307A" w:rsidP="00B73CE3">
            <w:pPr>
              <w:spacing w:line="276" w:lineRule="auto"/>
              <w:ind w:right="435"/>
              <w:jc w:val="right"/>
              <w:rPr>
                <w:rFonts w:ascii="Arial" w:hAnsi="Arial" w:cs="Arial"/>
                <w:sz w:val="20"/>
                <w:szCs w:val="20"/>
              </w:rPr>
            </w:pPr>
            <w:r w:rsidRPr="007D42A5">
              <w:rPr>
                <w:rFonts w:ascii="Arial" w:hAnsi="Arial" w:cs="Arial"/>
                <w:sz w:val="20"/>
                <w:szCs w:val="20"/>
              </w:rPr>
              <w:t>40</w:t>
            </w:r>
            <w:r>
              <w:rPr>
                <w:rFonts w:ascii="Arial" w:hAnsi="Arial" w:cs="Arial"/>
                <w:sz w:val="20"/>
                <w:szCs w:val="20"/>
              </w:rPr>
              <w:t>.</w:t>
            </w:r>
            <w:r w:rsidRPr="007D42A5">
              <w:rPr>
                <w:rFonts w:ascii="Arial" w:hAnsi="Arial" w:cs="Arial"/>
                <w:sz w:val="20"/>
                <w:szCs w:val="20"/>
              </w:rPr>
              <w:t>0</w:t>
            </w:r>
          </w:p>
        </w:tc>
        <w:tc>
          <w:tcPr>
            <w:tcW w:w="1474" w:type="dxa"/>
            <w:shd w:val="clear" w:color="auto" w:fill="auto"/>
            <w:noWrap/>
            <w:vAlign w:val="center"/>
            <w:hideMark/>
          </w:tcPr>
          <w:p w14:paraId="600C82C1" w14:textId="77777777" w:rsidR="0063307A" w:rsidRPr="0058653F" w:rsidRDefault="0063307A" w:rsidP="00B73CE3">
            <w:pPr>
              <w:spacing w:line="276" w:lineRule="auto"/>
              <w:ind w:right="435"/>
              <w:jc w:val="right"/>
              <w:rPr>
                <w:rFonts w:ascii="Arial" w:hAnsi="Arial" w:cs="Arial"/>
                <w:sz w:val="20"/>
                <w:szCs w:val="20"/>
              </w:rPr>
            </w:pPr>
            <w:r w:rsidRPr="007D42A5">
              <w:rPr>
                <w:rFonts w:ascii="Arial" w:hAnsi="Arial" w:cs="Arial"/>
                <w:sz w:val="20"/>
                <w:szCs w:val="20"/>
              </w:rPr>
              <w:t>41</w:t>
            </w:r>
            <w:r>
              <w:rPr>
                <w:rFonts w:ascii="Arial" w:hAnsi="Arial" w:cs="Arial"/>
                <w:sz w:val="20"/>
                <w:szCs w:val="20"/>
              </w:rPr>
              <w:t>.</w:t>
            </w:r>
            <w:r w:rsidRPr="007D42A5">
              <w:rPr>
                <w:rFonts w:ascii="Arial" w:hAnsi="Arial" w:cs="Arial"/>
                <w:sz w:val="20"/>
                <w:szCs w:val="20"/>
              </w:rPr>
              <w:t>4</w:t>
            </w:r>
          </w:p>
        </w:tc>
      </w:tr>
      <w:tr w:rsidR="0063307A" w:rsidRPr="0058653F" w14:paraId="0E4740E6" w14:textId="77777777" w:rsidTr="00B73CE3">
        <w:trPr>
          <w:trHeight w:val="340"/>
          <w:jc w:val="center"/>
        </w:trPr>
        <w:tc>
          <w:tcPr>
            <w:tcW w:w="1985" w:type="dxa"/>
            <w:shd w:val="clear" w:color="auto" w:fill="auto"/>
            <w:noWrap/>
            <w:vAlign w:val="center"/>
            <w:hideMark/>
          </w:tcPr>
          <w:p w14:paraId="524AEF96" w14:textId="77777777" w:rsidR="0063307A" w:rsidRPr="0058653F" w:rsidRDefault="0063307A" w:rsidP="00B73CE3">
            <w:pPr>
              <w:tabs>
                <w:tab w:val="left" w:pos="407"/>
              </w:tabs>
              <w:spacing w:line="276" w:lineRule="auto"/>
              <w:ind w:firstLine="176"/>
              <w:jc w:val="both"/>
              <w:rPr>
                <w:rFonts w:ascii="Arial" w:hAnsi="Arial" w:cs="Arial"/>
                <w:sz w:val="20"/>
                <w:szCs w:val="20"/>
                <w:lang w:eastAsia="vi-VN"/>
              </w:rPr>
            </w:pPr>
            <w:r w:rsidRPr="0058653F">
              <w:rPr>
                <w:rFonts w:ascii="Arial" w:hAnsi="Arial" w:cs="Arial"/>
                <w:sz w:val="20"/>
                <w:szCs w:val="20"/>
                <w:lang w:eastAsia="vi-VN"/>
              </w:rPr>
              <w:t>Sea way</w:t>
            </w:r>
          </w:p>
        </w:tc>
        <w:tc>
          <w:tcPr>
            <w:tcW w:w="1984" w:type="dxa"/>
            <w:shd w:val="clear" w:color="auto" w:fill="auto"/>
            <w:noWrap/>
            <w:vAlign w:val="center"/>
            <w:hideMark/>
          </w:tcPr>
          <w:p w14:paraId="1FD62516" w14:textId="77777777" w:rsidR="0063307A" w:rsidRPr="0058653F" w:rsidRDefault="0063307A" w:rsidP="00B73CE3">
            <w:pPr>
              <w:spacing w:line="276" w:lineRule="auto"/>
              <w:ind w:right="600"/>
              <w:jc w:val="right"/>
              <w:rPr>
                <w:rFonts w:ascii="Arial" w:hAnsi="Arial" w:cs="Arial"/>
                <w:sz w:val="20"/>
                <w:szCs w:val="20"/>
              </w:rPr>
            </w:pPr>
            <w:r w:rsidRPr="007D42A5">
              <w:rPr>
                <w:rFonts w:ascii="Arial" w:hAnsi="Arial" w:cs="Arial"/>
                <w:sz w:val="20"/>
                <w:szCs w:val="20"/>
              </w:rPr>
              <w:t>9</w:t>
            </w:r>
            <w:r>
              <w:rPr>
                <w:rFonts w:ascii="Arial" w:hAnsi="Arial" w:cs="Arial"/>
                <w:sz w:val="20"/>
                <w:szCs w:val="20"/>
              </w:rPr>
              <w:t>.</w:t>
            </w:r>
            <w:r w:rsidRPr="007D42A5">
              <w:rPr>
                <w:rFonts w:ascii="Arial" w:hAnsi="Arial" w:cs="Arial"/>
                <w:sz w:val="20"/>
                <w:szCs w:val="20"/>
              </w:rPr>
              <w:t>8</w:t>
            </w:r>
          </w:p>
        </w:tc>
        <w:tc>
          <w:tcPr>
            <w:tcW w:w="2127" w:type="dxa"/>
            <w:shd w:val="clear" w:color="auto" w:fill="auto"/>
            <w:noWrap/>
            <w:vAlign w:val="center"/>
            <w:hideMark/>
          </w:tcPr>
          <w:p w14:paraId="75597D6D" w14:textId="77777777" w:rsidR="0063307A" w:rsidRPr="0058653F" w:rsidRDefault="0063307A" w:rsidP="00B73CE3">
            <w:pPr>
              <w:spacing w:line="276" w:lineRule="auto"/>
              <w:ind w:right="743"/>
              <w:jc w:val="right"/>
              <w:rPr>
                <w:rFonts w:ascii="Arial" w:hAnsi="Arial" w:cs="Arial"/>
                <w:sz w:val="20"/>
                <w:szCs w:val="20"/>
              </w:rPr>
            </w:pPr>
            <w:r w:rsidRPr="007D42A5">
              <w:rPr>
                <w:rFonts w:ascii="Arial" w:hAnsi="Arial" w:cs="Arial"/>
                <w:sz w:val="20"/>
                <w:szCs w:val="20"/>
              </w:rPr>
              <w:t>0</w:t>
            </w:r>
            <w:r>
              <w:rPr>
                <w:rFonts w:ascii="Arial" w:hAnsi="Arial" w:cs="Arial"/>
                <w:sz w:val="20"/>
                <w:szCs w:val="20"/>
              </w:rPr>
              <w:t>.</w:t>
            </w:r>
            <w:r w:rsidRPr="007D42A5">
              <w:rPr>
                <w:rFonts w:ascii="Arial" w:hAnsi="Arial" w:cs="Arial"/>
                <w:sz w:val="20"/>
                <w:szCs w:val="20"/>
              </w:rPr>
              <w:t>6</w:t>
            </w:r>
          </w:p>
        </w:tc>
        <w:tc>
          <w:tcPr>
            <w:tcW w:w="1753" w:type="dxa"/>
            <w:shd w:val="clear" w:color="auto" w:fill="auto"/>
            <w:noWrap/>
            <w:vAlign w:val="center"/>
            <w:hideMark/>
          </w:tcPr>
          <w:p w14:paraId="052DC6E5" w14:textId="77777777" w:rsidR="0063307A" w:rsidRPr="0058653F" w:rsidRDefault="0063307A" w:rsidP="00B73CE3">
            <w:pPr>
              <w:spacing w:line="276" w:lineRule="auto"/>
              <w:ind w:right="435"/>
              <w:jc w:val="right"/>
              <w:rPr>
                <w:rFonts w:ascii="Arial" w:hAnsi="Arial" w:cs="Arial"/>
                <w:sz w:val="20"/>
                <w:szCs w:val="20"/>
              </w:rPr>
            </w:pPr>
            <w:r w:rsidRPr="007D42A5">
              <w:rPr>
                <w:rFonts w:ascii="Arial" w:hAnsi="Arial" w:cs="Arial"/>
                <w:sz w:val="20"/>
                <w:szCs w:val="20"/>
              </w:rPr>
              <w:t>41</w:t>
            </w:r>
            <w:r>
              <w:rPr>
                <w:rFonts w:ascii="Arial" w:hAnsi="Arial" w:cs="Arial"/>
                <w:sz w:val="20"/>
                <w:szCs w:val="20"/>
              </w:rPr>
              <w:t>.</w:t>
            </w:r>
            <w:r w:rsidRPr="007D42A5">
              <w:rPr>
                <w:rFonts w:ascii="Arial" w:hAnsi="Arial" w:cs="Arial"/>
                <w:sz w:val="20"/>
                <w:szCs w:val="20"/>
              </w:rPr>
              <w:t>6</w:t>
            </w:r>
          </w:p>
        </w:tc>
        <w:tc>
          <w:tcPr>
            <w:tcW w:w="1474" w:type="dxa"/>
            <w:shd w:val="clear" w:color="auto" w:fill="auto"/>
            <w:noWrap/>
            <w:vAlign w:val="center"/>
            <w:hideMark/>
          </w:tcPr>
          <w:p w14:paraId="48340241" w14:textId="77777777" w:rsidR="0063307A" w:rsidRPr="0058653F" w:rsidRDefault="0063307A" w:rsidP="00B73CE3">
            <w:pPr>
              <w:spacing w:line="276" w:lineRule="auto"/>
              <w:ind w:right="435"/>
              <w:jc w:val="right"/>
              <w:rPr>
                <w:rFonts w:ascii="Arial" w:hAnsi="Arial" w:cs="Arial"/>
                <w:sz w:val="20"/>
                <w:szCs w:val="20"/>
              </w:rPr>
            </w:pPr>
            <w:r w:rsidRPr="007D42A5">
              <w:rPr>
                <w:rFonts w:ascii="Arial" w:hAnsi="Arial" w:cs="Arial"/>
                <w:sz w:val="20"/>
                <w:szCs w:val="20"/>
              </w:rPr>
              <w:t>38</w:t>
            </w:r>
            <w:r>
              <w:rPr>
                <w:rFonts w:ascii="Arial" w:hAnsi="Arial" w:cs="Arial"/>
                <w:sz w:val="20"/>
                <w:szCs w:val="20"/>
              </w:rPr>
              <w:t>.</w:t>
            </w:r>
            <w:r w:rsidRPr="007D42A5">
              <w:rPr>
                <w:rFonts w:ascii="Arial" w:hAnsi="Arial" w:cs="Arial"/>
                <w:sz w:val="20"/>
                <w:szCs w:val="20"/>
              </w:rPr>
              <w:t>4</w:t>
            </w:r>
          </w:p>
        </w:tc>
      </w:tr>
      <w:tr w:rsidR="0063307A" w:rsidRPr="0058653F" w14:paraId="03525A71" w14:textId="77777777" w:rsidTr="00B73CE3">
        <w:trPr>
          <w:trHeight w:val="340"/>
          <w:jc w:val="center"/>
        </w:trPr>
        <w:tc>
          <w:tcPr>
            <w:tcW w:w="1985" w:type="dxa"/>
            <w:shd w:val="clear" w:color="auto" w:fill="auto"/>
            <w:noWrap/>
            <w:vAlign w:val="center"/>
            <w:hideMark/>
          </w:tcPr>
          <w:p w14:paraId="5E915D64" w14:textId="77777777" w:rsidR="0063307A" w:rsidRPr="0058653F" w:rsidRDefault="0063307A" w:rsidP="00B73CE3">
            <w:pPr>
              <w:tabs>
                <w:tab w:val="left" w:pos="407"/>
              </w:tabs>
              <w:spacing w:line="276" w:lineRule="auto"/>
              <w:ind w:firstLine="176"/>
              <w:jc w:val="both"/>
              <w:rPr>
                <w:rFonts w:ascii="Arial" w:hAnsi="Arial" w:cs="Arial"/>
                <w:sz w:val="20"/>
                <w:szCs w:val="20"/>
                <w:lang w:eastAsia="vi-VN"/>
              </w:rPr>
            </w:pPr>
            <w:r w:rsidRPr="0058653F">
              <w:rPr>
                <w:rFonts w:ascii="Arial" w:hAnsi="Arial" w:cs="Arial"/>
                <w:sz w:val="20"/>
                <w:szCs w:val="20"/>
                <w:lang w:eastAsia="vi-VN"/>
              </w:rPr>
              <w:t>Inland water way</w:t>
            </w:r>
          </w:p>
        </w:tc>
        <w:tc>
          <w:tcPr>
            <w:tcW w:w="1984" w:type="dxa"/>
            <w:shd w:val="clear" w:color="auto" w:fill="auto"/>
            <w:noWrap/>
            <w:vAlign w:val="center"/>
            <w:hideMark/>
          </w:tcPr>
          <w:p w14:paraId="09B8BB1E" w14:textId="77777777" w:rsidR="0063307A" w:rsidRPr="0058653F" w:rsidRDefault="0063307A" w:rsidP="00B73CE3">
            <w:pPr>
              <w:spacing w:line="276" w:lineRule="auto"/>
              <w:ind w:right="600"/>
              <w:jc w:val="right"/>
              <w:rPr>
                <w:rFonts w:ascii="Arial" w:hAnsi="Arial" w:cs="Arial"/>
                <w:sz w:val="20"/>
                <w:szCs w:val="20"/>
              </w:rPr>
            </w:pPr>
            <w:r w:rsidRPr="007D42A5">
              <w:rPr>
                <w:rFonts w:ascii="Arial" w:hAnsi="Arial" w:cs="Arial"/>
                <w:sz w:val="20"/>
                <w:szCs w:val="20"/>
              </w:rPr>
              <w:t>268</w:t>
            </w:r>
            <w:r>
              <w:rPr>
                <w:rFonts w:ascii="Arial" w:hAnsi="Arial" w:cs="Arial"/>
                <w:sz w:val="20"/>
                <w:szCs w:val="20"/>
              </w:rPr>
              <w:t>.</w:t>
            </w:r>
            <w:r w:rsidRPr="007D42A5">
              <w:rPr>
                <w:rFonts w:ascii="Arial" w:hAnsi="Arial" w:cs="Arial"/>
                <w:sz w:val="20"/>
                <w:szCs w:val="20"/>
              </w:rPr>
              <w:t>0</w:t>
            </w:r>
          </w:p>
        </w:tc>
        <w:tc>
          <w:tcPr>
            <w:tcW w:w="2127" w:type="dxa"/>
            <w:shd w:val="clear" w:color="auto" w:fill="auto"/>
            <w:noWrap/>
            <w:vAlign w:val="center"/>
            <w:hideMark/>
          </w:tcPr>
          <w:p w14:paraId="0EEF360F" w14:textId="77777777" w:rsidR="0063307A" w:rsidRPr="0058653F" w:rsidRDefault="0063307A" w:rsidP="00B73CE3">
            <w:pPr>
              <w:spacing w:line="276" w:lineRule="auto"/>
              <w:ind w:right="743"/>
              <w:jc w:val="right"/>
              <w:rPr>
                <w:rFonts w:ascii="Arial" w:hAnsi="Arial" w:cs="Arial"/>
                <w:sz w:val="20"/>
                <w:szCs w:val="20"/>
              </w:rPr>
            </w:pPr>
            <w:r w:rsidRPr="007D42A5">
              <w:rPr>
                <w:rFonts w:ascii="Arial" w:hAnsi="Arial" w:cs="Arial"/>
                <w:sz w:val="20"/>
                <w:szCs w:val="20"/>
              </w:rPr>
              <w:t>5</w:t>
            </w:r>
            <w:r>
              <w:rPr>
                <w:rFonts w:ascii="Arial" w:hAnsi="Arial" w:cs="Arial"/>
                <w:sz w:val="20"/>
                <w:szCs w:val="20"/>
              </w:rPr>
              <w:t>.</w:t>
            </w:r>
            <w:r w:rsidRPr="007D42A5">
              <w:rPr>
                <w:rFonts w:ascii="Arial" w:hAnsi="Arial" w:cs="Arial"/>
                <w:sz w:val="20"/>
                <w:szCs w:val="20"/>
              </w:rPr>
              <w:t>6</w:t>
            </w:r>
          </w:p>
        </w:tc>
        <w:tc>
          <w:tcPr>
            <w:tcW w:w="1753" w:type="dxa"/>
            <w:shd w:val="clear" w:color="auto" w:fill="auto"/>
            <w:noWrap/>
            <w:vAlign w:val="center"/>
            <w:hideMark/>
          </w:tcPr>
          <w:p w14:paraId="09F98DDB" w14:textId="77777777" w:rsidR="0063307A" w:rsidRPr="0058653F" w:rsidRDefault="0063307A" w:rsidP="00B73CE3">
            <w:pPr>
              <w:spacing w:line="276" w:lineRule="auto"/>
              <w:ind w:right="435"/>
              <w:jc w:val="right"/>
              <w:rPr>
                <w:rFonts w:ascii="Arial" w:hAnsi="Arial" w:cs="Arial"/>
                <w:sz w:val="20"/>
                <w:szCs w:val="20"/>
              </w:rPr>
            </w:pPr>
            <w:r w:rsidRPr="007D42A5">
              <w:rPr>
                <w:rFonts w:ascii="Arial" w:hAnsi="Arial" w:cs="Arial"/>
                <w:sz w:val="20"/>
                <w:szCs w:val="20"/>
              </w:rPr>
              <w:t>22</w:t>
            </w:r>
            <w:r>
              <w:rPr>
                <w:rFonts w:ascii="Arial" w:hAnsi="Arial" w:cs="Arial"/>
                <w:sz w:val="20"/>
                <w:szCs w:val="20"/>
              </w:rPr>
              <w:t>.</w:t>
            </w:r>
            <w:r w:rsidRPr="007D42A5">
              <w:rPr>
                <w:rFonts w:ascii="Arial" w:hAnsi="Arial" w:cs="Arial"/>
                <w:sz w:val="20"/>
                <w:szCs w:val="20"/>
              </w:rPr>
              <w:t>4</w:t>
            </w:r>
          </w:p>
        </w:tc>
        <w:tc>
          <w:tcPr>
            <w:tcW w:w="1474" w:type="dxa"/>
            <w:shd w:val="clear" w:color="auto" w:fill="auto"/>
            <w:noWrap/>
            <w:vAlign w:val="center"/>
            <w:hideMark/>
          </w:tcPr>
          <w:p w14:paraId="45C3CB12" w14:textId="77777777" w:rsidR="0063307A" w:rsidRPr="0058653F" w:rsidRDefault="0063307A" w:rsidP="00B73CE3">
            <w:pPr>
              <w:spacing w:line="276" w:lineRule="auto"/>
              <w:ind w:right="435"/>
              <w:jc w:val="right"/>
              <w:rPr>
                <w:rFonts w:ascii="Arial" w:hAnsi="Arial" w:cs="Arial"/>
                <w:sz w:val="20"/>
                <w:szCs w:val="20"/>
              </w:rPr>
            </w:pPr>
            <w:r w:rsidRPr="007D42A5">
              <w:rPr>
                <w:rFonts w:ascii="Arial" w:hAnsi="Arial" w:cs="Arial"/>
                <w:sz w:val="20"/>
                <w:szCs w:val="20"/>
              </w:rPr>
              <w:t>23</w:t>
            </w:r>
            <w:r>
              <w:rPr>
                <w:rFonts w:ascii="Arial" w:hAnsi="Arial" w:cs="Arial"/>
                <w:sz w:val="20"/>
                <w:szCs w:val="20"/>
              </w:rPr>
              <w:t>.</w:t>
            </w:r>
            <w:r w:rsidRPr="007D42A5">
              <w:rPr>
                <w:rFonts w:ascii="Arial" w:hAnsi="Arial" w:cs="Arial"/>
                <w:sz w:val="20"/>
                <w:szCs w:val="20"/>
              </w:rPr>
              <w:t>4</w:t>
            </w:r>
          </w:p>
        </w:tc>
      </w:tr>
      <w:tr w:rsidR="0063307A" w:rsidRPr="0058653F" w14:paraId="6F8E3026" w14:textId="77777777" w:rsidTr="00B73CE3">
        <w:trPr>
          <w:trHeight w:val="340"/>
          <w:jc w:val="center"/>
        </w:trPr>
        <w:tc>
          <w:tcPr>
            <w:tcW w:w="1985" w:type="dxa"/>
            <w:shd w:val="clear" w:color="auto" w:fill="auto"/>
            <w:noWrap/>
            <w:vAlign w:val="center"/>
            <w:hideMark/>
          </w:tcPr>
          <w:p w14:paraId="09645FEB" w14:textId="77777777" w:rsidR="0063307A" w:rsidRPr="0058653F" w:rsidRDefault="0063307A" w:rsidP="00B73CE3">
            <w:pPr>
              <w:tabs>
                <w:tab w:val="left" w:pos="407"/>
              </w:tabs>
              <w:spacing w:line="276" w:lineRule="auto"/>
              <w:ind w:firstLine="176"/>
              <w:jc w:val="both"/>
              <w:rPr>
                <w:rFonts w:ascii="Arial" w:hAnsi="Arial" w:cs="Arial"/>
                <w:sz w:val="20"/>
                <w:szCs w:val="20"/>
                <w:lang w:eastAsia="vi-VN"/>
              </w:rPr>
            </w:pPr>
            <w:r w:rsidRPr="0058653F">
              <w:rPr>
                <w:rFonts w:ascii="Arial" w:hAnsi="Arial" w:cs="Arial"/>
                <w:sz w:val="20"/>
                <w:szCs w:val="20"/>
                <w:lang w:eastAsia="vi-VN"/>
              </w:rPr>
              <w:t>Road</w:t>
            </w:r>
          </w:p>
        </w:tc>
        <w:tc>
          <w:tcPr>
            <w:tcW w:w="1984" w:type="dxa"/>
            <w:shd w:val="clear" w:color="auto" w:fill="auto"/>
            <w:noWrap/>
            <w:vAlign w:val="center"/>
            <w:hideMark/>
          </w:tcPr>
          <w:p w14:paraId="6AC07D0F" w14:textId="77777777" w:rsidR="0063307A" w:rsidRPr="0058653F" w:rsidRDefault="0063307A" w:rsidP="00B73CE3">
            <w:pPr>
              <w:spacing w:line="276" w:lineRule="auto"/>
              <w:ind w:right="600"/>
              <w:jc w:val="right"/>
              <w:rPr>
                <w:rFonts w:ascii="Arial" w:hAnsi="Arial" w:cs="Arial"/>
                <w:sz w:val="20"/>
                <w:szCs w:val="20"/>
              </w:rPr>
            </w:pPr>
            <w:r w:rsidRPr="007D42A5">
              <w:rPr>
                <w:rFonts w:ascii="Arial" w:hAnsi="Arial" w:cs="Arial"/>
                <w:sz w:val="20"/>
                <w:szCs w:val="20"/>
              </w:rPr>
              <w:t>3</w:t>
            </w:r>
            <w:r>
              <w:rPr>
                <w:rFonts w:ascii="Arial" w:hAnsi="Arial" w:cs="Arial"/>
                <w:sz w:val="20"/>
                <w:szCs w:val="20"/>
              </w:rPr>
              <w:t>,</w:t>
            </w:r>
            <w:r w:rsidRPr="007D42A5">
              <w:rPr>
                <w:rFonts w:ascii="Arial" w:hAnsi="Arial" w:cs="Arial"/>
                <w:sz w:val="20"/>
                <w:szCs w:val="20"/>
              </w:rPr>
              <w:t>474</w:t>
            </w:r>
            <w:r>
              <w:rPr>
                <w:rFonts w:ascii="Arial" w:hAnsi="Arial" w:cs="Arial"/>
                <w:sz w:val="20"/>
                <w:szCs w:val="20"/>
              </w:rPr>
              <w:t>.</w:t>
            </w:r>
            <w:r w:rsidRPr="007D42A5">
              <w:rPr>
                <w:rFonts w:ascii="Arial" w:hAnsi="Arial" w:cs="Arial"/>
                <w:sz w:val="20"/>
                <w:szCs w:val="20"/>
              </w:rPr>
              <w:t>1</w:t>
            </w:r>
          </w:p>
        </w:tc>
        <w:tc>
          <w:tcPr>
            <w:tcW w:w="2127" w:type="dxa"/>
            <w:shd w:val="clear" w:color="auto" w:fill="auto"/>
            <w:noWrap/>
            <w:vAlign w:val="center"/>
            <w:hideMark/>
          </w:tcPr>
          <w:p w14:paraId="758A8C3E" w14:textId="77777777" w:rsidR="0063307A" w:rsidRPr="0058653F" w:rsidRDefault="0063307A" w:rsidP="00B73CE3">
            <w:pPr>
              <w:spacing w:line="276" w:lineRule="auto"/>
              <w:ind w:right="743"/>
              <w:jc w:val="right"/>
              <w:rPr>
                <w:rFonts w:ascii="Arial" w:hAnsi="Arial" w:cs="Arial"/>
                <w:sz w:val="20"/>
                <w:szCs w:val="20"/>
              </w:rPr>
            </w:pPr>
            <w:r w:rsidRPr="007D42A5">
              <w:rPr>
                <w:rFonts w:ascii="Arial" w:hAnsi="Arial" w:cs="Arial"/>
                <w:sz w:val="20"/>
                <w:szCs w:val="20"/>
              </w:rPr>
              <w:t>127</w:t>
            </w:r>
            <w:r>
              <w:rPr>
                <w:rFonts w:ascii="Arial" w:hAnsi="Arial" w:cs="Arial"/>
                <w:sz w:val="20"/>
                <w:szCs w:val="20"/>
              </w:rPr>
              <w:t>.</w:t>
            </w:r>
            <w:r w:rsidRPr="007D42A5">
              <w:rPr>
                <w:rFonts w:ascii="Arial" w:hAnsi="Arial" w:cs="Arial"/>
                <w:sz w:val="20"/>
                <w:szCs w:val="20"/>
              </w:rPr>
              <w:t>9</w:t>
            </w:r>
          </w:p>
        </w:tc>
        <w:tc>
          <w:tcPr>
            <w:tcW w:w="1753" w:type="dxa"/>
            <w:shd w:val="clear" w:color="auto" w:fill="auto"/>
            <w:noWrap/>
            <w:vAlign w:val="center"/>
            <w:hideMark/>
          </w:tcPr>
          <w:p w14:paraId="5F331557" w14:textId="77777777" w:rsidR="0063307A" w:rsidRPr="0058653F" w:rsidRDefault="0063307A" w:rsidP="00B73CE3">
            <w:pPr>
              <w:spacing w:line="276" w:lineRule="auto"/>
              <w:ind w:right="435"/>
              <w:jc w:val="right"/>
              <w:rPr>
                <w:rFonts w:ascii="Arial" w:hAnsi="Arial" w:cs="Arial"/>
                <w:sz w:val="20"/>
                <w:szCs w:val="20"/>
              </w:rPr>
            </w:pPr>
            <w:r w:rsidRPr="007D42A5">
              <w:rPr>
                <w:rFonts w:ascii="Arial" w:hAnsi="Arial" w:cs="Arial"/>
                <w:sz w:val="20"/>
                <w:szCs w:val="20"/>
              </w:rPr>
              <w:t>11</w:t>
            </w:r>
            <w:r>
              <w:rPr>
                <w:rFonts w:ascii="Arial" w:hAnsi="Arial" w:cs="Arial"/>
                <w:sz w:val="20"/>
                <w:szCs w:val="20"/>
              </w:rPr>
              <w:t>.</w:t>
            </w:r>
            <w:r w:rsidRPr="007D42A5">
              <w:rPr>
                <w:rFonts w:ascii="Arial" w:hAnsi="Arial" w:cs="Arial"/>
                <w:sz w:val="20"/>
                <w:szCs w:val="20"/>
              </w:rPr>
              <w:t>5</w:t>
            </w:r>
          </w:p>
        </w:tc>
        <w:tc>
          <w:tcPr>
            <w:tcW w:w="1474" w:type="dxa"/>
            <w:shd w:val="clear" w:color="auto" w:fill="auto"/>
            <w:noWrap/>
            <w:vAlign w:val="center"/>
            <w:hideMark/>
          </w:tcPr>
          <w:p w14:paraId="45C69D52" w14:textId="77777777" w:rsidR="0063307A" w:rsidRPr="0058653F" w:rsidRDefault="0063307A" w:rsidP="00B73CE3">
            <w:pPr>
              <w:spacing w:line="276" w:lineRule="auto"/>
              <w:ind w:right="435"/>
              <w:jc w:val="right"/>
              <w:rPr>
                <w:rFonts w:ascii="Arial" w:hAnsi="Arial" w:cs="Arial"/>
                <w:sz w:val="20"/>
                <w:szCs w:val="20"/>
              </w:rPr>
            </w:pPr>
            <w:r w:rsidRPr="007D42A5">
              <w:rPr>
                <w:rFonts w:ascii="Arial" w:hAnsi="Arial" w:cs="Arial"/>
                <w:sz w:val="20"/>
                <w:szCs w:val="20"/>
              </w:rPr>
              <w:t>17</w:t>
            </w:r>
            <w:r>
              <w:rPr>
                <w:rFonts w:ascii="Arial" w:hAnsi="Arial" w:cs="Arial"/>
                <w:sz w:val="20"/>
                <w:szCs w:val="20"/>
              </w:rPr>
              <w:t>.</w:t>
            </w:r>
            <w:r w:rsidRPr="007D42A5">
              <w:rPr>
                <w:rFonts w:ascii="Arial" w:hAnsi="Arial" w:cs="Arial"/>
                <w:sz w:val="20"/>
                <w:szCs w:val="20"/>
              </w:rPr>
              <w:t>5</w:t>
            </w:r>
          </w:p>
        </w:tc>
      </w:tr>
      <w:tr w:rsidR="0063307A" w:rsidRPr="0058653F" w14:paraId="300D5299" w14:textId="77777777" w:rsidTr="00B73CE3">
        <w:trPr>
          <w:trHeight w:val="340"/>
          <w:jc w:val="center"/>
        </w:trPr>
        <w:tc>
          <w:tcPr>
            <w:tcW w:w="1985" w:type="dxa"/>
            <w:tcBorders>
              <w:bottom w:val="single" w:sz="4" w:space="0" w:color="auto"/>
            </w:tcBorders>
            <w:shd w:val="clear" w:color="auto" w:fill="auto"/>
            <w:noWrap/>
            <w:vAlign w:val="center"/>
            <w:hideMark/>
          </w:tcPr>
          <w:p w14:paraId="3CDA0815" w14:textId="77777777" w:rsidR="0063307A" w:rsidRPr="0058653F" w:rsidRDefault="0063307A" w:rsidP="00B73CE3">
            <w:pPr>
              <w:tabs>
                <w:tab w:val="left" w:pos="407"/>
              </w:tabs>
              <w:spacing w:line="276" w:lineRule="auto"/>
              <w:ind w:firstLine="176"/>
              <w:jc w:val="both"/>
              <w:rPr>
                <w:rFonts w:ascii="Arial" w:hAnsi="Arial" w:cs="Arial"/>
                <w:sz w:val="20"/>
                <w:szCs w:val="20"/>
                <w:lang w:eastAsia="vi-VN"/>
              </w:rPr>
            </w:pPr>
            <w:r w:rsidRPr="0058653F">
              <w:rPr>
                <w:rFonts w:ascii="Arial" w:hAnsi="Arial" w:cs="Arial"/>
                <w:sz w:val="20"/>
                <w:szCs w:val="20"/>
                <w:lang w:eastAsia="vi-VN"/>
              </w:rPr>
              <w:t xml:space="preserve">Airway </w:t>
            </w:r>
          </w:p>
        </w:tc>
        <w:tc>
          <w:tcPr>
            <w:tcW w:w="1984" w:type="dxa"/>
            <w:tcBorders>
              <w:bottom w:val="single" w:sz="4" w:space="0" w:color="auto"/>
            </w:tcBorders>
            <w:shd w:val="clear" w:color="auto" w:fill="auto"/>
            <w:noWrap/>
            <w:vAlign w:val="center"/>
            <w:hideMark/>
          </w:tcPr>
          <w:p w14:paraId="1374E539" w14:textId="77777777" w:rsidR="0063307A" w:rsidRPr="0058653F" w:rsidRDefault="0063307A" w:rsidP="00B73CE3">
            <w:pPr>
              <w:spacing w:line="276" w:lineRule="auto"/>
              <w:ind w:right="600"/>
              <w:jc w:val="right"/>
              <w:rPr>
                <w:rFonts w:ascii="Arial" w:hAnsi="Arial" w:cs="Arial"/>
                <w:sz w:val="20"/>
                <w:szCs w:val="20"/>
              </w:rPr>
            </w:pPr>
            <w:r w:rsidRPr="007D42A5">
              <w:rPr>
                <w:rFonts w:ascii="Arial" w:hAnsi="Arial" w:cs="Arial"/>
                <w:sz w:val="20"/>
                <w:szCs w:val="20"/>
              </w:rPr>
              <w:t>50</w:t>
            </w:r>
            <w:r>
              <w:rPr>
                <w:rFonts w:ascii="Arial" w:hAnsi="Arial" w:cs="Arial"/>
                <w:sz w:val="20"/>
                <w:szCs w:val="20"/>
              </w:rPr>
              <w:t>.</w:t>
            </w:r>
            <w:r w:rsidRPr="007D42A5">
              <w:rPr>
                <w:rFonts w:ascii="Arial" w:hAnsi="Arial" w:cs="Arial"/>
                <w:sz w:val="20"/>
                <w:szCs w:val="20"/>
              </w:rPr>
              <w:t>7</w:t>
            </w:r>
          </w:p>
        </w:tc>
        <w:tc>
          <w:tcPr>
            <w:tcW w:w="2127" w:type="dxa"/>
            <w:tcBorders>
              <w:bottom w:val="single" w:sz="4" w:space="0" w:color="auto"/>
            </w:tcBorders>
            <w:shd w:val="clear" w:color="auto" w:fill="auto"/>
            <w:noWrap/>
            <w:vAlign w:val="center"/>
            <w:hideMark/>
          </w:tcPr>
          <w:p w14:paraId="068A7C26" w14:textId="77777777" w:rsidR="0063307A" w:rsidRPr="0058653F" w:rsidRDefault="0063307A" w:rsidP="00B73CE3">
            <w:pPr>
              <w:spacing w:line="276" w:lineRule="auto"/>
              <w:ind w:right="743"/>
              <w:jc w:val="right"/>
              <w:rPr>
                <w:rFonts w:ascii="Arial" w:hAnsi="Arial" w:cs="Arial"/>
                <w:sz w:val="20"/>
                <w:szCs w:val="20"/>
              </w:rPr>
            </w:pPr>
            <w:r w:rsidRPr="007D42A5">
              <w:rPr>
                <w:rFonts w:ascii="Arial" w:hAnsi="Arial" w:cs="Arial"/>
                <w:sz w:val="20"/>
                <w:szCs w:val="20"/>
              </w:rPr>
              <w:t>70</w:t>
            </w:r>
            <w:r>
              <w:rPr>
                <w:rFonts w:ascii="Arial" w:hAnsi="Arial" w:cs="Arial"/>
                <w:sz w:val="20"/>
                <w:szCs w:val="20"/>
              </w:rPr>
              <w:t>.</w:t>
            </w:r>
            <w:r w:rsidRPr="007D42A5">
              <w:rPr>
                <w:rFonts w:ascii="Arial" w:hAnsi="Arial" w:cs="Arial"/>
                <w:sz w:val="20"/>
                <w:szCs w:val="20"/>
              </w:rPr>
              <w:t>2</w:t>
            </w:r>
          </w:p>
        </w:tc>
        <w:tc>
          <w:tcPr>
            <w:tcW w:w="1753" w:type="dxa"/>
            <w:tcBorders>
              <w:bottom w:val="single" w:sz="4" w:space="0" w:color="auto"/>
            </w:tcBorders>
            <w:shd w:val="clear" w:color="auto" w:fill="auto"/>
            <w:noWrap/>
            <w:vAlign w:val="center"/>
            <w:hideMark/>
          </w:tcPr>
          <w:p w14:paraId="09C97960" w14:textId="77777777" w:rsidR="0063307A" w:rsidRPr="0058653F" w:rsidRDefault="0063307A" w:rsidP="00B73CE3">
            <w:pPr>
              <w:spacing w:line="276" w:lineRule="auto"/>
              <w:ind w:right="435"/>
              <w:jc w:val="right"/>
              <w:rPr>
                <w:rFonts w:ascii="Arial" w:hAnsi="Arial" w:cs="Arial"/>
                <w:sz w:val="20"/>
                <w:szCs w:val="20"/>
              </w:rPr>
            </w:pPr>
            <w:r w:rsidRPr="007D42A5">
              <w:rPr>
                <w:rFonts w:ascii="Arial" w:hAnsi="Arial" w:cs="Arial"/>
                <w:sz w:val="20"/>
                <w:szCs w:val="20"/>
              </w:rPr>
              <w:t>24</w:t>
            </w:r>
            <w:r>
              <w:rPr>
                <w:rFonts w:ascii="Arial" w:hAnsi="Arial" w:cs="Arial"/>
                <w:sz w:val="20"/>
                <w:szCs w:val="20"/>
              </w:rPr>
              <w:t>.</w:t>
            </w:r>
            <w:r w:rsidRPr="007D42A5">
              <w:rPr>
                <w:rFonts w:ascii="Arial" w:hAnsi="Arial" w:cs="Arial"/>
                <w:sz w:val="20"/>
                <w:szCs w:val="20"/>
              </w:rPr>
              <w:t>4</w:t>
            </w:r>
          </w:p>
        </w:tc>
        <w:tc>
          <w:tcPr>
            <w:tcW w:w="1474" w:type="dxa"/>
            <w:tcBorders>
              <w:bottom w:val="single" w:sz="4" w:space="0" w:color="auto"/>
            </w:tcBorders>
            <w:shd w:val="clear" w:color="auto" w:fill="auto"/>
            <w:noWrap/>
            <w:vAlign w:val="center"/>
            <w:hideMark/>
          </w:tcPr>
          <w:p w14:paraId="11421ADD" w14:textId="77777777" w:rsidR="0063307A" w:rsidRPr="0058653F" w:rsidRDefault="0063307A" w:rsidP="00B73CE3">
            <w:pPr>
              <w:spacing w:line="276" w:lineRule="auto"/>
              <w:ind w:right="435"/>
              <w:jc w:val="right"/>
              <w:rPr>
                <w:rFonts w:ascii="Arial" w:hAnsi="Arial" w:cs="Arial"/>
                <w:sz w:val="20"/>
                <w:szCs w:val="20"/>
              </w:rPr>
            </w:pPr>
            <w:r w:rsidRPr="007D42A5">
              <w:rPr>
                <w:rFonts w:ascii="Arial" w:hAnsi="Arial" w:cs="Arial"/>
                <w:sz w:val="20"/>
                <w:szCs w:val="20"/>
              </w:rPr>
              <w:t>51</w:t>
            </w:r>
            <w:r>
              <w:rPr>
                <w:rFonts w:ascii="Arial" w:hAnsi="Arial" w:cs="Arial"/>
                <w:sz w:val="20"/>
                <w:szCs w:val="20"/>
              </w:rPr>
              <w:t>.</w:t>
            </w:r>
            <w:r w:rsidRPr="007D42A5">
              <w:rPr>
                <w:rFonts w:ascii="Arial" w:hAnsi="Arial" w:cs="Arial"/>
                <w:sz w:val="20"/>
                <w:szCs w:val="20"/>
              </w:rPr>
              <w:t>4</w:t>
            </w:r>
          </w:p>
        </w:tc>
      </w:tr>
    </w:tbl>
    <w:p w14:paraId="0A2687E9" w14:textId="77777777" w:rsidR="0063307A" w:rsidRPr="0058653F" w:rsidRDefault="0063307A" w:rsidP="0063307A">
      <w:pPr>
        <w:spacing w:before="40" w:after="40" w:line="276" w:lineRule="auto"/>
        <w:ind w:firstLine="567"/>
        <w:jc w:val="both"/>
        <w:rPr>
          <w:bCs/>
          <w:i/>
          <w:iCs/>
          <w:sz w:val="8"/>
          <w:lang w:val="fr-FR"/>
        </w:rPr>
      </w:pPr>
    </w:p>
    <w:p w14:paraId="03389E56" w14:textId="77777777" w:rsidR="0063307A" w:rsidRDefault="0063307A" w:rsidP="0063307A">
      <w:pPr>
        <w:spacing w:before="120" w:after="120" w:line="276" w:lineRule="auto"/>
        <w:ind w:firstLine="567"/>
        <w:jc w:val="both"/>
        <w:rPr>
          <w:lang w:val="pl-PL"/>
        </w:rPr>
      </w:pPr>
      <w:r w:rsidRPr="0058653F">
        <w:rPr>
          <w:lang w:val="pl-PL"/>
        </w:rPr>
        <w:t xml:space="preserve">Freight transport in </w:t>
      </w:r>
      <w:r>
        <w:rPr>
          <w:lang w:val="pl-PL"/>
        </w:rPr>
        <w:t xml:space="preserve">October </w:t>
      </w:r>
      <w:r w:rsidRPr="0058653F">
        <w:rPr>
          <w:lang w:val="pl-PL"/>
        </w:rPr>
        <w:t xml:space="preserve">was estimated at </w:t>
      </w:r>
      <w:bookmarkStart w:id="9" w:name="_Hlk149633736"/>
      <w:r>
        <w:rPr>
          <w:lang w:val="fr-FR"/>
        </w:rPr>
        <w:t>200.</w:t>
      </w:r>
      <w:r w:rsidRPr="0058653F">
        <w:rPr>
          <w:lang w:val="fr-FR"/>
        </w:rPr>
        <w:t xml:space="preserve">1 </w:t>
      </w:r>
      <w:bookmarkEnd w:id="9"/>
      <w:r w:rsidRPr="0058653F">
        <w:rPr>
          <w:lang w:val="pl-PL"/>
        </w:rPr>
        <w:t xml:space="preserve">million tons of </w:t>
      </w:r>
      <w:r w:rsidRPr="0058653F">
        <w:rPr>
          <w:color w:val="000000" w:themeColor="text1"/>
        </w:rPr>
        <w:t>freight carried</w:t>
      </w:r>
      <w:r w:rsidRPr="0058653F">
        <w:rPr>
          <w:lang w:val="pl-PL"/>
        </w:rPr>
        <w:t xml:space="preserve">, up </w:t>
      </w:r>
      <w:r>
        <w:rPr>
          <w:lang w:val="fr-FR"/>
        </w:rPr>
        <w:t>3</w:t>
      </w:r>
      <w:r w:rsidRPr="0058653F">
        <w:rPr>
          <w:lang w:val="pl-PL"/>
        </w:rPr>
        <w:t xml:space="preserve">% from the previous month and </w:t>
      </w:r>
      <w:bookmarkStart w:id="10" w:name="_Hlk149633763"/>
      <w:r w:rsidRPr="0058653F">
        <w:rPr>
          <w:lang w:val="fr-FR"/>
        </w:rPr>
        <w:t>4</w:t>
      </w:r>
      <w:r>
        <w:rPr>
          <w:lang w:val="fr-FR"/>
        </w:rPr>
        <w:t>4</w:t>
      </w:r>
      <w:r w:rsidRPr="0058653F">
        <w:rPr>
          <w:lang w:val="fr-FR"/>
        </w:rPr>
        <w:t xml:space="preserve"> </w:t>
      </w:r>
      <w:bookmarkEnd w:id="10"/>
      <w:r w:rsidRPr="0058653F">
        <w:rPr>
          <w:lang w:val="pl-PL"/>
        </w:rPr>
        <w:t xml:space="preserve">billion tons.km </w:t>
      </w:r>
      <w:r w:rsidRPr="0058653F">
        <w:rPr>
          <w:color w:val="000000" w:themeColor="text1"/>
        </w:rPr>
        <w:t>of freight traffic</w:t>
      </w:r>
      <w:r w:rsidRPr="0058653F">
        <w:rPr>
          <w:lang w:val="pl-PL"/>
        </w:rPr>
        <w:t xml:space="preserve">, up </w:t>
      </w:r>
      <w:r>
        <w:rPr>
          <w:lang w:val="fr-FR"/>
        </w:rPr>
        <w:t>4.8</w:t>
      </w:r>
      <w:r w:rsidRPr="0058653F">
        <w:rPr>
          <w:lang w:val="pl-PL"/>
        </w:rPr>
        <w:t xml:space="preserve">%. Generally for </w:t>
      </w:r>
      <w:r>
        <w:rPr>
          <w:lang w:val="pl-PL"/>
        </w:rPr>
        <w:t>10</w:t>
      </w:r>
      <w:r w:rsidRPr="0058653F">
        <w:rPr>
          <w:lang w:val="pl-PL"/>
        </w:rPr>
        <w:t xml:space="preserve"> months of 2023, freight transport was estimated at </w:t>
      </w:r>
      <w:r w:rsidRPr="0058653F">
        <w:rPr>
          <w:lang w:val="fr-FR"/>
        </w:rPr>
        <w:t xml:space="preserve"> </w:t>
      </w:r>
      <w:bookmarkStart w:id="11" w:name="_Hlk149633786"/>
      <w:r w:rsidRPr="0058653F">
        <w:rPr>
          <w:lang w:val="fr-FR"/>
        </w:rPr>
        <w:t>1</w:t>
      </w:r>
      <w:r>
        <w:rPr>
          <w:lang w:val="fr-FR"/>
        </w:rPr>
        <w:t>,888.3</w:t>
      </w:r>
      <w:r w:rsidRPr="0058653F">
        <w:rPr>
          <w:lang w:val="fr-FR"/>
        </w:rPr>
        <w:t xml:space="preserve"> </w:t>
      </w:r>
      <w:bookmarkEnd w:id="11"/>
      <w:r w:rsidRPr="0058653F">
        <w:rPr>
          <w:lang w:val="pl-PL"/>
        </w:rPr>
        <w:t xml:space="preserve">million tons of </w:t>
      </w:r>
      <w:r w:rsidRPr="0058653F">
        <w:rPr>
          <w:color w:val="000000" w:themeColor="text1"/>
        </w:rPr>
        <w:t>freight carried</w:t>
      </w:r>
      <w:r w:rsidRPr="0058653F">
        <w:rPr>
          <w:lang w:val="pl-PL"/>
        </w:rPr>
        <w:t xml:space="preserve">, up </w:t>
      </w:r>
      <w:bookmarkStart w:id="12" w:name="_Hlk149633798"/>
      <w:r w:rsidRPr="0058653F">
        <w:rPr>
          <w:lang w:val="fr-FR"/>
        </w:rPr>
        <w:t>1</w:t>
      </w:r>
      <w:r>
        <w:rPr>
          <w:lang w:val="fr-FR"/>
        </w:rPr>
        <w:t>4.4</w:t>
      </w:r>
      <w:bookmarkEnd w:id="12"/>
      <w:r w:rsidRPr="0058653F">
        <w:rPr>
          <w:lang w:val="pl-PL"/>
        </w:rPr>
        <w:t xml:space="preserve">% over the same period last year and </w:t>
      </w:r>
      <w:bookmarkStart w:id="13" w:name="_Hlk149633809"/>
      <w:r>
        <w:rPr>
          <w:lang w:val="fr-FR"/>
        </w:rPr>
        <w:t>402</w:t>
      </w:r>
      <w:bookmarkEnd w:id="13"/>
      <w:r w:rsidRPr="0058653F">
        <w:rPr>
          <w:lang w:val="fr-FR"/>
        </w:rPr>
        <w:t xml:space="preserve"> </w:t>
      </w:r>
      <w:r w:rsidRPr="0058653F">
        <w:rPr>
          <w:lang w:val="pl-PL"/>
        </w:rPr>
        <w:t xml:space="preserve">billion tons.km </w:t>
      </w:r>
      <w:r w:rsidRPr="0058653F">
        <w:rPr>
          <w:color w:val="000000" w:themeColor="text1"/>
        </w:rPr>
        <w:t>of freight traffic</w:t>
      </w:r>
      <w:r w:rsidRPr="0058653F">
        <w:rPr>
          <w:lang w:val="pl-PL"/>
        </w:rPr>
        <w:t xml:space="preserve">, an increase of </w:t>
      </w:r>
      <w:bookmarkStart w:id="14" w:name="_Hlk149633824"/>
      <w:r w:rsidRPr="0058653F">
        <w:rPr>
          <w:lang w:val="fr-FR"/>
        </w:rPr>
        <w:t>1</w:t>
      </w:r>
      <w:r>
        <w:rPr>
          <w:lang w:val="fr-FR"/>
        </w:rPr>
        <w:t>1.</w:t>
      </w:r>
      <w:r w:rsidRPr="0058653F">
        <w:rPr>
          <w:lang w:val="fr-FR"/>
        </w:rPr>
        <w:t>4</w:t>
      </w:r>
      <w:bookmarkEnd w:id="14"/>
      <w:r w:rsidRPr="0058653F">
        <w:rPr>
          <w:lang w:val="pl-PL"/>
        </w:rPr>
        <w:t xml:space="preserve">%. In which, domestic transport reached </w:t>
      </w:r>
      <w:r w:rsidRPr="0058653F">
        <w:rPr>
          <w:lang w:val="fr-FR"/>
        </w:rPr>
        <w:t>1</w:t>
      </w:r>
      <w:r>
        <w:rPr>
          <w:lang w:val="fr-FR"/>
        </w:rPr>
        <w:t>,851.3</w:t>
      </w:r>
      <w:r w:rsidRPr="0058653F">
        <w:rPr>
          <w:lang w:val="fr-FR"/>
        </w:rPr>
        <w:t xml:space="preserve"> </w:t>
      </w:r>
      <w:r w:rsidRPr="0058653F">
        <w:rPr>
          <w:lang w:val="pl-PL"/>
        </w:rPr>
        <w:t xml:space="preserve">million tons of </w:t>
      </w:r>
      <w:r w:rsidRPr="0058653F">
        <w:rPr>
          <w:color w:val="000000" w:themeColor="text1"/>
        </w:rPr>
        <w:t>freight carried</w:t>
      </w:r>
      <w:r w:rsidRPr="0058653F">
        <w:rPr>
          <w:lang w:val="pl-PL"/>
        </w:rPr>
        <w:t xml:space="preserve">, up </w:t>
      </w:r>
      <w:r w:rsidRPr="0058653F">
        <w:rPr>
          <w:lang w:val="fr-FR"/>
        </w:rPr>
        <w:t>1</w:t>
      </w:r>
      <w:r>
        <w:rPr>
          <w:lang w:val="fr-FR"/>
        </w:rPr>
        <w:t>4.7</w:t>
      </w:r>
      <w:r w:rsidRPr="0058653F">
        <w:rPr>
          <w:lang w:val="pl-PL"/>
        </w:rPr>
        <w:t xml:space="preserve">% and </w:t>
      </w:r>
      <w:r w:rsidRPr="0058653F">
        <w:rPr>
          <w:lang w:val="fr-FR"/>
        </w:rPr>
        <w:t>2</w:t>
      </w:r>
      <w:r>
        <w:rPr>
          <w:lang w:val="fr-FR"/>
        </w:rPr>
        <w:t xml:space="preserve">53 </w:t>
      </w:r>
      <w:r w:rsidRPr="0058653F">
        <w:rPr>
          <w:lang w:val="pl-PL"/>
        </w:rPr>
        <w:t xml:space="preserve">billion tons.km of </w:t>
      </w:r>
      <w:r w:rsidRPr="0058653F">
        <w:rPr>
          <w:color w:val="000000" w:themeColor="text1"/>
        </w:rPr>
        <w:t>freight traffic</w:t>
      </w:r>
      <w:r w:rsidRPr="0058653F">
        <w:rPr>
          <w:lang w:val="pl-PL"/>
        </w:rPr>
        <w:t xml:space="preserve">, up </w:t>
      </w:r>
      <w:r>
        <w:rPr>
          <w:lang w:val="fr-FR"/>
        </w:rPr>
        <w:t>15</w:t>
      </w:r>
      <w:r w:rsidRPr="0058653F">
        <w:rPr>
          <w:lang w:val="pl-PL"/>
        </w:rPr>
        <w:t xml:space="preserve">%; overseas transport reached </w:t>
      </w:r>
      <w:r>
        <w:rPr>
          <w:lang w:val="fr-FR"/>
        </w:rPr>
        <w:t>37</w:t>
      </w:r>
      <w:r w:rsidRPr="0058653F">
        <w:rPr>
          <w:lang w:val="fr-FR"/>
        </w:rPr>
        <w:t xml:space="preserve"> </w:t>
      </w:r>
      <w:r w:rsidRPr="0058653F">
        <w:rPr>
          <w:lang w:val="pl-PL"/>
        </w:rPr>
        <w:t xml:space="preserve">million tons of </w:t>
      </w:r>
      <w:r w:rsidRPr="0058653F">
        <w:rPr>
          <w:color w:val="000000" w:themeColor="text1"/>
        </w:rPr>
        <w:t>freight carried</w:t>
      </w:r>
      <w:r w:rsidRPr="0058653F">
        <w:rPr>
          <w:lang w:val="pl-PL"/>
        </w:rPr>
        <w:t xml:space="preserve">, up </w:t>
      </w:r>
      <w:r>
        <w:rPr>
          <w:lang w:val="pl-PL"/>
        </w:rPr>
        <w:t>3</w:t>
      </w:r>
      <w:r w:rsidRPr="0058653F">
        <w:rPr>
          <w:lang w:val="pl-PL"/>
        </w:rPr>
        <w:t xml:space="preserve">.3% and </w:t>
      </w:r>
      <w:r w:rsidRPr="0058653F">
        <w:rPr>
          <w:lang w:val="fr-FR"/>
        </w:rPr>
        <w:t>1</w:t>
      </w:r>
      <w:r>
        <w:rPr>
          <w:lang w:val="fr-FR"/>
        </w:rPr>
        <w:t>49</w:t>
      </w:r>
      <w:r w:rsidRPr="0058653F">
        <w:rPr>
          <w:lang w:val="fr-FR"/>
        </w:rPr>
        <w:t xml:space="preserve"> </w:t>
      </w:r>
      <w:r w:rsidRPr="0058653F">
        <w:rPr>
          <w:lang w:val="pl-PL"/>
        </w:rPr>
        <w:t xml:space="preserve">billion tons.km </w:t>
      </w:r>
      <w:r w:rsidRPr="0058653F">
        <w:rPr>
          <w:color w:val="000000" w:themeColor="text1"/>
        </w:rPr>
        <w:t>of freight traffic</w:t>
      </w:r>
      <w:r w:rsidRPr="0058653F">
        <w:rPr>
          <w:lang w:val="pl-PL"/>
        </w:rPr>
        <w:t xml:space="preserve">, up </w:t>
      </w:r>
      <w:r w:rsidRPr="0058653F">
        <w:rPr>
          <w:lang w:val="fr-FR"/>
        </w:rPr>
        <w:t>5</w:t>
      </w:r>
      <w:r>
        <w:rPr>
          <w:lang w:val="fr-FR"/>
        </w:rPr>
        <w:t>.9</w:t>
      </w:r>
      <w:r w:rsidRPr="0058653F">
        <w:rPr>
          <w:lang w:val="pl-PL"/>
        </w:rPr>
        <w:t xml:space="preserve">%. </w:t>
      </w:r>
    </w:p>
    <w:p w14:paraId="2E1EEE8F" w14:textId="77777777" w:rsidR="0063307A" w:rsidRPr="0058653F" w:rsidRDefault="0063307A" w:rsidP="0063307A">
      <w:pPr>
        <w:spacing w:before="120" w:after="120" w:line="276" w:lineRule="auto"/>
        <w:ind w:firstLine="567"/>
        <w:jc w:val="both"/>
        <w:rPr>
          <w:lang w:val="pl-PL"/>
        </w:rPr>
      </w:pPr>
      <w:r w:rsidRPr="0058653F">
        <w:rPr>
          <w:lang w:val="pl-PL"/>
        </w:rPr>
        <w:t xml:space="preserve">In terms of transportation, most of transport in </w:t>
      </w:r>
      <w:r>
        <w:rPr>
          <w:lang w:val="pl-PL"/>
        </w:rPr>
        <w:t>10</w:t>
      </w:r>
      <w:r w:rsidRPr="0058653F">
        <w:rPr>
          <w:lang w:val="pl-PL"/>
        </w:rPr>
        <w:t xml:space="preserve"> months of 2023 had a positive growth rate compared to the same period last year</w:t>
      </w:r>
      <w:r>
        <w:rPr>
          <w:lang w:val="pl-PL"/>
        </w:rPr>
        <w:t xml:space="preserve"> </w:t>
      </w:r>
      <w:r w:rsidRPr="00DF3351">
        <w:rPr>
          <w:lang w:val="pl-PL"/>
        </w:rPr>
        <w:t xml:space="preserve">due to increased transportation of goods to serve domestic production and consumption </w:t>
      </w:r>
      <w:r>
        <w:rPr>
          <w:lang w:val="pl-PL"/>
        </w:rPr>
        <w:t>demand</w:t>
      </w:r>
      <w:r w:rsidRPr="00DF3351">
        <w:rPr>
          <w:lang w:val="pl-PL"/>
        </w:rPr>
        <w:t>s</w:t>
      </w:r>
      <w:r w:rsidRPr="0058653F">
        <w:rPr>
          <w:lang w:val="pl-PL"/>
        </w:rPr>
        <w:t>. Particularly, rail way dropped sharply due to reduced import and export orders and had to compete with water transport when costs were higher.</w:t>
      </w:r>
    </w:p>
    <w:p w14:paraId="73B2A8F5" w14:textId="77777777" w:rsidR="0063307A" w:rsidRPr="0058653F" w:rsidRDefault="0063307A" w:rsidP="0063307A">
      <w:pPr>
        <w:spacing w:before="120" w:after="120" w:line="276" w:lineRule="auto"/>
        <w:ind w:firstLine="567"/>
        <w:jc w:val="center"/>
        <w:rPr>
          <w:b/>
          <w:bCs/>
          <w:lang w:val="fr-FR"/>
        </w:rPr>
      </w:pPr>
      <w:r w:rsidRPr="0058653F">
        <w:rPr>
          <w:b/>
          <w:lang w:val="pl-PL"/>
        </w:rPr>
        <w:t xml:space="preserve">Table 7. </w:t>
      </w:r>
      <w:r w:rsidRPr="0058653F">
        <w:rPr>
          <w:b/>
          <w:bCs/>
          <w:lang w:val="fr-FR"/>
        </w:rPr>
        <w:t xml:space="preserve">Carriage of freight in </w:t>
      </w:r>
      <w:r>
        <w:rPr>
          <w:b/>
          <w:bCs/>
          <w:lang w:val="fr-FR"/>
        </w:rPr>
        <w:t>10</w:t>
      </w:r>
      <w:r w:rsidRPr="0058653F">
        <w:rPr>
          <w:b/>
          <w:bCs/>
          <w:lang w:val="fr-FR"/>
        </w:rPr>
        <w:t xml:space="preserve"> months of 2023 by types of transport</w:t>
      </w:r>
    </w:p>
    <w:tbl>
      <w:tblPr>
        <w:tblW w:w="8784" w:type="dxa"/>
        <w:jc w:val="center"/>
        <w:tblLook w:val="04A0" w:firstRow="1" w:lastRow="0" w:firstColumn="1" w:lastColumn="0" w:noHBand="0" w:noVBand="1"/>
      </w:tblPr>
      <w:tblGrid>
        <w:gridCol w:w="2355"/>
        <w:gridCol w:w="1767"/>
        <w:gridCol w:w="1638"/>
        <w:gridCol w:w="1499"/>
        <w:gridCol w:w="1525"/>
      </w:tblGrid>
      <w:tr w:rsidR="0063307A" w:rsidRPr="0058653F" w14:paraId="3DFE3E52" w14:textId="77777777" w:rsidTr="00B73CE3">
        <w:trPr>
          <w:trHeight w:val="497"/>
          <w:jc w:val="center"/>
        </w:trPr>
        <w:tc>
          <w:tcPr>
            <w:tcW w:w="2355" w:type="dxa"/>
            <w:tcBorders>
              <w:top w:val="single" w:sz="4" w:space="0" w:color="auto"/>
              <w:left w:val="nil"/>
              <w:bottom w:val="nil"/>
              <w:right w:val="nil"/>
            </w:tcBorders>
            <w:shd w:val="clear" w:color="auto" w:fill="auto"/>
            <w:vAlign w:val="center"/>
            <w:hideMark/>
          </w:tcPr>
          <w:p w14:paraId="2808BB03" w14:textId="77777777" w:rsidR="0063307A" w:rsidRPr="0058653F" w:rsidRDefault="0063307A" w:rsidP="00B73CE3">
            <w:pPr>
              <w:spacing w:before="60" w:after="60" w:line="276" w:lineRule="auto"/>
              <w:rPr>
                <w:rFonts w:ascii="Arial" w:hAnsi="Arial" w:cs="Arial"/>
                <w:sz w:val="20"/>
                <w:szCs w:val="20"/>
                <w:lang w:val="fr-FR" w:eastAsia="vi-VN"/>
              </w:rPr>
            </w:pPr>
            <w:r w:rsidRPr="0058653F">
              <w:rPr>
                <w:rFonts w:ascii="Arial" w:hAnsi="Arial" w:cs="Arial"/>
                <w:sz w:val="20"/>
                <w:szCs w:val="20"/>
                <w:lang w:val="fr-FR" w:eastAsia="vi-VN"/>
              </w:rPr>
              <w:t> </w:t>
            </w:r>
          </w:p>
        </w:tc>
        <w:tc>
          <w:tcPr>
            <w:tcW w:w="3405" w:type="dxa"/>
            <w:gridSpan w:val="2"/>
            <w:tcBorders>
              <w:top w:val="single" w:sz="4" w:space="0" w:color="auto"/>
              <w:left w:val="nil"/>
              <w:bottom w:val="single" w:sz="4" w:space="0" w:color="auto"/>
              <w:right w:val="nil"/>
            </w:tcBorders>
            <w:shd w:val="clear" w:color="auto" w:fill="auto"/>
            <w:vAlign w:val="center"/>
            <w:hideMark/>
          </w:tcPr>
          <w:p w14:paraId="71FB2D3D" w14:textId="77777777" w:rsidR="0063307A" w:rsidRPr="0058653F" w:rsidRDefault="0063307A" w:rsidP="00B73CE3">
            <w:pPr>
              <w:spacing w:before="60" w:after="60" w:line="276" w:lineRule="auto"/>
              <w:jc w:val="center"/>
              <w:rPr>
                <w:rFonts w:ascii="Arial" w:hAnsi="Arial" w:cs="Arial"/>
                <w:color w:val="000000"/>
                <w:sz w:val="20"/>
                <w:szCs w:val="20"/>
                <w:lang w:eastAsia="vi-VN"/>
              </w:rPr>
            </w:pPr>
            <w:r w:rsidRPr="0058653F">
              <w:rPr>
                <w:rFonts w:ascii="Arial" w:hAnsi="Arial" w:cs="Arial"/>
                <w:color w:val="000000"/>
                <w:sz w:val="20"/>
                <w:szCs w:val="20"/>
                <w:lang w:eastAsia="vi-VN"/>
              </w:rPr>
              <w:t>Quantity of goods</w:t>
            </w:r>
          </w:p>
        </w:tc>
        <w:tc>
          <w:tcPr>
            <w:tcW w:w="3024" w:type="dxa"/>
            <w:gridSpan w:val="2"/>
            <w:tcBorders>
              <w:top w:val="single" w:sz="4" w:space="0" w:color="auto"/>
              <w:left w:val="nil"/>
              <w:bottom w:val="single" w:sz="4" w:space="0" w:color="auto"/>
              <w:right w:val="nil"/>
            </w:tcBorders>
            <w:shd w:val="clear" w:color="auto" w:fill="auto"/>
            <w:vAlign w:val="center"/>
            <w:hideMark/>
          </w:tcPr>
          <w:p w14:paraId="4C03847B" w14:textId="77777777" w:rsidR="0063307A" w:rsidRPr="0058653F" w:rsidRDefault="0063307A" w:rsidP="00B73CE3">
            <w:pPr>
              <w:spacing w:before="60" w:after="60" w:line="276" w:lineRule="auto"/>
              <w:jc w:val="center"/>
              <w:rPr>
                <w:rFonts w:ascii="Arial" w:hAnsi="Arial" w:cs="Arial"/>
                <w:color w:val="000000"/>
                <w:sz w:val="20"/>
                <w:szCs w:val="20"/>
                <w:lang w:eastAsia="vi-VN"/>
              </w:rPr>
            </w:pPr>
            <w:r w:rsidRPr="0058653F">
              <w:rPr>
                <w:rFonts w:ascii="Arial" w:hAnsi="Arial" w:cs="Arial"/>
                <w:color w:val="000000"/>
                <w:sz w:val="20"/>
                <w:szCs w:val="20"/>
                <w:lang w:eastAsia="vi-VN"/>
              </w:rPr>
              <w:t>Growth rate compared to the same period last year (%)</w:t>
            </w:r>
          </w:p>
        </w:tc>
      </w:tr>
      <w:tr w:rsidR="0063307A" w:rsidRPr="0058653F" w14:paraId="0E63D50B" w14:textId="77777777" w:rsidTr="00B73CE3">
        <w:trPr>
          <w:trHeight w:val="416"/>
          <w:jc w:val="center"/>
        </w:trPr>
        <w:tc>
          <w:tcPr>
            <w:tcW w:w="2355" w:type="dxa"/>
            <w:tcBorders>
              <w:top w:val="nil"/>
              <w:left w:val="nil"/>
              <w:bottom w:val="nil"/>
              <w:right w:val="nil"/>
            </w:tcBorders>
            <w:shd w:val="clear" w:color="auto" w:fill="auto"/>
            <w:vAlign w:val="center"/>
            <w:hideMark/>
          </w:tcPr>
          <w:p w14:paraId="5DA9AF3F" w14:textId="77777777" w:rsidR="0063307A" w:rsidRPr="0058653F" w:rsidRDefault="0063307A" w:rsidP="00B73CE3">
            <w:pPr>
              <w:spacing w:before="60" w:after="60" w:line="276" w:lineRule="auto"/>
              <w:jc w:val="center"/>
              <w:rPr>
                <w:rFonts w:ascii="Arial" w:hAnsi="Arial" w:cs="Arial"/>
                <w:color w:val="000000"/>
                <w:sz w:val="20"/>
                <w:szCs w:val="20"/>
                <w:lang w:eastAsia="vi-VN"/>
              </w:rPr>
            </w:pPr>
          </w:p>
        </w:tc>
        <w:tc>
          <w:tcPr>
            <w:tcW w:w="1767" w:type="dxa"/>
            <w:tcBorders>
              <w:top w:val="single" w:sz="4" w:space="0" w:color="auto"/>
              <w:left w:val="nil"/>
              <w:bottom w:val="single" w:sz="4" w:space="0" w:color="auto"/>
              <w:right w:val="nil"/>
            </w:tcBorders>
            <w:shd w:val="clear" w:color="auto" w:fill="auto"/>
            <w:vAlign w:val="center"/>
            <w:hideMark/>
          </w:tcPr>
          <w:p w14:paraId="51B4ED76" w14:textId="77777777" w:rsidR="0063307A" w:rsidRPr="0058653F" w:rsidRDefault="0063307A" w:rsidP="00B73CE3">
            <w:pPr>
              <w:spacing w:before="60" w:after="60" w:line="276" w:lineRule="auto"/>
              <w:jc w:val="center"/>
              <w:rPr>
                <w:rFonts w:ascii="Arial" w:hAnsi="Arial" w:cs="Arial"/>
                <w:sz w:val="20"/>
                <w:szCs w:val="20"/>
                <w:lang w:eastAsia="vi-VN"/>
              </w:rPr>
            </w:pPr>
            <w:r w:rsidRPr="0058653F">
              <w:rPr>
                <w:rFonts w:ascii="Arial" w:hAnsi="Arial" w:cs="Arial"/>
                <w:sz w:val="20"/>
                <w:szCs w:val="20"/>
                <w:lang w:eastAsia="vi-VN"/>
              </w:rPr>
              <w:t>Carried</w:t>
            </w:r>
            <w:r w:rsidRPr="0058653F">
              <w:rPr>
                <w:rFonts w:ascii="Arial" w:hAnsi="Arial" w:cs="Arial"/>
                <w:sz w:val="20"/>
                <w:szCs w:val="20"/>
                <w:lang w:eastAsia="vi-VN"/>
              </w:rPr>
              <w:br/>
              <w:t>(Mill. tons)</w:t>
            </w:r>
          </w:p>
        </w:tc>
        <w:tc>
          <w:tcPr>
            <w:tcW w:w="1638" w:type="dxa"/>
            <w:tcBorders>
              <w:top w:val="single" w:sz="4" w:space="0" w:color="auto"/>
              <w:left w:val="nil"/>
              <w:bottom w:val="single" w:sz="4" w:space="0" w:color="auto"/>
              <w:right w:val="nil"/>
            </w:tcBorders>
            <w:shd w:val="clear" w:color="auto" w:fill="auto"/>
            <w:vAlign w:val="center"/>
            <w:hideMark/>
          </w:tcPr>
          <w:p w14:paraId="25069F16" w14:textId="77777777" w:rsidR="0063307A" w:rsidRPr="0058653F" w:rsidRDefault="0063307A" w:rsidP="00B73CE3">
            <w:pPr>
              <w:spacing w:before="60" w:after="60" w:line="276" w:lineRule="auto"/>
              <w:jc w:val="center"/>
              <w:rPr>
                <w:rFonts w:ascii="Arial" w:hAnsi="Arial" w:cs="Arial"/>
                <w:sz w:val="20"/>
                <w:szCs w:val="20"/>
                <w:lang w:eastAsia="vi-VN"/>
              </w:rPr>
            </w:pPr>
            <w:r w:rsidRPr="0058653F">
              <w:rPr>
                <w:rFonts w:ascii="Arial" w:hAnsi="Arial" w:cs="Arial"/>
                <w:sz w:val="20"/>
                <w:szCs w:val="20"/>
                <w:lang w:eastAsia="vi-VN"/>
              </w:rPr>
              <w:t>Traffic</w:t>
            </w:r>
            <w:r w:rsidRPr="0058653F">
              <w:rPr>
                <w:rFonts w:ascii="Arial" w:hAnsi="Arial" w:cs="Arial"/>
                <w:sz w:val="20"/>
                <w:szCs w:val="20"/>
                <w:lang w:eastAsia="vi-VN"/>
              </w:rPr>
              <w:br/>
              <w:t>(Bill. tons-km)</w:t>
            </w:r>
          </w:p>
        </w:tc>
        <w:tc>
          <w:tcPr>
            <w:tcW w:w="1499" w:type="dxa"/>
            <w:tcBorders>
              <w:top w:val="single" w:sz="4" w:space="0" w:color="auto"/>
              <w:left w:val="nil"/>
              <w:bottom w:val="single" w:sz="4" w:space="0" w:color="auto"/>
              <w:right w:val="nil"/>
            </w:tcBorders>
            <w:shd w:val="clear" w:color="auto" w:fill="auto"/>
            <w:vAlign w:val="center"/>
            <w:hideMark/>
          </w:tcPr>
          <w:p w14:paraId="0A11D2F5" w14:textId="77777777" w:rsidR="0063307A" w:rsidRPr="0058653F" w:rsidRDefault="0063307A" w:rsidP="00B73CE3">
            <w:pPr>
              <w:spacing w:before="60" w:after="60" w:line="276" w:lineRule="auto"/>
              <w:jc w:val="center"/>
              <w:rPr>
                <w:rFonts w:ascii="Arial" w:hAnsi="Arial" w:cs="Arial"/>
                <w:sz w:val="20"/>
                <w:szCs w:val="20"/>
                <w:lang w:eastAsia="vi-VN"/>
              </w:rPr>
            </w:pPr>
            <w:r w:rsidRPr="0058653F">
              <w:rPr>
                <w:rFonts w:ascii="Arial" w:hAnsi="Arial" w:cs="Arial"/>
                <w:sz w:val="20"/>
                <w:szCs w:val="20"/>
                <w:lang w:eastAsia="vi-VN"/>
              </w:rPr>
              <w:t>Carried</w:t>
            </w:r>
          </w:p>
        </w:tc>
        <w:tc>
          <w:tcPr>
            <w:tcW w:w="1525" w:type="dxa"/>
            <w:tcBorders>
              <w:top w:val="single" w:sz="4" w:space="0" w:color="auto"/>
              <w:left w:val="nil"/>
              <w:bottom w:val="single" w:sz="4" w:space="0" w:color="auto"/>
              <w:right w:val="nil"/>
            </w:tcBorders>
            <w:shd w:val="clear" w:color="auto" w:fill="auto"/>
            <w:vAlign w:val="center"/>
            <w:hideMark/>
          </w:tcPr>
          <w:p w14:paraId="68D6AAD0" w14:textId="77777777" w:rsidR="0063307A" w:rsidRPr="0058653F" w:rsidRDefault="0063307A" w:rsidP="00B73CE3">
            <w:pPr>
              <w:spacing w:before="60" w:after="60" w:line="276" w:lineRule="auto"/>
              <w:jc w:val="center"/>
              <w:rPr>
                <w:rFonts w:ascii="Arial" w:hAnsi="Arial" w:cs="Arial"/>
                <w:sz w:val="20"/>
                <w:szCs w:val="20"/>
                <w:lang w:eastAsia="vi-VN"/>
              </w:rPr>
            </w:pPr>
            <w:r w:rsidRPr="0058653F">
              <w:rPr>
                <w:rFonts w:ascii="Arial" w:hAnsi="Arial" w:cs="Arial"/>
                <w:sz w:val="20"/>
                <w:szCs w:val="20"/>
                <w:lang w:eastAsia="vi-VN"/>
              </w:rPr>
              <w:t>Traffic</w:t>
            </w:r>
          </w:p>
        </w:tc>
      </w:tr>
      <w:tr w:rsidR="0063307A" w:rsidRPr="0058653F" w14:paraId="2F65A133" w14:textId="77777777" w:rsidTr="00B73CE3">
        <w:trPr>
          <w:cantSplit/>
          <w:trHeight w:val="326"/>
          <w:jc w:val="center"/>
        </w:trPr>
        <w:tc>
          <w:tcPr>
            <w:tcW w:w="2355" w:type="dxa"/>
            <w:tcBorders>
              <w:top w:val="nil"/>
              <w:left w:val="nil"/>
              <w:bottom w:val="nil"/>
              <w:right w:val="nil"/>
            </w:tcBorders>
            <w:shd w:val="clear" w:color="auto" w:fill="auto"/>
            <w:noWrap/>
            <w:vAlign w:val="center"/>
            <w:hideMark/>
          </w:tcPr>
          <w:p w14:paraId="26F0B48E" w14:textId="77777777" w:rsidR="0063307A" w:rsidRPr="0058653F" w:rsidRDefault="0063307A" w:rsidP="00B73CE3">
            <w:pPr>
              <w:spacing w:before="120" w:after="60" w:line="276" w:lineRule="auto"/>
              <w:rPr>
                <w:rFonts w:ascii="Arial" w:hAnsi="Arial" w:cs="Arial"/>
                <w:b/>
                <w:color w:val="000000"/>
                <w:sz w:val="20"/>
                <w:szCs w:val="20"/>
              </w:rPr>
            </w:pPr>
            <w:r w:rsidRPr="0058653F">
              <w:rPr>
                <w:rFonts w:ascii="Arial" w:hAnsi="Arial" w:cs="Arial"/>
                <w:b/>
                <w:color w:val="000000"/>
                <w:sz w:val="20"/>
                <w:szCs w:val="20"/>
              </w:rPr>
              <w:t>Total</w:t>
            </w:r>
          </w:p>
        </w:tc>
        <w:tc>
          <w:tcPr>
            <w:tcW w:w="1767" w:type="dxa"/>
            <w:tcBorders>
              <w:top w:val="single" w:sz="4" w:space="0" w:color="auto"/>
              <w:left w:val="nil"/>
              <w:bottom w:val="nil"/>
              <w:right w:val="nil"/>
            </w:tcBorders>
            <w:shd w:val="clear" w:color="auto" w:fill="auto"/>
            <w:noWrap/>
            <w:vAlign w:val="center"/>
            <w:hideMark/>
          </w:tcPr>
          <w:p w14:paraId="7B4B6FD8" w14:textId="77777777" w:rsidR="0063307A" w:rsidRPr="0058653F" w:rsidRDefault="0063307A" w:rsidP="00B73CE3">
            <w:pPr>
              <w:spacing w:line="276" w:lineRule="auto"/>
              <w:ind w:right="507"/>
              <w:jc w:val="right"/>
              <w:rPr>
                <w:rFonts w:ascii="Arial" w:hAnsi="Arial" w:cs="Arial"/>
                <w:b/>
                <w:bCs/>
                <w:sz w:val="19"/>
                <w:szCs w:val="19"/>
              </w:rPr>
            </w:pPr>
            <w:r w:rsidRPr="007D42A5">
              <w:rPr>
                <w:rFonts w:ascii="Arial" w:hAnsi="Arial" w:cs="Arial"/>
                <w:b/>
                <w:bCs/>
                <w:sz w:val="20"/>
                <w:szCs w:val="20"/>
              </w:rPr>
              <w:t>1</w:t>
            </w:r>
            <w:r>
              <w:rPr>
                <w:rFonts w:ascii="Arial" w:hAnsi="Arial" w:cs="Arial"/>
                <w:b/>
                <w:bCs/>
                <w:sz w:val="20"/>
                <w:szCs w:val="20"/>
              </w:rPr>
              <w:t>,</w:t>
            </w:r>
            <w:r w:rsidRPr="007D42A5">
              <w:rPr>
                <w:rFonts w:ascii="Arial" w:hAnsi="Arial" w:cs="Arial"/>
                <w:b/>
                <w:bCs/>
                <w:sz w:val="20"/>
                <w:szCs w:val="20"/>
              </w:rPr>
              <w:t>888</w:t>
            </w:r>
            <w:r>
              <w:rPr>
                <w:rFonts w:ascii="Arial" w:hAnsi="Arial" w:cs="Arial"/>
                <w:b/>
                <w:bCs/>
                <w:sz w:val="20"/>
                <w:szCs w:val="20"/>
              </w:rPr>
              <w:t>.</w:t>
            </w:r>
            <w:r w:rsidRPr="007D42A5">
              <w:rPr>
                <w:rFonts w:ascii="Arial" w:hAnsi="Arial" w:cs="Arial"/>
                <w:b/>
                <w:bCs/>
                <w:sz w:val="20"/>
                <w:szCs w:val="20"/>
              </w:rPr>
              <w:t>3</w:t>
            </w:r>
          </w:p>
        </w:tc>
        <w:tc>
          <w:tcPr>
            <w:tcW w:w="1638" w:type="dxa"/>
            <w:tcBorders>
              <w:top w:val="single" w:sz="4" w:space="0" w:color="auto"/>
              <w:left w:val="nil"/>
              <w:bottom w:val="nil"/>
              <w:right w:val="nil"/>
            </w:tcBorders>
            <w:shd w:val="clear" w:color="auto" w:fill="auto"/>
            <w:noWrap/>
            <w:vAlign w:val="center"/>
            <w:hideMark/>
          </w:tcPr>
          <w:p w14:paraId="180E9D85" w14:textId="77777777" w:rsidR="0063307A" w:rsidRPr="0058653F" w:rsidRDefault="0063307A" w:rsidP="00B73CE3">
            <w:pPr>
              <w:spacing w:line="276" w:lineRule="auto"/>
              <w:ind w:right="507"/>
              <w:jc w:val="right"/>
              <w:rPr>
                <w:rFonts w:ascii="Arial" w:hAnsi="Arial" w:cs="Arial"/>
                <w:b/>
                <w:bCs/>
                <w:sz w:val="19"/>
                <w:szCs w:val="19"/>
              </w:rPr>
            </w:pPr>
            <w:r w:rsidRPr="007D42A5">
              <w:rPr>
                <w:rFonts w:ascii="Arial" w:hAnsi="Arial" w:cs="Arial"/>
                <w:b/>
                <w:bCs/>
                <w:sz w:val="20"/>
                <w:szCs w:val="20"/>
              </w:rPr>
              <w:t>402</w:t>
            </w:r>
            <w:r>
              <w:rPr>
                <w:rFonts w:ascii="Arial" w:hAnsi="Arial" w:cs="Arial"/>
                <w:b/>
                <w:bCs/>
                <w:sz w:val="20"/>
                <w:szCs w:val="20"/>
              </w:rPr>
              <w:t>.</w:t>
            </w:r>
            <w:r w:rsidRPr="007D42A5">
              <w:rPr>
                <w:rFonts w:ascii="Arial" w:hAnsi="Arial" w:cs="Arial"/>
                <w:b/>
                <w:bCs/>
                <w:sz w:val="20"/>
                <w:szCs w:val="20"/>
              </w:rPr>
              <w:t>0</w:t>
            </w:r>
          </w:p>
        </w:tc>
        <w:tc>
          <w:tcPr>
            <w:tcW w:w="1499" w:type="dxa"/>
            <w:tcBorders>
              <w:top w:val="single" w:sz="4" w:space="0" w:color="auto"/>
              <w:left w:val="nil"/>
              <w:bottom w:val="nil"/>
              <w:right w:val="nil"/>
            </w:tcBorders>
            <w:shd w:val="clear" w:color="auto" w:fill="auto"/>
            <w:noWrap/>
            <w:vAlign w:val="center"/>
            <w:hideMark/>
          </w:tcPr>
          <w:p w14:paraId="03BDA819" w14:textId="77777777" w:rsidR="0063307A" w:rsidRPr="0058653F" w:rsidRDefault="0063307A" w:rsidP="00B73CE3">
            <w:pPr>
              <w:spacing w:line="276" w:lineRule="auto"/>
              <w:ind w:right="326"/>
              <w:jc w:val="right"/>
              <w:rPr>
                <w:rFonts w:ascii="Arial" w:hAnsi="Arial" w:cs="Arial"/>
                <w:b/>
                <w:bCs/>
                <w:sz w:val="19"/>
                <w:szCs w:val="19"/>
              </w:rPr>
            </w:pPr>
            <w:r w:rsidRPr="007D42A5">
              <w:rPr>
                <w:rFonts w:ascii="Arial" w:hAnsi="Arial" w:cs="Arial"/>
                <w:b/>
                <w:sz w:val="20"/>
                <w:szCs w:val="20"/>
              </w:rPr>
              <w:t>14</w:t>
            </w:r>
            <w:r>
              <w:rPr>
                <w:rFonts w:ascii="Arial" w:hAnsi="Arial" w:cs="Arial"/>
                <w:b/>
                <w:sz w:val="20"/>
                <w:szCs w:val="20"/>
              </w:rPr>
              <w:t>.</w:t>
            </w:r>
            <w:r w:rsidRPr="007D42A5">
              <w:rPr>
                <w:rFonts w:ascii="Arial" w:hAnsi="Arial" w:cs="Arial"/>
                <w:b/>
                <w:sz w:val="20"/>
                <w:szCs w:val="20"/>
              </w:rPr>
              <w:t>4</w:t>
            </w:r>
          </w:p>
        </w:tc>
        <w:tc>
          <w:tcPr>
            <w:tcW w:w="1525" w:type="dxa"/>
            <w:tcBorders>
              <w:top w:val="single" w:sz="4" w:space="0" w:color="auto"/>
              <w:left w:val="nil"/>
              <w:bottom w:val="nil"/>
              <w:right w:val="nil"/>
            </w:tcBorders>
            <w:shd w:val="clear" w:color="auto" w:fill="auto"/>
            <w:noWrap/>
            <w:vAlign w:val="center"/>
            <w:hideMark/>
          </w:tcPr>
          <w:p w14:paraId="1DE68413" w14:textId="77777777" w:rsidR="0063307A" w:rsidRPr="0058653F" w:rsidRDefault="0063307A" w:rsidP="00B73CE3">
            <w:pPr>
              <w:spacing w:line="276" w:lineRule="auto"/>
              <w:ind w:right="326"/>
              <w:jc w:val="right"/>
              <w:rPr>
                <w:rFonts w:ascii="Arial" w:hAnsi="Arial" w:cs="Arial"/>
                <w:b/>
                <w:bCs/>
                <w:sz w:val="19"/>
                <w:szCs w:val="19"/>
              </w:rPr>
            </w:pPr>
            <w:r w:rsidRPr="007D42A5">
              <w:rPr>
                <w:rFonts w:ascii="Arial" w:hAnsi="Arial" w:cs="Arial"/>
                <w:b/>
                <w:sz w:val="20"/>
                <w:szCs w:val="20"/>
              </w:rPr>
              <w:t>11</w:t>
            </w:r>
            <w:r>
              <w:rPr>
                <w:rFonts w:ascii="Arial" w:hAnsi="Arial" w:cs="Arial"/>
                <w:b/>
                <w:sz w:val="20"/>
                <w:szCs w:val="20"/>
              </w:rPr>
              <w:t>.</w:t>
            </w:r>
            <w:r w:rsidRPr="007D42A5">
              <w:rPr>
                <w:rFonts w:ascii="Arial" w:hAnsi="Arial" w:cs="Arial"/>
                <w:b/>
                <w:sz w:val="20"/>
                <w:szCs w:val="20"/>
              </w:rPr>
              <w:t>4</w:t>
            </w:r>
          </w:p>
        </w:tc>
      </w:tr>
      <w:tr w:rsidR="0063307A" w:rsidRPr="0058653F" w14:paraId="58F1255F" w14:textId="77777777" w:rsidTr="00B73CE3">
        <w:trPr>
          <w:cantSplit/>
          <w:trHeight w:val="340"/>
          <w:jc w:val="center"/>
        </w:trPr>
        <w:tc>
          <w:tcPr>
            <w:tcW w:w="2355" w:type="dxa"/>
            <w:tcBorders>
              <w:top w:val="nil"/>
              <w:left w:val="nil"/>
              <w:bottom w:val="nil"/>
              <w:right w:val="nil"/>
            </w:tcBorders>
            <w:shd w:val="clear" w:color="auto" w:fill="auto"/>
            <w:noWrap/>
            <w:vAlign w:val="center"/>
            <w:hideMark/>
          </w:tcPr>
          <w:p w14:paraId="68E5E243" w14:textId="77777777" w:rsidR="0063307A" w:rsidRPr="0058653F" w:rsidRDefault="0063307A" w:rsidP="00B73CE3">
            <w:pPr>
              <w:spacing w:before="120" w:after="60" w:line="276" w:lineRule="auto"/>
              <w:ind w:firstLine="318"/>
              <w:rPr>
                <w:rFonts w:ascii="Arial" w:hAnsi="Arial" w:cs="Arial"/>
                <w:sz w:val="20"/>
                <w:szCs w:val="20"/>
                <w:lang w:eastAsia="vi-VN"/>
              </w:rPr>
            </w:pPr>
            <w:r w:rsidRPr="0058653F">
              <w:rPr>
                <w:rFonts w:ascii="Arial" w:hAnsi="Arial" w:cs="Arial"/>
                <w:sz w:val="20"/>
                <w:szCs w:val="20"/>
                <w:lang w:eastAsia="vi-VN"/>
              </w:rPr>
              <w:t>Rail way</w:t>
            </w:r>
          </w:p>
        </w:tc>
        <w:tc>
          <w:tcPr>
            <w:tcW w:w="1767" w:type="dxa"/>
            <w:tcBorders>
              <w:top w:val="nil"/>
              <w:left w:val="nil"/>
              <w:bottom w:val="nil"/>
              <w:right w:val="nil"/>
            </w:tcBorders>
            <w:shd w:val="clear" w:color="auto" w:fill="auto"/>
            <w:noWrap/>
            <w:vAlign w:val="center"/>
            <w:hideMark/>
          </w:tcPr>
          <w:p w14:paraId="56262225" w14:textId="77777777" w:rsidR="0063307A" w:rsidRPr="0058653F" w:rsidRDefault="0063307A" w:rsidP="00B73CE3">
            <w:pPr>
              <w:spacing w:line="276" w:lineRule="auto"/>
              <w:ind w:right="507"/>
              <w:jc w:val="right"/>
              <w:rPr>
                <w:rFonts w:ascii="Arial" w:hAnsi="Arial" w:cs="Arial"/>
                <w:sz w:val="19"/>
                <w:szCs w:val="19"/>
              </w:rPr>
            </w:pPr>
            <w:r w:rsidRPr="007D42A5">
              <w:rPr>
                <w:rFonts w:ascii="Arial" w:hAnsi="Arial" w:cs="Arial"/>
                <w:bCs/>
                <w:sz w:val="20"/>
                <w:szCs w:val="20"/>
              </w:rPr>
              <w:t>3</w:t>
            </w:r>
            <w:r>
              <w:rPr>
                <w:rFonts w:ascii="Arial" w:hAnsi="Arial" w:cs="Arial"/>
                <w:bCs/>
                <w:sz w:val="20"/>
                <w:szCs w:val="20"/>
              </w:rPr>
              <w:t>.</w:t>
            </w:r>
            <w:r w:rsidRPr="007D42A5">
              <w:rPr>
                <w:rFonts w:ascii="Arial" w:hAnsi="Arial" w:cs="Arial"/>
                <w:bCs/>
                <w:sz w:val="20"/>
                <w:szCs w:val="20"/>
              </w:rPr>
              <w:t>8</w:t>
            </w:r>
          </w:p>
        </w:tc>
        <w:tc>
          <w:tcPr>
            <w:tcW w:w="1638" w:type="dxa"/>
            <w:tcBorders>
              <w:top w:val="nil"/>
              <w:left w:val="nil"/>
              <w:bottom w:val="nil"/>
              <w:right w:val="nil"/>
            </w:tcBorders>
            <w:shd w:val="clear" w:color="auto" w:fill="auto"/>
            <w:noWrap/>
            <w:vAlign w:val="center"/>
            <w:hideMark/>
          </w:tcPr>
          <w:p w14:paraId="0FF8BE4F" w14:textId="77777777" w:rsidR="0063307A" w:rsidRPr="0058653F" w:rsidRDefault="0063307A" w:rsidP="00B73CE3">
            <w:pPr>
              <w:spacing w:line="276" w:lineRule="auto"/>
              <w:ind w:right="507"/>
              <w:jc w:val="right"/>
              <w:rPr>
                <w:rFonts w:ascii="Arial" w:hAnsi="Arial" w:cs="Arial"/>
                <w:sz w:val="19"/>
                <w:szCs w:val="19"/>
              </w:rPr>
            </w:pPr>
            <w:r w:rsidRPr="007D42A5">
              <w:rPr>
                <w:rFonts w:ascii="Arial" w:hAnsi="Arial" w:cs="Arial"/>
                <w:bCs/>
                <w:sz w:val="20"/>
                <w:szCs w:val="20"/>
              </w:rPr>
              <w:t>3</w:t>
            </w:r>
            <w:r>
              <w:rPr>
                <w:rFonts w:ascii="Arial" w:hAnsi="Arial" w:cs="Arial"/>
                <w:bCs/>
                <w:sz w:val="20"/>
                <w:szCs w:val="20"/>
              </w:rPr>
              <w:t>.</w:t>
            </w:r>
            <w:r w:rsidRPr="007D42A5">
              <w:rPr>
                <w:rFonts w:ascii="Arial" w:hAnsi="Arial" w:cs="Arial"/>
                <w:bCs/>
                <w:sz w:val="20"/>
                <w:szCs w:val="20"/>
              </w:rPr>
              <w:t>0</w:t>
            </w:r>
          </w:p>
        </w:tc>
        <w:tc>
          <w:tcPr>
            <w:tcW w:w="1499" w:type="dxa"/>
            <w:tcBorders>
              <w:top w:val="nil"/>
              <w:left w:val="nil"/>
              <w:bottom w:val="nil"/>
              <w:right w:val="nil"/>
            </w:tcBorders>
            <w:shd w:val="clear" w:color="auto" w:fill="auto"/>
            <w:noWrap/>
            <w:vAlign w:val="center"/>
            <w:hideMark/>
          </w:tcPr>
          <w:p w14:paraId="54A9A082" w14:textId="77777777" w:rsidR="0063307A" w:rsidRPr="0058653F" w:rsidRDefault="0063307A" w:rsidP="00B73CE3">
            <w:pPr>
              <w:spacing w:line="276" w:lineRule="auto"/>
              <w:ind w:right="326"/>
              <w:jc w:val="right"/>
              <w:rPr>
                <w:rFonts w:ascii="Arial" w:hAnsi="Arial" w:cs="Arial"/>
                <w:sz w:val="19"/>
                <w:szCs w:val="19"/>
              </w:rPr>
            </w:pPr>
            <w:r w:rsidRPr="007D42A5">
              <w:rPr>
                <w:rFonts w:ascii="Arial" w:hAnsi="Arial" w:cs="Arial"/>
                <w:sz w:val="20"/>
                <w:szCs w:val="20"/>
              </w:rPr>
              <w:t>-21</w:t>
            </w:r>
            <w:r>
              <w:rPr>
                <w:rFonts w:ascii="Arial" w:hAnsi="Arial" w:cs="Arial"/>
                <w:sz w:val="20"/>
                <w:szCs w:val="20"/>
              </w:rPr>
              <w:t>.</w:t>
            </w:r>
            <w:r w:rsidRPr="007D42A5">
              <w:rPr>
                <w:rFonts w:ascii="Arial" w:hAnsi="Arial" w:cs="Arial"/>
                <w:sz w:val="20"/>
                <w:szCs w:val="20"/>
              </w:rPr>
              <w:t>7</w:t>
            </w:r>
          </w:p>
        </w:tc>
        <w:tc>
          <w:tcPr>
            <w:tcW w:w="1525" w:type="dxa"/>
            <w:tcBorders>
              <w:top w:val="nil"/>
              <w:left w:val="nil"/>
              <w:bottom w:val="nil"/>
              <w:right w:val="nil"/>
            </w:tcBorders>
            <w:shd w:val="clear" w:color="auto" w:fill="auto"/>
            <w:noWrap/>
            <w:vAlign w:val="center"/>
            <w:hideMark/>
          </w:tcPr>
          <w:p w14:paraId="0A7F83D4" w14:textId="77777777" w:rsidR="0063307A" w:rsidRPr="0058653F" w:rsidRDefault="0063307A" w:rsidP="00B73CE3">
            <w:pPr>
              <w:spacing w:line="276" w:lineRule="auto"/>
              <w:ind w:right="326"/>
              <w:jc w:val="right"/>
              <w:rPr>
                <w:rFonts w:ascii="Arial" w:hAnsi="Arial" w:cs="Arial"/>
                <w:sz w:val="19"/>
                <w:szCs w:val="19"/>
              </w:rPr>
            </w:pPr>
            <w:r w:rsidRPr="007D42A5">
              <w:rPr>
                <w:rFonts w:ascii="Arial" w:hAnsi="Arial" w:cs="Arial"/>
                <w:sz w:val="20"/>
                <w:szCs w:val="20"/>
              </w:rPr>
              <w:t>-21</w:t>
            </w:r>
            <w:r>
              <w:rPr>
                <w:rFonts w:ascii="Arial" w:hAnsi="Arial" w:cs="Arial"/>
                <w:sz w:val="20"/>
                <w:szCs w:val="20"/>
              </w:rPr>
              <w:t>.</w:t>
            </w:r>
            <w:r w:rsidRPr="007D42A5">
              <w:rPr>
                <w:rFonts w:ascii="Arial" w:hAnsi="Arial" w:cs="Arial"/>
                <w:sz w:val="20"/>
                <w:szCs w:val="20"/>
              </w:rPr>
              <w:t>3</w:t>
            </w:r>
          </w:p>
        </w:tc>
      </w:tr>
      <w:tr w:rsidR="0063307A" w:rsidRPr="0058653F" w14:paraId="101518A8" w14:textId="77777777" w:rsidTr="00B73CE3">
        <w:trPr>
          <w:cantSplit/>
          <w:trHeight w:val="340"/>
          <w:jc w:val="center"/>
        </w:trPr>
        <w:tc>
          <w:tcPr>
            <w:tcW w:w="2355" w:type="dxa"/>
            <w:tcBorders>
              <w:top w:val="nil"/>
              <w:left w:val="nil"/>
              <w:bottom w:val="nil"/>
              <w:right w:val="nil"/>
            </w:tcBorders>
            <w:shd w:val="clear" w:color="auto" w:fill="auto"/>
            <w:noWrap/>
            <w:vAlign w:val="center"/>
            <w:hideMark/>
          </w:tcPr>
          <w:p w14:paraId="363380AF" w14:textId="77777777" w:rsidR="0063307A" w:rsidRPr="0058653F" w:rsidRDefault="0063307A" w:rsidP="00B73CE3">
            <w:pPr>
              <w:spacing w:before="120" w:after="60" w:line="276" w:lineRule="auto"/>
              <w:ind w:firstLine="318"/>
              <w:rPr>
                <w:rFonts w:ascii="Arial" w:hAnsi="Arial" w:cs="Arial"/>
                <w:sz w:val="20"/>
                <w:szCs w:val="20"/>
                <w:lang w:eastAsia="vi-VN"/>
              </w:rPr>
            </w:pPr>
            <w:r w:rsidRPr="0058653F">
              <w:rPr>
                <w:rFonts w:ascii="Arial" w:hAnsi="Arial" w:cs="Arial"/>
                <w:sz w:val="20"/>
                <w:szCs w:val="20"/>
                <w:lang w:eastAsia="vi-VN"/>
              </w:rPr>
              <w:lastRenderedPageBreak/>
              <w:t>Sea way</w:t>
            </w:r>
          </w:p>
        </w:tc>
        <w:tc>
          <w:tcPr>
            <w:tcW w:w="1767" w:type="dxa"/>
            <w:tcBorders>
              <w:top w:val="nil"/>
              <w:left w:val="nil"/>
              <w:bottom w:val="nil"/>
              <w:right w:val="nil"/>
            </w:tcBorders>
            <w:shd w:val="clear" w:color="auto" w:fill="auto"/>
            <w:noWrap/>
            <w:vAlign w:val="center"/>
            <w:hideMark/>
          </w:tcPr>
          <w:p w14:paraId="70DC84E0" w14:textId="77777777" w:rsidR="0063307A" w:rsidRPr="0058653F" w:rsidRDefault="0063307A" w:rsidP="00B73CE3">
            <w:pPr>
              <w:spacing w:line="276" w:lineRule="auto"/>
              <w:ind w:right="507"/>
              <w:jc w:val="right"/>
              <w:rPr>
                <w:rFonts w:ascii="Arial" w:hAnsi="Arial" w:cs="Arial"/>
                <w:sz w:val="19"/>
                <w:szCs w:val="19"/>
              </w:rPr>
            </w:pPr>
            <w:r w:rsidRPr="007D42A5">
              <w:rPr>
                <w:rFonts w:ascii="Arial" w:hAnsi="Arial" w:cs="Arial"/>
                <w:bCs/>
                <w:sz w:val="20"/>
                <w:szCs w:val="20"/>
              </w:rPr>
              <w:t>98</w:t>
            </w:r>
            <w:r>
              <w:rPr>
                <w:rFonts w:ascii="Arial" w:hAnsi="Arial" w:cs="Arial"/>
                <w:bCs/>
                <w:sz w:val="20"/>
                <w:szCs w:val="20"/>
              </w:rPr>
              <w:t>.</w:t>
            </w:r>
            <w:r w:rsidRPr="007D42A5">
              <w:rPr>
                <w:rFonts w:ascii="Arial" w:hAnsi="Arial" w:cs="Arial"/>
                <w:bCs/>
                <w:sz w:val="20"/>
                <w:szCs w:val="20"/>
              </w:rPr>
              <w:t>7</w:t>
            </w:r>
          </w:p>
        </w:tc>
        <w:tc>
          <w:tcPr>
            <w:tcW w:w="1638" w:type="dxa"/>
            <w:tcBorders>
              <w:top w:val="nil"/>
              <w:left w:val="nil"/>
              <w:bottom w:val="nil"/>
              <w:right w:val="nil"/>
            </w:tcBorders>
            <w:shd w:val="clear" w:color="auto" w:fill="auto"/>
            <w:noWrap/>
            <w:vAlign w:val="center"/>
            <w:hideMark/>
          </w:tcPr>
          <w:p w14:paraId="56E27445" w14:textId="77777777" w:rsidR="0063307A" w:rsidRPr="0058653F" w:rsidRDefault="0063307A" w:rsidP="00B73CE3">
            <w:pPr>
              <w:spacing w:line="276" w:lineRule="auto"/>
              <w:ind w:right="507"/>
              <w:jc w:val="right"/>
              <w:rPr>
                <w:rFonts w:ascii="Arial" w:hAnsi="Arial" w:cs="Arial"/>
                <w:sz w:val="19"/>
                <w:szCs w:val="19"/>
              </w:rPr>
            </w:pPr>
            <w:r w:rsidRPr="007D42A5">
              <w:rPr>
                <w:rFonts w:ascii="Arial" w:hAnsi="Arial" w:cs="Arial"/>
                <w:bCs/>
                <w:sz w:val="20"/>
                <w:szCs w:val="20"/>
              </w:rPr>
              <w:t>211</w:t>
            </w:r>
            <w:r>
              <w:rPr>
                <w:rFonts w:ascii="Arial" w:hAnsi="Arial" w:cs="Arial"/>
                <w:bCs/>
                <w:sz w:val="20"/>
                <w:szCs w:val="20"/>
              </w:rPr>
              <w:t>.</w:t>
            </w:r>
            <w:r w:rsidRPr="007D42A5">
              <w:rPr>
                <w:rFonts w:ascii="Arial" w:hAnsi="Arial" w:cs="Arial"/>
                <w:bCs/>
                <w:sz w:val="20"/>
                <w:szCs w:val="20"/>
              </w:rPr>
              <w:t>5</w:t>
            </w:r>
          </w:p>
        </w:tc>
        <w:tc>
          <w:tcPr>
            <w:tcW w:w="1499" w:type="dxa"/>
            <w:tcBorders>
              <w:top w:val="nil"/>
              <w:left w:val="nil"/>
              <w:bottom w:val="nil"/>
              <w:right w:val="nil"/>
            </w:tcBorders>
            <w:shd w:val="clear" w:color="auto" w:fill="auto"/>
            <w:noWrap/>
            <w:vAlign w:val="center"/>
            <w:hideMark/>
          </w:tcPr>
          <w:p w14:paraId="48934E50" w14:textId="77777777" w:rsidR="0063307A" w:rsidRPr="0058653F" w:rsidRDefault="0063307A" w:rsidP="00B73CE3">
            <w:pPr>
              <w:spacing w:line="276" w:lineRule="auto"/>
              <w:ind w:right="326"/>
              <w:jc w:val="right"/>
              <w:rPr>
                <w:rFonts w:ascii="Arial" w:hAnsi="Arial" w:cs="Arial"/>
                <w:sz w:val="19"/>
                <w:szCs w:val="19"/>
              </w:rPr>
            </w:pPr>
            <w:r w:rsidRPr="007D42A5">
              <w:rPr>
                <w:rFonts w:ascii="Arial" w:hAnsi="Arial" w:cs="Arial"/>
                <w:sz w:val="20"/>
                <w:szCs w:val="20"/>
              </w:rPr>
              <w:t>11</w:t>
            </w:r>
            <w:r>
              <w:rPr>
                <w:rFonts w:ascii="Arial" w:hAnsi="Arial" w:cs="Arial"/>
                <w:sz w:val="20"/>
                <w:szCs w:val="20"/>
              </w:rPr>
              <w:t>.</w:t>
            </w:r>
            <w:r w:rsidRPr="007D42A5">
              <w:rPr>
                <w:rFonts w:ascii="Arial" w:hAnsi="Arial" w:cs="Arial"/>
                <w:sz w:val="20"/>
                <w:szCs w:val="20"/>
              </w:rPr>
              <w:t>3</w:t>
            </w:r>
          </w:p>
        </w:tc>
        <w:tc>
          <w:tcPr>
            <w:tcW w:w="1525" w:type="dxa"/>
            <w:tcBorders>
              <w:top w:val="nil"/>
              <w:left w:val="nil"/>
              <w:bottom w:val="nil"/>
              <w:right w:val="nil"/>
            </w:tcBorders>
            <w:shd w:val="clear" w:color="auto" w:fill="auto"/>
            <w:noWrap/>
            <w:vAlign w:val="center"/>
            <w:hideMark/>
          </w:tcPr>
          <w:p w14:paraId="56302555" w14:textId="77777777" w:rsidR="0063307A" w:rsidRPr="0058653F" w:rsidRDefault="0063307A" w:rsidP="00B73CE3">
            <w:pPr>
              <w:spacing w:line="276" w:lineRule="auto"/>
              <w:ind w:right="326"/>
              <w:jc w:val="right"/>
              <w:rPr>
                <w:rFonts w:ascii="Arial" w:hAnsi="Arial" w:cs="Arial"/>
                <w:sz w:val="19"/>
                <w:szCs w:val="19"/>
              </w:rPr>
            </w:pPr>
            <w:r w:rsidRPr="007D42A5">
              <w:rPr>
                <w:rFonts w:ascii="Arial" w:hAnsi="Arial" w:cs="Arial"/>
                <w:sz w:val="20"/>
                <w:szCs w:val="20"/>
              </w:rPr>
              <w:t>9</w:t>
            </w:r>
            <w:r>
              <w:rPr>
                <w:rFonts w:ascii="Arial" w:hAnsi="Arial" w:cs="Arial"/>
                <w:sz w:val="20"/>
                <w:szCs w:val="20"/>
              </w:rPr>
              <w:t>.</w:t>
            </w:r>
            <w:r w:rsidRPr="007D42A5">
              <w:rPr>
                <w:rFonts w:ascii="Arial" w:hAnsi="Arial" w:cs="Arial"/>
                <w:sz w:val="20"/>
                <w:szCs w:val="20"/>
              </w:rPr>
              <w:t>3</w:t>
            </w:r>
          </w:p>
        </w:tc>
      </w:tr>
      <w:tr w:rsidR="0063307A" w:rsidRPr="0058653F" w14:paraId="1F12CBFF" w14:textId="77777777" w:rsidTr="00B73CE3">
        <w:trPr>
          <w:cantSplit/>
          <w:trHeight w:val="340"/>
          <w:jc w:val="center"/>
        </w:trPr>
        <w:tc>
          <w:tcPr>
            <w:tcW w:w="2355" w:type="dxa"/>
            <w:tcBorders>
              <w:top w:val="nil"/>
              <w:left w:val="nil"/>
              <w:bottom w:val="nil"/>
              <w:right w:val="nil"/>
            </w:tcBorders>
            <w:shd w:val="clear" w:color="auto" w:fill="auto"/>
            <w:noWrap/>
            <w:vAlign w:val="center"/>
            <w:hideMark/>
          </w:tcPr>
          <w:p w14:paraId="145F924A" w14:textId="77777777" w:rsidR="0063307A" w:rsidRPr="0058653F" w:rsidRDefault="0063307A" w:rsidP="00B73CE3">
            <w:pPr>
              <w:spacing w:before="120" w:after="60" w:line="276" w:lineRule="auto"/>
              <w:ind w:firstLine="318"/>
              <w:rPr>
                <w:rFonts w:ascii="Arial" w:hAnsi="Arial" w:cs="Arial"/>
                <w:sz w:val="20"/>
                <w:szCs w:val="20"/>
                <w:lang w:eastAsia="vi-VN"/>
              </w:rPr>
            </w:pPr>
            <w:r w:rsidRPr="0058653F">
              <w:rPr>
                <w:rFonts w:ascii="Arial" w:hAnsi="Arial" w:cs="Arial"/>
                <w:sz w:val="20"/>
                <w:szCs w:val="20"/>
                <w:lang w:eastAsia="vi-VN"/>
              </w:rPr>
              <w:t>Inland water way</w:t>
            </w:r>
          </w:p>
        </w:tc>
        <w:tc>
          <w:tcPr>
            <w:tcW w:w="1767" w:type="dxa"/>
            <w:tcBorders>
              <w:top w:val="nil"/>
              <w:left w:val="nil"/>
              <w:bottom w:val="nil"/>
              <w:right w:val="nil"/>
            </w:tcBorders>
            <w:shd w:val="clear" w:color="auto" w:fill="auto"/>
            <w:noWrap/>
            <w:vAlign w:val="center"/>
            <w:hideMark/>
          </w:tcPr>
          <w:p w14:paraId="317BEFA2" w14:textId="77777777" w:rsidR="0063307A" w:rsidRPr="0058653F" w:rsidRDefault="0063307A" w:rsidP="00B73CE3">
            <w:pPr>
              <w:spacing w:line="276" w:lineRule="auto"/>
              <w:ind w:right="507"/>
              <w:jc w:val="right"/>
              <w:rPr>
                <w:rFonts w:ascii="Arial" w:hAnsi="Arial" w:cs="Arial"/>
                <w:sz w:val="19"/>
                <w:szCs w:val="19"/>
              </w:rPr>
            </w:pPr>
            <w:r w:rsidRPr="007D42A5">
              <w:rPr>
                <w:rFonts w:ascii="Arial" w:hAnsi="Arial" w:cs="Arial"/>
                <w:bCs/>
                <w:sz w:val="20"/>
                <w:szCs w:val="20"/>
              </w:rPr>
              <w:t>394</w:t>
            </w:r>
            <w:r>
              <w:rPr>
                <w:rFonts w:ascii="Arial" w:hAnsi="Arial" w:cs="Arial"/>
                <w:bCs/>
                <w:sz w:val="20"/>
                <w:szCs w:val="20"/>
              </w:rPr>
              <w:t>.</w:t>
            </w:r>
            <w:r w:rsidRPr="007D42A5">
              <w:rPr>
                <w:rFonts w:ascii="Arial" w:hAnsi="Arial" w:cs="Arial"/>
                <w:bCs/>
                <w:sz w:val="20"/>
                <w:szCs w:val="20"/>
              </w:rPr>
              <w:t>9</w:t>
            </w:r>
          </w:p>
        </w:tc>
        <w:tc>
          <w:tcPr>
            <w:tcW w:w="1638" w:type="dxa"/>
            <w:tcBorders>
              <w:top w:val="nil"/>
              <w:left w:val="nil"/>
              <w:bottom w:val="nil"/>
              <w:right w:val="nil"/>
            </w:tcBorders>
            <w:shd w:val="clear" w:color="auto" w:fill="auto"/>
            <w:noWrap/>
            <w:vAlign w:val="center"/>
            <w:hideMark/>
          </w:tcPr>
          <w:p w14:paraId="7AA4F004" w14:textId="77777777" w:rsidR="0063307A" w:rsidRPr="0058653F" w:rsidRDefault="0063307A" w:rsidP="00B73CE3">
            <w:pPr>
              <w:spacing w:line="276" w:lineRule="auto"/>
              <w:ind w:right="507"/>
              <w:jc w:val="right"/>
              <w:rPr>
                <w:rFonts w:ascii="Arial" w:hAnsi="Arial" w:cs="Arial"/>
                <w:sz w:val="19"/>
                <w:szCs w:val="19"/>
              </w:rPr>
            </w:pPr>
            <w:r w:rsidRPr="007D42A5">
              <w:rPr>
                <w:rFonts w:ascii="Arial" w:hAnsi="Arial" w:cs="Arial"/>
                <w:bCs/>
                <w:sz w:val="20"/>
                <w:szCs w:val="20"/>
              </w:rPr>
              <w:t>87</w:t>
            </w:r>
            <w:r>
              <w:rPr>
                <w:rFonts w:ascii="Arial" w:hAnsi="Arial" w:cs="Arial"/>
                <w:bCs/>
                <w:sz w:val="20"/>
                <w:szCs w:val="20"/>
              </w:rPr>
              <w:t>.</w:t>
            </w:r>
            <w:r w:rsidRPr="007D42A5">
              <w:rPr>
                <w:rFonts w:ascii="Arial" w:hAnsi="Arial" w:cs="Arial"/>
                <w:bCs/>
                <w:sz w:val="20"/>
                <w:szCs w:val="20"/>
              </w:rPr>
              <w:t>9</w:t>
            </w:r>
          </w:p>
        </w:tc>
        <w:tc>
          <w:tcPr>
            <w:tcW w:w="1499" w:type="dxa"/>
            <w:tcBorders>
              <w:top w:val="nil"/>
              <w:left w:val="nil"/>
              <w:bottom w:val="nil"/>
              <w:right w:val="nil"/>
            </w:tcBorders>
            <w:shd w:val="clear" w:color="auto" w:fill="auto"/>
            <w:noWrap/>
            <w:vAlign w:val="center"/>
            <w:hideMark/>
          </w:tcPr>
          <w:p w14:paraId="2498C550" w14:textId="77777777" w:rsidR="0063307A" w:rsidRPr="0058653F" w:rsidRDefault="0063307A" w:rsidP="00B73CE3">
            <w:pPr>
              <w:spacing w:line="276" w:lineRule="auto"/>
              <w:ind w:right="326"/>
              <w:jc w:val="right"/>
              <w:rPr>
                <w:rFonts w:ascii="Arial" w:hAnsi="Arial" w:cs="Arial"/>
                <w:sz w:val="19"/>
                <w:szCs w:val="19"/>
              </w:rPr>
            </w:pPr>
            <w:r w:rsidRPr="007D42A5">
              <w:rPr>
                <w:rFonts w:ascii="Arial" w:hAnsi="Arial" w:cs="Arial"/>
                <w:sz w:val="20"/>
                <w:szCs w:val="20"/>
              </w:rPr>
              <w:t>19</w:t>
            </w:r>
            <w:r>
              <w:rPr>
                <w:rFonts w:ascii="Arial" w:hAnsi="Arial" w:cs="Arial"/>
                <w:sz w:val="20"/>
                <w:szCs w:val="20"/>
              </w:rPr>
              <w:t>.</w:t>
            </w:r>
            <w:r w:rsidRPr="007D42A5">
              <w:rPr>
                <w:rFonts w:ascii="Arial" w:hAnsi="Arial" w:cs="Arial"/>
                <w:sz w:val="20"/>
                <w:szCs w:val="20"/>
              </w:rPr>
              <w:t>8</w:t>
            </w:r>
          </w:p>
        </w:tc>
        <w:tc>
          <w:tcPr>
            <w:tcW w:w="1525" w:type="dxa"/>
            <w:tcBorders>
              <w:top w:val="nil"/>
              <w:left w:val="nil"/>
              <w:bottom w:val="nil"/>
              <w:right w:val="nil"/>
            </w:tcBorders>
            <w:shd w:val="clear" w:color="auto" w:fill="auto"/>
            <w:noWrap/>
            <w:vAlign w:val="center"/>
            <w:hideMark/>
          </w:tcPr>
          <w:p w14:paraId="13D64B48" w14:textId="77777777" w:rsidR="0063307A" w:rsidRPr="0058653F" w:rsidRDefault="0063307A" w:rsidP="00B73CE3">
            <w:pPr>
              <w:spacing w:line="276" w:lineRule="auto"/>
              <w:ind w:right="326"/>
              <w:jc w:val="right"/>
              <w:rPr>
                <w:rFonts w:ascii="Arial" w:hAnsi="Arial" w:cs="Arial"/>
                <w:sz w:val="19"/>
                <w:szCs w:val="19"/>
              </w:rPr>
            </w:pPr>
            <w:r w:rsidRPr="007D42A5">
              <w:rPr>
                <w:rFonts w:ascii="Arial" w:hAnsi="Arial" w:cs="Arial"/>
                <w:sz w:val="20"/>
                <w:szCs w:val="20"/>
              </w:rPr>
              <w:t>15</w:t>
            </w:r>
            <w:r>
              <w:rPr>
                <w:rFonts w:ascii="Arial" w:hAnsi="Arial" w:cs="Arial"/>
                <w:sz w:val="20"/>
                <w:szCs w:val="20"/>
              </w:rPr>
              <w:t>.</w:t>
            </w:r>
            <w:r w:rsidRPr="007D42A5">
              <w:rPr>
                <w:rFonts w:ascii="Arial" w:hAnsi="Arial" w:cs="Arial"/>
                <w:sz w:val="20"/>
                <w:szCs w:val="20"/>
              </w:rPr>
              <w:t>6</w:t>
            </w:r>
          </w:p>
        </w:tc>
      </w:tr>
      <w:tr w:rsidR="0063307A" w:rsidRPr="0058653F" w14:paraId="15B2F3CF" w14:textId="77777777" w:rsidTr="00B73CE3">
        <w:trPr>
          <w:cantSplit/>
          <w:trHeight w:val="340"/>
          <w:jc w:val="center"/>
        </w:trPr>
        <w:tc>
          <w:tcPr>
            <w:tcW w:w="2355" w:type="dxa"/>
            <w:tcBorders>
              <w:top w:val="nil"/>
              <w:left w:val="nil"/>
              <w:right w:val="nil"/>
            </w:tcBorders>
            <w:shd w:val="clear" w:color="auto" w:fill="auto"/>
            <w:noWrap/>
            <w:vAlign w:val="center"/>
            <w:hideMark/>
          </w:tcPr>
          <w:p w14:paraId="2F28AA03" w14:textId="77777777" w:rsidR="0063307A" w:rsidRPr="0058653F" w:rsidRDefault="0063307A" w:rsidP="00B73CE3">
            <w:pPr>
              <w:spacing w:before="120" w:after="60" w:line="276" w:lineRule="auto"/>
              <w:ind w:firstLine="318"/>
              <w:rPr>
                <w:rFonts w:ascii="Arial" w:hAnsi="Arial" w:cs="Arial"/>
                <w:sz w:val="20"/>
                <w:szCs w:val="20"/>
                <w:lang w:eastAsia="vi-VN"/>
              </w:rPr>
            </w:pPr>
            <w:r w:rsidRPr="0058653F">
              <w:rPr>
                <w:rFonts w:ascii="Arial" w:hAnsi="Arial" w:cs="Arial"/>
                <w:sz w:val="20"/>
                <w:szCs w:val="20"/>
                <w:lang w:eastAsia="vi-VN"/>
              </w:rPr>
              <w:t>Road</w:t>
            </w:r>
          </w:p>
        </w:tc>
        <w:tc>
          <w:tcPr>
            <w:tcW w:w="1767" w:type="dxa"/>
            <w:tcBorders>
              <w:top w:val="nil"/>
              <w:left w:val="nil"/>
              <w:bottom w:val="nil"/>
              <w:right w:val="nil"/>
            </w:tcBorders>
            <w:shd w:val="clear" w:color="auto" w:fill="auto"/>
            <w:noWrap/>
            <w:vAlign w:val="center"/>
            <w:hideMark/>
          </w:tcPr>
          <w:p w14:paraId="460F0DA8" w14:textId="77777777" w:rsidR="0063307A" w:rsidRPr="0058653F" w:rsidRDefault="0063307A" w:rsidP="00B73CE3">
            <w:pPr>
              <w:spacing w:line="276" w:lineRule="auto"/>
              <w:ind w:right="507"/>
              <w:jc w:val="right"/>
              <w:rPr>
                <w:rFonts w:ascii="Arial" w:hAnsi="Arial" w:cs="Arial"/>
                <w:sz w:val="19"/>
                <w:szCs w:val="19"/>
              </w:rPr>
            </w:pPr>
            <w:r w:rsidRPr="007D42A5">
              <w:rPr>
                <w:rFonts w:ascii="Arial" w:hAnsi="Arial" w:cs="Arial"/>
                <w:bCs/>
                <w:sz w:val="20"/>
                <w:szCs w:val="20"/>
              </w:rPr>
              <w:t>1</w:t>
            </w:r>
            <w:r>
              <w:rPr>
                <w:rFonts w:ascii="Arial" w:hAnsi="Arial" w:cs="Arial"/>
                <w:bCs/>
                <w:sz w:val="20"/>
                <w:szCs w:val="20"/>
              </w:rPr>
              <w:t>,</w:t>
            </w:r>
            <w:r w:rsidRPr="007D42A5">
              <w:rPr>
                <w:rFonts w:ascii="Arial" w:hAnsi="Arial" w:cs="Arial"/>
                <w:bCs/>
                <w:sz w:val="20"/>
                <w:szCs w:val="20"/>
              </w:rPr>
              <w:t>390</w:t>
            </w:r>
            <w:r>
              <w:rPr>
                <w:rFonts w:ascii="Arial" w:hAnsi="Arial" w:cs="Arial"/>
                <w:bCs/>
                <w:sz w:val="20"/>
                <w:szCs w:val="20"/>
              </w:rPr>
              <w:t>.</w:t>
            </w:r>
            <w:r w:rsidRPr="007D42A5">
              <w:rPr>
                <w:rFonts w:ascii="Arial" w:hAnsi="Arial" w:cs="Arial"/>
                <w:bCs/>
                <w:sz w:val="20"/>
                <w:szCs w:val="20"/>
              </w:rPr>
              <w:t>6</w:t>
            </w:r>
          </w:p>
        </w:tc>
        <w:tc>
          <w:tcPr>
            <w:tcW w:w="1638" w:type="dxa"/>
            <w:tcBorders>
              <w:top w:val="nil"/>
              <w:left w:val="nil"/>
              <w:bottom w:val="nil"/>
              <w:right w:val="nil"/>
            </w:tcBorders>
            <w:shd w:val="clear" w:color="auto" w:fill="auto"/>
            <w:noWrap/>
            <w:vAlign w:val="center"/>
            <w:hideMark/>
          </w:tcPr>
          <w:p w14:paraId="4A8BB455" w14:textId="77777777" w:rsidR="0063307A" w:rsidRPr="0058653F" w:rsidRDefault="0063307A" w:rsidP="00B73CE3">
            <w:pPr>
              <w:spacing w:line="276" w:lineRule="auto"/>
              <w:ind w:right="507"/>
              <w:jc w:val="right"/>
              <w:rPr>
                <w:rFonts w:ascii="Arial" w:hAnsi="Arial" w:cs="Arial"/>
                <w:sz w:val="19"/>
                <w:szCs w:val="19"/>
              </w:rPr>
            </w:pPr>
            <w:r w:rsidRPr="007D42A5">
              <w:rPr>
                <w:rFonts w:ascii="Arial" w:hAnsi="Arial" w:cs="Arial"/>
                <w:bCs/>
                <w:sz w:val="20"/>
                <w:szCs w:val="20"/>
              </w:rPr>
              <w:t>92</w:t>
            </w:r>
            <w:r>
              <w:rPr>
                <w:rFonts w:ascii="Arial" w:hAnsi="Arial" w:cs="Arial"/>
                <w:bCs/>
                <w:sz w:val="20"/>
                <w:szCs w:val="20"/>
              </w:rPr>
              <w:t>.</w:t>
            </w:r>
            <w:r w:rsidRPr="007D42A5">
              <w:rPr>
                <w:rFonts w:ascii="Arial" w:hAnsi="Arial" w:cs="Arial"/>
                <w:bCs/>
                <w:sz w:val="20"/>
                <w:szCs w:val="20"/>
              </w:rPr>
              <w:t>6</w:t>
            </w:r>
          </w:p>
        </w:tc>
        <w:tc>
          <w:tcPr>
            <w:tcW w:w="1499" w:type="dxa"/>
            <w:tcBorders>
              <w:top w:val="nil"/>
              <w:left w:val="nil"/>
              <w:bottom w:val="nil"/>
              <w:right w:val="nil"/>
            </w:tcBorders>
            <w:shd w:val="clear" w:color="auto" w:fill="auto"/>
            <w:noWrap/>
            <w:vAlign w:val="center"/>
            <w:hideMark/>
          </w:tcPr>
          <w:p w14:paraId="6C91F399" w14:textId="77777777" w:rsidR="0063307A" w:rsidRPr="0058653F" w:rsidRDefault="0063307A" w:rsidP="00B73CE3">
            <w:pPr>
              <w:spacing w:line="276" w:lineRule="auto"/>
              <w:ind w:right="326"/>
              <w:jc w:val="right"/>
              <w:rPr>
                <w:rFonts w:ascii="Arial" w:hAnsi="Arial" w:cs="Arial"/>
                <w:sz w:val="19"/>
                <w:szCs w:val="19"/>
              </w:rPr>
            </w:pPr>
            <w:r w:rsidRPr="007D42A5">
              <w:rPr>
                <w:rFonts w:ascii="Arial" w:hAnsi="Arial" w:cs="Arial"/>
                <w:sz w:val="20"/>
                <w:szCs w:val="20"/>
              </w:rPr>
              <w:t>13</w:t>
            </w:r>
            <w:r>
              <w:rPr>
                <w:rFonts w:ascii="Arial" w:hAnsi="Arial" w:cs="Arial"/>
                <w:sz w:val="20"/>
                <w:szCs w:val="20"/>
              </w:rPr>
              <w:t>.</w:t>
            </w:r>
            <w:r w:rsidRPr="007D42A5">
              <w:rPr>
                <w:rFonts w:ascii="Arial" w:hAnsi="Arial" w:cs="Arial"/>
                <w:sz w:val="20"/>
                <w:szCs w:val="20"/>
              </w:rPr>
              <w:t>3</w:t>
            </w:r>
          </w:p>
        </w:tc>
        <w:tc>
          <w:tcPr>
            <w:tcW w:w="1525" w:type="dxa"/>
            <w:tcBorders>
              <w:top w:val="nil"/>
              <w:left w:val="nil"/>
              <w:bottom w:val="nil"/>
              <w:right w:val="nil"/>
            </w:tcBorders>
            <w:shd w:val="clear" w:color="auto" w:fill="auto"/>
            <w:noWrap/>
            <w:vAlign w:val="center"/>
            <w:hideMark/>
          </w:tcPr>
          <w:p w14:paraId="363B22CD" w14:textId="77777777" w:rsidR="0063307A" w:rsidRPr="0058653F" w:rsidRDefault="0063307A" w:rsidP="00B73CE3">
            <w:pPr>
              <w:spacing w:line="276" w:lineRule="auto"/>
              <w:ind w:right="326"/>
              <w:jc w:val="right"/>
              <w:rPr>
                <w:rFonts w:ascii="Arial" w:hAnsi="Arial" w:cs="Arial"/>
                <w:sz w:val="19"/>
                <w:szCs w:val="19"/>
              </w:rPr>
            </w:pPr>
            <w:r w:rsidRPr="007D42A5">
              <w:rPr>
                <w:rFonts w:ascii="Arial" w:hAnsi="Arial" w:cs="Arial"/>
                <w:sz w:val="20"/>
                <w:szCs w:val="20"/>
              </w:rPr>
              <w:t>12</w:t>
            </w:r>
            <w:r>
              <w:rPr>
                <w:rFonts w:ascii="Arial" w:hAnsi="Arial" w:cs="Arial"/>
                <w:sz w:val="20"/>
                <w:szCs w:val="20"/>
              </w:rPr>
              <w:t>.</w:t>
            </w:r>
            <w:r w:rsidRPr="007D42A5">
              <w:rPr>
                <w:rFonts w:ascii="Arial" w:hAnsi="Arial" w:cs="Arial"/>
                <w:sz w:val="20"/>
                <w:szCs w:val="20"/>
              </w:rPr>
              <w:t>2</w:t>
            </w:r>
          </w:p>
        </w:tc>
      </w:tr>
      <w:tr w:rsidR="0063307A" w:rsidRPr="0058653F" w14:paraId="43F82B81" w14:textId="77777777" w:rsidTr="00B73CE3">
        <w:trPr>
          <w:cantSplit/>
          <w:trHeight w:val="340"/>
          <w:jc w:val="center"/>
        </w:trPr>
        <w:tc>
          <w:tcPr>
            <w:tcW w:w="2355" w:type="dxa"/>
            <w:tcBorders>
              <w:top w:val="nil"/>
              <w:left w:val="nil"/>
              <w:bottom w:val="single" w:sz="4" w:space="0" w:color="auto"/>
              <w:right w:val="nil"/>
            </w:tcBorders>
            <w:shd w:val="clear" w:color="auto" w:fill="auto"/>
            <w:noWrap/>
            <w:vAlign w:val="center"/>
            <w:hideMark/>
          </w:tcPr>
          <w:p w14:paraId="0D3FFDCE" w14:textId="77777777" w:rsidR="0063307A" w:rsidRPr="0058653F" w:rsidRDefault="0063307A" w:rsidP="00B73CE3">
            <w:pPr>
              <w:spacing w:before="120" w:after="60" w:line="276" w:lineRule="auto"/>
              <w:ind w:firstLine="318"/>
              <w:rPr>
                <w:rFonts w:ascii="Arial" w:hAnsi="Arial" w:cs="Arial"/>
                <w:sz w:val="20"/>
                <w:szCs w:val="20"/>
                <w:lang w:eastAsia="vi-VN"/>
              </w:rPr>
            </w:pPr>
            <w:r w:rsidRPr="0058653F">
              <w:rPr>
                <w:rFonts w:ascii="Arial" w:hAnsi="Arial" w:cs="Arial"/>
                <w:sz w:val="20"/>
                <w:szCs w:val="20"/>
                <w:lang w:eastAsia="vi-VN"/>
              </w:rPr>
              <w:t xml:space="preserve">Airway </w:t>
            </w:r>
          </w:p>
        </w:tc>
        <w:tc>
          <w:tcPr>
            <w:tcW w:w="1767" w:type="dxa"/>
            <w:tcBorders>
              <w:top w:val="nil"/>
              <w:left w:val="nil"/>
              <w:bottom w:val="single" w:sz="4" w:space="0" w:color="auto"/>
              <w:right w:val="nil"/>
            </w:tcBorders>
            <w:shd w:val="clear" w:color="auto" w:fill="auto"/>
            <w:noWrap/>
            <w:vAlign w:val="center"/>
            <w:hideMark/>
          </w:tcPr>
          <w:p w14:paraId="6AF884C0" w14:textId="77777777" w:rsidR="0063307A" w:rsidRPr="0058653F" w:rsidRDefault="0063307A" w:rsidP="00B73CE3">
            <w:pPr>
              <w:spacing w:line="276" w:lineRule="auto"/>
              <w:ind w:right="507"/>
              <w:jc w:val="right"/>
              <w:rPr>
                <w:rFonts w:ascii="Arial" w:hAnsi="Arial" w:cs="Arial"/>
                <w:sz w:val="19"/>
                <w:szCs w:val="19"/>
              </w:rPr>
            </w:pPr>
            <w:r w:rsidRPr="007D42A5">
              <w:rPr>
                <w:rFonts w:ascii="Arial" w:hAnsi="Arial" w:cs="Arial"/>
                <w:bCs/>
                <w:sz w:val="20"/>
                <w:szCs w:val="20"/>
              </w:rPr>
              <w:t>0</w:t>
            </w:r>
            <w:r>
              <w:rPr>
                <w:rFonts w:ascii="Arial" w:hAnsi="Arial" w:cs="Arial"/>
                <w:bCs/>
                <w:sz w:val="20"/>
                <w:szCs w:val="20"/>
              </w:rPr>
              <w:t>.</w:t>
            </w:r>
            <w:r w:rsidRPr="007D42A5">
              <w:rPr>
                <w:rFonts w:ascii="Arial" w:hAnsi="Arial" w:cs="Arial"/>
                <w:bCs/>
                <w:sz w:val="20"/>
                <w:szCs w:val="20"/>
              </w:rPr>
              <w:t>3</w:t>
            </w:r>
          </w:p>
        </w:tc>
        <w:tc>
          <w:tcPr>
            <w:tcW w:w="1638" w:type="dxa"/>
            <w:tcBorders>
              <w:top w:val="nil"/>
              <w:left w:val="nil"/>
              <w:bottom w:val="single" w:sz="4" w:space="0" w:color="auto"/>
              <w:right w:val="nil"/>
            </w:tcBorders>
            <w:shd w:val="clear" w:color="auto" w:fill="auto"/>
            <w:noWrap/>
            <w:vAlign w:val="center"/>
            <w:hideMark/>
          </w:tcPr>
          <w:p w14:paraId="5B09AD70" w14:textId="77777777" w:rsidR="0063307A" w:rsidRPr="0058653F" w:rsidRDefault="0063307A" w:rsidP="00B73CE3">
            <w:pPr>
              <w:spacing w:line="276" w:lineRule="auto"/>
              <w:ind w:right="507"/>
              <w:jc w:val="right"/>
              <w:rPr>
                <w:rFonts w:ascii="Arial" w:hAnsi="Arial" w:cs="Arial"/>
                <w:sz w:val="19"/>
                <w:szCs w:val="19"/>
              </w:rPr>
            </w:pPr>
            <w:r w:rsidRPr="007D42A5">
              <w:rPr>
                <w:rFonts w:ascii="Arial" w:hAnsi="Arial" w:cs="Arial"/>
                <w:bCs/>
                <w:sz w:val="20"/>
                <w:szCs w:val="20"/>
              </w:rPr>
              <w:t>7</w:t>
            </w:r>
            <w:r>
              <w:rPr>
                <w:rFonts w:ascii="Arial" w:hAnsi="Arial" w:cs="Arial"/>
                <w:bCs/>
                <w:sz w:val="20"/>
                <w:szCs w:val="20"/>
              </w:rPr>
              <w:t>.</w:t>
            </w:r>
            <w:r w:rsidRPr="007D42A5">
              <w:rPr>
                <w:rFonts w:ascii="Arial" w:hAnsi="Arial" w:cs="Arial"/>
                <w:bCs/>
                <w:sz w:val="20"/>
                <w:szCs w:val="20"/>
              </w:rPr>
              <w:t>0</w:t>
            </w:r>
          </w:p>
        </w:tc>
        <w:tc>
          <w:tcPr>
            <w:tcW w:w="1499" w:type="dxa"/>
            <w:tcBorders>
              <w:top w:val="nil"/>
              <w:left w:val="nil"/>
              <w:bottom w:val="single" w:sz="4" w:space="0" w:color="auto"/>
              <w:right w:val="nil"/>
            </w:tcBorders>
            <w:shd w:val="clear" w:color="auto" w:fill="auto"/>
            <w:noWrap/>
            <w:vAlign w:val="center"/>
            <w:hideMark/>
          </w:tcPr>
          <w:p w14:paraId="1D4F8CEA" w14:textId="77777777" w:rsidR="0063307A" w:rsidRPr="0058653F" w:rsidRDefault="0063307A" w:rsidP="00B73CE3">
            <w:pPr>
              <w:spacing w:line="276" w:lineRule="auto"/>
              <w:ind w:right="326"/>
              <w:jc w:val="right"/>
              <w:rPr>
                <w:rFonts w:ascii="Arial" w:hAnsi="Arial" w:cs="Arial"/>
                <w:sz w:val="19"/>
                <w:szCs w:val="19"/>
              </w:rPr>
            </w:pPr>
            <w:r w:rsidRPr="007D42A5">
              <w:rPr>
                <w:rFonts w:ascii="Arial" w:hAnsi="Arial" w:cs="Arial"/>
                <w:sz w:val="20"/>
                <w:szCs w:val="20"/>
              </w:rPr>
              <w:t>9</w:t>
            </w:r>
            <w:r>
              <w:rPr>
                <w:rFonts w:ascii="Arial" w:hAnsi="Arial" w:cs="Arial"/>
                <w:sz w:val="20"/>
                <w:szCs w:val="20"/>
              </w:rPr>
              <w:t>.</w:t>
            </w:r>
            <w:r w:rsidRPr="007D42A5">
              <w:rPr>
                <w:rFonts w:ascii="Arial" w:hAnsi="Arial" w:cs="Arial"/>
                <w:sz w:val="20"/>
                <w:szCs w:val="20"/>
              </w:rPr>
              <w:t>9</w:t>
            </w:r>
          </w:p>
        </w:tc>
        <w:tc>
          <w:tcPr>
            <w:tcW w:w="1525" w:type="dxa"/>
            <w:tcBorders>
              <w:top w:val="nil"/>
              <w:left w:val="nil"/>
              <w:bottom w:val="single" w:sz="4" w:space="0" w:color="auto"/>
              <w:right w:val="nil"/>
            </w:tcBorders>
            <w:shd w:val="clear" w:color="auto" w:fill="auto"/>
            <w:noWrap/>
            <w:vAlign w:val="center"/>
            <w:hideMark/>
          </w:tcPr>
          <w:p w14:paraId="0FDD9DB7" w14:textId="77777777" w:rsidR="0063307A" w:rsidRPr="0058653F" w:rsidRDefault="0063307A" w:rsidP="00B73CE3">
            <w:pPr>
              <w:spacing w:line="276" w:lineRule="auto"/>
              <w:ind w:right="326"/>
              <w:jc w:val="right"/>
              <w:rPr>
                <w:rFonts w:ascii="Arial" w:hAnsi="Arial" w:cs="Arial"/>
                <w:sz w:val="19"/>
                <w:szCs w:val="19"/>
              </w:rPr>
            </w:pPr>
            <w:r w:rsidRPr="007D42A5">
              <w:rPr>
                <w:rFonts w:ascii="Arial" w:hAnsi="Arial" w:cs="Arial"/>
                <w:sz w:val="20"/>
                <w:szCs w:val="20"/>
              </w:rPr>
              <w:t>43</w:t>
            </w:r>
            <w:r>
              <w:rPr>
                <w:rFonts w:ascii="Arial" w:hAnsi="Arial" w:cs="Arial"/>
                <w:sz w:val="20"/>
                <w:szCs w:val="20"/>
              </w:rPr>
              <w:t>.</w:t>
            </w:r>
            <w:r w:rsidRPr="007D42A5">
              <w:rPr>
                <w:rFonts w:ascii="Arial" w:hAnsi="Arial" w:cs="Arial"/>
                <w:sz w:val="20"/>
                <w:szCs w:val="20"/>
              </w:rPr>
              <w:t>1</w:t>
            </w:r>
          </w:p>
        </w:tc>
      </w:tr>
    </w:tbl>
    <w:p w14:paraId="22A9CC48" w14:textId="77777777" w:rsidR="0063307A" w:rsidRPr="0058653F" w:rsidRDefault="0063307A" w:rsidP="0063307A">
      <w:pPr>
        <w:spacing w:after="120" w:line="276" w:lineRule="auto"/>
        <w:jc w:val="center"/>
        <w:rPr>
          <w:rFonts w:ascii="Arial" w:hAnsi="Arial" w:cs="Arial"/>
          <w:b/>
          <w:bCs/>
          <w:sz w:val="2"/>
          <w:szCs w:val="24"/>
          <w:lang w:val="fr-FR"/>
        </w:rPr>
      </w:pPr>
    </w:p>
    <w:p w14:paraId="670EA685" w14:textId="77777777" w:rsidR="0063307A" w:rsidRPr="0058653F" w:rsidRDefault="0063307A" w:rsidP="0063307A">
      <w:pPr>
        <w:pStyle w:val="NormalWeb"/>
        <w:shd w:val="clear" w:color="auto" w:fill="FFFFFF"/>
        <w:tabs>
          <w:tab w:val="left" w:pos="6540"/>
        </w:tabs>
        <w:spacing w:before="0" w:beforeAutospacing="0" w:after="0" w:afterAutospacing="0" w:line="276" w:lineRule="auto"/>
        <w:rPr>
          <w:b/>
          <w:bCs/>
          <w:sz w:val="2"/>
          <w:szCs w:val="28"/>
          <w:lang w:val="pt-BR"/>
        </w:rPr>
      </w:pPr>
    </w:p>
    <w:p w14:paraId="38171748" w14:textId="77777777" w:rsidR="0063307A" w:rsidRPr="0058653F" w:rsidRDefault="0063307A" w:rsidP="0063307A">
      <w:pPr>
        <w:spacing w:after="120" w:line="276" w:lineRule="auto"/>
        <w:jc w:val="center"/>
        <w:rPr>
          <w:rFonts w:ascii="Arial" w:hAnsi="Arial" w:cs="Arial"/>
          <w:b/>
          <w:bCs/>
          <w:sz w:val="2"/>
          <w:szCs w:val="24"/>
          <w:lang w:val="fr-FR"/>
        </w:rPr>
      </w:pPr>
    </w:p>
    <w:p w14:paraId="68E4EC43" w14:textId="77777777" w:rsidR="0063307A" w:rsidRPr="0058653F" w:rsidRDefault="0063307A" w:rsidP="0063307A">
      <w:pPr>
        <w:pStyle w:val="NormalWeb"/>
        <w:shd w:val="clear" w:color="auto" w:fill="FFFFFF"/>
        <w:tabs>
          <w:tab w:val="left" w:pos="6540"/>
        </w:tabs>
        <w:spacing w:before="0" w:beforeAutospacing="0" w:after="0" w:afterAutospacing="0" w:line="276" w:lineRule="auto"/>
        <w:rPr>
          <w:b/>
          <w:bCs/>
          <w:sz w:val="2"/>
          <w:szCs w:val="28"/>
          <w:lang w:val="pt-BR"/>
        </w:rPr>
      </w:pPr>
    </w:p>
    <w:p w14:paraId="3148AEA4" w14:textId="77777777" w:rsidR="0063307A" w:rsidRPr="0058653F" w:rsidRDefault="0063307A" w:rsidP="0063307A">
      <w:pPr>
        <w:spacing w:after="40" w:line="276" w:lineRule="auto"/>
        <w:ind w:firstLine="567"/>
        <w:jc w:val="both"/>
        <w:rPr>
          <w:b/>
          <w:bCs/>
          <w:i/>
        </w:rPr>
      </w:pPr>
      <w:r w:rsidRPr="0058653F">
        <w:rPr>
          <w:b/>
          <w:bCs/>
          <w:i/>
          <w:iCs/>
          <w:lang w:val="pt-BR"/>
        </w:rPr>
        <w:t xml:space="preserve">đ) </w:t>
      </w:r>
      <w:r w:rsidRPr="0058653F">
        <w:rPr>
          <w:rFonts w:ascii="Times New Roman Bold Italic" w:hAnsi="Times New Roman Bold Italic"/>
          <w:b/>
          <w:i/>
          <w:iCs/>
          <w:lang w:val="fr-FR"/>
        </w:rPr>
        <w:t>International visitors to Viet Nam</w:t>
      </w:r>
      <w:r w:rsidRPr="0058653F">
        <w:rPr>
          <w:rStyle w:val="FootnoteReference"/>
          <w:rFonts w:ascii="Times New Roman Bold Italic" w:eastAsiaTheme="majorEastAsia" w:hAnsi="Times New Roman Bold Italic"/>
          <w:b/>
          <w:i/>
          <w:iCs/>
        </w:rPr>
        <w:footnoteReference w:id="26"/>
      </w:r>
    </w:p>
    <w:p w14:paraId="4C609D6C" w14:textId="77777777" w:rsidR="0063307A" w:rsidRPr="0058653F" w:rsidRDefault="0063307A" w:rsidP="0063307A">
      <w:pPr>
        <w:shd w:val="clear" w:color="auto" w:fill="FFFFFF"/>
        <w:spacing w:before="120" w:after="120" w:line="276" w:lineRule="auto"/>
        <w:ind w:firstLine="567"/>
        <w:jc w:val="both"/>
        <w:rPr>
          <w:i/>
          <w:iCs/>
          <w:lang w:val="fr-FR"/>
        </w:rPr>
      </w:pPr>
      <w:r w:rsidRPr="0058653F">
        <w:rPr>
          <w:i/>
          <w:iCs/>
          <w:lang w:val="fr-FR"/>
        </w:rPr>
        <w:t>International visitors to Viet Nam</w:t>
      </w:r>
      <w:r w:rsidRPr="0058653F">
        <w:rPr>
          <w:rStyle w:val="FootnoteReference"/>
          <w:rFonts w:eastAsiaTheme="majorEastAsia"/>
          <w:i/>
          <w:iCs/>
        </w:rPr>
        <w:footnoteReference w:id="27"/>
      </w:r>
      <w:r w:rsidRPr="0058653F">
        <w:rPr>
          <w:i/>
          <w:iCs/>
          <w:lang w:val="fr-FR"/>
        </w:rPr>
        <w:t xml:space="preserve"> in </w:t>
      </w:r>
      <w:r>
        <w:rPr>
          <w:i/>
          <w:iCs/>
          <w:lang w:val="fr-FR"/>
        </w:rPr>
        <w:t>October</w:t>
      </w:r>
      <w:r w:rsidRPr="0058653F">
        <w:rPr>
          <w:i/>
          <w:iCs/>
          <w:lang w:val="fr-FR"/>
        </w:rPr>
        <w:t xml:space="preserve"> reached over 1.</w:t>
      </w:r>
      <w:r>
        <w:rPr>
          <w:i/>
          <w:iCs/>
          <w:lang w:val="fr-FR"/>
        </w:rPr>
        <w:t>1</w:t>
      </w:r>
      <w:r w:rsidRPr="0058653F">
        <w:rPr>
          <w:i/>
          <w:iCs/>
          <w:lang w:val="fr-FR"/>
        </w:rPr>
        <w:t xml:space="preserve"> million arrivals, </w:t>
      </w:r>
      <w:bookmarkStart w:id="15" w:name="_Hlk149633857"/>
      <w:r w:rsidRPr="0058653F">
        <w:rPr>
          <w:i/>
          <w:iCs/>
          <w:lang w:val="fr-FR"/>
        </w:rPr>
        <w:t xml:space="preserve">up </w:t>
      </w:r>
      <w:r>
        <w:rPr>
          <w:i/>
          <w:iCs/>
          <w:lang w:val="fr-FR"/>
        </w:rPr>
        <w:t>5</w:t>
      </w:r>
      <w:r w:rsidRPr="0058653F">
        <w:rPr>
          <w:i/>
          <w:iCs/>
          <w:lang w:val="fr-FR"/>
        </w:rPr>
        <w:t>.</w:t>
      </w:r>
      <w:r>
        <w:rPr>
          <w:i/>
          <w:iCs/>
          <w:lang w:val="fr-FR"/>
        </w:rPr>
        <w:t>5</w:t>
      </w:r>
      <w:r w:rsidRPr="0058653F">
        <w:rPr>
          <w:i/>
          <w:iCs/>
          <w:lang w:val="fr-FR"/>
        </w:rPr>
        <w:t xml:space="preserve"> </w:t>
      </w:r>
      <w:bookmarkEnd w:id="15"/>
      <w:r w:rsidRPr="0058653F">
        <w:rPr>
          <w:i/>
          <w:iCs/>
          <w:lang w:val="fr-FR"/>
        </w:rPr>
        <w:t xml:space="preserve">% compared to the previous month and </w:t>
      </w:r>
      <w:bookmarkStart w:id="16" w:name="_Hlk149633866"/>
      <w:r w:rsidRPr="0058653F">
        <w:rPr>
          <w:i/>
          <w:iCs/>
          <w:lang w:val="fr-FR"/>
        </w:rPr>
        <w:t>2.</w:t>
      </w:r>
      <w:r>
        <w:rPr>
          <w:i/>
          <w:iCs/>
          <w:lang w:val="fr-FR"/>
        </w:rPr>
        <w:t>3</w:t>
      </w:r>
      <w:r w:rsidRPr="0058653F">
        <w:rPr>
          <w:i/>
          <w:iCs/>
          <w:lang w:val="fr-FR"/>
        </w:rPr>
        <w:t xml:space="preserve"> </w:t>
      </w:r>
      <w:bookmarkEnd w:id="16"/>
      <w:r w:rsidRPr="0058653F">
        <w:rPr>
          <w:i/>
          <w:iCs/>
          <w:lang w:val="fr-FR"/>
        </w:rPr>
        <w:t xml:space="preserve">times higher than the same period last year. In </w:t>
      </w:r>
      <w:r>
        <w:rPr>
          <w:i/>
          <w:iCs/>
          <w:lang w:val="fr-FR"/>
        </w:rPr>
        <w:t>10</w:t>
      </w:r>
      <w:r w:rsidRPr="0058653F">
        <w:rPr>
          <w:i/>
          <w:iCs/>
          <w:lang w:val="fr-FR"/>
        </w:rPr>
        <w:t xml:space="preserve"> months of 2023, international visitors to our country reached</w:t>
      </w:r>
      <w:r>
        <w:rPr>
          <w:i/>
          <w:iCs/>
          <w:lang w:val="fr-FR"/>
        </w:rPr>
        <w:t xml:space="preserve"> </w:t>
      </w:r>
      <w:bookmarkStart w:id="17" w:name="_Hlk149633887"/>
      <w:r>
        <w:rPr>
          <w:i/>
          <w:iCs/>
          <w:lang w:val="fr-FR"/>
        </w:rPr>
        <w:t>nearly</w:t>
      </w:r>
      <w:r w:rsidRPr="0058653F">
        <w:rPr>
          <w:i/>
          <w:iCs/>
          <w:lang w:val="fr-FR"/>
        </w:rPr>
        <w:t xml:space="preserve"> </w:t>
      </w:r>
      <w:r>
        <w:rPr>
          <w:i/>
          <w:iCs/>
          <w:lang w:val="fr-FR"/>
        </w:rPr>
        <w:t>10</w:t>
      </w:r>
      <w:r w:rsidRPr="0058653F">
        <w:rPr>
          <w:i/>
          <w:iCs/>
          <w:lang w:val="fr-FR"/>
        </w:rPr>
        <w:t xml:space="preserve"> million arrivals</w:t>
      </w:r>
      <w:bookmarkEnd w:id="17"/>
      <w:r w:rsidRPr="0058653F">
        <w:rPr>
          <w:i/>
          <w:iCs/>
          <w:lang w:val="fr-FR"/>
        </w:rPr>
        <w:t xml:space="preserve">, </w:t>
      </w:r>
      <w:bookmarkStart w:id="18" w:name="_Hlk149633896"/>
      <w:r>
        <w:rPr>
          <w:i/>
          <w:iCs/>
          <w:lang w:val="fr-FR"/>
        </w:rPr>
        <w:t>4</w:t>
      </w:r>
      <w:r w:rsidRPr="0058653F">
        <w:rPr>
          <w:i/>
          <w:iCs/>
          <w:lang w:val="fr-FR"/>
        </w:rPr>
        <w:t>.</w:t>
      </w:r>
      <w:r>
        <w:rPr>
          <w:i/>
          <w:iCs/>
          <w:lang w:val="fr-FR"/>
        </w:rPr>
        <w:t>2</w:t>
      </w:r>
      <w:bookmarkEnd w:id="18"/>
      <w:r w:rsidRPr="0058653F">
        <w:rPr>
          <w:i/>
          <w:iCs/>
          <w:lang w:val="fr-FR"/>
        </w:rPr>
        <w:t xml:space="preserve"> times higher than the same period last year but still equal to 69% compared to the same period in 2019 - the year without the Covid-19.</w:t>
      </w:r>
    </w:p>
    <w:p w14:paraId="31841BE4" w14:textId="77777777" w:rsidR="0063307A" w:rsidRPr="0058653F" w:rsidRDefault="0063307A" w:rsidP="0063307A">
      <w:pPr>
        <w:shd w:val="clear" w:color="auto" w:fill="FFFFFF"/>
        <w:spacing w:before="120" w:after="120" w:line="276" w:lineRule="auto"/>
        <w:ind w:firstLine="567"/>
        <w:jc w:val="both"/>
        <w:rPr>
          <w:lang w:val="fr-FR"/>
        </w:rPr>
      </w:pPr>
      <w:r w:rsidRPr="0058653F">
        <w:rPr>
          <w:lang w:val="fr-FR"/>
        </w:rPr>
        <w:t>Out of a total of</w:t>
      </w:r>
      <w:r>
        <w:rPr>
          <w:lang w:val="fr-FR"/>
        </w:rPr>
        <w:t xml:space="preserve"> 10</w:t>
      </w:r>
      <w:r w:rsidRPr="0058653F">
        <w:rPr>
          <w:lang w:val="fr-FR"/>
        </w:rPr>
        <w:t xml:space="preserve"> million international arrivals to Viet Nam in </w:t>
      </w:r>
      <w:r>
        <w:rPr>
          <w:lang w:val="fr-FR"/>
        </w:rPr>
        <w:t>10</w:t>
      </w:r>
      <w:r w:rsidRPr="0058653F">
        <w:rPr>
          <w:lang w:val="fr-FR"/>
        </w:rPr>
        <w:t xml:space="preserve"> months of this year, arrivals by air</w:t>
      </w:r>
      <w:r>
        <w:rPr>
          <w:lang w:val="fr-FR"/>
        </w:rPr>
        <w:t xml:space="preserve"> haven’t</w:t>
      </w:r>
      <w:r w:rsidRPr="0058653F">
        <w:rPr>
          <w:lang w:val="fr-FR"/>
        </w:rPr>
        <w:t xml:space="preserve"> reached</w:t>
      </w:r>
      <w:r>
        <w:rPr>
          <w:lang w:val="fr-FR"/>
        </w:rPr>
        <w:t xml:space="preserve"> more than</w:t>
      </w:r>
      <w:r w:rsidRPr="0058653F">
        <w:rPr>
          <w:lang w:val="fr-FR"/>
        </w:rPr>
        <w:t xml:space="preserve"> </w:t>
      </w:r>
      <w:r>
        <w:rPr>
          <w:lang w:val="fr-FR"/>
        </w:rPr>
        <w:t>8</w:t>
      </w:r>
      <w:r w:rsidRPr="0058653F">
        <w:rPr>
          <w:lang w:val="fr-FR"/>
        </w:rPr>
        <w:t>.</w:t>
      </w:r>
      <w:r>
        <w:rPr>
          <w:lang w:val="fr-FR"/>
        </w:rPr>
        <w:t>7</w:t>
      </w:r>
      <w:r w:rsidRPr="0058653F">
        <w:rPr>
          <w:lang w:val="fr-FR"/>
        </w:rPr>
        <w:t xml:space="preserve"> million arrivals, accounting for 87.</w:t>
      </w:r>
      <w:r>
        <w:rPr>
          <w:lang w:val="fr-FR"/>
        </w:rPr>
        <w:t>5</w:t>
      </w:r>
      <w:r w:rsidRPr="0058653F">
        <w:rPr>
          <w:lang w:val="fr-FR"/>
        </w:rPr>
        <w:t xml:space="preserve">% of international arrivals to Viet Nam and </w:t>
      </w:r>
      <w:r>
        <w:rPr>
          <w:lang w:val="fr-FR"/>
        </w:rPr>
        <w:t>4</w:t>
      </w:r>
      <w:r w:rsidRPr="0058653F">
        <w:rPr>
          <w:lang w:val="fr-FR"/>
        </w:rPr>
        <w:t>.</w:t>
      </w:r>
      <w:r>
        <w:rPr>
          <w:lang w:val="fr-FR"/>
        </w:rPr>
        <w:t>2</w:t>
      </w:r>
      <w:r w:rsidRPr="0058653F">
        <w:rPr>
          <w:lang w:val="fr-FR"/>
        </w:rPr>
        <w:t xml:space="preserve"> times higher than the same period last year; by road reached</w:t>
      </w:r>
      <w:r>
        <w:rPr>
          <w:lang w:val="fr-FR"/>
        </w:rPr>
        <w:t xml:space="preserve"> nearly 1.2</w:t>
      </w:r>
      <w:r w:rsidRPr="0058653F">
        <w:rPr>
          <w:bCs/>
          <w:lang w:val="pt-BR" w:eastAsia="en-GB"/>
        </w:rPr>
        <w:t xml:space="preserve"> </w:t>
      </w:r>
      <w:r>
        <w:rPr>
          <w:lang w:val="fr-FR"/>
        </w:rPr>
        <w:t>million</w:t>
      </w:r>
      <w:r w:rsidRPr="0058653F">
        <w:rPr>
          <w:lang w:val="fr-FR"/>
        </w:rPr>
        <w:t xml:space="preserve"> arrivals, accounting for 11.</w:t>
      </w:r>
      <w:r>
        <w:rPr>
          <w:lang w:val="fr-FR"/>
        </w:rPr>
        <w:t>8</w:t>
      </w:r>
      <w:r w:rsidRPr="0058653F">
        <w:rPr>
          <w:lang w:val="fr-FR"/>
        </w:rPr>
        <w:t xml:space="preserve">% and </w:t>
      </w:r>
      <w:r>
        <w:rPr>
          <w:lang w:val="fr-FR"/>
        </w:rPr>
        <w:t>4.5</w:t>
      </w:r>
      <w:r w:rsidRPr="0058653F">
        <w:rPr>
          <w:lang w:val="fr-FR"/>
        </w:rPr>
        <w:t xml:space="preserve"> times higher; by sea reached </w:t>
      </w:r>
      <w:r>
        <w:rPr>
          <w:bCs/>
          <w:lang w:val="pt-BR" w:eastAsia="en-GB"/>
        </w:rPr>
        <w:t>69.5</w:t>
      </w:r>
      <w:r w:rsidRPr="0058653F">
        <w:rPr>
          <w:bCs/>
          <w:lang w:val="pt-BR" w:eastAsia="en-GB"/>
        </w:rPr>
        <w:t xml:space="preserve"> </w:t>
      </w:r>
      <w:r w:rsidRPr="0058653F">
        <w:rPr>
          <w:lang w:val="fr-FR"/>
        </w:rPr>
        <w:t>thousand arrivals, accounting for 0.</w:t>
      </w:r>
      <w:r>
        <w:rPr>
          <w:lang w:val="fr-FR"/>
        </w:rPr>
        <w:t>7</w:t>
      </w:r>
      <w:r w:rsidRPr="0058653F">
        <w:rPr>
          <w:lang w:val="fr-FR"/>
        </w:rPr>
        <w:t xml:space="preserve">% and </w:t>
      </w:r>
      <w:r>
        <w:rPr>
          <w:bCs/>
          <w:lang w:val="pt-BR" w:eastAsia="en-GB"/>
        </w:rPr>
        <w:t>93.2</w:t>
      </w:r>
      <w:r w:rsidRPr="0058653F">
        <w:rPr>
          <w:bCs/>
          <w:lang w:val="pt-BR" w:eastAsia="en-GB"/>
        </w:rPr>
        <w:t xml:space="preserve"> </w:t>
      </w:r>
      <w:r w:rsidRPr="0058653F">
        <w:rPr>
          <w:lang w:val="fr-FR"/>
        </w:rPr>
        <w:t>times higher.</w:t>
      </w:r>
    </w:p>
    <w:p w14:paraId="342EC3A2" w14:textId="77777777" w:rsidR="0063307A" w:rsidRPr="0058653F" w:rsidRDefault="0063307A" w:rsidP="0063307A">
      <w:pPr>
        <w:shd w:val="clear" w:color="auto" w:fill="FFFFFF"/>
        <w:spacing w:before="120" w:after="120" w:line="276" w:lineRule="auto"/>
        <w:jc w:val="center"/>
        <w:rPr>
          <w:b/>
          <w:color w:val="000000" w:themeColor="text1"/>
          <w:lang w:val="fr-FR"/>
        </w:rPr>
      </w:pPr>
      <w:r w:rsidRPr="0058653F">
        <w:rPr>
          <w:b/>
          <w:color w:val="000000" w:themeColor="text1"/>
          <w:lang w:val="fr-FR"/>
        </w:rPr>
        <w:t>Figure 17. International visitors to Viet Nam</w:t>
      </w:r>
      <w:r>
        <w:rPr>
          <w:b/>
          <w:color w:val="000000" w:themeColor="text1"/>
          <w:lang w:val="fr-FR"/>
        </w:rPr>
        <w:br/>
      </w:r>
      <w:r w:rsidRPr="0058653F">
        <w:rPr>
          <w:b/>
          <w:color w:val="000000" w:themeColor="text1"/>
          <w:lang w:val="fr-FR"/>
        </w:rPr>
        <w:t xml:space="preserve">in </w:t>
      </w:r>
      <w:r>
        <w:rPr>
          <w:b/>
          <w:color w:val="000000" w:themeColor="text1"/>
          <w:lang w:val="fr-FR"/>
        </w:rPr>
        <w:t>10</w:t>
      </w:r>
      <w:r w:rsidRPr="0058653F">
        <w:rPr>
          <w:b/>
          <w:color w:val="000000" w:themeColor="text1"/>
          <w:lang w:val="fr-FR"/>
        </w:rPr>
        <w:t xml:space="preserve"> months of 2023</w:t>
      </w:r>
      <w:r>
        <w:rPr>
          <w:b/>
          <w:color w:val="000000" w:themeColor="text1"/>
          <w:lang w:val="fr-FR"/>
        </w:rPr>
        <w:t xml:space="preserve"> </w:t>
      </w:r>
      <w:r w:rsidRPr="0058653F">
        <w:rPr>
          <w:b/>
          <w:color w:val="000000" w:themeColor="text1"/>
          <w:lang w:val="fr-FR"/>
        </w:rPr>
        <w:t>by territories</w:t>
      </w:r>
    </w:p>
    <w:p w14:paraId="58D78C3B" w14:textId="77777777" w:rsidR="00E87438" w:rsidRPr="00BB4D40" w:rsidRDefault="00E87438" w:rsidP="00E87438">
      <w:pPr>
        <w:spacing w:beforeLines="40" w:before="96" w:afterLines="40" w:after="96" w:line="264" w:lineRule="auto"/>
        <w:ind w:firstLine="567"/>
        <w:jc w:val="both"/>
        <w:rPr>
          <w:bCs/>
          <w:i/>
          <w:lang w:val="it-IT"/>
        </w:rPr>
      </w:pPr>
      <w:r w:rsidRPr="00BB4D40">
        <w:rPr>
          <w:b/>
          <w:bCs/>
          <w:i/>
          <w:iCs/>
          <w:lang w:val="nl-NL"/>
        </w:rPr>
        <w:t xml:space="preserve">d) </w:t>
      </w:r>
      <w:r w:rsidRPr="00870842">
        <w:rPr>
          <w:b/>
          <w:bCs/>
          <w:i/>
          <w:iCs/>
        </w:rPr>
        <w:t>Transport</w:t>
      </w:r>
      <w:r w:rsidRPr="00BB4D40">
        <w:rPr>
          <w:bCs/>
          <w:i/>
          <w:lang w:val="it-IT"/>
        </w:rPr>
        <w:t xml:space="preserve"> </w:t>
      </w:r>
    </w:p>
    <w:p w14:paraId="602BA3AD" w14:textId="77777777" w:rsidR="00E87438" w:rsidRPr="008A7BD1" w:rsidRDefault="00E87438" w:rsidP="00E87438">
      <w:pPr>
        <w:spacing w:beforeLines="40" w:before="96" w:afterLines="40" w:after="96" w:line="264" w:lineRule="auto"/>
        <w:ind w:firstLine="567"/>
        <w:jc w:val="both"/>
        <w:rPr>
          <w:rFonts w:ascii="Times New Roman Italic" w:eastAsiaTheme="minorHAnsi" w:hAnsi="Times New Roman Italic"/>
          <w:bCs/>
          <w:i/>
          <w:kern w:val="2"/>
          <w:lang w:val="it-IT"/>
          <w14:ligatures w14:val="standardContextual"/>
        </w:rPr>
      </w:pPr>
      <w:r w:rsidRPr="00CA76DA">
        <w:rPr>
          <w:rFonts w:ascii="Times New Roman Italic" w:eastAsiaTheme="minorHAnsi" w:hAnsi="Times New Roman Italic"/>
          <w:bCs/>
          <w:i/>
          <w:kern w:val="2"/>
          <w:lang w:val="it-IT"/>
          <w14:ligatures w14:val="standardContextual"/>
        </w:rPr>
        <w:t>Transportation activities in October maintained high growth, meeting people's travel needs and transporting goods for production, domestic consumption and export.</w:t>
      </w:r>
      <w:r>
        <w:rPr>
          <w:rFonts w:ascii="Times New Roman Italic" w:eastAsiaTheme="minorHAnsi" w:hAnsi="Times New Roman Italic"/>
          <w:bCs/>
          <w:i/>
          <w:kern w:val="2"/>
          <w:lang w:val="it-IT"/>
          <w14:ligatures w14:val="standardContextual"/>
        </w:rPr>
        <w:t xml:space="preserve"> C</w:t>
      </w:r>
      <w:r w:rsidRPr="008A7BD1">
        <w:rPr>
          <w:rFonts w:ascii="Times New Roman Italic" w:eastAsiaTheme="minorHAnsi" w:hAnsi="Times New Roman Italic"/>
          <w:bCs/>
          <w:i/>
          <w:kern w:val="2"/>
          <w:lang w:val="it-IT"/>
          <w14:ligatures w14:val="standardContextual"/>
        </w:rPr>
        <w:t>ompared to the same period last year</w:t>
      </w:r>
      <w:r>
        <w:rPr>
          <w:rFonts w:ascii="Times New Roman Italic" w:eastAsiaTheme="minorHAnsi" w:hAnsi="Times New Roman Italic"/>
          <w:bCs/>
          <w:i/>
          <w:kern w:val="2"/>
          <w:lang w:val="it-IT"/>
          <w14:ligatures w14:val="standardContextual"/>
        </w:rPr>
        <w:t xml:space="preserve">, </w:t>
      </w:r>
      <w:r w:rsidRPr="008A7BD1">
        <w:rPr>
          <w:rFonts w:ascii="Times New Roman Italic" w:eastAsiaTheme="minorHAnsi" w:hAnsi="Times New Roman Italic"/>
          <w:bCs/>
          <w:i/>
          <w:kern w:val="2"/>
          <w:lang w:val="it-IT"/>
          <w14:ligatures w14:val="standardContextual"/>
        </w:rPr>
        <w:t xml:space="preserve">passenger transport increased by </w:t>
      </w:r>
      <w:r>
        <w:rPr>
          <w:rFonts w:ascii="Times New Roman Italic" w:eastAsiaTheme="minorHAnsi" w:hAnsi="Times New Roman Italic"/>
          <w:bCs/>
          <w:i/>
          <w:kern w:val="2"/>
          <w:lang w:val="it-IT"/>
          <w14:ligatures w14:val="standardContextual"/>
        </w:rPr>
        <w:t>8.8</w:t>
      </w:r>
      <w:r w:rsidRPr="008A7BD1">
        <w:rPr>
          <w:rFonts w:ascii="Times New Roman Italic" w:eastAsiaTheme="minorHAnsi" w:hAnsi="Times New Roman Italic"/>
          <w:bCs/>
          <w:i/>
          <w:kern w:val="2"/>
          <w:lang w:val="it-IT"/>
          <w14:ligatures w14:val="standardContextual"/>
        </w:rPr>
        <w:t xml:space="preserve">% of passenger carried and increased by </w:t>
      </w:r>
      <w:r>
        <w:rPr>
          <w:rFonts w:ascii="Times New Roman Italic" w:eastAsiaTheme="minorHAnsi" w:hAnsi="Times New Roman Italic"/>
          <w:bCs/>
          <w:i/>
          <w:kern w:val="2"/>
          <w:lang w:val="it-IT"/>
          <w14:ligatures w14:val="standardContextual"/>
        </w:rPr>
        <w:t>8.5</w:t>
      </w:r>
      <w:r w:rsidRPr="008A7BD1">
        <w:rPr>
          <w:rFonts w:ascii="Times New Roman Italic" w:eastAsiaTheme="minorHAnsi" w:hAnsi="Times New Roman Italic"/>
          <w:bCs/>
          <w:i/>
          <w:kern w:val="2"/>
          <w:lang w:val="it-IT"/>
          <w14:ligatures w14:val="standardContextual"/>
        </w:rPr>
        <w:t>% of  passenger traffic; freight transport increased by 13.2% of  freight carried and up 10.</w:t>
      </w:r>
      <w:r>
        <w:rPr>
          <w:rFonts w:ascii="Times New Roman Italic" w:eastAsiaTheme="minorHAnsi" w:hAnsi="Times New Roman Italic"/>
          <w:bCs/>
          <w:i/>
          <w:kern w:val="2"/>
          <w:lang w:val="it-IT"/>
          <w14:ligatures w14:val="standardContextual"/>
        </w:rPr>
        <w:t>2</w:t>
      </w:r>
      <w:r w:rsidRPr="008A7BD1">
        <w:rPr>
          <w:rFonts w:ascii="Times New Roman Italic" w:eastAsiaTheme="minorHAnsi" w:hAnsi="Times New Roman Italic"/>
          <w:bCs/>
          <w:i/>
          <w:kern w:val="2"/>
          <w:lang w:val="it-IT"/>
          <w14:ligatures w14:val="standardContextual"/>
        </w:rPr>
        <w:t>% of freight traffic.</w:t>
      </w:r>
    </w:p>
    <w:p w14:paraId="05330170" w14:textId="77777777" w:rsidR="00E87438" w:rsidRPr="008A7BD1" w:rsidRDefault="00E87438" w:rsidP="00E87438">
      <w:pPr>
        <w:spacing w:beforeLines="40" w:before="96" w:afterLines="40" w:after="96" w:line="264" w:lineRule="auto"/>
        <w:ind w:firstLine="567"/>
        <w:jc w:val="both"/>
        <w:rPr>
          <w:rFonts w:ascii="Times New Roman Italic" w:eastAsiaTheme="minorHAnsi" w:hAnsi="Times New Roman Italic"/>
          <w:bCs/>
          <w:i/>
          <w:kern w:val="2"/>
          <w:lang w:val="it-IT"/>
          <w14:ligatures w14:val="standardContextual"/>
        </w:rPr>
      </w:pPr>
      <w:r w:rsidRPr="008A7BD1">
        <w:rPr>
          <w:rFonts w:ascii="Times New Roman Italic" w:eastAsiaTheme="minorHAnsi" w:hAnsi="Times New Roman Italic"/>
          <w:bCs/>
          <w:i/>
          <w:kern w:val="2"/>
          <w:lang w:val="it-IT"/>
          <w14:ligatures w14:val="standardContextual"/>
        </w:rPr>
        <w:t xml:space="preserve">Overall, in </w:t>
      </w:r>
      <w:r>
        <w:rPr>
          <w:rFonts w:ascii="Times New Roman Italic" w:eastAsiaTheme="minorHAnsi" w:hAnsi="Times New Roman Italic"/>
          <w:bCs/>
          <w:i/>
          <w:kern w:val="2"/>
          <w:lang w:val="it-IT"/>
          <w14:ligatures w14:val="standardContextual"/>
        </w:rPr>
        <w:t>ten months</w:t>
      </w:r>
      <w:r w:rsidRPr="008A7BD1">
        <w:rPr>
          <w:rFonts w:ascii="Times New Roman Italic" w:eastAsiaTheme="minorHAnsi" w:hAnsi="Times New Roman Italic"/>
          <w:bCs/>
          <w:i/>
          <w:kern w:val="2"/>
          <w:lang w:val="it-IT"/>
          <w14:ligatures w14:val="standardContextual"/>
        </w:rPr>
        <w:t xml:space="preserve"> of 2024, passenger carried increased by </w:t>
      </w:r>
      <w:r>
        <w:rPr>
          <w:rFonts w:ascii="Times New Roman Italic" w:eastAsiaTheme="minorHAnsi" w:hAnsi="Times New Roman Italic"/>
          <w:bCs/>
          <w:i/>
          <w:kern w:val="2"/>
          <w:lang w:val="it-IT"/>
          <w14:ligatures w14:val="standardContextual"/>
        </w:rPr>
        <w:t>8.1</w:t>
      </w:r>
      <w:r w:rsidRPr="008A7BD1">
        <w:rPr>
          <w:rFonts w:ascii="Times New Roman Italic" w:eastAsiaTheme="minorHAnsi" w:hAnsi="Times New Roman Italic"/>
          <w:bCs/>
          <w:i/>
          <w:kern w:val="2"/>
          <w:lang w:val="it-IT"/>
          <w14:ligatures w14:val="standardContextual"/>
        </w:rPr>
        <w:t xml:space="preserve">% and passenger traffic up </w:t>
      </w:r>
      <w:r>
        <w:rPr>
          <w:rFonts w:ascii="Times New Roman Italic" w:eastAsiaTheme="minorHAnsi" w:hAnsi="Times New Roman Italic"/>
          <w:bCs/>
          <w:i/>
          <w:kern w:val="2"/>
          <w:lang w:val="it-IT"/>
          <w14:ligatures w14:val="standardContextual"/>
        </w:rPr>
        <w:t>11.6</w:t>
      </w:r>
      <w:r w:rsidRPr="008A7BD1">
        <w:rPr>
          <w:rFonts w:ascii="Times New Roman Italic" w:eastAsiaTheme="minorHAnsi" w:hAnsi="Times New Roman Italic"/>
          <w:bCs/>
          <w:i/>
          <w:kern w:val="2"/>
          <w:lang w:val="it-IT"/>
          <w14:ligatures w14:val="standardContextual"/>
        </w:rPr>
        <w:t xml:space="preserve">% over the same period last year; freight carried increased by </w:t>
      </w:r>
      <w:r>
        <w:rPr>
          <w:rFonts w:ascii="Times New Roman Italic" w:eastAsiaTheme="minorHAnsi" w:hAnsi="Times New Roman Italic"/>
          <w:bCs/>
          <w:i/>
          <w:kern w:val="2"/>
          <w:lang w:val="it-IT"/>
          <w14:ligatures w14:val="standardContextual"/>
        </w:rPr>
        <w:t>14.3</w:t>
      </w:r>
      <w:r w:rsidRPr="008A7BD1">
        <w:rPr>
          <w:rFonts w:ascii="Times New Roman Italic" w:eastAsiaTheme="minorHAnsi" w:hAnsi="Times New Roman Italic"/>
          <w:bCs/>
          <w:i/>
          <w:kern w:val="2"/>
          <w:lang w:val="it-IT"/>
          <w14:ligatures w14:val="standardContextual"/>
        </w:rPr>
        <w:t>% and freight traffic up 11.</w:t>
      </w:r>
      <w:r>
        <w:rPr>
          <w:rFonts w:ascii="Times New Roman Italic" w:eastAsiaTheme="minorHAnsi" w:hAnsi="Times New Roman Italic"/>
          <w:bCs/>
          <w:i/>
          <w:kern w:val="2"/>
          <w:lang w:val="it-IT"/>
          <w14:ligatures w14:val="standardContextual"/>
        </w:rPr>
        <w:t>0</w:t>
      </w:r>
      <w:r w:rsidRPr="008A7BD1">
        <w:rPr>
          <w:rFonts w:ascii="Times New Roman Italic" w:eastAsiaTheme="minorHAnsi" w:hAnsi="Times New Roman Italic"/>
          <w:bCs/>
          <w:i/>
          <w:kern w:val="2"/>
          <w:lang w:val="it-IT"/>
          <w14:ligatures w14:val="standardContextual"/>
        </w:rPr>
        <w:t xml:space="preserve">%. </w:t>
      </w:r>
    </w:p>
    <w:p w14:paraId="10CAD425" w14:textId="77777777" w:rsidR="00E87438" w:rsidRPr="00BB4D40" w:rsidRDefault="00E87438" w:rsidP="00E87438">
      <w:pPr>
        <w:tabs>
          <w:tab w:val="left" w:pos="567"/>
        </w:tabs>
        <w:spacing w:beforeLines="40" w:before="96" w:afterLines="40" w:after="96" w:line="276" w:lineRule="auto"/>
        <w:ind w:firstLine="567"/>
        <w:jc w:val="both"/>
        <w:rPr>
          <w:lang w:val="pl-PL"/>
        </w:rPr>
      </w:pPr>
      <w:r w:rsidRPr="00BB4D40">
        <w:rPr>
          <w:i/>
          <w:lang w:val="pl-PL"/>
        </w:rPr>
        <w:t>Passenger transport</w:t>
      </w:r>
      <w:r w:rsidRPr="00BB4D40">
        <w:rPr>
          <w:lang w:val="pl-PL"/>
        </w:rPr>
        <w:t xml:space="preserve"> in </w:t>
      </w:r>
      <w:r>
        <w:rPr>
          <w:lang w:val="pl-PL"/>
        </w:rPr>
        <w:t>10/2024</w:t>
      </w:r>
      <w:r w:rsidRPr="00BB4D40">
        <w:rPr>
          <w:lang w:val="pl-PL"/>
        </w:rPr>
        <w:t xml:space="preserve"> was estimated at </w:t>
      </w:r>
      <w:r>
        <w:rPr>
          <w:lang w:val="nl-NL"/>
        </w:rPr>
        <w:t>457.9</w:t>
      </w:r>
      <w:r w:rsidRPr="00BB4D40">
        <w:rPr>
          <w:lang w:val="nl-NL"/>
        </w:rPr>
        <w:t xml:space="preserve"> </w:t>
      </w:r>
      <w:r w:rsidRPr="00BB4D40">
        <w:rPr>
          <w:lang w:val="pl-PL"/>
        </w:rPr>
        <w:t xml:space="preserve">million passengers, </w:t>
      </w:r>
      <w:r>
        <w:rPr>
          <w:lang w:val="pl-PL"/>
        </w:rPr>
        <w:t>in</w:t>
      </w:r>
      <w:r w:rsidRPr="00BB4D40">
        <w:rPr>
          <w:lang w:val="pl-PL"/>
        </w:rPr>
        <w:t xml:space="preserve">creased by </w:t>
      </w:r>
      <w:r>
        <w:rPr>
          <w:lang w:val="pl-PL"/>
        </w:rPr>
        <w:t>0.9</w:t>
      </w:r>
      <w:r w:rsidRPr="00BB4D40">
        <w:rPr>
          <w:lang w:val="pl-PL"/>
        </w:rPr>
        <w:t xml:space="preserve">% and passenger traffic was </w:t>
      </w:r>
      <w:r>
        <w:rPr>
          <w:lang w:val="nl-NL"/>
        </w:rPr>
        <w:t>23.0</w:t>
      </w:r>
      <w:r w:rsidRPr="00BB4D40">
        <w:rPr>
          <w:lang w:val="nl-NL"/>
        </w:rPr>
        <w:t xml:space="preserve"> </w:t>
      </w:r>
      <w:r w:rsidRPr="00BB4D40">
        <w:rPr>
          <w:lang w:val="pl-PL"/>
        </w:rPr>
        <w:t xml:space="preserve">billion passengers-kilometers, </w:t>
      </w:r>
      <w:r>
        <w:rPr>
          <w:lang w:val="pl-PL"/>
        </w:rPr>
        <w:t>in</w:t>
      </w:r>
      <w:r w:rsidRPr="00BB4D40">
        <w:rPr>
          <w:lang w:val="pl-PL"/>
        </w:rPr>
        <w:t xml:space="preserve">creased by </w:t>
      </w:r>
      <w:r>
        <w:rPr>
          <w:lang w:val="pl-PL"/>
        </w:rPr>
        <w:t>1.6</w:t>
      </w:r>
      <w:r w:rsidRPr="00BB4D40">
        <w:rPr>
          <w:lang w:val="pl-PL"/>
        </w:rPr>
        <w:t>%</w:t>
      </w:r>
      <w:r w:rsidRPr="001E5CAE">
        <w:rPr>
          <w:lang w:val="pl-PL"/>
        </w:rPr>
        <w:t xml:space="preserve"> </w:t>
      </w:r>
      <w:r w:rsidRPr="00BB4D40">
        <w:rPr>
          <w:lang w:val="pl-PL"/>
        </w:rPr>
        <w:t xml:space="preserve">over the previous month. </w:t>
      </w:r>
      <w:r>
        <w:rPr>
          <w:lang w:val="pl-PL"/>
        </w:rPr>
        <w:t>In ten months of 2024</w:t>
      </w:r>
      <w:r w:rsidRPr="00BB4D40">
        <w:rPr>
          <w:lang w:val="pl-PL"/>
        </w:rPr>
        <w:t xml:space="preserve">, passenger carried was estimated at </w:t>
      </w:r>
      <w:r>
        <w:rPr>
          <w:lang w:val="nl-NL"/>
        </w:rPr>
        <w:t>4,136.6</w:t>
      </w:r>
      <w:r w:rsidRPr="00BB4D40">
        <w:rPr>
          <w:lang w:val="nl-NL"/>
        </w:rPr>
        <w:t xml:space="preserve"> </w:t>
      </w:r>
      <w:r w:rsidRPr="00BB4D40">
        <w:rPr>
          <w:lang w:val="pl-PL"/>
        </w:rPr>
        <w:t xml:space="preserve">million passengers, up </w:t>
      </w:r>
      <w:r>
        <w:rPr>
          <w:lang w:val="nl-NL"/>
        </w:rPr>
        <w:t>8.1</w:t>
      </w:r>
      <w:r w:rsidRPr="00BB4D40">
        <w:rPr>
          <w:lang w:val="pl-PL"/>
        </w:rPr>
        <w:t xml:space="preserve">% over the same period </w:t>
      </w:r>
      <w:r w:rsidRPr="00BB4D40">
        <w:rPr>
          <w:lang w:val="pl-PL"/>
        </w:rPr>
        <w:lastRenderedPageBreak/>
        <w:t xml:space="preserve">last year and passenger traffic was </w:t>
      </w:r>
      <w:r>
        <w:rPr>
          <w:lang w:val="nl-NL"/>
        </w:rPr>
        <w:t>227.0</w:t>
      </w:r>
      <w:r w:rsidRPr="00BB4D40">
        <w:rPr>
          <w:lang w:val="nl-NL"/>
        </w:rPr>
        <w:t xml:space="preserve"> </w:t>
      </w:r>
      <w:r w:rsidRPr="00BB4D40">
        <w:rPr>
          <w:lang w:val="pl-PL"/>
        </w:rPr>
        <w:t xml:space="preserve">billion passengers.km, increased by </w:t>
      </w:r>
      <w:r>
        <w:rPr>
          <w:lang w:val="nl-NL"/>
        </w:rPr>
        <w:t>11.6</w:t>
      </w:r>
      <w:r w:rsidRPr="00BB4D40">
        <w:rPr>
          <w:lang w:val="pl-PL"/>
        </w:rPr>
        <w:t xml:space="preserve">%. Of which, domestic transport reached </w:t>
      </w:r>
      <w:r>
        <w:rPr>
          <w:lang w:val="pl-PL"/>
        </w:rPr>
        <w:t>4,122.0</w:t>
      </w:r>
      <w:r w:rsidRPr="00BB4D40">
        <w:rPr>
          <w:lang w:val="nl-NL"/>
        </w:rPr>
        <w:t xml:space="preserve"> </w:t>
      </w:r>
      <w:r w:rsidRPr="00BB4D40">
        <w:rPr>
          <w:lang w:val="pl-PL"/>
        </w:rPr>
        <w:t xml:space="preserve">million passengers, up </w:t>
      </w:r>
      <w:r>
        <w:rPr>
          <w:lang w:val="nl-NL"/>
        </w:rPr>
        <w:t>8.1</w:t>
      </w:r>
      <w:r w:rsidRPr="00BB4D40">
        <w:rPr>
          <w:lang w:val="pl-PL"/>
        </w:rPr>
        <w:t xml:space="preserve">% over the same period last year and </w:t>
      </w:r>
      <w:r>
        <w:rPr>
          <w:lang w:val="nl-NL"/>
        </w:rPr>
        <w:t>179.9</w:t>
      </w:r>
      <w:r w:rsidRPr="00BB4D40">
        <w:rPr>
          <w:lang w:val="nl-NL"/>
        </w:rPr>
        <w:t xml:space="preserve"> </w:t>
      </w:r>
      <w:r w:rsidRPr="00BB4D40">
        <w:rPr>
          <w:lang w:val="pl-PL"/>
        </w:rPr>
        <w:t xml:space="preserve">billion passengers-kilometers, up </w:t>
      </w:r>
      <w:r>
        <w:rPr>
          <w:lang w:val="nl-NL"/>
        </w:rPr>
        <w:t>8.3</w:t>
      </w:r>
      <w:r w:rsidRPr="00BB4D40">
        <w:rPr>
          <w:lang w:val="pl-PL"/>
        </w:rPr>
        <w:t xml:space="preserve">%; overseas transport reached </w:t>
      </w:r>
      <w:r>
        <w:rPr>
          <w:lang w:val="nl-NL"/>
        </w:rPr>
        <w:t>14.6</w:t>
      </w:r>
      <w:r w:rsidRPr="00BB4D40">
        <w:rPr>
          <w:lang w:val="nl-NL"/>
        </w:rPr>
        <w:t xml:space="preserve"> </w:t>
      </w:r>
      <w:r w:rsidRPr="00BB4D40">
        <w:rPr>
          <w:lang w:val="pl-PL"/>
        </w:rPr>
        <w:t xml:space="preserve">million passengers, increased by </w:t>
      </w:r>
      <w:r>
        <w:rPr>
          <w:lang w:val="pl-PL"/>
        </w:rPr>
        <w:t>15.2</w:t>
      </w:r>
      <w:r w:rsidRPr="00BB4D40">
        <w:rPr>
          <w:lang w:val="pl-PL"/>
        </w:rPr>
        <w:t xml:space="preserve">% and </w:t>
      </w:r>
      <w:r>
        <w:rPr>
          <w:lang w:val="nl-NL"/>
        </w:rPr>
        <w:t>47.1</w:t>
      </w:r>
      <w:r w:rsidRPr="00BB4D40">
        <w:rPr>
          <w:lang w:val="nl-NL"/>
        </w:rPr>
        <w:t xml:space="preserve"> </w:t>
      </w:r>
      <w:r w:rsidRPr="00BB4D40">
        <w:rPr>
          <w:lang w:val="pl-PL"/>
        </w:rPr>
        <w:t xml:space="preserve">billion passengers-kilometers, </w:t>
      </w:r>
      <w:r w:rsidRPr="00BB4D40">
        <w:rPr>
          <w:lang w:val="nl-NL"/>
        </w:rPr>
        <w:t xml:space="preserve">up </w:t>
      </w:r>
      <w:r>
        <w:rPr>
          <w:lang w:val="nl-NL"/>
        </w:rPr>
        <w:t>25.9</w:t>
      </w:r>
      <w:r w:rsidRPr="00BB4D40">
        <w:rPr>
          <w:lang w:val="nl-NL"/>
        </w:rPr>
        <w:t>% compared to</w:t>
      </w:r>
      <w:r w:rsidRPr="00BB4D40">
        <w:rPr>
          <w:lang w:val="pl-PL"/>
        </w:rPr>
        <w:t xml:space="preserve"> the same period last year. </w:t>
      </w:r>
    </w:p>
    <w:p w14:paraId="50395A98" w14:textId="77777777" w:rsidR="00E87438" w:rsidRPr="00870842" w:rsidRDefault="00E87438" w:rsidP="00E87438">
      <w:pPr>
        <w:spacing w:beforeLines="40" w:before="96" w:afterLines="40" w:after="96" w:line="264" w:lineRule="auto"/>
        <w:jc w:val="center"/>
        <w:rPr>
          <w:rFonts w:ascii="Arial" w:hAnsi="Arial" w:cs="Arial"/>
          <w:b/>
          <w:bCs/>
          <w:sz w:val="24"/>
          <w:szCs w:val="24"/>
        </w:rPr>
      </w:pPr>
      <w:r w:rsidRPr="00870842">
        <w:rPr>
          <w:rFonts w:ascii="Arial" w:hAnsi="Arial" w:cs="Arial"/>
          <w:b/>
          <w:bCs/>
          <w:iCs/>
          <w:sz w:val="24"/>
          <w:szCs w:val="24"/>
        </w:rPr>
        <w:t>Table 6</w:t>
      </w:r>
      <w:r w:rsidRPr="00870842">
        <w:rPr>
          <w:rFonts w:ascii="Arial" w:hAnsi="Arial" w:cs="Arial" w:hint="eastAsia"/>
          <w:b/>
          <w:bCs/>
          <w:iCs/>
          <w:sz w:val="24"/>
          <w:szCs w:val="24"/>
        </w:rPr>
        <w:t> </w:t>
      </w:r>
      <w:r w:rsidRPr="00870842">
        <w:rPr>
          <w:rFonts w:ascii="Arial" w:hAnsi="Arial" w:cs="Arial"/>
          <w:b/>
          <w:bCs/>
          <w:iCs/>
          <w:sz w:val="24"/>
          <w:szCs w:val="24"/>
        </w:rPr>
        <w:t xml:space="preserve">: Passengers transport in </w:t>
      </w:r>
      <w:r>
        <w:rPr>
          <w:rFonts w:ascii="Arial" w:hAnsi="Arial" w:cs="Arial"/>
          <w:b/>
          <w:bCs/>
          <w:iCs/>
          <w:sz w:val="24"/>
          <w:szCs w:val="24"/>
        </w:rPr>
        <w:t>10 months</w:t>
      </w:r>
      <w:r w:rsidRPr="00870842">
        <w:rPr>
          <w:rFonts w:ascii="Arial" w:hAnsi="Arial" w:cs="Arial"/>
          <w:b/>
          <w:bCs/>
          <w:iCs/>
          <w:sz w:val="24"/>
          <w:szCs w:val="24"/>
        </w:rPr>
        <w:t xml:space="preserve"> of 2024 </w:t>
      </w:r>
      <w:r w:rsidRPr="00870842">
        <w:rPr>
          <w:rFonts w:ascii="Arial" w:hAnsi="Arial" w:cs="Arial"/>
          <w:b/>
          <w:bCs/>
          <w:iCs/>
          <w:sz w:val="24"/>
          <w:szCs w:val="24"/>
        </w:rPr>
        <w:br/>
      </w:r>
      <w:r w:rsidRPr="00870842">
        <w:rPr>
          <w:rFonts w:ascii="Arial" w:hAnsi="Arial" w:cs="Arial"/>
          <w:b/>
          <w:bCs/>
          <w:sz w:val="24"/>
          <w:szCs w:val="24"/>
        </w:rPr>
        <w:t>by types of transport</w:t>
      </w:r>
    </w:p>
    <w:tbl>
      <w:tblPr>
        <w:tblW w:w="9236" w:type="dxa"/>
        <w:jc w:val="center"/>
        <w:tblBorders>
          <w:top w:val="single" w:sz="4" w:space="0" w:color="auto"/>
        </w:tblBorders>
        <w:tblLook w:val="04A0" w:firstRow="1" w:lastRow="0" w:firstColumn="1" w:lastColumn="0" w:noHBand="0" w:noVBand="1"/>
      </w:tblPr>
      <w:tblGrid>
        <w:gridCol w:w="1887"/>
        <w:gridCol w:w="1886"/>
        <w:gridCol w:w="2394"/>
        <w:gridCol w:w="1666"/>
        <w:gridCol w:w="1403"/>
      </w:tblGrid>
      <w:tr w:rsidR="00E87438" w:rsidRPr="00BB4D40" w14:paraId="326A5628" w14:textId="77777777" w:rsidTr="00B73CE3">
        <w:trPr>
          <w:trHeight w:val="378"/>
          <w:jc w:val="center"/>
        </w:trPr>
        <w:tc>
          <w:tcPr>
            <w:tcW w:w="1887" w:type="dxa"/>
            <w:vAlign w:val="center"/>
            <w:hideMark/>
          </w:tcPr>
          <w:p w14:paraId="43555A2D" w14:textId="77777777" w:rsidR="00E87438" w:rsidRPr="00870842" w:rsidRDefault="00E87438" w:rsidP="00B73CE3">
            <w:pPr>
              <w:spacing w:before="40" w:after="40"/>
              <w:ind w:firstLine="567"/>
              <w:rPr>
                <w:rFonts w:ascii="Times New Roman Bold" w:hAnsi="Times New Roman Bold"/>
                <w:b/>
                <w:bCs/>
              </w:rPr>
            </w:pPr>
          </w:p>
        </w:tc>
        <w:tc>
          <w:tcPr>
            <w:tcW w:w="4280" w:type="dxa"/>
            <w:gridSpan w:val="2"/>
            <w:tcBorders>
              <w:top w:val="single" w:sz="4" w:space="0" w:color="auto"/>
              <w:bottom w:val="single" w:sz="4" w:space="0" w:color="auto"/>
            </w:tcBorders>
            <w:vAlign w:val="center"/>
            <w:hideMark/>
          </w:tcPr>
          <w:p w14:paraId="3C714BD6" w14:textId="77777777" w:rsidR="00E87438" w:rsidRPr="00BB4D40" w:rsidRDefault="00E87438" w:rsidP="00B73CE3">
            <w:pPr>
              <w:spacing w:before="40" w:after="40"/>
              <w:ind w:firstLine="205"/>
              <w:jc w:val="center"/>
              <w:rPr>
                <w:rFonts w:ascii="Arial" w:hAnsi="Arial" w:cs="Arial"/>
                <w:sz w:val="20"/>
                <w:szCs w:val="20"/>
                <w:lang w:eastAsia="vi-VN"/>
              </w:rPr>
            </w:pPr>
            <w:r w:rsidRPr="00BB4D40">
              <w:rPr>
                <w:rFonts w:ascii="Arial" w:hAnsi="Arial" w:cs="Arial"/>
                <w:iCs/>
                <w:sz w:val="20"/>
                <w:szCs w:val="20"/>
                <w:lang w:eastAsia="vi-VN"/>
              </w:rPr>
              <w:t>Number of passengers</w:t>
            </w:r>
          </w:p>
        </w:tc>
        <w:tc>
          <w:tcPr>
            <w:tcW w:w="3069" w:type="dxa"/>
            <w:gridSpan w:val="2"/>
            <w:tcBorders>
              <w:top w:val="single" w:sz="4" w:space="0" w:color="auto"/>
              <w:bottom w:val="single" w:sz="4" w:space="0" w:color="auto"/>
            </w:tcBorders>
            <w:vAlign w:val="center"/>
            <w:hideMark/>
          </w:tcPr>
          <w:p w14:paraId="61772243" w14:textId="77777777" w:rsidR="00E87438" w:rsidRPr="00BB4D40" w:rsidRDefault="00E87438" w:rsidP="00B73CE3">
            <w:pPr>
              <w:spacing w:before="40" w:after="40"/>
              <w:ind w:firstLine="77"/>
              <w:jc w:val="center"/>
              <w:rPr>
                <w:rFonts w:ascii="Arial" w:hAnsi="Arial" w:cs="Arial"/>
                <w:color w:val="000000"/>
                <w:sz w:val="20"/>
                <w:szCs w:val="20"/>
                <w:lang w:eastAsia="vi-VN"/>
              </w:rPr>
            </w:pPr>
            <w:r w:rsidRPr="00BB4D40">
              <w:rPr>
                <w:rFonts w:ascii="Arial" w:hAnsi="Arial" w:cs="Arial"/>
                <w:color w:val="000000"/>
                <w:sz w:val="20"/>
                <w:szCs w:val="20"/>
                <w:lang w:eastAsia="vi-VN"/>
              </w:rPr>
              <w:t>Growth rate compared to the same period last year (%)</w:t>
            </w:r>
          </w:p>
        </w:tc>
      </w:tr>
      <w:tr w:rsidR="00E87438" w:rsidRPr="00BB4D40" w14:paraId="3A8EAC51" w14:textId="77777777" w:rsidTr="00B73CE3">
        <w:trPr>
          <w:trHeight w:val="376"/>
          <w:jc w:val="center"/>
        </w:trPr>
        <w:tc>
          <w:tcPr>
            <w:tcW w:w="1887" w:type="dxa"/>
            <w:vAlign w:val="center"/>
            <w:hideMark/>
          </w:tcPr>
          <w:p w14:paraId="34781300" w14:textId="77777777" w:rsidR="00E87438" w:rsidRPr="00BB4D40" w:rsidRDefault="00E87438" w:rsidP="00B73CE3">
            <w:pPr>
              <w:spacing w:before="40" w:after="40"/>
              <w:ind w:firstLine="567"/>
              <w:rPr>
                <w:rFonts w:ascii="Arial" w:hAnsi="Arial" w:cs="Arial"/>
                <w:color w:val="000000"/>
                <w:sz w:val="20"/>
                <w:szCs w:val="20"/>
                <w:lang w:eastAsia="vi-VN"/>
              </w:rPr>
            </w:pPr>
          </w:p>
        </w:tc>
        <w:tc>
          <w:tcPr>
            <w:tcW w:w="1886" w:type="dxa"/>
            <w:tcBorders>
              <w:top w:val="single" w:sz="4" w:space="0" w:color="auto"/>
              <w:bottom w:val="single" w:sz="4" w:space="0" w:color="auto"/>
            </w:tcBorders>
            <w:vAlign w:val="center"/>
            <w:hideMark/>
          </w:tcPr>
          <w:p w14:paraId="7D7DB200" w14:textId="77777777" w:rsidR="00E87438" w:rsidRPr="00BB4D40" w:rsidRDefault="00E87438" w:rsidP="00B73CE3">
            <w:pPr>
              <w:spacing w:before="40" w:after="40"/>
              <w:jc w:val="center"/>
              <w:rPr>
                <w:rFonts w:ascii="Arial" w:hAnsi="Arial" w:cs="Arial"/>
                <w:sz w:val="20"/>
                <w:szCs w:val="20"/>
                <w:lang w:eastAsia="vi-VN"/>
              </w:rPr>
            </w:pPr>
            <w:r w:rsidRPr="00BB4D40">
              <w:rPr>
                <w:rFonts w:ascii="Arial" w:hAnsi="Arial" w:cs="Arial"/>
                <w:sz w:val="20"/>
                <w:szCs w:val="20"/>
                <w:lang w:eastAsia="vi-VN"/>
              </w:rPr>
              <w:t>Carried</w:t>
            </w:r>
            <w:r w:rsidRPr="00BB4D40">
              <w:rPr>
                <w:rFonts w:ascii="Arial" w:hAnsi="Arial" w:cs="Arial"/>
                <w:sz w:val="20"/>
                <w:szCs w:val="20"/>
                <w:lang w:eastAsia="vi-VN"/>
              </w:rPr>
              <w:br/>
              <w:t>(Mill. passengers)</w:t>
            </w:r>
          </w:p>
        </w:tc>
        <w:tc>
          <w:tcPr>
            <w:tcW w:w="2394" w:type="dxa"/>
            <w:tcBorders>
              <w:top w:val="single" w:sz="4" w:space="0" w:color="auto"/>
              <w:bottom w:val="single" w:sz="4" w:space="0" w:color="auto"/>
            </w:tcBorders>
            <w:vAlign w:val="center"/>
            <w:hideMark/>
          </w:tcPr>
          <w:p w14:paraId="5A22A362" w14:textId="77777777" w:rsidR="00E87438" w:rsidRPr="00BB4D40" w:rsidRDefault="00E87438" w:rsidP="00B73CE3">
            <w:pPr>
              <w:spacing w:before="40" w:after="40"/>
              <w:ind w:hanging="214"/>
              <w:jc w:val="center"/>
              <w:rPr>
                <w:rFonts w:ascii="Arial" w:hAnsi="Arial" w:cs="Arial"/>
                <w:sz w:val="20"/>
                <w:szCs w:val="20"/>
                <w:lang w:eastAsia="vi-VN"/>
              </w:rPr>
            </w:pPr>
            <w:r w:rsidRPr="00BB4D40">
              <w:rPr>
                <w:rFonts w:ascii="Arial" w:hAnsi="Arial" w:cs="Arial"/>
                <w:sz w:val="20"/>
                <w:szCs w:val="20"/>
                <w:lang w:eastAsia="vi-VN"/>
              </w:rPr>
              <w:t>Traffic</w:t>
            </w:r>
            <w:r w:rsidRPr="00BB4D40">
              <w:rPr>
                <w:rFonts w:ascii="Arial" w:hAnsi="Arial" w:cs="Arial"/>
                <w:sz w:val="20"/>
                <w:szCs w:val="20"/>
                <w:lang w:eastAsia="vi-VN"/>
              </w:rPr>
              <w:br/>
              <w:t>(Bill. passengers-km)</w:t>
            </w:r>
          </w:p>
        </w:tc>
        <w:tc>
          <w:tcPr>
            <w:tcW w:w="1666" w:type="dxa"/>
            <w:tcBorders>
              <w:top w:val="single" w:sz="4" w:space="0" w:color="auto"/>
              <w:bottom w:val="single" w:sz="4" w:space="0" w:color="auto"/>
            </w:tcBorders>
            <w:vAlign w:val="center"/>
            <w:hideMark/>
          </w:tcPr>
          <w:p w14:paraId="7DE2CA54" w14:textId="77777777" w:rsidR="00E87438" w:rsidRPr="00BB4D40" w:rsidRDefault="00E87438" w:rsidP="00B73CE3">
            <w:pPr>
              <w:spacing w:before="40" w:after="40"/>
              <w:jc w:val="center"/>
              <w:rPr>
                <w:rFonts w:ascii="Arial" w:hAnsi="Arial" w:cs="Arial"/>
                <w:sz w:val="20"/>
                <w:szCs w:val="20"/>
                <w:lang w:eastAsia="vi-VN"/>
              </w:rPr>
            </w:pPr>
            <w:r w:rsidRPr="00BB4D40">
              <w:rPr>
                <w:rFonts w:ascii="Arial" w:hAnsi="Arial" w:cs="Arial"/>
                <w:sz w:val="20"/>
                <w:szCs w:val="20"/>
                <w:lang w:eastAsia="vi-VN"/>
              </w:rPr>
              <w:t>Carried</w:t>
            </w:r>
          </w:p>
        </w:tc>
        <w:tc>
          <w:tcPr>
            <w:tcW w:w="1403" w:type="dxa"/>
            <w:tcBorders>
              <w:top w:val="single" w:sz="4" w:space="0" w:color="auto"/>
              <w:bottom w:val="single" w:sz="4" w:space="0" w:color="auto"/>
            </w:tcBorders>
            <w:vAlign w:val="center"/>
            <w:hideMark/>
          </w:tcPr>
          <w:p w14:paraId="0078EFA8" w14:textId="77777777" w:rsidR="00E87438" w:rsidRPr="00BB4D40" w:rsidRDefault="00E87438" w:rsidP="00B73CE3">
            <w:pPr>
              <w:spacing w:before="40" w:after="40"/>
              <w:ind w:hanging="138"/>
              <w:jc w:val="center"/>
              <w:rPr>
                <w:rFonts w:ascii="Arial" w:hAnsi="Arial" w:cs="Arial"/>
                <w:sz w:val="20"/>
                <w:szCs w:val="20"/>
                <w:lang w:eastAsia="vi-VN"/>
              </w:rPr>
            </w:pPr>
            <w:r w:rsidRPr="00BB4D40">
              <w:rPr>
                <w:rFonts w:ascii="Arial" w:hAnsi="Arial" w:cs="Arial"/>
                <w:sz w:val="20"/>
                <w:szCs w:val="20"/>
                <w:lang w:eastAsia="vi-VN"/>
              </w:rPr>
              <w:t>Traffic</w:t>
            </w:r>
          </w:p>
        </w:tc>
      </w:tr>
      <w:tr w:rsidR="00E87438" w:rsidRPr="00BB4D40" w14:paraId="7E7ED891" w14:textId="77777777" w:rsidTr="00B73CE3">
        <w:trPr>
          <w:trHeight w:val="250"/>
          <w:jc w:val="center"/>
        </w:trPr>
        <w:tc>
          <w:tcPr>
            <w:tcW w:w="1887" w:type="dxa"/>
            <w:noWrap/>
            <w:vAlign w:val="center"/>
            <w:hideMark/>
          </w:tcPr>
          <w:p w14:paraId="0E756051" w14:textId="77777777" w:rsidR="00E87438" w:rsidRPr="00BB4D40" w:rsidRDefault="00E87438" w:rsidP="00B73CE3">
            <w:pPr>
              <w:spacing w:before="100" w:after="40"/>
              <w:ind w:firstLine="142"/>
              <w:jc w:val="both"/>
              <w:rPr>
                <w:rFonts w:ascii="Arial" w:hAnsi="Arial" w:cs="Arial"/>
                <w:b/>
                <w:bCs/>
                <w:sz w:val="20"/>
                <w:szCs w:val="20"/>
                <w:lang w:eastAsia="vi-VN"/>
              </w:rPr>
            </w:pPr>
            <w:r w:rsidRPr="00BB4D40">
              <w:rPr>
                <w:rFonts w:ascii="Arial" w:hAnsi="Arial" w:cs="Arial"/>
                <w:b/>
                <w:bCs/>
                <w:sz w:val="20"/>
                <w:szCs w:val="20"/>
                <w:lang w:eastAsia="vi-VN"/>
              </w:rPr>
              <w:t>Total</w:t>
            </w:r>
          </w:p>
        </w:tc>
        <w:tc>
          <w:tcPr>
            <w:tcW w:w="1886" w:type="dxa"/>
            <w:tcBorders>
              <w:top w:val="single" w:sz="4" w:space="0" w:color="auto"/>
            </w:tcBorders>
            <w:shd w:val="clear" w:color="auto" w:fill="auto"/>
            <w:noWrap/>
            <w:vAlign w:val="bottom"/>
            <w:hideMark/>
          </w:tcPr>
          <w:p w14:paraId="47FCCDE8" w14:textId="77777777" w:rsidR="00E87438" w:rsidRPr="00FC383C" w:rsidRDefault="00E87438" w:rsidP="00B73CE3">
            <w:pPr>
              <w:spacing w:before="40" w:after="40" w:line="257" w:lineRule="auto"/>
              <w:ind w:right="502"/>
              <w:jc w:val="right"/>
              <w:rPr>
                <w:rFonts w:ascii="Arial" w:hAnsi="Arial" w:cs="Arial"/>
                <w:b/>
                <w:bCs/>
                <w:sz w:val="20"/>
                <w:szCs w:val="20"/>
                <w14:ligatures w14:val="standardContextual"/>
              </w:rPr>
            </w:pPr>
            <w:r>
              <w:rPr>
                <w:rFonts w:ascii="Arial" w:hAnsi="Arial" w:cs="Arial"/>
                <w:b/>
                <w:bCs/>
                <w:color w:val="000000"/>
                <w:sz w:val="20"/>
                <w:szCs w:val="20"/>
              </w:rPr>
              <w:t>4.136,6</w:t>
            </w:r>
          </w:p>
        </w:tc>
        <w:tc>
          <w:tcPr>
            <w:tcW w:w="2394" w:type="dxa"/>
            <w:tcBorders>
              <w:top w:val="single" w:sz="4" w:space="0" w:color="auto"/>
            </w:tcBorders>
            <w:shd w:val="clear" w:color="auto" w:fill="auto"/>
            <w:noWrap/>
            <w:vAlign w:val="bottom"/>
            <w:hideMark/>
          </w:tcPr>
          <w:p w14:paraId="487405E3" w14:textId="77777777" w:rsidR="00E87438" w:rsidRPr="00FC383C" w:rsidRDefault="00E87438" w:rsidP="00B73CE3">
            <w:pPr>
              <w:spacing w:before="40" w:after="40" w:line="257" w:lineRule="auto"/>
              <w:ind w:right="957"/>
              <w:jc w:val="right"/>
              <w:rPr>
                <w:rFonts w:ascii="Arial" w:hAnsi="Arial" w:cs="Arial"/>
                <w:b/>
                <w:bCs/>
                <w:sz w:val="20"/>
                <w:szCs w:val="20"/>
                <w14:ligatures w14:val="standardContextual"/>
              </w:rPr>
            </w:pPr>
            <w:r>
              <w:rPr>
                <w:rFonts w:ascii="Arial" w:hAnsi="Arial" w:cs="Arial"/>
                <w:b/>
                <w:bCs/>
                <w:color w:val="000000"/>
                <w:sz w:val="20"/>
                <w:szCs w:val="20"/>
              </w:rPr>
              <w:t>227,0</w:t>
            </w:r>
          </w:p>
        </w:tc>
        <w:tc>
          <w:tcPr>
            <w:tcW w:w="1666" w:type="dxa"/>
            <w:tcBorders>
              <w:top w:val="single" w:sz="4" w:space="0" w:color="auto"/>
            </w:tcBorders>
            <w:shd w:val="clear" w:color="auto" w:fill="auto"/>
            <w:noWrap/>
            <w:vAlign w:val="bottom"/>
            <w:hideMark/>
          </w:tcPr>
          <w:p w14:paraId="2612AFAE" w14:textId="77777777" w:rsidR="00E87438" w:rsidRPr="00C52A32" w:rsidRDefault="00E87438" w:rsidP="00B73CE3">
            <w:pPr>
              <w:spacing w:before="40" w:after="40" w:line="257" w:lineRule="auto"/>
              <w:ind w:right="502"/>
              <w:jc w:val="right"/>
              <w:rPr>
                <w:rFonts w:ascii="Arial" w:hAnsi="Arial" w:cs="Arial"/>
                <w:b/>
                <w:bCs/>
                <w:sz w:val="20"/>
                <w:szCs w:val="20"/>
                <w14:ligatures w14:val="standardContextual"/>
              </w:rPr>
            </w:pPr>
            <w:r>
              <w:rPr>
                <w:rFonts w:ascii="Arial" w:hAnsi="Arial" w:cs="Arial"/>
                <w:b/>
                <w:bCs/>
                <w:color w:val="000000"/>
                <w:sz w:val="20"/>
                <w:szCs w:val="20"/>
              </w:rPr>
              <w:t>8,1</w:t>
            </w:r>
          </w:p>
        </w:tc>
        <w:tc>
          <w:tcPr>
            <w:tcW w:w="1403" w:type="dxa"/>
            <w:tcBorders>
              <w:top w:val="single" w:sz="4" w:space="0" w:color="auto"/>
            </w:tcBorders>
            <w:shd w:val="clear" w:color="auto" w:fill="auto"/>
            <w:noWrap/>
            <w:vAlign w:val="bottom"/>
            <w:hideMark/>
          </w:tcPr>
          <w:p w14:paraId="35EA745D" w14:textId="77777777" w:rsidR="00E87438" w:rsidRPr="00C52A32" w:rsidRDefault="00E87438" w:rsidP="00B73CE3">
            <w:pPr>
              <w:spacing w:before="40" w:after="40" w:line="257" w:lineRule="auto"/>
              <w:ind w:right="502"/>
              <w:jc w:val="right"/>
              <w:rPr>
                <w:rFonts w:ascii="Arial" w:hAnsi="Arial" w:cs="Arial"/>
                <w:b/>
                <w:bCs/>
                <w:sz w:val="20"/>
                <w:szCs w:val="20"/>
                <w14:ligatures w14:val="standardContextual"/>
              </w:rPr>
            </w:pPr>
            <w:r>
              <w:rPr>
                <w:rFonts w:ascii="Arial" w:hAnsi="Arial" w:cs="Arial"/>
                <w:b/>
                <w:bCs/>
                <w:color w:val="000000"/>
                <w:sz w:val="20"/>
                <w:szCs w:val="20"/>
              </w:rPr>
              <w:t>11,6</w:t>
            </w:r>
          </w:p>
        </w:tc>
      </w:tr>
      <w:tr w:rsidR="00E87438" w:rsidRPr="00BB4D40" w14:paraId="084428D7" w14:textId="77777777" w:rsidTr="00B73CE3">
        <w:trPr>
          <w:trHeight w:val="212"/>
          <w:jc w:val="center"/>
        </w:trPr>
        <w:tc>
          <w:tcPr>
            <w:tcW w:w="1887" w:type="dxa"/>
            <w:noWrap/>
            <w:vAlign w:val="center"/>
            <w:hideMark/>
          </w:tcPr>
          <w:p w14:paraId="63472923" w14:textId="77777777" w:rsidR="00E87438" w:rsidRPr="00BB4D40" w:rsidRDefault="00E87438" w:rsidP="00B73CE3">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Rail way</w:t>
            </w:r>
          </w:p>
        </w:tc>
        <w:tc>
          <w:tcPr>
            <w:tcW w:w="1886" w:type="dxa"/>
            <w:shd w:val="clear" w:color="auto" w:fill="auto"/>
            <w:noWrap/>
            <w:vAlign w:val="bottom"/>
            <w:hideMark/>
          </w:tcPr>
          <w:p w14:paraId="3C02044C" w14:textId="77777777" w:rsidR="00E87438" w:rsidRPr="00FC383C"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6,2</w:t>
            </w:r>
          </w:p>
        </w:tc>
        <w:tc>
          <w:tcPr>
            <w:tcW w:w="2394" w:type="dxa"/>
            <w:shd w:val="clear" w:color="auto" w:fill="auto"/>
            <w:noWrap/>
            <w:vAlign w:val="bottom"/>
            <w:hideMark/>
          </w:tcPr>
          <w:p w14:paraId="346BB69F" w14:textId="77777777" w:rsidR="00E87438" w:rsidRPr="00FC383C" w:rsidRDefault="00E87438" w:rsidP="00B73CE3">
            <w:pPr>
              <w:spacing w:before="40" w:after="40" w:line="257" w:lineRule="auto"/>
              <w:ind w:right="957"/>
              <w:jc w:val="right"/>
              <w:rPr>
                <w:rFonts w:ascii="Arial" w:hAnsi="Arial" w:cs="Arial"/>
                <w:sz w:val="20"/>
                <w:szCs w:val="20"/>
                <w14:ligatures w14:val="standardContextual"/>
              </w:rPr>
            </w:pPr>
            <w:r>
              <w:rPr>
                <w:rFonts w:ascii="Arial" w:hAnsi="Arial" w:cs="Arial"/>
                <w:color w:val="000000"/>
                <w:sz w:val="20"/>
                <w:szCs w:val="20"/>
              </w:rPr>
              <w:t>2,4</w:t>
            </w:r>
          </w:p>
        </w:tc>
        <w:tc>
          <w:tcPr>
            <w:tcW w:w="1666" w:type="dxa"/>
            <w:shd w:val="clear" w:color="auto" w:fill="auto"/>
            <w:noWrap/>
            <w:vAlign w:val="bottom"/>
            <w:hideMark/>
          </w:tcPr>
          <w:p w14:paraId="2349B187" w14:textId="77777777" w:rsidR="00E87438" w:rsidRPr="00C52A32"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18,0</w:t>
            </w:r>
          </w:p>
        </w:tc>
        <w:tc>
          <w:tcPr>
            <w:tcW w:w="1403" w:type="dxa"/>
            <w:shd w:val="clear" w:color="auto" w:fill="auto"/>
            <w:noWrap/>
            <w:vAlign w:val="bottom"/>
            <w:hideMark/>
          </w:tcPr>
          <w:p w14:paraId="5D2C519F" w14:textId="77777777" w:rsidR="00E87438" w:rsidRPr="00C52A32"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22,4</w:t>
            </w:r>
          </w:p>
        </w:tc>
      </w:tr>
      <w:tr w:rsidR="00E87438" w:rsidRPr="00BB4D40" w14:paraId="337F5EA2" w14:textId="77777777" w:rsidTr="00B73CE3">
        <w:trPr>
          <w:trHeight w:val="212"/>
          <w:jc w:val="center"/>
        </w:trPr>
        <w:tc>
          <w:tcPr>
            <w:tcW w:w="1887" w:type="dxa"/>
            <w:noWrap/>
            <w:vAlign w:val="center"/>
            <w:hideMark/>
          </w:tcPr>
          <w:p w14:paraId="39DF7F0C" w14:textId="77777777" w:rsidR="00E87438" w:rsidRPr="00BB4D40" w:rsidRDefault="00E87438" w:rsidP="00B73CE3">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Sea way</w:t>
            </w:r>
          </w:p>
        </w:tc>
        <w:tc>
          <w:tcPr>
            <w:tcW w:w="1886" w:type="dxa"/>
            <w:shd w:val="clear" w:color="auto" w:fill="auto"/>
            <w:noWrap/>
            <w:vAlign w:val="bottom"/>
            <w:hideMark/>
          </w:tcPr>
          <w:p w14:paraId="4E19B903" w14:textId="77777777" w:rsidR="00E87438" w:rsidRPr="00FC383C"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10,5</w:t>
            </w:r>
          </w:p>
        </w:tc>
        <w:tc>
          <w:tcPr>
            <w:tcW w:w="2394" w:type="dxa"/>
            <w:shd w:val="clear" w:color="auto" w:fill="auto"/>
            <w:noWrap/>
            <w:vAlign w:val="bottom"/>
            <w:hideMark/>
          </w:tcPr>
          <w:p w14:paraId="4BDB9722" w14:textId="77777777" w:rsidR="00E87438" w:rsidRPr="00FC383C" w:rsidRDefault="00E87438" w:rsidP="00B73CE3">
            <w:pPr>
              <w:spacing w:before="40" w:after="40" w:line="257" w:lineRule="auto"/>
              <w:ind w:right="957"/>
              <w:jc w:val="right"/>
              <w:rPr>
                <w:rFonts w:ascii="Arial" w:hAnsi="Arial" w:cs="Arial"/>
                <w:sz w:val="20"/>
                <w:szCs w:val="20"/>
                <w14:ligatures w14:val="standardContextual"/>
              </w:rPr>
            </w:pPr>
            <w:r>
              <w:rPr>
                <w:rFonts w:ascii="Arial" w:hAnsi="Arial" w:cs="Arial"/>
                <w:color w:val="000000"/>
                <w:sz w:val="20"/>
                <w:szCs w:val="20"/>
              </w:rPr>
              <w:t>0,7</w:t>
            </w:r>
          </w:p>
        </w:tc>
        <w:tc>
          <w:tcPr>
            <w:tcW w:w="1666" w:type="dxa"/>
            <w:shd w:val="clear" w:color="auto" w:fill="auto"/>
            <w:noWrap/>
            <w:vAlign w:val="bottom"/>
            <w:hideMark/>
          </w:tcPr>
          <w:p w14:paraId="4241D489" w14:textId="77777777" w:rsidR="00E87438" w:rsidRPr="00C52A32"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6,4</w:t>
            </w:r>
          </w:p>
        </w:tc>
        <w:tc>
          <w:tcPr>
            <w:tcW w:w="1403" w:type="dxa"/>
            <w:shd w:val="clear" w:color="auto" w:fill="auto"/>
            <w:noWrap/>
            <w:vAlign w:val="bottom"/>
            <w:hideMark/>
          </w:tcPr>
          <w:p w14:paraId="728355CC" w14:textId="77777777" w:rsidR="00E87438" w:rsidRPr="00C52A32"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13,5</w:t>
            </w:r>
          </w:p>
        </w:tc>
      </w:tr>
      <w:tr w:rsidR="00E87438" w:rsidRPr="00BB4D40" w14:paraId="7F8D6355" w14:textId="77777777" w:rsidTr="00B73CE3">
        <w:trPr>
          <w:trHeight w:val="212"/>
          <w:jc w:val="center"/>
        </w:trPr>
        <w:tc>
          <w:tcPr>
            <w:tcW w:w="1887" w:type="dxa"/>
            <w:noWrap/>
            <w:vAlign w:val="center"/>
            <w:hideMark/>
          </w:tcPr>
          <w:p w14:paraId="385E3981" w14:textId="77777777" w:rsidR="00E87438" w:rsidRPr="00BB4D40" w:rsidRDefault="00E87438" w:rsidP="00B73CE3">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Inland water way</w:t>
            </w:r>
          </w:p>
        </w:tc>
        <w:tc>
          <w:tcPr>
            <w:tcW w:w="1886" w:type="dxa"/>
            <w:shd w:val="clear" w:color="auto" w:fill="auto"/>
            <w:noWrap/>
            <w:vAlign w:val="bottom"/>
            <w:hideMark/>
          </w:tcPr>
          <w:p w14:paraId="11D0DCBD" w14:textId="77777777" w:rsidR="00E87438" w:rsidRPr="00FC383C"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294,4</w:t>
            </w:r>
          </w:p>
        </w:tc>
        <w:tc>
          <w:tcPr>
            <w:tcW w:w="2394" w:type="dxa"/>
            <w:shd w:val="clear" w:color="auto" w:fill="auto"/>
            <w:noWrap/>
            <w:vAlign w:val="bottom"/>
            <w:hideMark/>
          </w:tcPr>
          <w:p w14:paraId="14B0EE18" w14:textId="77777777" w:rsidR="00E87438" w:rsidRPr="00FC383C" w:rsidRDefault="00E87438" w:rsidP="00B73CE3">
            <w:pPr>
              <w:spacing w:before="40" w:after="40" w:line="257" w:lineRule="auto"/>
              <w:ind w:right="957"/>
              <w:jc w:val="right"/>
              <w:rPr>
                <w:rFonts w:ascii="Arial" w:hAnsi="Arial" w:cs="Arial"/>
                <w:sz w:val="20"/>
                <w:szCs w:val="20"/>
                <w14:ligatures w14:val="standardContextual"/>
              </w:rPr>
            </w:pPr>
            <w:r>
              <w:rPr>
                <w:rFonts w:ascii="Arial" w:hAnsi="Arial" w:cs="Arial"/>
                <w:color w:val="000000"/>
                <w:sz w:val="20"/>
                <w:szCs w:val="20"/>
              </w:rPr>
              <w:t>6,5</w:t>
            </w:r>
          </w:p>
        </w:tc>
        <w:tc>
          <w:tcPr>
            <w:tcW w:w="1666" w:type="dxa"/>
            <w:shd w:val="clear" w:color="auto" w:fill="auto"/>
            <w:noWrap/>
            <w:vAlign w:val="bottom"/>
            <w:hideMark/>
          </w:tcPr>
          <w:p w14:paraId="62AAC15E" w14:textId="77777777" w:rsidR="00E87438" w:rsidRPr="00C52A32"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9,8</w:t>
            </w:r>
          </w:p>
        </w:tc>
        <w:tc>
          <w:tcPr>
            <w:tcW w:w="1403" w:type="dxa"/>
            <w:shd w:val="clear" w:color="auto" w:fill="auto"/>
            <w:noWrap/>
            <w:vAlign w:val="bottom"/>
            <w:hideMark/>
          </w:tcPr>
          <w:p w14:paraId="4BC92B42" w14:textId="77777777" w:rsidR="00E87438" w:rsidRPr="00C52A32"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17,4</w:t>
            </w:r>
          </w:p>
        </w:tc>
      </w:tr>
      <w:tr w:rsidR="00E87438" w:rsidRPr="00BB4D40" w14:paraId="1E9A5DBE" w14:textId="77777777" w:rsidTr="00B73CE3">
        <w:trPr>
          <w:trHeight w:val="212"/>
          <w:jc w:val="center"/>
        </w:trPr>
        <w:tc>
          <w:tcPr>
            <w:tcW w:w="1887" w:type="dxa"/>
            <w:tcBorders>
              <w:bottom w:val="nil"/>
            </w:tcBorders>
            <w:noWrap/>
            <w:vAlign w:val="center"/>
            <w:hideMark/>
          </w:tcPr>
          <w:p w14:paraId="6E28A458" w14:textId="77777777" w:rsidR="00E87438" w:rsidRPr="00BB4D40" w:rsidRDefault="00E87438" w:rsidP="00B73CE3">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Road</w:t>
            </w:r>
          </w:p>
        </w:tc>
        <w:tc>
          <w:tcPr>
            <w:tcW w:w="1886" w:type="dxa"/>
            <w:tcBorders>
              <w:bottom w:val="nil"/>
            </w:tcBorders>
            <w:shd w:val="clear" w:color="auto" w:fill="auto"/>
            <w:noWrap/>
            <w:vAlign w:val="bottom"/>
            <w:hideMark/>
          </w:tcPr>
          <w:p w14:paraId="2835B689" w14:textId="77777777" w:rsidR="00E87438" w:rsidRPr="00FC383C"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3.782,0</w:t>
            </w:r>
          </w:p>
        </w:tc>
        <w:tc>
          <w:tcPr>
            <w:tcW w:w="2394" w:type="dxa"/>
            <w:tcBorders>
              <w:bottom w:val="nil"/>
            </w:tcBorders>
            <w:shd w:val="clear" w:color="auto" w:fill="auto"/>
            <w:noWrap/>
            <w:vAlign w:val="bottom"/>
            <w:hideMark/>
          </w:tcPr>
          <w:p w14:paraId="2FA87545" w14:textId="77777777" w:rsidR="00E87438" w:rsidRPr="00FC383C" w:rsidRDefault="00E87438" w:rsidP="00B73CE3">
            <w:pPr>
              <w:spacing w:before="40" w:after="40" w:line="257" w:lineRule="auto"/>
              <w:ind w:right="957"/>
              <w:jc w:val="right"/>
              <w:rPr>
                <w:rFonts w:ascii="Arial" w:hAnsi="Arial" w:cs="Arial"/>
                <w:sz w:val="20"/>
                <w:szCs w:val="20"/>
                <w14:ligatures w14:val="standardContextual"/>
              </w:rPr>
            </w:pPr>
            <w:r>
              <w:rPr>
                <w:rFonts w:ascii="Arial" w:hAnsi="Arial" w:cs="Arial"/>
                <w:color w:val="000000"/>
                <w:sz w:val="20"/>
                <w:szCs w:val="20"/>
              </w:rPr>
              <w:t>144,8</w:t>
            </w:r>
          </w:p>
        </w:tc>
        <w:tc>
          <w:tcPr>
            <w:tcW w:w="1666" w:type="dxa"/>
            <w:tcBorders>
              <w:bottom w:val="nil"/>
            </w:tcBorders>
            <w:shd w:val="clear" w:color="auto" w:fill="auto"/>
            <w:noWrap/>
            <w:vAlign w:val="bottom"/>
            <w:hideMark/>
          </w:tcPr>
          <w:p w14:paraId="6CA7A730" w14:textId="77777777" w:rsidR="00E87438" w:rsidRPr="00C52A32"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8,2</w:t>
            </w:r>
          </w:p>
        </w:tc>
        <w:tc>
          <w:tcPr>
            <w:tcW w:w="1403" w:type="dxa"/>
            <w:tcBorders>
              <w:bottom w:val="nil"/>
            </w:tcBorders>
            <w:shd w:val="clear" w:color="auto" w:fill="auto"/>
            <w:noWrap/>
            <w:vAlign w:val="bottom"/>
            <w:hideMark/>
          </w:tcPr>
          <w:p w14:paraId="76C5D572" w14:textId="77777777" w:rsidR="00E87438" w:rsidRPr="00C52A32"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12,7</w:t>
            </w:r>
          </w:p>
        </w:tc>
      </w:tr>
      <w:tr w:rsidR="00E87438" w:rsidRPr="00BB4D40" w14:paraId="49255710" w14:textId="77777777" w:rsidTr="00B73CE3">
        <w:trPr>
          <w:trHeight w:val="245"/>
          <w:jc w:val="center"/>
        </w:trPr>
        <w:tc>
          <w:tcPr>
            <w:tcW w:w="1887" w:type="dxa"/>
            <w:tcBorders>
              <w:top w:val="nil"/>
              <w:bottom w:val="single" w:sz="4" w:space="0" w:color="auto"/>
            </w:tcBorders>
            <w:noWrap/>
            <w:vAlign w:val="center"/>
            <w:hideMark/>
          </w:tcPr>
          <w:p w14:paraId="230B0815" w14:textId="77777777" w:rsidR="00E87438" w:rsidRPr="00BB4D40" w:rsidRDefault="00E87438" w:rsidP="00B73CE3">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 xml:space="preserve">Airway </w:t>
            </w:r>
          </w:p>
        </w:tc>
        <w:tc>
          <w:tcPr>
            <w:tcW w:w="1886" w:type="dxa"/>
            <w:tcBorders>
              <w:top w:val="nil"/>
              <w:bottom w:val="single" w:sz="4" w:space="0" w:color="auto"/>
            </w:tcBorders>
            <w:shd w:val="clear" w:color="auto" w:fill="auto"/>
            <w:noWrap/>
            <w:vAlign w:val="bottom"/>
            <w:hideMark/>
          </w:tcPr>
          <w:p w14:paraId="7941E119" w14:textId="77777777" w:rsidR="00E87438" w:rsidRPr="00FC383C"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43,5</w:t>
            </w:r>
          </w:p>
        </w:tc>
        <w:tc>
          <w:tcPr>
            <w:tcW w:w="2394" w:type="dxa"/>
            <w:tcBorders>
              <w:top w:val="nil"/>
              <w:bottom w:val="single" w:sz="4" w:space="0" w:color="auto"/>
            </w:tcBorders>
            <w:shd w:val="clear" w:color="auto" w:fill="auto"/>
            <w:noWrap/>
            <w:vAlign w:val="bottom"/>
            <w:hideMark/>
          </w:tcPr>
          <w:p w14:paraId="6F656341" w14:textId="77777777" w:rsidR="00E87438" w:rsidRPr="00FC383C" w:rsidRDefault="00E87438" w:rsidP="00B73CE3">
            <w:pPr>
              <w:spacing w:before="40" w:after="40" w:line="257" w:lineRule="auto"/>
              <w:ind w:right="957"/>
              <w:jc w:val="right"/>
              <w:rPr>
                <w:rFonts w:ascii="Arial" w:hAnsi="Arial" w:cs="Arial"/>
                <w:sz w:val="20"/>
                <w:szCs w:val="20"/>
                <w14:ligatures w14:val="standardContextual"/>
              </w:rPr>
            </w:pPr>
            <w:r>
              <w:rPr>
                <w:rFonts w:ascii="Arial" w:hAnsi="Arial" w:cs="Arial"/>
                <w:color w:val="000000"/>
                <w:sz w:val="20"/>
                <w:szCs w:val="20"/>
              </w:rPr>
              <w:t>72,6</w:t>
            </w:r>
          </w:p>
        </w:tc>
        <w:tc>
          <w:tcPr>
            <w:tcW w:w="1666" w:type="dxa"/>
            <w:tcBorders>
              <w:top w:val="nil"/>
              <w:bottom w:val="single" w:sz="4" w:space="0" w:color="auto"/>
            </w:tcBorders>
            <w:shd w:val="clear" w:color="auto" w:fill="auto"/>
            <w:noWrap/>
            <w:vAlign w:val="bottom"/>
            <w:hideMark/>
          </w:tcPr>
          <w:p w14:paraId="1F9DB977" w14:textId="77777777" w:rsidR="00E87438" w:rsidRPr="00C52A32"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-8,2</w:t>
            </w:r>
          </w:p>
        </w:tc>
        <w:tc>
          <w:tcPr>
            <w:tcW w:w="1403" w:type="dxa"/>
            <w:tcBorders>
              <w:top w:val="nil"/>
              <w:bottom w:val="single" w:sz="4" w:space="0" w:color="auto"/>
            </w:tcBorders>
            <w:shd w:val="clear" w:color="auto" w:fill="auto"/>
            <w:noWrap/>
            <w:vAlign w:val="bottom"/>
            <w:hideMark/>
          </w:tcPr>
          <w:p w14:paraId="00E0BFA9" w14:textId="77777777" w:rsidR="00E87438" w:rsidRPr="00C52A32" w:rsidRDefault="00E87438" w:rsidP="00B73CE3">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8,5</w:t>
            </w:r>
          </w:p>
        </w:tc>
      </w:tr>
    </w:tbl>
    <w:p w14:paraId="3889E225" w14:textId="77777777" w:rsidR="00E87438" w:rsidRPr="00BB4D40" w:rsidRDefault="00E87438" w:rsidP="00E87438">
      <w:pPr>
        <w:spacing w:beforeLines="40" w:before="96" w:afterLines="40" w:after="96" w:line="264" w:lineRule="auto"/>
        <w:ind w:firstLine="142"/>
        <w:jc w:val="both"/>
        <w:rPr>
          <w:bCs/>
          <w:i/>
          <w:iCs/>
          <w:sz w:val="8"/>
          <w:lang w:val="fr-FR"/>
        </w:rPr>
      </w:pPr>
    </w:p>
    <w:p w14:paraId="1CB588E0" w14:textId="77777777" w:rsidR="00E87438" w:rsidRPr="00BB4D40" w:rsidRDefault="00E87438" w:rsidP="00E87438">
      <w:pPr>
        <w:spacing w:beforeLines="40" w:before="96" w:afterLines="40" w:after="96" w:line="293" w:lineRule="auto"/>
        <w:ind w:firstLine="567"/>
        <w:jc w:val="both"/>
        <w:rPr>
          <w:color w:val="000000" w:themeColor="text1"/>
        </w:rPr>
      </w:pPr>
      <w:r w:rsidRPr="00BB4D40">
        <w:rPr>
          <w:i/>
          <w:lang w:val="pl-PL"/>
        </w:rPr>
        <w:t>Freight transport</w:t>
      </w:r>
      <w:r w:rsidRPr="00BB4D40">
        <w:rPr>
          <w:lang w:val="pl-PL"/>
        </w:rPr>
        <w:t xml:space="preserve"> in </w:t>
      </w:r>
      <w:r>
        <w:rPr>
          <w:lang w:val="pl-PL"/>
        </w:rPr>
        <w:t>10/2024</w:t>
      </w:r>
      <w:r w:rsidRPr="00BB4D40">
        <w:rPr>
          <w:lang w:val="pl-PL"/>
        </w:rPr>
        <w:t xml:space="preserve"> was estimated at </w:t>
      </w:r>
      <w:r>
        <w:t>245.6</w:t>
      </w:r>
      <w:r w:rsidRPr="00870842">
        <w:t xml:space="preserve"> </w:t>
      </w:r>
      <w:r w:rsidRPr="00BB4D40">
        <w:rPr>
          <w:lang w:val="pl-PL"/>
        </w:rPr>
        <w:t xml:space="preserve">million tons of </w:t>
      </w:r>
      <w:r w:rsidRPr="00BB4D40">
        <w:rPr>
          <w:color w:val="000000" w:themeColor="text1"/>
        </w:rPr>
        <w:t>freight carried</w:t>
      </w:r>
      <w:r w:rsidRPr="00BB4D40">
        <w:rPr>
          <w:lang w:val="pl-PL"/>
        </w:rPr>
        <w:t xml:space="preserve">, increased by </w:t>
      </w:r>
      <w:r>
        <w:t>2.7</w:t>
      </w:r>
      <w:r w:rsidRPr="00BB4D40">
        <w:rPr>
          <w:lang w:val="pl-PL"/>
        </w:rPr>
        <w:t xml:space="preserve">% and </w:t>
      </w:r>
      <w:r w:rsidRPr="00870842">
        <w:t>47.</w:t>
      </w:r>
      <w:r>
        <w:t>7</w:t>
      </w:r>
      <w:r w:rsidRPr="00870842">
        <w:t xml:space="preserve"> </w:t>
      </w:r>
      <w:r w:rsidRPr="00BB4D40">
        <w:rPr>
          <w:lang w:val="pl-PL"/>
        </w:rPr>
        <w:t xml:space="preserve">billion tons.km </w:t>
      </w:r>
      <w:r w:rsidRPr="00BB4D40">
        <w:rPr>
          <w:color w:val="000000" w:themeColor="text1"/>
        </w:rPr>
        <w:t>of freight traffic</w:t>
      </w:r>
      <w:r w:rsidRPr="00BB4D40">
        <w:rPr>
          <w:lang w:val="pl-PL"/>
        </w:rPr>
        <w:t xml:space="preserve">, </w:t>
      </w:r>
      <w:r>
        <w:rPr>
          <w:lang w:val="pl-PL"/>
        </w:rPr>
        <w:t>in</w:t>
      </w:r>
      <w:r w:rsidRPr="00BB4D40">
        <w:rPr>
          <w:lang w:val="pl-PL"/>
        </w:rPr>
        <w:t xml:space="preserve">creased by </w:t>
      </w:r>
      <w:r>
        <w:rPr>
          <w:lang w:val="pl-PL"/>
        </w:rPr>
        <w:t>4.5</w:t>
      </w:r>
      <w:r w:rsidRPr="00BB4D40">
        <w:rPr>
          <w:lang w:val="pl-PL"/>
        </w:rPr>
        <w:t>% over the previous month</w:t>
      </w:r>
      <w:r w:rsidRPr="00BB4D40">
        <w:t xml:space="preserve">. </w:t>
      </w:r>
      <w:r w:rsidRPr="00BB4D40">
        <w:rPr>
          <w:lang w:val="pl-PL"/>
        </w:rPr>
        <w:t xml:space="preserve">Generally for </w:t>
      </w:r>
      <w:r>
        <w:rPr>
          <w:lang w:val="pl-PL"/>
        </w:rPr>
        <w:t xml:space="preserve">ten months </w:t>
      </w:r>
      <w:r w:rsidRPr="00BB4D40">
        <w:rPr>
          <w:lang w:val="pl-PL"/>
        </w:rPr>
        <w:t xml:space="preserve">of 2024, freight transport was estimated at </w:t>
      </w:r>
      <w:r>
        <w:t>2,176.2</w:t>
      </w:r>
      <w:r w:rsidRPr="00870842">
        <w:t xml:space="preserve"> </w:t>
      </w:r>
      <w:r w:rsidRPr="00BB4D40">
        <w:rPr>
          <w:lang w:val="pl-PL"/>
        </w:rPr>
        <w:t xml:space="preserve">million tons of </w:t>
      </w:r>
      <w:r w:rsidRPr="00BB4D40">
        <w:rPr>
          <w:color w:val="000000" w:themeColor="text1"/>
        </w:rPr>
        <w:t>freight carried</w:t>
      </w:r>
      <w:r w:rsidRPr="00BB4D40">
        <w:rPr>
          <w:lang w:val="pl-PL"/>
        </w:rPr>
        <w:t xml:space="preserve">, up </w:t>
      </w:r>
      <w:r>
        <w:t>14.3</w:t>
      </w:r>
      <w:r w:rsidRPr="00BB4D40">
        <w:rPr>
          <w:lang w:val="pl-PL"/>
        </w:rPr>
        <w:t xml:space="preserve">% over the same period last year and </w:t>
      </w:r>
      <w:r>
        <w:t>443.3</w:t>
      </w:r>
      <w:r w:rsidRPr="00870842">
        <w:t xml:space="preserve"> </w:t>
      </w:r>
      <w:r w:rsidRPr="00BB4D40">
        <w:rPr>
          <w:lang w:val="pl-PL"/>
        </w:rPr>
        <w:t xml:space="preserve">billion tons.km </w:t>
      </w:r>
      <w:r w:rsidRPr="00BB4D40">
        <w:rPr>
          <w:color w:val="000000" w:themeColor="text1"/>
        </w:rPr>
        <w:t>of freight traffic</w:t>
      </w:r>
      <w:r w:rsidRPr="00BB4D40">
        <w:rPr>
          <w:lang w:val="pl-PL"/>
        </w:rPr>
        <w:t xml:space="preserve">, an increase of </w:t>
      </w:r>
      <w:r>
        <w:rPr>
          <w:lang w:val="pl-PL"/>
        </w:rPr>
        <w:t>11.0</w:t>
      </w:r>
      <w:r w:rsidRPr="00BB4D40">
        <w:rPr>
          <w:lang w:val="pl-PL"/>
        </w:rPr>
        <w:t xml:space="preserve">%. Of which, domestic transport reached </w:t>
      </w:r>
      <w:r>
        <w:t>2,137.4</w:t>
      </w:r>
      <w:r w:rsidRPr="00870842">
        <w:t xml:space="preserve"> </w:t>
      </w:r>
      <w:r w:rsidRPr="00BB4D40">
        <w:rPr>
          <w:lang w:val="pl-PL"/>
        </w:rPr>
        <w:t xml:space="preserve">million tons of </w:t>
      </w:r>
      <w:r w:rsidRPr="00BB4D40">
        <w:rPr>
          <w:color w:val="000000" w:themeColor="text1"/>
        </w:rPr>
        <w:t>freight carried</w:t>
      </w:r>
      <w:r w:rsidRPr="00BB4D40">
        <w:rPr>
          <w:lang w:val="pl-PL"/>
        </w:rPr>
        <w:t xml:space="preserve">, up </w:t>
      </w:r>
      <w:r>
        <w:t>14.5</w:t>
      </w:r>
      <w:r w:rsidRPr="00BB4D40">
        <w:rPr>
          <w:lang w:val="pl-PL"/>
        </w:rPr>
        <w:t xml:space="preserve">% and </w:t>
      </w:r>
      <w:r>
        <w:t>270.0</w:t>
      </w:r>
      <w:r w:rsidRPr="00870842">
        <w:t xml:space="preserve"> </w:t>
      </w:r>
      <w:r w:rsidRPr="00BB4D40">
        <w:rPr>
          <w:lang w:val="pl-PL"/>
        </w:rPr>
        <w:t xml:space="preserve">billion tons.km of </w:t>
      </w:r>
      <w:r w:rsidRPr="00BB4D40">
        <w:rPr>
          <w:color w:val="000000" w:themeColor="text1"/>
        </w:rPr>
        <w:t>freight traffic</w:t>
      </w:r>
      <w:r w:rsidRPr="00BB4D40">
        <w:rPr>
          <w:lang w:val="pl-PL"/>
        </w:rPr>
        <w:t xml:space="preserve">, up </w:t>
      </w:r>
      <w:r w:rsidRPr="00870842">
        <w:t>7.</w:t>
      </w:r>
      <w:r>
        <w:t>5</w:t>
      </w:r>
      <w:r w:rsidRPr="00BB4D40">
        <w:rPr>
          <w:lang w:val="pl-PL"/>
        </w:rPr>
        <w:t xml:space="preserve">%; overseas transport reached </w:t>
      </w:r>
      <w:r>
        <w:t>38.8</w:t>
      </w:r>
      <w:r w:rsidRPr="00870842">
        <w:t xml:space="preserve"> </w:t>
      </w:r>
      <w:r w:rsidRPr="00BB4D40">
        <w:rPr>
          <w:lang w:val="pl-PL"/>
        </w:rPr>
        <w:t xml:space="preserve">million </w:t>
      </w:r>
      <w:r w:rsidRPr="00BB4D40">
        <w:rPr>
          <w:color w:val="000000" w:themeColor="text1"/>
        </w:rPr>
        <w:t xml:space="preserve">tons of freight carried, up </w:t>
      </w:r>
      <w:r>
        <w:rPr>
          <w:color w:val="000000" w:themeColor="text1"/>
        </w:rPr>
        <w:t>4.7</w:t>
      </w:r>
      <w:r w:rsidRPr="00BB4D40">
        <w:rPr>
          <w:color w:val="000000" w:themeColor="text1"/>
        </w:rPr>
        <w:t xml:space="preserve">% and </w:t>
      </w:r>
      <w:r>
        <w:rPr>
          <w:color w:val="000000" w:themeColor="text1"/>
        </w:rPr>
        <w:t>173.3</w:t>
      </w:r>
      <w:r w:rsidRPr="00BB4D40">
        <w:rPr>
          <w:color w:val="000000" w:themeColor="text1"/>
        </w:rPr>
        <w:t xml:space="preserve"> billion tons.km of freight traffic, up </w:t>
      </w:r>
      <w:r>
        <w:rPr>
          <w:color w:val="000000" w:themeColor="text1"/>
        </w:rPr>
        <w:t>17.1</w:t>
      </w:r>
      <w:r w:rsidRPr="00BB4D40">
        <w:rPr>
          <w:color w:val="000000" w:themeColor="text1"/>
        </w:rPr>
        <w:t xml:space="preserve">%. </w:t>
      </w:r>
    </w:p>
    <w:p w14:paraId="7B50AE45" w14:textId="77777777" w:rsidR="00E87438" w:rsidRPr="00BB4D40" w:rsidRDefault="00E87438" w:rsidP="00E87438">
      <w:pPr>
        <w:spacing w:beforeLines="40" w:before="96" w:afterLines="40" w:after="96" w:line="264" w:lineRule="auto"/>
        <w:jc w:val="center"/>
        <w:rPr>
          <w:b/>
          <w:bCs/>
          <w:sz w:val="2"/>
          <w:lang w:val="pt-BR"/>
        </w:rPr>
      </w:pPr>
      <w:r w:rsidRPr="00870842">
        <w:rPr>
          <w:rFonts w:ascii="Arial" w:hAnsi="Arial" w:cs="Arial"/>
          <w:b/>
          <w:bCs/>
          <w:iCs/>
          <w:sz w:val="24"/>
          <w:szCs w:val="24"/>
        </w:rPr>
        <w:t xml:space="preserve">Table 7. Carriage of freight in </w:t>
      </w:r>
      <w:r>
        <w:rPr>
          <w:rFonts w:ascii="Arial" w:hAnsi="Arial" w:cs="Arial"/>
          <w:b/>
          <w:bCs/>
          <w:iCs/>
          <w:sz w:val="24"/>
          <w:szCs w:val="24"/>
        </w:rPr>
        <w:t>10 months</w:t>
      </w:r>
      <w:r w:rsidRPr="00870842">
        <w:rPr>
          <w:rFonts w:ascii="Arial" w:hAnsi="Arial" w:cs="Arial"/>
          <w:b/>
          <w:bCs/>
          <w:iCs/>
          <w:sz w:val="24"/>
          <w:szCs w:val="24"/>
        </w:rPr>
        <w:t xml:space="preserve"> of 2024</w:t>
      </w:r>
      <w:r w:rsidRPr="00870842">
        <w:rPr>
          <w:rFonts w:ascii="Arial" w:hAnsi="Arial" w:cs="Arial"/>
          <w:b/>
          <w:bCs/>
          <w:iCs/>
          <w:sz w:val="24"/>
          <w:szCs w:val="24"/>
        </w:rPr>
        <w:br/>
        <w:t>by types of transport</w:t>
      </w:r>
    </w:p>
    <w:tbl>
      <w:tblPr>
        <w:tblW w:w="9167" w:type="dxa"/>
        <w:tblInd w:w="284" w:type="dxa"/>
        <w:tblLook w:val="04A0" w:firstRow="1" w:lastRow="0" w:firstColumn="1" w:lastColumn="0" w:noHBand="0" w:noVBand="1"/>
      </w:tblPr>
      <w:tblGrid>
        <w:gridCol w:w="2158"/>
        <w:gridCol w:w="1811"/>
        <w:gridCol w:w="1843"/>
        <w:gridCol w:w="1795"/>
        <w:gridCol w:w="1560"/>
      </w:tblGrid>
      <w:tr w:rsidR="00E87438" w:rsidRPr="00BB4D40" w14:paraId="27338894" w14:textId="77777777" w:rsidTr="00B73CE3">
        <w:trPr>
          <w:trHeight w:val="580"/>
        </w:trPr>
        <w:tc>
          <w:tcPr>
            <w:tcW w:w="2158" w:type="dxa"/>
            <w:tcBorders>
              <w:top w:val="single" w:sz="8" w:space="0" w:color="auto"/>
              <w:left w:val="nil"/>
              <w:bottom w:val="nil"/>
              <w:right w:val="nil"/>
            </w:tcBorders>
            <w:shd w:val="clear" w:color="auto" w:fill="auto"/>
            <w:vAlign w:val="center"/>
            <w:hideMark/>
          </w:tcPr>
          <w:p w14:paraId="613A9669" w14:textId="77777777" w:rsidR="00E87438" w:rsidRPr="00BB4D40" w:rsidRDefault="00E87438" w:rsidP="00B73CE3">
            <w:pPr>
              <w:rPr>
                <w:rFonts w:ascii="Arial" w:hAnsi="Arial" w:cs="Arial"/>
                <w:color w:val="000000"/>
                <w:sz w:val="20"/>
                <w:szCs w:val="20"/>
              </w:rPr>
            </w:pPr>
            <w:r w:rsidRPr="00870842">
              <w:rPr>
                <w:rFonts w:ascii="Arial" w:hAnsi="Arial" w:cs="Arial"/>
                <w:color w:val="000000"/>
                <w:sz w:val="20"/>
                <w:szCs w:val="20"/>
              </w:rPr>
              <w:t> </w:t>
            </w:r>
          </w:p>
        </w:tc>
        <w:tc>
          <w:tcPr>
            <w:tcW w:w="3654" w:type="dxa"/>
            <w:gridSpan w:val="2"/>
            <w:tcBorders>
              <w:top w:val="single" w:sz="8" w:space="0" w:color="auto"/>
              <w:left w:val="nil"/>
              <w:bottom w:val="single" w:sz="8" w:space="0" w:color="auto"/>
              <w:right w:val="nil"/>
            </w:tcBorders>
            <w:shd w:val="clear" w:color="auto" w:fill="auto"/>
            <w:vAlign w:val="center"/>
            <w:hideMark/>
          </w:tcPr>
          <w:p w14:paraId="1FA9120A" w14:textId="77777777" w:rsidR="00E87438" w:rsidRPr="00BB4D40" w:rsidRDefault="00E87438" w:rsidP="00B73CE3">
            <w:pPr>
              <w:jc w:val="center"/>
              <w:rPr>
                <w:rFonts w:ascii="Arial" w:hAnsi="Arial" w:cs="Arial"/>
                <w:color w:val="000000"/>
                <w:sz w:val="20"/>
                <w:szCs w:val="20"/>
              </w:rPr>
            </w:pPr>
            <w:r w:rsidRPr="00BB4D40">
              <w:rPr>
                <w:rFonts w:ascii="Arial" w:hAnsi="Arial" w:cs="Arial"/>
                <w:color w:val="000000"/>
                <w:sz w:val="20"/>
                <w:szCs w:val="20"/>
              </w:rPr>
              <w:t>Quantity of goods</w:t>
            </w:r>
          </w:p>
        </w:tc>
        <w:tc>
          <w:tcPr>
            <w:tcW w:w="3355" w:type="dxa"/>
            <w:gridSpan w:val="2"/>
            <w:tcBorders>
              <w:top w:val="single" w:sz="8" w:space="0" w:color="auto"/>
              <w:left w:val="nil"/>
              <w:bottom w:val="single" w:sz="8" w:space="0" w:color="auto"/>
              <w:right w:val="nil"/>
            </w:tcBorders>
            <w:shd w:val="clear" w:color="auto" w:fill="auto"/>
            <w:vAlign w:val="center"/>
            <w:hideMark/>
          </w:tcPr>
          <w:p w14:paraId="3425BF95" w14:textId="77777777" w:rsidR="00E87438" w:rsidRPr="00BB4D40" w:rsidRDefault="00E87438" w:rsidP="00B73CE3">
            <w:pPr>
              <w:jc w:val="center"/>
              <w:rPr>
                <w:rFonts w:ascii="Arial" w:hAnsi="Arial" w:cs="Arial"/>
                <w:color w:val="000000"/>
                <w:sz w:val="20"/>
                <w:szCs w:val="20"/>
              </w:rPr>
            </w:pPr>
            <w:r w:rsidRPr="00BB4D40">
              <w:rPr>
                <w:rFonts w:ascii="Arial" w:hAnsi="Arial" w:cs="Arial"/>
                <w:color w:val="000000"/>
                <w:sz w:val="20"/>
                <w:szCs w:val="20"/>
              </w:rPr>
              <w:t xml:space="preserve">Growth rate compared to the </w:t>
            </w:r>
            <w:r>
              <w:rPr>
                <w:rFonts w:ascii="Arial" w:hAnsi="Arial" w:cs="Arial"/>
                <w:color w:val="000000"/>
                <w:sz w:val="20"/>
                <w:szCs w:val="20"/>
              </w:rPr>
              <w:br/>
            </w:r>
            <w:r w:rsidRPr="00BB4D40">
              <w:rPr>
                <w:rFonts w:ascii="Arial" w:hAnsi="Arial" w:cs="Arial"/>
                <w:color w:val="000000"/>
                <w:sz w:val="20"/>
                <w:szCs w:val="20"/>
              </w:rPr>
              <w:t>same period last year (%)</w:t>
            </w:r>
          </w:p>
        </w:tc>
      </w:tr>
      <w:tr w:rsidR="00E87438" w:rsidRPr="00BB4D40" w14:paraId="6EFC5942" w14:textId="77777777" w:rsidTr="00B73CE3">
        <w:trPr>
          <w:trHeight w:val="372"/>
        </w:trPr>
        <w:tc>
          <w:tcPr>
            <w:tcW w:w="2158" w:type="dxa"/>
            <w:vMerge w:val="restart"/>
            <w:tcBorders>
              <w:top w:val="nil"/>
              <w:left w:val="nil"/>
              <w:bottom w:val="nil"/>
              <w:right w:val="nil"/>
            </w:tcBorders>
            <w:shd w:val="clear" w:color="auto" w:fill="auto"/>
            <w:vAlign w:val="center"/>
            <w:hideMark/>
          </w:tcPr>
          <w:p w14:paraId="7F0B5A3F" w14:textId="77777777" w:rsidR="00E87438" w:rsidRPr="00BB4D40" w:rsidRDefault="00E87438" w:rsidP="00B73CE3">
            <w:pPr>
              <w:jc w:val="center"/>
              <w:rPr>
                <w:rFonts w:ascii="Arial" w:hAnsi="Arial" w:cs="Arial"/>
                <w:color w:val="000000"/>
                <w:sz w:val="20"/>
                <w:szCs w:val="20"/>
              </w:rPr>
            </w:pPr>
          </w:p>
        </w:tc>
        <w:tc>
          <w:tcPr>
            <w:tcW w:w="1811" w:type="dxa"/>
            <w:tcBorders>
              <w:top w:val="nil"/>
              <w:left w:val="nil"/>
              <w:bottom w:val="nil"/>
              <w:right w:val="nil"/>
            </w:tcBorders>
            <w:shd w:val="clear" w:color="auto" w:fill="auto"/>
            <w:vAlign w:val="center"/>
            <w:hideMark/>
          </w:tcPr>
          <w:p w14:paraId="719223D6" w14:textId="77777777" w:rsidR="00E87438" w:rsidRPr="00BB4D40" w:rsidRDefault="00E87438" w:rsidP="00B73CE3">
            <w:pPr>
              <w:jc w:val="center"/>
              <w:rPr>
                <w:rFonts w:ascii="Arial" w:hAnsi="Arial" w:cs="Arial"/>
                <w:color w:val="000000"/>
                <w:sz w:val="20"/>
                <w:szCs w:val="20"/>
              </w:rPr>
            </w:pPr>
            <w:r w:rsidRPr="00BB4D40">
              <w:rPr>
                <w:rFonts w:ascii="Arial" w:hAnsi="Arial" w:cs="Arial"/>
                <w:color w:val="000000"/>
                <w:sz w:val="20"/>
                <w:szCs w:val="20"/>
                <w:lang w:eastAsia="vi-VN"/>
              </w:rPr>
              <w:t>Carried</w:t>
            </w:r>
          </w:p>
        </w:tc>
        <w:tc>
          <w:tcPr>
            <w:tcW w:w="1843" w:type="dxa"/>
            <w:tcBorders>
              <w:top w:val="nil"/>
              <w:left w:val="nil"/>
              <w:bottom w:val="nil"/>
              <w:right w:val="nil"/>
            </w:tcBorders>
            <w:shd w:val="clear" w:color="auto" w:fill="auto"/>
            <w:vAlign w:val="center"/>
            <w:hideMark/>
          </w:tcPr>
          <w:p w14:paraId="0E75B9D0" w14:textId="77777777" w:rsidR="00E87438" w:rsidRPr="00BB4D40" w:rsidRDefault="00E87438" w:rsidP="00B73CE3">
            <w:pPr>
              <w:jc w:val="center"/>
              <w:rPr>
                <w:rFonts w:ascii="Arial" w:hAnsi="Arial" w:cs="Arial"/>
                <w:color w:val="000000"/>
                <w:sz w:val="20"/>
                <w:szCs w:val="20"/>
              </w:rPr>
            </w:pPr>
            <w:r w:rsidRPr="00BB4D40">
              <w:rPr>
                <w:rFonts w:ascii="Arial" w:hAnsi="Arial" w:cs="Arial"/>
                <w:color w:val="000000"/>
                <w:sz w:val="20"/>
                <w:szCs w:val="20"/>
                <w:lang w:eastAsia="vi-VN"/>
              </w:rPr>
              <w:t>Traffic</w:t>
            </w:r>
          </w:p>
        </w:tc>
        <w:tc>
          <w:tcPr>
            <w:tcW w:w="1795" w:type="dxa"/>
            <w:vMerge w:val="restart"/>
            <w:tcBorders>
              <w:top w:val="nil"/>
              <w:left w:val="nil"/>
              <w:bottom w:val="single" w:sz="4" w:space="0" w:color="000000"/>
              <w:right w:val="nil"/>
            </w:tcBorders>
            <w:shd w:val="clear" w:color="auto" w:fill="auto"/>
            <w:vAlign w:val="center"/>
            <w:hideMark/>
          </w:tcPr>
          <w:p w14:paraId="556617C9" w14:textId="77777777" w:rsidR="00E87438" w:rsidRPr="00BB4D40" w:rsidRDefault="00E87438" w:rsidP="00B73CE3">
            <w:pPr>
              <w:jc w:val="center"/>
              <w:rPr>
                <w:rFonts w:ascii="Arial" w:hAnsi="Arial" w:cs="Arial"/>
                <w:color w:val="000000"/>
                <w:sz w:val="20"/>
                <w:szCs w:val="20"/>
              </w:rPr>
            </w:pPr>
            <w:r w:rsidRPr="00BB4D40">
              <w:rPr>
                <w:rFonts w:ascii="Arial" w:hAnsi="Arial" w:cs="Arial"/>
                <w:color w:val="000000"/>
                <w:sz w:val="20"/>
                <w:szCs w:val="20"/>
                <w:lang w:eastAsia="vi-VN"/>
              </w:rPr>
              <w:t>Carried</w:t>
            </w:r>
          </w:p>
        </w:tc>
        <w:tc>
          <w:tcPr>
            <w:tcW w:w="1560" w:type="dxa"/>
            <w:vMerge w:val="restart"/>
            <w:tcBorders>
              <w:top w:val="nil"/>
              <w:left w:val="nil"/>
              <w:bottom w:val="single" w:sz="4" w:space="0" w:color="000000"/>
              <w:right w:val="nil"/>
            </w:tcBorders>
            <w:shd w:val="clear" w:color="auto" w:fill="auto"/>
            <w:vAlign w:val="center"/>
            <w:hideMark/>
          </w:tcPr>
          <w:p w14:paraId="48AB4ED7" w14:textId="77777777" w:rsidR="00E87438" w:rsidRPr="00BB4D40" w:rsidRDefault="00E87438" w:rsidP="00B73CE3">
            <w:pPr>
              <w:jc w:val="center"/>
              <w:rPr>
                <w:rFonts w:ascii="Arial" w:hAnsi="Arial" w:cs="Arial"/>
                <w:color w:val="000000"/>
                <w:sz w:val="20"/>
                <w:szCs w:val="20"/>
              </w:rPr>
            </w:pPr>
            <w:r w:rsidRPr="00BB4D40">
              <w:rPr>
                <w:rFonts w:ascii="Arial" w:hAnsi="Arial" w:cs="Arial"/>
                <w:color w:val="000000"/>
                <w:sz w:val="20"/>
                <w:szCs w:val="20"/>
                <w:lang w:eastAsia="vi-VN"/>
              </w:rPr>
              <w:t>Traffic</w:t>
            </w:r>
          </w:p>
        </w:tc>
      </w:tr>
      <w:tr w:rsidR="00E87438" w:rsidRPr="00BB4D40" w14:paraId="41065F58" w14:textId="77777777" w:rsidTr="00B73CE3">
        <w:trPr>
          <w:trHeight w:val="165"/>
        </w:trPr>
        <w:tc>
          <w:tcPr>
            <w:tcW w:w="2158" w:type="dxa"/>
            <w:vMerge/>
            <w:tcBorders>
              <w:top w:val="nil"/>
              <w:left w:val="nil"/>
              <w:bottom w:val="nil"/>
              <w:right w:val="nil"/>
            </w:tcBorders>
            <w:vAlign w:val="center"/>
            <w:hideMark/>
          </w:tcPr>
          <w:p w14:paraId="61F919EF" w14:textId="77777777" w:rsidR="00E87438" w:rsidRPr="00BB4D40" w:rsidRDefault="00E87438" w:rsidP="00B73CE3">
            <w:pPr>
              <w:rPr>
                <w:rFonts w:ascii="Arial" w:hAnsi="Arial" w:cs="Arial"/>
                <w:color w:val="000000"/>
                <w:sz w:val="20"/>
                <w:szCs w:val="20"/>
              </w:rPr>
            </w:pPr>
          </w:p>
        </w:tc>
        <w:tc>
          <w:tcPr>
            <w:tcW w:w="1811" w:type="dxa"/>
            <w:tcBorders>
              <w:top w:val="nil"/>
              <w:left w:val="nil"/>
              <w:bottom w:val="single" w:sz="4" w:space="0" w:color="auto"/>
              <w:right w:val="nil"/>
            </w:tcBorders>
            <w:shd w:val="clear" w:color="auto" w:fill="auto"/>
            <w:vAlign w:val="center"/>
            <w:hideMark/>
          </w:tcPr>
          <w:p w14:paraId="2C64C177" w14:textId="77777777" w:rsidR="00E87438" w:rsidRPr="00BB4D40" w:rsidRDefault="00E87438" w:rsidP="00B73CE3">
            <w:pPr>
              <w:jc w:val="center"/>
              <w:rPr>
                <w:rFonts w:ascii="Arial" w:hAnsi="Arial" w:cs="Arial"/>
                <w:color w:val="000000"/>
                <w:sz w:val="20"/>
                <w:szCs w:val="20"/>
              </w:rPr>
            </w:pPr>
            <w:r w:rsidRPr="00BB4D40">
              <w:rPr>
                <w:rFonts w:ascii="Arial" w:hAnsi="Arial" w:cs="Arial"/>
                <w:color w:val="000000"/>
                <w:sz w:val="20"/>
                <w:szCs w:val="20"/>
              </w:rPr>
              <w:t>(Mill. tons)</w:t>
            </w:r>
          </w:p>
        </w:tc>
        <w:tc>
          <w:tcPr>
            <w:tcW w:w="1843" w:type="dxa"/>
            <w:tcBorders>
              <w:top w:val="nil"/>
              <w:left w:val="nil"/>
              <w:bottom w:val="single" w:sz="4" w:space="0" w:color="auto"/>
              <w:right w:val="nil"/>
            </w:tcBorders>
            <w:shd w:val="clear" w:color="auto" w:fill="auto"/>
            <w:vAlign w:val="center"/>
            <w:hideMark/>
          </w:tcPr>
          <w:p w14:paraId="305EAB54" w14:textId="77777777" w:rsidR="00E87438" w:rsidRPr="00BB4D40" w:rsidRDefault="00E87438" w:rsidP="00B73CE3">
            <w:pPr>
              <w:jc w:val="center"/>
              <w:rPr>
                <w:rFonts w:ascii="Arial" w:hAnsi="Arial" w:cs="Arial"/>
                <w:color w:val="000000"/>
                <w:sz w:val="20"/>
                <w:szCs w:val="20"/>
              </w:rPr>
            </w:pPr>
            <w:r w:rsidRPr="00BB4D40">
              <w:rPr>
                <w:rFonts w:ascii="Arial" w:hAnsi="Arial" w:cs="Arial"/>
                <w:color w:val="000000"/>
                <w:sz w:val="20"/>
                <w:szCs w:val="20"/>
              </w:rPr>
              <w:t>(Bill. tons-km)</w:t>
            </w:r>
          </w:p>
        </w:tc>
        <w:tc>
          <w:tcPr>
            <w:tcW w:w="1795" w:type="dxa"/>
            <w:vMerge/>
            <w:tcBorders>
              <w:top w:val="nil"/>
              <w:left w:val="nil"/>
              <w:bottom w:val="single" w:sz="4" w:space="0" w:color="000000"/>
              <w:right w:val="nil"/>
            </w:tcBorders>
            <w:vAlign w:val="center"/>
            <w:hideMark/>
          </w:tcPr>
          <w:p w14:paraId="3ADF78BA" w14:textId="77777777" w:rsidR="00E87438" w:rsidRPr="00BB4D40" w:rsidRDefault="00E87438" w:rsidP="00B73CE3">
            <w:pPr>
              <w:jc w:val="center"/>
              <w:rPr>
                <w:rFonts w:ascii="Arial" w:hAnsi="Arial" w:cs="Arial"/>
                <w:color w:val="000000"/>
                <w:sz w:val="20"/>
                <w:szCs w:val="20"/>
              </w:rPr>
            </w:pPr>
          </w:p>
        </w:tc>
        <w:tc>
          <w:tcPr>
            <w:tcW w:w="1560" w:type="dxa"/>
            <w:vMerge/>
            <w:tcBorders>
              <w:top w:val="nil"/>
              <w:left w:val="nil"/>
              <w:bottom w:val="single" w:sz="4" w:space="0" w:color="000000"/>
              <w:right w:val="nil"/>
            </w:tcBorders>
            <w:vAlign w:val="center"/>
            <w:hideMark/>
          </w:tcPr>
          <w:p w14:paraId="2A274ECA" w14:textId="77777777" w:rsidR="00E87438" w:rsidRPr="00BB4D40" w:rsidRDefault="00E87438" w:rsidP="00B73CE3">
            <w:pPr>
              <w:jc w:val="right"/>
              <w:rPr>
                <w:rFonts w:ascii="Arial" w:hAnsi="Arial" w:cs="Arial"/>
                <w:color w:val="000000"/>
                <w:sz w:val="20"/>
                <w:szCs w:val="20"/>
              </w:rPr>
            </w:pPr>
          </w:p>
        </w:tc>
      </w:tr>
      <w:tr w:rsidR="00E87438" w:rsidRPr="00BB4D40" w14:paraId="33A49DB6" w14:textId="77777777" w:rsidTr="00B73CE3">
        <w:trPr>
          <w:cantSplit/>
          <w:trHeight w:val="372"/>
        </w:trPr>
        <w:tc>
          <w:tcPr>
            <w:tcW w:w="2158" w:type="dxa"/>
            <w:tcBorders>
              <w:top w:val="nil"/>
              <w:left w:val="nil"/>
              <w:bottom w:val="nil"/>
              <w:right w:val="nil"/>
            </w:tcBorders>
            <w:shd w:val="clear" w:color="auto" w:fill="auto"/>
            <w:noWrap/>
            <w:vAlign w:val="center"/>
            <w:hideMark/>
          </w:tcPr>
          <w:p w14:paraId="2C848325" w14:textId="77777777" w:rsidR="00E87438" w:rsidRPr="00BB4D40" w:rsidRDefault="00E87438" w:rsidP="00B73CE3">
            <w:pPr>
              <w:rPr>
                <w:rFonts w:ascii="Arial" w:hAnsi="Arial" w:cs="Arial"/>
                <w:b/>
                <w:bCs/>
                <w:color w:val="000000"/>
                <w:sz w:val="20"/>
                <w:szCs w:val="20"/>
              </w:rPr>
            </w:pPr>
            <w:r w:rsidRPr="00BB4D40">
              <w:rPr>
                <w:rFonts w:ascii="Arial" w:hAnsi="Arial" w:cs="Arial"/>
                <w:b/>
                <w:bCs/>
                <w:color w:val="000000"/>
                <w:sz w:val="20"/>
                <w:szCs w:val="20"/>
              </w:rPr>
              <w:t>Total</w:t>
            </w:r>
          </w:p>
        </w:tc>
        <w:tc>
          <w:tcPr>
            <w:tcW w:w="1811" w:type="dxa"/>
            <w:tcBorders>
              <w:top w:val="nil"/>
              <w:left w:val="nil"/>
              <w:bottom w:val="nil"/>
              <w:right w:val="nil"/>
            </w:tcBorders>
            <w:shd w:val="clear" w:color="auto" w:fill="auto"/>
            <w:noWrap/>
            <w:vAlign w:val="bottom"/>
            <w:hideMark/>
          </w:tcPr>
          <w:p w14:paraId="72A7E38D" w14:textId="77777777" w:rsidR="00E87438" w:rsidRPr="00F04784" w:rsidRDefault="00E87438" w:rsidP="00B73CE3">
            <w:pPr>
              <w:spacing w:beforeLines="40" w:before="96"/>
              <w:ind w:right="447"/>
              <w:jc w:val="right"/>
              <w:rPr>
                <w:rFonts w:ascii="Arial" w:hAnsi="Arial" w:cs="Arial"/>
                <w:b/>
                <w:bCs/>
                <w:sz w:val="20"/>
                <w:szCs w:val="20"/>
                <w14:ligatures w14:val="standardContextual"/>
              </w:rPr>
            </w:pPr>
            <w:r>
              <w:rPr>
                <w:rFonts w:ascii="Arial" w:hAnsi="Arial" w:cs="Arial"/>
                <w:b/>
                <w:bCs/>
                <w:color w:val="000000"/>
                <w:sz w:val="20"/>
                <w:szCs w:val="20"/>
              </w:rPr>
              <w:t>2.176,2</w:t>
            </w:r>
          </w:p>
        </w:tc>
        <w:tc>
          <w:tcPr>
            <w:tcW w:w="1843" w:type="dxa"/>
            <w:tcBorders>
              <w:top w:val="nil"/>
              <w:left w:val="nil"/>
              <w:bottom w:val="nil"/>
              <w:right w:val="nil"/>
            </w:tcBorders>
            <w:shd w:val="clear" w:color="auto" w:fill="auto"/>
            <w:noWrap/>
            <w:vAlign w:val="bottom"/>
            <w:hideMark/>
          </w:tcPr>
          <w:p w14:paraId="2DD19282" w14:textId="77777777" w:rsidR="00E87438" w:rsidRPr="00F04784" w:rsidRDefault="00E87438" w:rsidP="00B73CE3">
            <w:pPr>
              <w:spacing w:beforeLines="40" w:before="96"/>
              <w:ind w:right="447"/>
              <w:jc w:val="right"/>
              <w:rPr>
                <w:rFonts w:ascii="Arial" w:hAnsi="Arial" w:cs="Arial"/>
                <w:b/>
                <w:bCs/>
                <w:sz w:val="20"/>
                <w:szCs w:val="20"/>
                <w14:ligatures w14:val="standardContextual"/>
              </w:rPr>
            </w:pPr>
            <w:r>
              <w:rPr>
                <w:rFonts w:ascii="Arial" w:hAnsi="Arial" w:cs="Arial"/>
                <w:b/>
                <w:bCs/>
                <w:color w:val="000000"/>
                <w:sz w:val="20"/>
                <w:szCs w:val="20"/>
              </w:rPr>
              <w:t>443,3</w:t>
            </w:r>
          </w:p>
        </w:tc>
        <w:tc>
          <w:tcPr>
            <w:tcW w:w="1795" w:type="dxa"/>
            <w:tcBorders>
              <w:top w:val="nil"/>
              <w:left w:val="nil"/>
              <w:bottom w:val="nil"/>
              <w:right w:val="nil"/>
            </w:tcBorders>
            <w:shd w:val="clear" w:color="auto" w:fill="auto"/>
            <w:noWrap/>
            <w:vAlign w:val="bottom"/>
          </w:tcPr>
          <w:p w14:paraId="5BEE497C" w14:textId="77777777" w:rsidR="00E87438" w:rsidRPr="00F04784" w:rsidRDefault="00E87438" w:rsidP="00B73CE3">
            <w:pPr>
              <w:spacing w:beforeLines="40" w:before="96"/>
              <w:ind w:right="447"/>
              <w:jc w:val="right"/>
              <w:rPr>
                <w:rFonts w:ascii="Arial" w:hAnsi="Arial" w:cs="Arial"/>
                <w:b/>
                <w:bCs/>
                <w:sz w:val="20"/>
                <w:szCs w:val="20"/>
                <w14:ligatures w14:val="standardContextual"/>
              </w:rPr>
            </w:pPr>
            <w:r>
              <w:rPr>
                <w:rFonts w:ascii="Arial" w:hAnsi="Arial" w:cs="Arial"/>
                <w:b/>
                <w:bCs/>
                <w:color w:val="000000"/>
                <w:sz w:val="20"/>
                <w:szCs w:val="20"/>
              </w:rPr>
              <w:t>14,3</w:t>
            </w:r>
          </w:p>
        </w:tc>
        <w:tc>
          <w:tcPr>
            <w:tcW w:w="1560" w:type="dxa"/>
            <w:tcBorders>
              <w:top w:val="nil"/>
              <w:left w:val="nil"/>
              <w:bottom w:val="nil"/>
              <w:right w:val="nil"/>
            </w:tcBorders>
            <w:shd w:val="clear" w:color="auto" w:fill="auto"/>
            <w:noWrap/>
            <w:vAlign w:val="bottom"/>
            <w:hideMark/>
          </w:tcPr>
          <w:p w14:paraId="5F860618" w14:textId="77777777" w:rsidR="00E87438" w:rsidRPr="00F04784" w:rsidRDefault="00E87438" w:rsidP="00B73CE3">
            <w:pPr>
              <w:spacing w:beforeLines="40" w:before="96"/>
              <w:ind w:right="447"/>
              <w:jc w:val="right"/>
              <w:rPr>
                <w:rFonts w:ascii="Arial" w:hAnsi="Arial" w:cs="Arial"/>
                <w:b/>
                <w:bCs/>
                <w:sz w:val="20"/>
                <w:szCs w:val="20"/>
                <w14:ligatures w14:val="standardContextual"/>
              </w:rPr>
            </w:pPr>
            <w:r>
              <w:rPr>
                <w:rFonts w:ascii="Arial" w:hAnsi="Arial" w:cs="Arial"/>
                <w:b/>
                <w:bCs/>
                <w:color w:val="000000"/>
                <w:sz w:val="20"/>
                <w:szCs w:val="20"/>
              </w:rPr>
              <w:t>11,0</w:t>
            </w:r>
          </w:p>
        </w:tc>
      </w:tr>
      <w:tr w:rsidR="00E87438" w:rsidRPr="00BB4D40" w14:paraId="12917759" w14:textId="77777777" w:rsidTr="00B73CE3">
        <w:trPr>
          <w:cantSplit/>
          <w:trHeight w:val="372"/>
        </w:trPr>
        <w:tc>
          <w:tcPr>
            <w:tcW w:w="2158" w:type="dxa"/>
            <w:tcBorders>
              <w:top w:val="nil"/>
              <w:left w:val="nil"/>
              <w:bottom w:val="nil"/>
              <w:right w:val="nil"/>
            </w:tcBorders>
            <w:shd w:val="clear" w:color="auto" w:fill="auto"/>
            <w:noWrap/>
            <w:vAlign w:val="center"/>
            <w:hideMark/>
          </w:tcPr>
          <w:p w14:paraId="4D432489" w14:textId="77777777" w:rsidR="00E87438" w:rsidRPr="00BB4D40" w:rsidRDefault="00E87438" w:rsidP="00B73CE3">
            <w:pPr>
              <w:ind w:firstLine="319"/>
              <w:rPr>
                <w:rFonts w:ascii="Arial" w:hAnsi="Arial" w:cs="Arial"/>
                <w:color w:val="000000"/>
                <w:sz w:val="20"/>
                <w:szCs w:val="20"/>
              </w:rPr>
            </w:pPr>
            <w:r w:rsidRPr="00BB4D40">
              <w:rPr>
                <w:rFonts w:ascii="Arial" w:hAnsi="Arial" w:cs="Arial"/>
                <w:color w:val="000000"/>
                <w:sz w:val="20"/>
                <w:szCs w:val="20"/>
                <w:lang w:eastAsia="vi-VN"/>
              </w:rPr>
              <w:t>Rail way</w:t>
            </w:r>
          </w:p>
        </w:tc>
        <w:tc>
          <w:tcPr>
            <w:tcW w:w="1811" w:type="dxa"/>
            <w:tcBorders>
              <w:top w:val="nil"/>
              <w:left w:val="nil"/>
              <w:bottom w:val="nil"/>
              <w:right w:val="nil"/>
            </w:tcBorders>
            <w:shd w:val="clear" w:color="auto" w:fill="auto"/>
            <w:noWrap/>
            <w:vAlign w:val="bottom"/>
            <w:hideMark/>
          </w:tcPr>
          <w:p w14:paraId="23DD784F"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4,2</w:t>
            </w:r>
          </w:p>
        </w:tc>
        <w:tc>
          <w:tcPr>
            <w:tcW w:w="1843" w:type="dxa"/>
            <w:tcBorders>
              <w:top w:val="nil"/>
              <w:left w:val="nil"/>
              <w:bottom w:val="nil"/>
              <w:right w:val="nil"/>
            </w:tcBorders>
            <w:shd w:val="clear" w:color="auto" w:fill="auto"/>
            <w:noWrap/>
            <w:vAlign w:val="bottom"/>
            <w:hideMark/>
          </w:tcPr>
          <w:p w14:paraId="025D2EB1"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3,1</w:t>
            </w:r>
          </w:p>
        </w:tc>
        <w:tc>
          <w:tcPr>
            <w:tcW w:w="1795" w:type="dxa"/>
            <w:tcBorders>
              <w:top w:val="nil"/>
              <w:left w:val="nil"/>
              <w:bottom w:val="nil"/>
              <w:right w:val="nil"/>
            </w:tcBorders>
            <w:shd w:val="clear" w:color="auto" w:fill="auto"/>
            <w:noWrap/>
            <w:vAlign w:val="bottom"/>
          </w:tcPr>
          <w:p w14:paraId="4BD4F46C"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9,8</w:t>
            </w:r>
          </w:p>
        </w:tc>
        <w:tc>
          <w:tcPr>
            <w:tcW w:w="1560" w:type="dxa"/>
            <w:tcBorders>
              <w:top w:val="nil"/>
              <w:left w:val="nil"/>
              <w:bottom w:val="nil"/>
              <w:right w:val="nil"/>
            </w:tcBorders>
            <w:shd w:val="clear" w:color="auto" w:fill="auto"/>
            <w:noWrap/>
            <w:vAlign w:val="bottom"/>
            <w:hideMark/>
          </w:tcPr>
          <w:p w14:paraId="43B1AEF3"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3,5</w:t>
            </w:r>
          </w:p>
        </w:tc>
      </w:tr>
      <w:tr w:rsidR="00E87438" w:rsidRPr="00BB4D40" w14:paraId="3EDC4F47" w14:textId="77777777" w:rsidTr="00B73CE3">
        <w:trPr>
          <w:cantSplit/>
          <w:trHeight w:val="372"/>
        </w:trPr>
        <w:tc>
          <w:tcPr>
            <w:tcW w:w="2158" w:type="dxa"/>
            <w:tcBorders>
              <w:top w:val="nil"/>
              <w:left w:val="nil"/>
              <w:bottom w:val="nil"/>
              <w:right w:val="nil"/>
            </w:tcBorders>
            <w:shd w:val="clear" w:color="auto" w:fill="auto"/>
            <w:noWrap/>
            <w:vAlign w:val="center"/>
            <w:hideMark/>
          </w:tcPr>
          <w:p w14:paraId="719C475A" w14:textId="77777777" w:rsidR="00E87438" w:rsidRPr="00BB4D40" w:rsidRDefault="00E87438" w:rsidP="00B73CE3">
            <w:pPr>
              <w:ind w:firstLine="319"/>
              <w:rPr>
                <w:rFonts w:ascii="Arial" w:hAnsi="Arial" w:cs="Arial"/>
                <w:color w:val="000000"/>
                <w:sz w:val="20"/>
                <w:szCs w:val="20"/>
              </w:rPr>
            </w:pPr>
            <w:r w:rsidRPr="00BB4D40">
              <w:rPr>
                <w:rFonts w:ascii="Arial" w:hAnsi="Arial" w:cs="Arial"/>
                <w:color w:val="000000"/>
                <w:sz w:val="20"/>
                <w:szCs w:val="20"/>
                <w:lang w:eastAsia="vi-VN"/>
              </w:rPr>
              <w:t>Sea way</w:t>
            </w:r>
          </w:p>
        </w:tc>
        <w:tc>
          <w:tcPr>
            <w:tcW w:w="1811" w:type="dxa"/>
            <w:tcBorders>
              <w:top w:val="nil"/>
              <w:left w:val="nil"/>
              <w:bottom w:val="nil"/>
              <w:right w:val="nil"/>
            </w:tcBorders>
            <w:shd w:val="clear" w:color="auto" w:fill="auto"/>
            <w:noWrap/>
            <w:vAlign w:val="bottom"/>
            <w:hideMark/>
          </w:tcPr>
          <w:p w14:paraId="136A467A"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110,9</w:t>
            </w:r>
          </w:p>
        </w:tc>
        <w:tc>
          <w:tcPr>
            <w:tcW w:w="1843" w:type="dxa"/>
            <w:tcBorders>
              <w:top w:val="nil"/>
              <w:left w:val="nil"/>
              <w:bottom w:val="nil"/>
              <w:right w:val="nil"/>
            </w:tcBorders>
            <w:shd w:val="clear" w:color="auto" w:fill="auto"/>
            <w:noWrap/>
            <w:vAlign w:val="bottom"/>
            <w:hideMark/>
          </w:tcPr>
          <w:p w14:paraId="6F1E76AE"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224,6</w:t>
            </w:r>
          </w:p>
        </w:tc>
        <w:tc>
          <w:tcPr>
            <w:tcW w:w="1795" w:type="dxa"/>
            <w:tcBorders>
              <w:top w:val="nil"/>
              <w:left w:val="nil"/>
              <w:bottom w:val="nil"/>
              <w:right w:val="nil"/>
            </w:tcBorders>
            <w:shd w:val="clear" w:color="auto" w:fill="auto"/>
            <w:noWrap/>
            <w:vAlign w:val="bottom"/>
          </w:tcPr>
          <w:p w14:paraId="7EBBF289"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15,1</w:t>
            </w:r>
          </w:p>
        </w:tc>
        <w:tc>
          <w:tcPr>
            <w:tcW w:w="1560" w:type="dxa"/>
            <w:tcBorders>
              <w:top w:val="nil"/>
              <w:left w:val="nil"/>
              <w:bottom w:val="nil"/>
              <w:right w:val="nil"/>
            </w:tcBorders>
            <w:shd w:val="clear" w:color="auto" w:fill="auto"/>
            <w:noWrap/>
            <w:vAlign w:val="bottom"/>
            <w:hideMark/>
          </w:tcPr>
          <w:p w14:paraId="0B545F65"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8,7</w:t>
            </w:r>
          </w:p>
        </w:tc>
      </w:tr>
      <w:tr w:rsidR="00E87438" w:rsidRPr="00BB4D40" w14:paraId="786E9934" w14:textId="77777777" w:rsidTr="00B73CE3">
        <w:trPr>
          <w:cantSplit/>
          <w:trHeight w:val="372"/>
        </w:trPr>
        <w:tc>
          <w:tcPr>
            <w:tcW w:w="2158" w:type="dxa"/>
            <w:tcBorders>
              <w:top w:val="nil"/>
              <w:left w:val="nil"/>
              <w:bottom w:val="nil"/>
              <w:right w:val="nil"/>
            </w:tcBorders>
            <w:shd w:val="clear" w:color="auto" w:fill="auto"/>
            <w:noWrap/>
            <w:vAlign w:val="center"/>
            <w:hideMark/>
          </w:tcPr>
          <w:p w14:paraId="24DA295E" w14:textId="77777777" w:rsidR="00E87438" w:rsidRPr="00BB4D40" w:rsidRDefault="00E87438" w:rsidP="00B73CE3">
            <w:pPr>
              <w:ind w:firstLine="319"/>
              <w:rPr>
                <w:rFonts w:ascii="Arial" w:hAnsi="Arial" w:cs="Arial"/>
                <w:color w:val="000000"/>
                <w:sz w:val="20"/>
                <w:szCs w:val="20"/>
              </w:rPr>
            </w:pPr>
            <w:r w:rsidRPr="00BB4D40">
              <w:rPr>
                <w:rFonts w:ascii="Arial" w:hAnsi="Arial" w:cs="Arial"/>
                <w:color w:val="000000"/>
                <w:sz w:val="20"/>
                <w:szCs w:val="20"/>
                <w:lang w:eastAsia="vi-VN"/>
              </w:rPr>
              <w:t>Inland water way</w:t>
            </w:r>
          </w:p>
        </w:tc>
        <w:tc>
          <w:tcPr>
            <w:tcW w:w="1811" w:type="dxa"/>
            <w:tcBorders>
              <w:top w:val="nil"/>
              <w:left w:val="nil"/>
              <w:bottom w:val="nil"/>
              <w:right w:val="nil"/>
            </w:tcBorders>
            <w:shd w:val="clear" w:color="auto" w:fill="auto"/>
            <w:noWrap/>
            <w:vAlign w:val="bottom"/>
            <w:hideMark/>
          </w:tcPr>
          <w:p w14:paraId="6071B511"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440,8</w:t>
            </w:r>
          </w:p>
        </w:tc>
        <w:tc>
          <w:tcPr>
            <w:tcW w:w="1843" w:type="dxa"/>
            <w:tcBorders>
              <w:top w:val="nil"/>
              <w:left w:val="nil"/>
              <w:bottom w:val="nil"/>
              <w:right w:val="nil"/>
            </w:tcBorders>
            <w:shd w:val="clear" w:color="auto" w:fill="auto"/>
            <w:noWrap/>
            <w:vAlign w:val="bottom"/>
            <w:hideMark/>
          </w:tcPr>
          <w:p w14:paraId="053C36AE"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99,0</w:t>
            </w:r>
          </w:p>
        </w:tc>
        <w:tc>
          <w:tcPr>
            <w:tcW w:w="1795" w:type="dxa"/>
            <w:tcBorders>
              <w:top w:val="nil"/>
              <w:left w:val="nil"/>
              <w:bottom w:val="nil"/>
              <w:right w:val="nil"/>
            </w:tcBorders>
            <w:shd w:val="clear" w:color="auto" w:fill="auto"/>
            <w:noWrap/>
            <w:vAlign w:val="bottom"/>
          </w:tcPr>
          <w:p w14:paraId="720A5B18"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11,2</w:t>
            </w:r>
          </w:p>
        </w:tc>
        <w:tc>
          <w:tcPr>
            <w:tcW w:w="1560" w:type="dxa"/>
            <w:tcBorders>
              <w:top w:val="nil"/>
              <w:left w:val="nil"/>
              <w:bottom w:val="nil"/>
              <w:right w:val="nil"/>
            </w:tcBorders>
            <w:shd w:val="clear" w:color="auto" w:fill="auto"/>
            <w:noWrap/>
            <w:vAlign w:val="bottom"/>
            <w:hideMark/>
          </w:tcPr>
          <w:p w14:paraId="1255962B"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11,6</w:t>
            </w:r>
          </w:p>
        </w:tc>
      </w:tr>
      <w:tr w:rsidR="00E87438" w:rsidRPr="00BB4D40" w14:paraId="11B0E00A" w14:textId="77777777" w:rsidTr="00B73CE3">
        <w:trPr>
          <w:cantSplit/>
          <w:trHeight w:val="372"/>
        </w:trPr>
        <w:tc>
          <w:tcPr>
            <w:tcW w:w="2158" w:type="dxa"/>
            <w:tcBorders>
              <w:top w:val="nil"/>
              <w:left w:val="nil"/>
              <w:bottom w:val="nil"/>
              <w:right w:val="nil"/>
            </w:tcBorders>
            <w:shd w:val="clear" w:color="auto" w:fill="auto"/>
            <w:noWrap/>
            <w:vAlign w:val="center"/>
            <w:hideMark/>
          </w:tcPr>
          <w:p w14:paraId="45F858D3" w14:textId="77777777" w:rsidR="00E87438" w:rsidRPr="00BB4D40" w:rsidRDefault="00E87438" w:rsidP="00B73CE3">
            <w:pPr>
              <w:ind w:firstLine="319"/>
              <w:rPr>
                <w:rFonts w:ascii="Arial" w:hAnsi="Arial" w:cs="Arial"/>
                <w:color w:val="000000"/>
                <w:sz w:val="20"/>
                <w:szCs w:val="20"/>
              </w:rPr>
            </w:pPr>
            <w:r w:rsidRPr="00BB4D40">
              <w:rPr>
                <w:rFonts w:ascii="Arial" w:hAnsi="Arial" w:cs="Arial"/>
                <w:color w:val="000000"/>
                <w:sz w:val="20"/>
                <w:szCs w:val="20"/>
                <w:lang w:eastAsia="vi-VN"/>
              </w:rPr>
              <w:t>Road</w:t>
            </w:r>
          </w:p>
        </w:tc>
        <w:tc>
          <w:tcPr>
            <w:tcW w:w="1811" w:type="dxa"/>
            <w:tcBorders>
              <w:top w:val="nil"/>
              <w:left w:val="nil"/>
              <w:bottom w:val="nil"/>
              <w:right w:val="nil"/>
            </w:tcBorders>
            <w:shd w:val="clear" w:color="auto" w:fill="auto"/>
            <w:noWrap/>
            <w:vAlign w:val="bottom"/>
            <w:hideMark/>
          </w:tcPr>
          <w:p w14:paraId="63747715"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1.619,9</w:t>
            </w:r>
          </w:p>
        </w:tc>
        <w:tc>
          <w:tcPr>
            <w:tcW w:w="1843" w:type="dxa"/>
            <w:tcBorders>
              <w:top w:val="nil"/>
              <w:left w:val="nil"/>
              <w:bottom w:val="nil"/>
              <w:right w:val="nil"/>
            </w:tcBorders>
            <w:shd w:val="clear" w:color="auto" w:fill="auto"/>
            <w:noWrap/>
            <w:vAlign w:val="bottom"/>
            <w:hideMark/>
          </w:tcPr>
          <w:p w14:paraId="06095812"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108,6</w:t>
            </w:r>
          </w:p>
        </w:tc>
        <w:tc>
          <w:tcPr>
            <w:tcW w:w="1795" w:type="dxa"/>
            <w:tcBorders>
              <w:top w:val="nil"/>
              <w:left w:val="nil"/>
              <w:bottom w:val="nil"/>
              <w:right w:val="nil"/>
            </w:tcBorders>
            <w:shd w:val="clear" w:color="auto" w:fill="auto"/>
            <w:noWrap/>
            <w:vAlign w:val="bottom"/>
          </w:tcPr>
          <w:p w14:paraId="2F844C2F"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15,1</w:t>
            </w:r>
          </w:p>
        </w:tc>
        <w:tc>
          <w:tcPr>
            <w:tcW w:w="1560" w:type="dxa"/>
            <w:tcBorders>
              <w:top w:val="nil"/>
              <w:left w:val="nil"/>
              <w:bottom w:val="nil"/>
              <w:right w:val="nil"/>
            </w:tcBorders>
            <w:shd w:val="clear" w:color="auto" w:fill="auto"/>
            <w:noWrap/>
            <w:vAlign w:val="bottom"/>
            <w:hideMark/>
          </w:tcPr>
          <w:p w14:paraId="016B6FE9"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15,4</w:t>
            </w:r>
          </w:p>
        </w:tc>
      </w:tr>
      <w:tr w:rsidR="00E87438" w:rsidRPr="00BB4D40" w14:paraId="3FBAEC4D" w14:textId="77777777" w:rsidTr="00B73CE3">
        <w:trPr>
          <w:cantSplit/>
          <w:trHeight w:val="372"/>
        </w:trPr>
        <w:tc>
          <w:tcPr>
            <w:tcW w:w="2158" w:type="dxa"/>
            <w:tcBorders>
              <w:top w:val="nil"/>
              <w:left w:val="nil"/>
              <w:bottom w:val="single" w:sz="4" w:space="0" w:color="auto"/>
              <w:right w:val="nil"/>
            </w:tcBorders>
            <w:shd w:val="clear" w:color="auto" w:fill="auto"/>
            <w:noWrap/>
            <w:vAlign w:val="center"/>
            <w:hideMark/>
          </w:tcPr>
          <w:p w14:paraId="498FA16C" w14:textId="77777777" w:rsidR="00E87438" w:rsidRPr="00BB4D40" w:rsidRDefault="00E87438" w:rsidP="00B73CE3">
            <w:pPr>
              <w:ind w:firstLine="319"/>
              <w:rPr>
                <w:rFonts w:ascii="Arial" w:hAnsi="Arial" w:cs="Arial"/>
                <w:color w:val="000000"/>
                <w:sz w:val="20"/>
                <w:szCs w:val="20"/>
              </w:rPr>
            </w:pPr>
            <w:r w:rsidRPr="00BB4D40">
              <w:rPr>
                <w:rFonts w:ascii="Arial" w:hAnsi="Arial" w:cs="Arial"/>
                <w:color w:val="000000"/>
                <w:sz w:val="20"/>
                <w:szCs w:val="20"/>
                <w:lang w:eastAsia="vi-VN"/>
              </w:rPr>
              <w:t xml:space="preserve">Airway </w:t>
            </w:r>
          </w:p>
        </w:tc>
        <w:tc>
          <w:tcPr>
            <w:tcW w:w="1811" w:type="dxa"/>
            <w:tcBorders>
              <w:top w:val="nil"/>
              <w:left w:val="nil"/>
              <w:bottom w:val="single" w:sz="4" w:space="0" w:color="auto"/>
              <w:right w:val="nil"/>
            </w:tcBorders>
            <w:shd w:val="clear" w:color="auto" w:fill="auto"/>
            <w:noWrap/>
            <w:vAlign w:val="bottom"/>
            <w:hideMark/>
          </w:tcPr>
          <w:p w14:paraId="26307DA5"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0,4</w:t>
            </w:r>
          </w:p>
        </w:tc>
        <w:tc>
          <w:tcPr>
            <w:tcW w:w="1843" w:type="dxa"/>
            <w:tcBorders>
              <w:top w:val="nil"/>
              <w:left w:val="nil"/>
              <w:bottom w:val="single" w:sz="4" w:space="0" w:color="auto"/>
              <w:right w:val="nil"/>
            </w:tcBorders>
            <w:shd w:val="clear" w:color="auto" w:fill="auto"/>
            <w:noWrap/>
            <w:vAlign w:val="bottom"/>
            <w:hideMark/>
          </w:tcPr>
          <w:p w14:paraId="2D50F72A"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8,0</w:t>
            </w:r>
          </w:p>
        </w:tc>
        <w:tc>
          <w:tcPr>
            <w:tcW w:w="1795" w:type="dxa"/>
            <w:tcBorders>
              <w:top w:val="nil"/>
              <w:left w:val="nil"/>
              <w:bottom w:val="single" w:sz="4" w:space="0" w:color="auto"/>
              <w:right w:val="nil"/>
            </w:tcBorders>
            <w:shd w:val="clear" w:color="auto" w:fill="auto"/>
            <w:noWrap/>
            <w:vAlign w:val="bottom"/>
          </w:tcPr>
          <w:p w14:paraId="1626C008"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37,4</w:t>
            </w:r>
          </w:p>
        </w:tc>
        <w:tc>
          <w:tcPr>
            <w:tcW w:w="1560" w:type="dxa"/>
            <w:tcBorders>
              <w:top w:val="nil"/>
              <w:left w:val="nil"/>
              <w:bottom w:val="single" w:sz="4" w:space="0" w:color="auto"/>
              <w:right w:val="nil"/>
            </w:tcBorders>
            <w:shd w:val="clear" w:color="auto" w:fill="auto"/>
            <w:noWrap/>
            <w:vAlign w:val="bottom"/>
            <w:hideMark/>
          </w:tcPr>
          <w:p w14:paraId="67A1A81A" w14:textId="77777777" w:rsidR="00E87438" w:rsidRPr="00F04784" w:rsidRDefault="00E87438" w:rsidP="00B73CE3">
            <w:pPr>
              <w:spacing w:beforeLines="40" w:before="96"/>
              <w:ind w:right="447"/>
              <w:jc w:val="right"/>
              <w:rPr>
                <w:rFonts w:ascii="Arial" w:hAnsi="Arial" w:cs="Arial"/>
                <w:sz w:val="20"/>
                <w:szCs w:val="20"/>
                <w14:ligatures w14:val="standardContextual"/>
              </w:rPr>
            </w:pPr>
            <w:r>
              <w:rPr>
                <w:rFonts w:ascii="Arial" w:hAnsi="Arial" w:cs="Arial"/>
                <w:color w:val="000000"/>
                <w:sz w:val="20"/>
                <w:szCs w:val="20"/>
              </w:rPr>
              <w:t>18,3</w:t>
            </w:r>
          </w:p>
        </w:tc>
      </w:tr>
    </w:tbl>
    <w:p w14:paraId="01080D4F" w14:textId="77777777" w:rsidR="00E87438" w:rsidRPr="00BB4D40" w:rsidRDefault="00E87438" w:rsidP="00E87438">
      <w:pPr>
        <w:spacing w:beforeLines="40" w:before="96" w:afterLines="40" w:after="96" w:line="264" w:lineRule="auto"/>
        <w:ind w:firstLine="567"/>
        <w:jc w:val="center"/>
        <w:rPr>
          <w:rFonts w:ascii="Arial" w:hAnsi="Arial" w:cs="Arial"/>
          <w:b/>
          <w:bCs/>
          <w:sz w:val="2"/>
          <w:szCs w:val="24"/>
          <w:lang w:val="fr-FR"/>
        </w:rPr>
      </w:pPr>
    </w:p>
    <w:p w14:paraId="2CF3402E" w14:textId="77777777" w:rsidR="00E87438" w:rsidRPr="00BB4D40" w:rsidRDefault="00E87438" w:rsidP="00E87438">
      <w:pPr>
        <w:spacing w:beforeLines="40" w:before="96" w:afterLines="40" w:after="96" w:line="293" w:lineRule="auto"/>
        <w:jc w:val="both"/>
        <w:rPr>
          <w:b/>
          <w:bCs/>
          <w:i/>
        </w:rPr>
      </w:pPr>
      <w:r w:rsidRPr="00BB4D40">
        <w:rPr>
          <w:b/>
          <w:bCs/>
          <w:i/>
          <w:iCs/>
          <w:lang w:val="pt-BR"/>
        </w:rPr>
        <w:lastRenderedPageBreak/>
        <w:t xml:space="preserve">đ) </w:t>
      </w:r>
      <w:r w:rsidRPr="00870842">
        <w:rPr>
          <w:rFonts w:ascii="Times New Roman Bold Italic" w:hAnsi="Times New Roman Bold Italic"/>
          <w:b/>
          <w:i/>
          <w:iCs/>
        </w:rPr>
        <w:t>International visitors to Viet Nam</w:t>
      </w:r>
      <w:r w:rsidRPr="00BB4D40">
        <w:rPr>
          <w:rStyle w:val="FootnoteReference"/>
          <w:rFonts w:ascii="Times New Roman Bold Italic" w:eastAsiaTheme="majorEastAsia" w:hAnsi="Times New Roman Bold Italic"/>
          <w:b/>
          <w:i/>
          <w:iCs/>
        </w:rPr>
        <w:footnoteReference w:id="28"/>
      </w:r>
    </w:p>
    <w:p w14:paraId="0AF1EC32" w14:textId="77777777" w:rsidR="00E87438" w:rsidRPr="00870842" w:rsidRDefault="00E87438" w:rsidP="00E87438">
      <w:pPr>
        <w:shd w:val="clear" w:color="auto" w:fill="FFFFFF"/>
        <w:spacing w:beforeLines="40" w:before="96" w:afterLines="40" w:after="96" w:line="293" w:lineRule="auto"/>
        <w:ind w:firstLine="567"/>
        <w:jc w:val="both"/>
        <w:rPr>
          <w:i/>
          <w:iCs/>
        </w:rPr>
      </w:pPr>
      <w:r w:rsidRPr="00870842">
        <w:rPr>
          <w:i/>
          <w:iCs/>
        </w:rPr>
        <w:t>Favorable visa policies, enhanced tourism promotion programs, and prestigious tourism awards presented by international organizations have attracted an increasing number of international visitors to Vietnam.</w:t>
      </w:r>
    </w:p>
    <w:p w14:paraId="7DFF0414" w14:textId="77777777" w:rsidR="00E87438" w:rsidRPr="00870842" w:rsidRDefault="00E87438" w:rsidP="00E87438">
      <w:pPr>
        <w:shd w:val="clear" w:color="auto" w:fill="FFFFFF"/>
        <w:spacing w:beforeLines="40" w:before="96" w:afterLines="40" w:after="96" w:line="293" w:lineRule="auto"/>
        <w:ind w:firstLine="567"/>
        <w:jc w:val="both"/>
      </w:pPr>
      <w:r w:rsidRPr="00870842">
        <w:t>In 10/2024</w:t>
      </w:r>
      <w:r w:rsidRPr="003A2BF7">
        <w:rPr>
          <w:rStyle w:val="FootnoteReference"/>
          <w:rFonts w:eastAsiaTheme="majorEastAsia"/>
          <w:lang w:val="fr-FR"/>
        </w:rPr>
        <w:footnoteReference w:id="29"/>
      </w:r>
      <w:r w:rsidRPr="00870842">
        <w:t>, the number of international visitors to Viet Nam reached 1.4</w:t>
      </w:r>
      <w:r>
        <w:t>2</w:t>
      </w:r>
      <w:r w:rsidRPr="00870842">
        <w:t xml:space="preserve"> million, increased by </w:t>
      </w:r>
      <w:r>
        <w:t>27.6</w:t>
      </w:r>
      <w:r w:rsidRPr="00870842">
        <w:t xml:space="preserve">% compared to the same period last year. In </w:t>
      </w:r>
      <w:r>
        <w:t>ten months</w:t>
      </w:r>
      <w:r w:rsidRPr="00870842">
        <w:t xml:space="preserve"> of 2024, international visitors to our country reached nearly </w:t>
      </w:r>
      <w:r>
        <w:t>14.1</w:t>
      </w:r>
      <w:r w:rsidRPr="00870842">
        <w:t xml:space="preserve"> million arrivals, up </w:t>
      </w:r>
      <w:r>
        <w:t>41.3</w:t>
      </w:r>
      <w:r w:rsidRPr="00870842">
        <w:t>% compared to the same period last year.</w:t>
      </w:r>
    </w:p>
    <w:p w14:paraId="3B4C6784" w14:textId="77777777" w:rsidR="00E87438" w:rsidRPr="00870842" w:rsidRDefault="00E87438" w:rsidP="00E87438">
      <w:pPr>
        <w:shd w:val="clear" w:color="auto" w:fill="FFFFFF"/>
        <w:spacing w:beforeLines="40" w:before="96" w:afterLines="40" w:after="96" w:line="300" w:lineRule="auto"/>
        <w:ind w:firstLine="567"/>
        <w:jc w:val="both"/>
      </w:pPr>
      <w:r w:rsidRPr="00870842">
        <w:t xml:space="preserve">Out of a total of nearly </w:t>
      </w:r>
      <w:r>
        <w:t>14.1</w:t>
      </w:r>
      <w:r w:rsidRPr="00870842">
        <w:t xml:space="preserve"> million international arrivals to Viet Nam in </w:t>
      </w:r>
      <w:r>
        <w:t>ten months</w:t>
      </w:r>
      <w:r w:rsidRPr="00870842">
        <w:t xml:space="preserve"> of this year, arrivals by air reached nearly </w:t>
      </w:r>
      <w:r>
        <w:t>12</w:t>
      </w:r>
      <w:r w:rsidRPr="00870842">
        <w:t xml:space="preserve"> million arrivals, accounting for 84.</w:t>
      </w:r>
      <w:r>
        <w:t>8</w:t>
      </w:r>
      <w:r w:rsidRPr="00870842">
        <w:t xml:space="preserve">% of international arrivals to Viet Nam and up </w:t>
      </w:r>
      <w:r>
        <w:t>36.9</w:t>
      </w:r>
      <w:r w:rsidRPr="00870842">
        <w:t xml:space="preserve">% over the same period last year; by road reached </w:t>
      </w:r>
      <w:r>
        <w:t>2</w:t>
      </w:r>
      <w:r w:rsidRPr="00BB4D40">
        <w:rPr>
          <w:bCs/>
          <w:lang w:val="pt-BR" w:eastAsia="en-GB"/>
        </w:rPr>
        <w:t xml:space="preserve"> </w:t>
      </w:r>
      <w:r w:rsidRPr="00870842">
        <w:t>million arrivals, accounting for 13.</w:t>
      </w:r>
      <w:r>
        <w:t>9</w:t>
      </w:r>
      <w:r w:rsidRPr="00870842">
        <w:t xml:space="preserve">% and up </w:t>
      </w:r>
      <w:r>
        <w:t>65.7</w:t>
      </w:r>
      <w:r w:rsidRPr="00870842">
        <w:t xml:space="preserve">%; by sea reached </w:t>
      </w:r>
      <w:r>
        <w:rPr>
          <w:bCs/>
          <w:lang w:val="pt-BR" w:eastAsia="en-GB"/>
        </w:rPr>
        <w:t>189.1</w:t>
      </w:r>
      <w:r w:rsidRPr="00BB4D40">
        <w:rPr>
          <w:bCs/>
          <w:lang w:val="pt-BR" w:eastAsia="en-GB"/>
        </w:rPr>
        <w:t xml:space="preserve"> </w:t>
      </w:r>
      <w:r w:rsidRPr="00870842">
        <w:t>thousand arrivals, accounting for 1.</w:t>
      </w:r>
      <w:r>
        <w:t>3</w:t>
      </w:r>
      <w:r w:rsidRPr="00870842">
        <w:t xml:space="preserve">% and up </w:t>
      </w:r>
      <w:r>
        <w:t>172.3</w:t>
      </w:r>
      <w:r w:rsidRPr="00870842">
        <w:t>% .</w:t>
      </w:r>
    </w:p>
    <w:p w14:paraId="7D2C18ED" w14:textId="77777777" w:rsidR="00E87438" w:rsidRPr="00870842" w:rsidRDefault="00E87438" w:rsidP="00E87438">
      <w:pPr>
        <w:spacing w:beforeLines="40" w:before="96" w:afterLines="40" w:after="96" w:line="264" w:lineRule="auto"/>
        <w:jc w:val="center"/>
        <w:rPr>
          <w:rFonts w:ascii="Arial" w:hAnsi="Arial" w:cs="Arial"/>
          <w:b/>
          <w:bCs/>
          <w:iCs/>
          <w:sz w:val="24"/>
          <w:szCs w:val="24"/>
        </w:rPr>
      </w:pPr>
      <w:r w:rsidRPr="00870842">
        <w:rPr>
          <w:rFonts w:ascii="Arial" w:hAnsi="Arial" w:cs="Arial"/>
          <w:b/>
          <w:bCs/>
          <w:iCs/>
          <w:sz w:val="24"/>
          <w:szCs w:val="24"/>
        </w:rPr>
        <w:t xml:space="preserve">Figure 17. International visitors to Viet Nam in </w:t>
      </w:r>
      <w:r>
        <w:rPr>
          <w:rFonts w:ascii="Arial" w:hAnsi="Arial" w:cs="Arial"/>
          <w:b/>
          <w:bCs/>
          <w:iCs/>
          <w:sz w:val="24"/>
          <w:szCs w:val="24"/>
        </w:rPr>
        <w:t>10 months</w:t>
      </w:r>
      <w:r w:rsidRPr="00870842">
        <w:rPr>
          <w:rFonts w:ascii="Arial" w:hAnsi="Arial" w:cs="Arial"/>
          <w:b/>
          <w:bCs/>
          <w:iCs/>
          <w:sz w:val="24"/>
          <w:szCs w:val="24"/>
        </w:rPr>
        <w:t xml:space="preserve"> </w:t>
      </w:r>
      <w:r w:rsidRPr="00870842">
        <w:rPr>
          <w:rFonts w:ascii="Arial" w:hAnsi="Arial" w:cs="Arial"/>
          <w:b/>
          <w:bCs/>
          <w:iCs/>
          <w:sz w:val="24"/>
          <w:szCs w:val="24"/>
        </w:rPr>
        <w:br/>
        <w:t>of 2024 by territories</w:t>
      </w:r>
    </w:p>
    <w:p w14:paraId="0113F479" w14:textId="029973CC" w:rsidR="0063307A" w:rsidRPr="00E87438" w:rsidRDefault="00E87438" w:rsidP="00E87438">
      <w:r>
        <w:rPr>
          <w:noProof/>
        </w:rPr>
        <w:drawing>
          <wp:inline distT="0" distB="0" distL="0" distR="0" wp14:anchorId="6DE0798C" wp14:editId="2F796B5B">
            <wp:extent cx="5972175" cy="2991485"/>
            <wp:effectExtent l="0" t="0" r="9525" b="0"/>
            <wp:docPr id="194492377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23778" name="Picture 1" descr="A screenshot of a graph&#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2175" cy="2991485"/>
                    </a:xfrm>
                    <a:prstGeom prst="rect">
                      <a:avLst/>
                    </a:prstGeom>
                    <a:noFill/>
                    <a:ln>
                      <a:noFill/>
                    </a:ln>
                  </pic:spPr>
                </pic:pic>
              </a:graphicData>
            </a:graphic>
          </wp:inline>
        </w:drawing>
      </w:r>
    </w:p>
    <w:p w14:paraId="2AADA4E1" w14:textId="77777777" w:rsidR="00E87438" w:rsidRPr="00E87438" w:rsidRDefault="00E87438" w:rsidP="00E87438">
      <w:pPr>
        <w:spacing w:after="160" w:line="259" w:lineRule="auto"/>
        <w:ind w:firstLine="720"/>
        <w:jc w:val="both"/>
        <w:rPr>
          <w:rFonts w:eastAsia="Calibri"/>
          <w:b/>
        </w:rPr>
      </w:pPr>
      <w:r w:rsidRPr="00E87438">
        <w:rPr>
          <w:rFonts w:eastAsia="Calibri"/>
          <w:b/>
        </w:rPr>
        <w:t>7. Some social situations</w:t>
      </w:r>
    </w:p>
    <w:p w14:paraId="629B0FB2" w14:textId="77777777" w:rsidR="00E87438" w:rsidRPr="00E87438" w:rsidRDefault="00E87438" w:rsidP="00E87438">
      <w:pPr>
        <w:spacing w:after="160" w:line="259" w:lineRule="auto"/>
        <w:ind w:firstLine="720"/>
        <w:jc w:val="both"/>
        <w:rPr>
          <w:rFonts w:eastAsia="Calibri"/>
          <w:b/>
          <w:i/>
        </w:rPr>
      </w:pPr>
      <w:r w:rsidRPr="00E87438">
        <w:rPr>
          <w:rFonts w:eastAsia="Calibri"/>
          <w:b/>
          <w:i/>
        </w:rPr>
        <w:t xml:space="preserve">a) Residential life </w:t>
      </w:r>
    </w:p>
    <w:p w14:paraId="71B61633" w14:textId="77777777" w:rsidR="00E87438" w:rsidRPr="00E87438" w:rsidRDefault="00E87438" w:rsidP="00E87438">
      <w:pPr>
        <w:spacing w:after="160" w:line="259" w:lineRule="auto"/>
        <w:ind w:firstLine="720"/>
        <w:jc w:val="both"/>
        <w:rPr>
          <w:rFonts w:eastAsia="Calibri"/>
        </w:rPr>
      </w:pPr>
      <w:r w:rsidRPr="00E87438">
        <w:rPr>
          <w:rFonts w:eastAsia="Calibri"/>
        </w:rPr>
        <w:t xml:space="preserve">According to the survey on the living situation of households in October 2024, the proportion of households assessed to have income during the month remained unchanged and increased compared to the same period last year was 95.4% (down 0.8 percentage points). percent compared to the September 2024 </w:t>
      </w:r>
      <w:r w:rsidRPr="00E87438">
        <w:rPr>
          <w:rFonts w:eastAsia="Calibri"/>
        </w:rPr>
        <w:lastRenderedPageBreak/>
        <w:t>reporting period and increased by 1.6 percentage points compared to the same period last year); The proportion of households assessed to have reduced income and unknown compared to the same month in 2023 is 4.6%.</w:t>
      </w:r>
    </w:p>
    <w:p w14:paraId="717E8A00" w14:textId="77777777" w:rsidR="00E87438" w:rsidRPr="00E87438" w:rsidRDefault="00E87438" w:rsidP="00E87438">
      <w:pPr>
        <w:spacing w:after="160" w:line="259" w:lineRule="auto"/>
        <w:ind w:firstLine="720"/>
        <w:jc w:val="both"/>
        <w:rPr>
          <w:rFonts w:eastAsia="Calibri"/>
        </w:rPr>
      </w:pPr>
      <w:r w:rsidRPr="00E87438">
        <w:rPr>
          <w:rFonts w:eastAsia="Calibri"/>
        </w:rPr>
        <w:t>Households whose income in October decreased compared to the same period last year identified the main reasons</w:t>
      </w:r>
      <w:r w:rsidRPr="00E87438">
        <w:rPr>
          <w:rFonts w:ascii="Calibri" w:eastAsia="Calibri" w:hAnsi="Calibri"/>
          <w:bCs/>
          <w:snapToGrid w:val="0"/>
          <w:spacing w:val="-4"/>
          <w:sz w:val="22"/>
          <w:szCs w:val="22"/>
          <w:vertAlign w:val="superscript"/>
          <w:lang w:val="nl-NL"/>
        </w:rPr>
        <w:footnoteReference w:id="30"/>
      </w:r>
      <w:r w:rsidRPr="00E87438">
        <w:rPr>
          <w:rFonts w:eastAsia="Calibri"/>
        </w:rPr>
        <w:t xml:space="preserve"> as: Some household members lost their jobs or temporarily quit their jobs (rate of 34.6%); due to the impact of natural disasters (23.4%); due to increased input costs for household production and business activities (22.2%); due to the decrease in the scale of household production and business activities (19.9%); due to the decrease in selling prices of products from household production and business activities (17.4%).</w:t>
      </w:r>
    </w:p>
    <w:p w14:paraId="1E811C5C" w14:textId="77777777" w:rsidR="00E87438" w:rsidRPr="00E87438" w:rsidRDefault="00E87438" w:rsidP="00E87438">
      <w:pPr>
        <w:spacing w:after="160" w:line="259" w:lineRule="auto"/>
        <w:ind w:firstLine="720"/>
        <w:jc w:val="both"/>
        <w:rPr>
          <w:rFonts w:eastAsia="Calibri"/>
        </w:rPr>
      </w:pPr>
      <w:r w:rsidRPr="00E87438">
        <w:rPr>
          <w:rFonts w:eastAsia="Calibri"/>
        </w:rPr>
        <w:t>In the ten months of 2024, 31.1% of households reported experiencing at least one event that negatively affected family life, an increase of 0.3 percentage points compared to the September 2024 reporting period and down 0.8 percentage points compared to the October 2023 reporting period. Among the households negatively affected by the events: 30.1% of households are suffering from the effects of rising prices of goods and services; 2.5% of households are negatively affected by human diseases; 2.1% of households are negatively affected by natural disasters and 1.9% of households are negatively affected by epidemics of livestock and crops.</w:t>
      </w:r>
    </w:p>
    <w:p w14:paraId="5A29C0B9" w14:textId="77777777" w:rsidR="00E87438" w:rsidRPr="00E87438" w:rsidRDefault="00E87438" w:rsidP="00E87438">
      <w:pPr>
        <w:spacing w:after="160" w:line="259" w:lineRule="auto"/>
        <w:ind w:firstLine="720"/>
        <w:jc w:val="both"/>
        <w:rPr>
          <w:rFonts w:eastAsia="Calibri"/>
        </w:rPr>
      </w:pPr>
      <w:r w:rsidRPr="00E87438">
        <w:rPr>
          <w:rFonts w:eastAsia="Calibri"/>
        </w:rPr>
        <w:t>During the ten months of 2024, 12.7% of interviewed households received assistance from various support sources. Of which, the proportion of households receiving assistance from relatives is 8.6%; from local programs and policies is 4.6%; from general national programs and policies is 4.2%; from charitable activities of other organizations and individuals is 1.6% and from other sources is 0.02%.</w:t>
      </w:r>
    </w:p>
    <w:p w14:paraId="0ED3681B" w14:textId="77777777" w:rsidR="00E87438" w:rsidRDefault="00E87438" w:rsidP="00E87438">
      <w:pPr>
        <w:spacing w:after="160" w:line="259" w:lineRule="auto"/>
        <w:ind w:firstLine="720"/>
        <w:jc w:val="both"/>
        <w:rPr>
          <w:rFonts w:eastAsia="Calibri"/>
        </w:rPr>
      </w:pPr>
      <w:r w:rsidRPr="00E87438">
        <w:rPr>
          <w:rFonts w:eastAsia="Calibri"/>
        </w:rPr>
        <w:t>The work of ensuring social security is always carried out promptly and effectively by all levels and sectors. According to a report from the Ministry of Labor, War Invalids and Social Affairs, in ten months of this year, the Government, ministries, branches and localities have supported people with nearly 21.8 thousand tons of rice, of which: provided 10.4 thousand tons of rice for hunger relief on the occasion of the Lunar New Year Giap Thin for 693.4 thousand people; supporting more than 5.9 thousand tons of rice to relieve hunger in 2024 for 396.3 thousand people; Localities also developed plans and proactively allocated local budgets and socialization resources to support nearly 5 thousand tons of rice for poor, near-poor households and people in difficult circumstances.</w:t>
      </w:r>
    </w:p>
    <w:p w14:paraId="0117EE85" w14:textId="77777777" w:rsidR="00E87438" w:rsidRPr="00DE0776" w:rsidRDefault="00E87438" w:rsidP="00E87438">
      <w:pPr>
        <w:pStyle w:val="BodyTextIndent"/>
        <w:tabs>
          <w:tab w:val="left" w:pos="0"/>
          <w:tab w:val="left" w:pos="720"/>
        </w:tabs>
        <w:spacing w:line="264" w:lineRule="auto"/>
        <w:ind w:left="0" w:firstLine="720"/>
        <w:jc w:val="both"/>
        <w:rPr>
          <w:rStyle w:val="normalchar"/>
          <w:rFonts w:eastAsiaTheme="majorEastAsia"/>
          <w:b/>
          <w:bCs/>
          <w:i/>
          <w:iCs/>
          <w:lang w:val="nl-NL"/>
        </w:rPr>
      </w:pPr>
      <w:r w:rsidRPr="00DE0776">
        <w:rPr>
          <w:rStyle w:val="normalchar"/>
          <w:rFonts w:eastAsiaTheme="majorEastAsia"/>
          <w:b/>
          <w:bCs/>
          <w:i/>
          <w:iCs/>
          <w:lang w:val="nl-NL"/>
        </w:rPr>
        <w:t xml:space="preserve">b) </w:t>
      </w:r>
      <w:r w:rsidRPr="00195E31">
        <w:rPr>
          <w:rStyle w:val="normalchar"/>
          <w:rFonts w:eastAsiaTheme="majorEastAsia"/>
          <w:b/>
          <w:bCs/>
          <w:i/>
          <w:iCs/>
          <w:lang w:val="nl-NL"/>
        </w:rPr>
        <w:t>Disease situation and food poisoning</w:t>
      </w:r>
    </w:p>
    <w:p w14:paraId="0E2602F7" w14:textId="77777777" w:rsidR="00E87438" w:rsidRPr="00DE0776" w:rsidRDefault="00E87438" w:rsidP="00E87438">
      <w:pPr>
        <w:spacing w:after="120" w:line="264" w:lineRule="auto"/>
        <w:ind w:firstLine="720"/>
        <w:jc w:val="both"/>
        <w:rPr>
          <w:lang w:val="de-DE"/>
        </w:rPr>
      </w:pPr>
      <w:r w:rsidRPr="00195E31">
        <w:rPr>
          <w:lang w:val="de-DE"/>
        </w:rPr>
        <w:lastRenderedPageBreak/>
        <w:t>According to a report from the Ministry of Health, in the month (from September 19</w:t>
      </w:r>
      <w:r w:rsidRPr="00195E31">
        <w:rPr>
          <w:vertAlign w:val="superscript"/>
          <w:lang w:val="de-DE"/>
        </w:rPr>
        <w:t>th</w:t>
      </w:r>
      <w:r w:rsidRPr="00195E31">
        <w:rPr>
          <w:lang w:val="de-DE"/>
        </w:rPr>
        <w:t xml:space="preserve"> to October 18</w:t>
      </w:r>
      <w:r w:rsidRPr="00195E31">
        <w:rPr>
          <w:vertAlign w:val="superscript"/>
          <w:lang w:val="de-DE"/>
        </w:rPr>
        <w:t>th</w:t>
      </w:r>
      <w:r w:rsidRPr="00195E31">
        <w:rPr>
          <w:lang w:val="de-DE"/>
        </w:rPr>
        <w:t>, 2024), the whole country had 19,744 cases of dengue fever (03 deaths); 9,682 cases of hand, foot and mouth disease; 3,415 cases of typhus suspected of measles (02 deaths); 02 deaths due to rabies; 46 cases of viral encephalitis; 01 case of meningococcal meningitis. In the ten months of 2024, the whole country has 94.6 thousand cases of dengue fever (15 deaths); 56.6 thousand cases of hand, foot and mouth disease; 7,128 cases of typhus suspected of measles (03 deaths); 70 deaths due to rabies; 393 cases of viral encephalitis (06 deaths); 15 cases of meningococcal meningitis; 10 cases of diphtheria (01 death); 01 case of influenza A and death.</w:t>
      </w:r>
    </w:p>
    <w:p w14:paraId="634C7C5F" w14:textId="77777777" w:rsidR="00E87438" w:rsidRPr="00DE0776" w:rsidRDefault="00E87438" w:rsidP="00E87438">
      <w:pPr>
        <w:spacing w:after="120" w:line="264" w:lineRule="auto"/>
        <w:ind w:firstLine="720"/>
        <w:jc w:val="both"/>
        <w:rPr>
          <w:lang w:val="de-DE"/>
        </w:rPr>
      </w:pPr>
      <w:r w:rsidRPr="00195E31">
        <w:rPr>
          <w:lang w:val="de-DE"/>
        </w:rPr>
        <w:t>The total number of people living with HIV in the country as of October 18</w:t>
      </w:r>
      <w:r w:rsidRPr="00195E31">
        <w:rPr>
          <w:vertAlign w:val="superscript"/>
          <w:lang w:val="de-DE"/>
        </w:rPr>
        <w:t>th</w:t>
      </w:r>
      <w:r w:rsidRPr="00195E31">
        <w:rPr>
          <w:lang w:val="de-DE"/>
        </w:rPr>
        <w:t xml:space="preserve">, 2024 </w:t>
      </w:r>
      <w:r>
        <w:rPr>
          <w:lang w:val="de-DE"/>
        </w:rPr>
        <w:t>was</w:t>
      </w:r>
      <w:r w:rsidRPr="00195E31">
        <w:rPr>
          <w:lang w:val="de-DE"/>
        </w:rPr>
        <w:t xml:space="preserve"> more than 245 thousand people; </w:t>
      </w:r>
      <w:r>
        <w:rPr>
          <w:lang w:val="de-DE"/>
        </w:rPr>
        <w:t>t</w:t>
      </w:r>
      <w:r w:rsidRPr="00195E31">
        <w:rPr>
          <w:lang w:val="de-DE"/>
        </w:rPr>
        <w:t xml:space="preserve">he number of deaths due to HIV/AIDS </w:t>
      </w:r>
      <w:r>
        <w:rPr>
          <w:lang w:val="de-DE"/>
        </w:rPr>
        <w:t>wa</w:t>
      </w:r>
      <w:r w:rsidRPr="00195E31">
        <w:rPr>
          <w:lang w:val="de-DE"/>
        </w:rPr>
        <w:t>s 115.7 thousand people.</w:t>
      </w:r>
    </w:p>
    <w:p w14:paraId="084C2829" w14:textId="77777777" w:rsidR="00E87438" w:rsidRDefault="00E87438" w:rsidP="00E87438">
      <w:pPr>
        <w:spacing w:after="120" w:line="264" w:lineRule="auto"/>
        <w:ind w:firstLine="720"/>
        <w:jc w:val="both"/>
        <w:rPr>
          <w:lang w:val="de-DE"/>
        </w:rPr>
      </w:pPr>
      <w:r w:rsidRPr="00195E31">
        <w:rPr>
          <w:lang w:val="de-DE"/>
        </w:rPr>
        <w:t>Regarding food poisoning, in October 2024, there were 10 cases with 183 people being poisoned and 1 person died. In the ten months of 2024 (from December 19</w:t>
      </w:r>
      <w:r w:rsidRPr="00195E31">
        <w:rPr>
          <w:vertAlign w:val="superscript"/>
          <w:lang w:val="de-DE"/>
        </w:rPr>
        <w:t>th</w:t>
      </w:r>
      <w:r w:rsidRPr="00195E31">
        <w:rPr>
          <w:lang w:val="de-DE"/>
        </w:rPr>
        <w:t>, 2023 to October 18</w:t>
      </w:r>
      <w:r w:rsidRPr="00195E31">
        <w:rPr>
          <w:vertAlign w:val="superscript"/>
          <w:lang w:val="de-DE"/>
        </w:rPr>
        <w:t>th</w:t>
      </w:r>
      <w:r w:rsidRPr="00195E31">
        <w:rPr>
          <w:lang w:val="de-DE"/>
        </w:rPr>
        <w:t>, 2024), there were 99 cases nationwide with 3,561 people being poisoned (12 people died).</w:t>
      </w:r>
    </w:p>
    <w:p w14:paraId="6CAD6E61" w14:textId="77777777" w:rsidR="00E87438" w:rsidRPr="00DE0776" w:rsidRDefault="00E87438" w:rsidP="00E87438">
      <w:pPr>
        <w:spacing w:after="120" w:line="264" w:lineRule="auto"/>
        <w:ind w:firstLine="720"/>
        <w:jc w:val="both"/>
        <w:outlineLvl w:val="0"/>
        <w:rPr>
          <w:rStyle w:val="normalchar"/>
          <w:rFonts w:eastAsiaTheme="majorEastAsia"/>
          <w:b/>
          <w:i/>
          <w:lang w:val="nl-NL"/>
        </w:rPr>
      </w:pPr>
      <w:r w:rsidRPr="00DE0776">
        <w:rPr>
          <w:b/>
          <w:bCs/>
          <w:i/>
          <w:iCs/>
          <w:lang w:val="pl-PL"/>
        </w:rPr>
        <w:t xml:space="preserve">c) </w:t>
      </w:r>
      <w:r w:rsidRPr="00195E31">
        <w:rPr>
          <w:rStyle w:val="normalchar"/>
          <w:rFonts w:eastAsiaTheme="majorEastAsia"/>
          <w:b/>
          <w:i/>
          <w:lang w:val="nl-NL"/>
        </w:rPr>
        <w:t>Sports activities</w:t>
      </w:r>
    </w:p>
    <w:p w14:paraId="54707600" w14:textId="77777777" w:rsidR="00E87438" w:rsidRPr="002F7CA8" w:rsidRDefault="00E87438" w:rsidP="00E87438">
      <w:pPr>
        <w:spacing w:before="120" w:after="120" w:line="276" w:lineRule="auto"/>
        <w:ind w:firstLine="720"/>
        <w:jc w:val="both"/>
        <w:rPr>
          <w:bCs/>
          <w:lang w:val="nl-NL"/>
        </w:rPr>
      </w:pPr>
      <w:r w:rsidRPr="00195E31">
        <w:rPr>
          <w:bCs/>
          <w:lang w:val="nl-NL"/>
        </w:rPr>
        <w:t xml:space="preserve">Regarding the mass sports movement, some outstanding activities </w:t>
      </w:r>
      <w:r>
        <w:rPr>
          <w:bCs/>
          <w:lang w:val="nl-NL"/>
        </w:rPr>
        <w:t>took</w:t>
      </w:r>
      <w:r w:rsidRPr="00195E31">
        <w:rPr>
          <w:bCs/>
          <w:lang w:val="nl-NL"/>
        </w:rPr>
        <w:t xml:space="preserve"> place during the month include: Longbien Marathon 2024 on October 27, 2024 in Hanoi with the participation of 15,000 athletes; </w:t>
      </w:r>
      <w:r>
        <w:rPr>
          <w:bCs/>
          <w:lang w:val="nl-NL"/>
        </w:rPr>
        <w:t>n</w:t>
      </w:r>
      <w:r w:rsidRPr="00195E31">
        <w:rPr>
          <w:bCs/>
          <w:lang w:val="nl-NL"/>
        </w:rPr>
        <w:t xml:space="preserve">ational 7-a-side Football Cup - Hyundai Thanh Cong Cup 2024 in the Northern region from October 13-17, 2024 in Hanoi; Hanoi Dragon Boat Swimming Open 2024 to celebrate the 70th anniversary of the Capital's Liberation Day on October 13, 2024 in Hanoi; </w:t>
      </w:r>
      <w:r>
        <w:rPr>
          <w:bCs/>
          <w:lang w:val="nl-NL"/>
        </w:rPr>
        <w:t>y</w:t>
      </w:r>
      <w:r w:rsidRPr="00195E31">
        <w:rPr>
          <w:bCs/>
          <w:lang w:val="nl-NL"/>
        </w:rPr>
        <w:t>outh Badminton tournament competing for Capital Youth Newspaper Cup 2024 from October 6-8, 2024 in Hanoi...</w:t>
      </w:r>
    </w:p>
    <w:p w14:paraId="796BB417" w14:textId="77777777" w:rsidR="00E87438" w:rsidRPr="00577E33" w:rsidRDefault="00E87438" w:rsidP="00E87438">
      <w:pPr>
        <w:spacing w:before="120" w:after="120" w:line="276" w:lineRule="auto"/>
        <w:ind w:firstLine="720"/>
        <w:jc w:val="both"/>
        <w:rPr>
          <w:bCs/>
          <w:lang w:val="nl-NL"/>
        </w:rPr>
      </w:pPr>
      <w:r w:rsidRPr="00195E31">
        <w:rPr>
          <w:bCs/>
          <w:lang w:val="nl-NL"/>
        </w:rPr>
        <w:t xml:space="preserve">Regarding high-performance sports, in October there will be a number of outstanding events such as: The 2024 Southeast Asian Women's Futsal Championship kicks off from November 16-21, 2024 in the Philippines; </w:t>
      </w:r>
      <w:r>
        <w:rPr>
          <w:bCs/>
          <w:lang w:val="nl-NL"/>
        </w:rPr>
        <w:t>n</w:t>
      </w:r>
      <w:r w:rsidRPr="00195E31">
        <w:rPr>
          <w:bCs/>
          <w:lang w:val="nl-NL"/>
        </w:rPr>
        <w:t xml:space="preserve">ational 5x5 Basketball Championship 2024 from October 17-25, 2024 in Khanh Hoa; </w:t>
      </w:r>
      <w:r>
        <w:rPr>
          <w:bCs/>
          <w:lang w:val="nl-NL"/>
        </w:rPr>
        <w:t>t</w:t>
      </w:r>
      <w:r w:rsidRPr="00195E31">
        <w:rPr>
          <w:bCs/>
          <w:lang w:val="nl-NL"/>
        </w:rPr>
        <w:t xml:space="preserve">he 30th Asia-Pacific Golf Team Championship 2024 from October 15-18, 2024 in Hai Phong; </w:t>
      </w:r>
      <w:r>
        <w:rPr>
          <w:bCs/>
          <w:lang w:val="nl-NL"/>
        </w:rPr>
        <w:t>t</w:t>
      </w:r>
      <w:r w:rsidRPr="00195E31">
        <w:rPr>
          <w:bCs/>
          <w:lang w:val="nl-NL"/>
        </w:rPr>
        <w:t xml:space="preserve">he Vietnamese kickboxing team won 11 gold medals, 11 silver medals and 11 bronze medals, ranking 3rd overall at the 2024 Asian Kickboxing Championship from October 4-14, 2024 in Cambodia. divide; </w:t>
      </w:r>
      <w:r>
        <w:rPr>
          <w:bCs/>
          <w:lang w:val="nl-NL"/>
        </w:rPr>
        <w:t>n</w:t>
      </w:r>
      <w:r w:rsidRPr="00195E31">
        <w:rPr>
          <w:bCs/>
          <w:lang w:val="nl-NL"/>
        </w:rPr>
        <w:t xml:space="preserve">ational swimming and diving championship 2024 from October 10-20, 2024 in Da Nang; </w:t>
      </w:r>
      <w:r>
        <w:rPr>
          <w:bCs/>
          <w:lang w:val="nl-NL"/>
        </w:rPr>
        <w:t>t</w:t>
      </w:r>
      <w:r w:rsidRPr="00195E31">
        <w:rPr>
          <w:bCs/>
          <w:lang w:val="nl-NL"/>
        </w:rPr>
        <w:t>he 7th National Crossbow Shooting Championship from October 11-18, 2024 in Thai Nguyen.</w:t>
      </w:r>
    </w:p>
    <w:p w14:paraId="45D114CE" w14:textId="77777777" w:rsidR="00E87438" w:rsidRPr="00E87438" w:rsidRDefault="00E87438" w:rsidP="00E87438">
      <w:pPr>
        <w:spacing w:after="160" w:line="259" w:lineRule="auto"/>
        <w:ind w:firstLine="720"/>
        <w:jc w:val="both"/>
        <w:rPr>
          <w:rFonts w:eastAsia="Calibri"/>
        </w:rPr>
      </w:pPr>
    </w:p>
    <w:p w14:paraId="5F4D80B0" w14:textId="77777777" w:rsidR="00E87438" w:rsidRPr="00E87438" w:rsidRDefault="00E87438" w:rsidP="00E87438">
      <w:pPr>
        <w:spacing w:after="160" w:line="259" w:lineRule="auto"/>
        <w:ind w:firstLine="720"/>
        <w:jc w:val="both"/>
        <w:rPr>
          <w:rFonts w:eastAsia="Calibri"/>
          <w:b/>
          <w:i/>
        </w:rPr>
      </w:pPr>
      <w:r w:rsidRPr="00E87438">
        <w:rPr>
          <w:rFonts w:eastAsia="Calibri"/>
          <w:b/>
          <w:i/>
        </w:rPr>
        <w:lastRenderedPageBreak/>
        <w:t>d) Traffic accident</w:t>
      </w:r>
      <w:r w:rsidRPr="00E87438">
        <w:rPr>
          <w:rFonts w:ascii="Calibri" w:eastAsia="Calibri" w:hAnsi="Calibri"/>
          <w:b/>
          <w:bCs/>
          <w:i/>
          <w:iCs/>
          <w:sz w:val="22"/>
          <w:szCs w:val="22"/>
          <w:vertAlign w:val="superscript"/>
        </w:rPr>
        <w:footnoteReference w:id="31"/>
      </w:r>
      <w:r w:rsidRPr="00E87438">
        <w:rPr>
          <w:rFonts w:eastAsia="Calibri"/>
          <w:b/>
          <w:i/>
        </w:rPr>
        <w:t xml:space="preserve"> </w:t>
      </w:r>
    </w:p>
    <w:p w14:paraId="3B4ED893" w14:textId="77777777" w:rsidR="00E87438" w:rsidRPr="00E87438" w:rsidRDefault="00E87438" w:rsidP="00E87438">
      <w:pPr>
        <w:spacing w:after="160" w:line="259" w:lineRule="auto"/>
        <w:ind w:firstLine="720"/>
        <w:jc w:val="both"/>
        <w:rPr>
          <w:rFonts w:eastAsia="Calibri"/>
        </w:rPr>
      </w:pPr>
      <w:r w:rsidRPr="00E87438">
        <w:rPr>
          <w:rFonts w:eastAsia="Calibri"/>
        </w:rPr>
        <w:t>In October (from September 26 to October 25, 2024), there were 1,850 traffic accidents nationwide, killing 896 people and injuring 1,347 people. Compared to September 2024, the number of traffic accidents increased by 5.1%; number of deaths decreased by 1.1%; The number of injured people increased by 7.6%. Compared to the same period in 2023, the number of traffic accidents will decrease by 7.5%; number of deaths decreased by 1.6%; The number of injured people decreased by 11.3%.</w:t>
      </w:r>
    </w:p>
    <w:p w14:paraId="5AD743D0" w14:textId="77777777" w:rsidR="00E87438" w:rsidRPr="00E87438" w:rsidRDefault="00E87438" w:rsidP="00E87438">
      <w:pPr>
        <w:spacing w:after="160" w:line="259" w:lineRule="auto"/>
        <w:ind w:firstLine="720"/>
        <w:jc w:val="both"/>
        <w:rPr>
          <w:rFonts w:eastAsia="Calibri"/>
        </w:rPr>
      </w:pPr>
      <w:r w:rsidRPr="00E87438">
        <w:rPr>
          <w:rFonts w:eastAsia="Calibri"/>
        </w:rPr>
        <w:t>In the ten months of 2024, there were 19,513 traffic accidents nationwide, killing 8,990 people and injuring 14,505 people. Compared to the same period last year, the number of traffic accidents increased by 5.7%; number of deaths decreased by 8.4%; The number of injured people increased by 13.9%. On average, every day in the ten months of 2024, there will be 64 traffic accidents nationwide, killing 30 people and injuring 48 people.</w:t>
      </w:r>
    </w:p>
    <w:p w14:paraId="0F515630" w14:textId="77777777" w:rsidR="00E87438" w:rsidRPr="00E87438" w:rsidRDefault="00E87438" w:rsidP="00E87438">
      <w:pPr>
        <w:spacing w:after="160" w:line="259" w:lineRule="auto"/>
        <w:ind w:firstLine="720"/>
        <w:jc w:val="both"/>
        <w:rPr>
          <w:rFonts w:eastAsia="Calibri"/>
          <w:b/>
          <w:i/>
        </w:rPr>
      </w:pPr>
      <w:r w:rsidRPr="00E87438">
        <w:rPr>
          <w:rFonts w:eastAsia="Calibri"/>
          <w:b/>
          <w:i/>
        </w:rPr>
        <w:t>d) Damage caused by natural disasters</w:t>
      </w:r>
      <w:r w:rsidRPr="00E87438">
        <w:rPr>
          <w:rFonts w:ascii="Calibri" w:eastAsia="Calibri" w:hAnsi="Calibri"/>
          <w:b/>
          <w:bCs/>
          <w:i/>
          <w:sz w:val="22"/>
          <w:szCs w:val="22"/>
          <w:vertAlign w:val="superscript"/>
          <w:lang w:val="pl-PL"/>
        </w:rPr>
        <w:footnoteReference w:id="32"/>
      </w:r>
      <w:r w:rsidRPr="00E87438">
        <w:rPr>
          <w:rFonts w:eastAsia="Calibri"/>
          <w:b/>
          <w:i/>
        </w:rPr>
        <w:t xml:space="preserve"> </w:t>
      </w:r>
    </w:p>
    <w:p w14:paraId="3E6417D3" w14:textId="77777777" w:rsidR="00E87438" w:rsidRPr="00E87438" w:rsidRDefault="00E87438" w:rsidP="00E87438">
      <w:pPr>
        <w:spacing w:after="160" w:line="259" w:lineRule="auto"/>
        <w:ind w:firstLine="720"/>
        <w:jc w:val="both"/>
        <w:rPr>
          <w:rFonts w:eastAsia="Calibri"/>
        </w:rPr>
      </w:pPr>
      <w:r w:rsidRPr="00E87438">
        <w:rPr>
          <w:rFonts w:eastAsia="Calibri"/>
        </w:rPr>
        <w:t>Damage caused by natural disasters in October was mainly due to the impact of heavy rains, floods, and inundation, killing 14 people and injuring 33 people; 777 houses collapsed, swept away and damaged; 9.6 thousand cattle and poultry died; 2.8 thousand hectares of rice and crops were flooded and damaged; The total value of property damage caused by natural disasters in the month was 235.4 billion VND, down 77.2% over the same period last year. In total, in the ten months of this year, natural disasters left 525 people dead or missing, and 2,136 people injured; 26.2 thousand houses collapsed and damaged; 5.1 million cattle and poultry died; 90.3 thousand hectares of crops and 334.2 thousand hectares of rice were flooded and damaged; The total value of property damage is estimated at 78,082.4 billion VND, more than 21.2 times higher than the same period in 2023.</w:t>
      </w:r>
    </w:p>
    <w:p w14:paraId="20F2CFD2" w14:textId="77777777" w:rsidR="00E87438" w:rsidRPr="00E87438" w:rsidRDefault="00E87438" w:rsidP="00E87438">
      <w:pPr>
        <w:spacing w:after="160" w:line="259" w:lineRule="auto"/>
        <w:ind w:firstLine="720"/>
        <w:jc w:val="both"/>
        <w:rPr>
          <w:rFonts w:eastAsia="Calibri"/>
          <w:b/>
          <w:i/>
        </w:rPr>
      </w:pPr>
      <w:r w:rsidRPr="00E87438">
        <w:rPr>
          <w:rFonts w:eastAsia="Calibri"/>
          <w:b/>
          <w:i/>
        </w:rPr>
        <w:t>e) Environmental protection and fire and explosion prevention</w:t>
      </w:r>
    </w:p>
    <w:p w14:paraId="1E1B80C9" w14:textId="77777777" w:rsidR="00E87438" w:rsidRPr="00E87438" w:rsidRDefault="00E87438" w:rsidP="00E87438">
      <w:pPr>
        <w:spacing w:after="160" w:line="259" w:lineRule="auto"/>
        <w:ind w:firstLine="720"/>
        <w:jc w:val="both"/>
        <w:rPr>
          <w:rFonts w:eastAsia="Calibri"/>
        </w:rPr>
      </w:pPr>
      <w:r w:rsidRPr="00E87438">
        <w:rPr>
          <w:rFonts w:eastAsia="Calibri"/>
        </w:rPr>
        <w:t>During the month (from September 18 to October 17, 2024)</w:t>
      </w:r>
      <w:r w:rsidRPr="00E87438">
        <w:rPr>
          <w:rFonts w:ascii="Calibri" w:eastAsia="Calibri" w:hAnsi="Calibri"/>
          <w:sz w:val="22"/>
          <w:szCs w:val="22"/>
          <w:vertAlign w:val="superscript"/>
          <w:lang w:val="de-DE"/>
        </w:rPr>
        <w:t xml:space="preserve"> </w:t>
      </w:r>
      <w:r w:rsidRPr="00E87438">
        <w:rPr>
          <w:rFonts w:ascii="Calibri" w:eastAsia="Calibri" w:hAnsi="Calibri"/>
          <w:sz w:val="22"/>
          <w:szCs w:val="22"/>
          <w:vertAlign w:val="superscript"/>
          <w:lang w:val="de-DE"/>
        </w:rPr>
        <w:footnoteReference w:id="33"/>
      </w:r>
      <w:r w:rsidRPr="00E87438">
        <w:rPr>
          <w:rFonts w:eastAsia="Calibri"/>
        </w:rPr>
        <w:t xml:space="preserve">, the authorities discovered 1,940 cases of environmental violations in 51/63 localities, of which 1,831 cases were handled with a total fine of 29.8 billion VND. VND, up 46.0% over the previous month and up 12.8% over the same period last year. In the ten months of this year, the authorities detected 19,282 cases of </w:t>
      </w:r>
      <w:r w:rsidRPr="00E87438">
        <w:rPr>
          <w:rFonts w:eastAsia="Calibri"/>
        </w:rPr>
        <w:lastRenderedPageBreak/>
        <w:t>environmental violations, of which 17,683 cases were handled with a total fine of 254.5 billion VND, an increase of 4.4% over the same period last year.</w:t>
      </w:r>
    </w:p>
    <w:p w14:paraId="5EF5B05C" w14:textId="40AAE35B" w:rsidR="0063307A" w:rsidRPr="00E87438" w:rsidRDefault="00E87438" w:rsidP="00E87438">
      <w:pPr>
        <w:spacing w:after="160" w:line="259" w:lineRule="auto"/>
        <w:ind w:firstLine="720"/>
        <w:jc w:val="both"/>
        <w:rPr>
          <w:rFonts w:eastAsia="Calibri"/>
        </w:rPr>
      </w:pPr>
      <w:r w:rsidRPr="00E87438">
        <w:rPr>
          <w:rFonts w:eastAsia="Calibri"/>
        </w:rPr>
        <w:t>During the month</w:t>
      </w:r>
      <w:r w:rsidRPr="00E87438">
        <w:rPr>
          <w:rFonts w:eastAsia="Calibri"/>
          <w:vertAlign w:val="superscript"/>
          <w:lang w:val="de-DE"/>
        </w:rPr>
        <w:footnoteReference w:id="34"/>
      </w:r>
      <w:r w:rsidRPr="00E87438">
        <w:rPr>
          <w:rFonts w:eastAsia="Calibri"/>
        </w:rPr>
        <w:t>, there were 282 fires and explosions nationwide, killing 4 people and injuring 8 people, with an estimated loss of 150.7 billion VND, 2.2 times higher than last month and nearly 8 times higher than the same period last year. In the ten months of this year, there were 3,475 fires and explosions nationwide, killing 89 people and injuring 95 people, with an estimated loss of 368.1 billion VND, down 3.1% over the same period last year. /.</w:t>
      </w:r>
    </w:p>
    <w:p w14:paraId="127BB3DC" w14:textId="77777777" w:rsidR="0063307A" w:rsidRPr="00D56033" w:rsidRDefault="0063307A" w:rsidP="0063307A">
      <w:pPr>
        <w:spacing w:after="120" w:line="276" w:lineRule="auto"/>
        <w:ind w:firstLine="567"/>
        <w:jc w:val="center"/>
        <w:rPr>
          <w:b/>
          <w:bCs/>
        </w:rPr>
      </w:pPr>
      <w:r w:rsidRPr="00D56033">
        <w:rPr>
          <w:b/>
          <w:bCs/>
        </w:rPr>
        <w:t>GENNERAL STATISTICS OFFICE</w:t>
      </w:r>
    </w:p>
    <w:p w14:paraId="2EAFAAC2" w14:textId="77777777" w:rsidR="0063307A" w:rsidRDefault="0063307A"/>
    <w:sectPr w:rsidR="0063307A" w:rsidSect="0063307A">
      <w:headerReference w:type="default" r:id="rId2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BB5BA" w14:textId="77777777" w:rsidR="0063307A" w:rsidRDefault="0063307A" w:rsidP="0063307A">
      <w:r>
        <w:separator/>
      </w:r>
    </w:p>
  </w:endnote>
  <w:endnote w:type="continuationSeparator" w:id="0">
    <w:p w14:paraId="060C8392" w14:textId="77777777" w:rsidR="0063307A" w:rsidRDefault="0063307A" w:rsidP="00633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Italic">
    <w:panose1 w:val="0202050305040509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Times New Roman Bold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7F214" w14:textId="77777777" w:rsidR="0063307A" w:rsidRDefault="0063307A" w:rsidP="0063307A">
      <w:r>
        <w:separator/>
      </w:r>
    </w:p>
  </w:footnote>
  <w:footnote w:type="continuationSeparator" w:id="0">
    <w:p w14:paraId="1D0EE73C" w14:textId="77777777" w:rsidR="0063307A" w:rsidRDefault="0063307A" w:rsidP="0063307A">
      <w:r>
        <w:continuationSeparator/>
      </w:r>
    </w:p>
  </w:footnote>
  <w:footnote w:id="1">
    <w:p w14:paraId="6063AE07" w14:textId="77777777" w:rsidR="0063307A" w:rsidRPr="009A7EEF" w:rsidRDefault="0063307A" w:rsidP="0063307A">
      <w:pPr>
        <w:spacing w:after="40"/>
        <w:ind w:left="198" w:hanging="198"/>
        <w:jc w:val="both"/>
        <w:rPr>
          <w:sz w:val="20"/>
          <w:szCs w:val="20"/>
        </w:rPr>
      </w:pPr>
      <w:r w:rsidRPr="009A7EEF">
        <w:rPr>
          <w:rStyle w:val="FootnoteReference"/>
          <w:rFonts w:eastAsiaTheme="majorEastAsia"/>
          <w:sz w:val="20"/>
          <w:szCs w:val="20"/>
        </w:rPr>
        <w:footnoteRef/>
      </w:r>
      <w:r w:rsidRPr="009A7EEF">
        <w:rPr>
          <w:sz w:val="20"/>
          <w:szCs w:val="20"/>
        </w:rPr>
        <w:t xml:space="preserve"> </w:t>
      </w:r>
      <w:r w:rsidRPr="00780C7F">
        <w:rPr>
          <w:color w:val="000000"/>
          <w:sz w:val="20"/>
          <w:szCs w:val="20"/>
          <w:lang w:val="af-ZA"/>
        </w:rPr>
        <w:t>According to the forecast of the National Center for Hydro-Meteorological Forecasting, in the coming time, the weather is likely to continue to have moderate and heavy rains, negatively affecting agricultural production activities. In order to overcome the impact of storms and rains, effectively implement the 2024 crop production plan, and at the same time focus on implementing the 2024-2025 winter-spring vegetable production plan, the Department of Agriculture has directed localities to closely monitor weather developments and proactively implement measures to prepare for natural disasters in the next time.</w:t>
      </w:r>
    </w:p>
  </w:footnote>
  <w:footnote w:id="2">
    <w:p w14:paraId="6B183C86" w14:textId="77777777" w:rsidR="0063307A" w:rsidRPr="00FD6C1C" w:rsidRDefault="0063307A" w:rsidP="0063307A">
      <w:pPr>
        <w:pStyle w:val="FootnoteText"/>
        <w:spacing w:after="40"/>
        <w:ind w:left="142" w:hanging="142"/>
        <w:jc w:val="both"/>
        <w:rPr>
          <w:lang w:val="en-US"/>
        </w:rPr>
      </w:pPr>
      <w:r w:rsidRPr="00FF4AB7">
        <w:rPr>
          <w:rStyle w:val="FootnoteReference"/>
        </w:rPr>
        <w:footnoteRef/>
      </w:r>
      <w:r w:rsidRPr="00FF4AB7">
        <w:t xml:space="preserve"> </w:t>
      </w:r>
      <w:r w:rsidRPr="00943EB2">
        <w:t>Of which, Tien Giang decreased by 5,423 hectares; Vinh Long decreased by 922 hectares; Kien Giang decreased by 884 hectares; Dong Nai decreased by 325 hectares; Tra Vinh decreased by 276 hectares.</w:t>
      </w:r>
    </w:p>
  </w:footnote>
  <w:footnote w:id="3">
    <w:p w14:paraId="1BD6D5CC" w14:textId="77777777" w:rsidR="0063307A" w:rsidRPr="00FC383C" w:rsidRDefault="0063307A" w:rsidP="0063307A">
      <w:pPr>
        <w:pStyle w:val="FootnoteText"/>
        <w:spacing w:after="60"/>
        <w:ind w:left="142" w:hanging="142"/>
        <w:jc w:val="both"/>
        <w:rPr>
          <w:lang w:val="en-US"/>
        </w:rPr>
      </w:pPr>
      <w:r w:rsidRPr="00FC383C">
        <w:rPr>
          <w:rStyle w:val="FootnoteReference"/>
        </w:rPr>
        <w:footnoteRef/>
      </w:r>
      <w:r w:rsidRPr="00FC383C">
        <w:t xml:space="preserve"> </w:t>
      </w:r>
      <w:r w:rsidRPr="00E45A88">
        <w:t xml:space="preserve">Raising buffaloes and cows for meat has decreased mainly due to difficult farming conditions, high farming costs, and low profits, leading to a decrease in the number of animals. However, the dairy herd </w:t>
      </w:r>
      <w:r>
        <w:rPr>
          <w:lang w:val="en-US"/>
        </w:rPr>
        <w:t>wa</w:t>
      </w:r>
      <w:r w:rsidRPr="00E45A88">
        <w:t>s still growing steadily.</w:t>
      </w:r>
    </w:p>
  </w:footnote>
  <w:footnote w:id="4">
    <w:p w14:paraId="7C30595B" w14:textId="77777777" w:rsidR="0063307A" w:rsidRPr="004302EF" w:rsidRDefault="0063307A" w:rsidP="0063307A">
      <w:pPr>
        <w:pStyle w:val="FootnoteText"/>
        <w:spacing w:after="40"/>
        <w:ind w:left="198" w:hanging="198"/>
      </w:pPr>
      <w:r w:rsidRPr="004302EF">
        <w:rPr>
          <w:rStyle w:val="FootnoteReference"/>
        </w:rPr>
        <w:footnoteRef/>
      </w:r>
      <w:r w:rsidRPr="004302EF">
        <w:t xml:space="preserve"> </w:t>
      </w:r>
      <w:r w:rsidRPr="003D0EF6">
        <w:t>Data from the Ministry of Agriculture and Rural Development as of October 15, 2024.</w:t>
      </w:r>
    </w:p>
  </w:footnote>
  <w:footnote w:id="5">
    <w:p w14:paraId="65E10080" w14:textId="77777777" w:rsidR="0063307A" w:rsidRPr="002A3B5F" w:rsidRDefault="0063307A" w:rsidP="0063307A">
      <w:pPr>
        <w:pStyle w:val="FootnoteText"/>
        <w:rPr>
          <w:lang w:val="en-GB"/>
        </w:rPr>
      </w:pPr>
      <w:r>
        <w:rPr>
          <w:rStyle w:val="FootnoteReference"/>
        </w:rPr>
        <w:footnoteRef/>
      </w:r>
      <w:r>
        <w:t xml:space="preserve"> </w:t>
      </w:r>
      <w:r w:rsidRPr="002A3B5F">
        <w:t>http://agromonitor.vn/category/48/ca-tra: As of October 16, 2024, the price of raw pangasius fish fluctuated from 27,500 - 28,000 VND/kg, an increase of about 500 VND/kg compared to the same period.</w:t>
      </w:r>
    </w:p>
  </w:footnote>
  <w:footnote w:id="6">
    <w:p w14:paraId="03DD25DD" w14:textId="77777777" w:rsidR="0063307A" w:rsidRPr="002A3B5F" w:rsidRDefault="0063307A" w:rsidP="0063307A">
      <w:pPr>
        <w:pStyle w:val="FootnoteText"/>
        <w:rPr>
          <w:lang w:val="en-GB"/>
        </w:rPr>
      </w:pPr>
      <w:r>
        <w:rPr>
          <w:rStyle w:val="FootnoteReference"/>
        </w:rPr>
        <w:footnoteRef/>
      </w:r>
      <w:r>
        <w:t xml:space="preserve"> </w:t>
      </w:r>
      <w:r w:rsidRPr="002A3B5F">
        <w:t>According to https://agromonitor.vn/group/47/272/giam-sat-gia: In the Mekong Delta provinces, the price of raw black tiger shrimp: 20 pieces/kg 210-215 thousand VND/kg; 30 pieces/kg 155-160 thousand VND/kg; 40 pieces/kg 125-130 thousand VND/kg. The price of white-leg shrimp 60-70 pieces/kg fluctuates around 160-170 thousand VND/kg, 80 pieces/kg fluctuates around 125 thousand VND/kg.</w:t>
      </w:r>
    </w:p>
  </w:footnote>
  <w:footnote w:id="7">
    <w:p w14:paraId="56025052" w14:textId="77777777" w:rsidR="0063307A" w:rsidRPr="00777FE4" w:rsidRDefault="0063307A" w:rsidP="0063307A">
      <w:pPr>
        <w:pStyle w:val="FootnoteText"/>
        <w:rPr>
          <w:lang w:val="en-GB"/>
        </w:rPr>
      </w:pPr>
      <w:r>
        <w:rPr>
          <w:rStyle w:val="FootnoteReference"/>
        </w:rPr>
        <w:footnoteRef/>
      </w:r>
      <w:r>
        <w:t xml:space="preserve"> </w:t>
      </w:r>
      <w:r w:rsidRPr="00777FE4">
        <w:t>The decrease in fishery output due to the large number of damaged boats requiring repair and maintenance after storm No. 3 in the northern coastal areas has significantly affected fishing activities.</w:t>
      </w:r>
    </w:p>
  </w:footnote>
  <w:footnote w:id="8">
    <w:p w14:paraId="031BD8A4" w14:textId="77777777" w:rsidR="0063307A" w:rsidRPr="00037D01" w:rsidRDefault="0063307A" w:rsidP="0063307A">
      <w:pPr>
        <w:spacing w:after="40"/>
        <w:ind w:left="142" w:hanging="142"/>
        <w:jc w:val="both"/>
        <w:rPr>
          <w:sz w:val="20"/>
          <w:szCs w:val="20"/>
        </w:rPr>
      </w:pPr>
      <w:r w:rsidRPr="004F0F24">
        <w:rPr>
          <w:rStyle w:val="FootnoteReference"/>
          <w:rFonts w:eastAsia="Calibri"/>
        </w:rPr>
        <w:footnoteRef/>
      </w:r>
      <w:r w:rsidRPr="004F0F24">
        <w:rPr>
          <w:sz w:val="20"/>
          <w:szCs w:val="20"/>
        </w:rPr>
        <w:t xml:space="preserve"> </w:t>
      </w:r>
      <w:r w:rsidRPr="00A807DB">
        <w:rPr>
          <w:sz w:val="20"/>
          <w:szCs w:val="20"/>
        </w:rPr>
        <w:t>The growth rate of the industrial production index in the first ten months of 2020-2024 compared to the same period last year was: 2.6%; 3,8%; 8,9%; 0,5%; 8,3%.</w:t>
      </w:r>
    </w:p>
  </w:footnote>
  <w:footnote w:id="9">
    <w:p w14:paraId="5E52C832" w14:textId="77777777" w:rsidR="0063307A" w:rsidRPr="007E1FD0" w:rsidRDefault="0063307A" w:rsidP="0063307A">
      <w:pPr>
        <w:pStyle w:val="FootnoteText"/>
        <w:spacing w:after="40"/>
        <w:ind w:left="198" w:hanging="198"/>
        <w:jc w:val="both"/>
        <w:rPr>
          <w:color w:val="FF0000"/>
          <w:spacing w:val="-2"/>
          <w:lang w:val="de-DE"/>
        </w:rPr>
      </w:pPr>
      <w:r w:rsidRPr="007E1FD0">
        <w:rPr>
          <w:rStyle w:val="FootnoteReference"/>
          <w:spacing w:val="-2"/>
        </w:rPr>
        <w:footnoteRef/>
      </w:r>
      <w:r w:rsidRPr="007E1FD0">
        <w:rPr>
          <w:spacing w:val="-2"/>
          <w:lang w:val="de-DE"/>
        </w:rPr>
        <w:t xml:space="preserve"> </w:t>
      </w:r>
      <w:r w:rsidRPr="001E0070">
        <w:rPr>
          <w:lang w:val="de-DE"/>
        </w:rPr>
        <w:t>Localities have a high production index of the manufacturing industry in the first ten months of 2024 compared to the same period last year: Lai Chau increased by 43.9%; Phu Tho increased by 40.7%; Bac Giang increased by 27.7%; Thanh Hoa increased by 19.5%; Quang Nam increased by 19.3%; Tra Vinh increased by 6.6%; Dien Bien increased by 5.7%. Localities with high indices of electricity production and distribution industry: Khanh Hoa increased by 175.2%; Dien Bien increased by 57.1%; Cao Bang increased by 48.5%; Tra Vinh increased by 48.3%; Lai Chau increased by 42.7%; Son La increased by 39.6%; Thanh Hoa increased by 21.9%. Localities with high mining industry indexes: Cao Bang increased by 30.0%; Thanh Hoa increased by 14.0%; Tra Vinh increased by 6.0%.</w:t>
      </w:r>
    </w:p>
  </w:footnote>
  <w:footnote w:id="10">
    <w:p w14:paraId="28D6FDFC" w14:textId="77777777" w:rsidR="0063307A" w:rsidRPr="00885BAA" w:rsidRDefault="0063307A" w:rsidP="0063307A">
      <w:pPr>
        <w:pStyle w:val="FootnoteText"/>
        <w:spacing w:after="40"/>
        <w:ind w:left="198" w:hanging="198"/>
        <w:jc w:val="both"/>
        <w:rPr>
          <w:lang w:val="de-DE"/>
        </w:rPr>
      </w:pPr>
      <w:r w:rsidRPr="00BA1174">
        <w:rPr>
          <w:rStyle w:val="FootnoteReference"/>
        </w:rPr>
        <w:footnoteRef/>
      </w:r>
      <w:r w:rsidRPr="00BA1174">
        <w:rPr>
          <w:lang w:val="de-DE"/>
        </w:rPr>
        <w:t xml:space="preserve"> </w:t>
      </w:r>
      <w:r w:rsidRPr="001E0070">
        <w:rPr>
          <w:lang w:val="de-DE"/>
        </w:rPr>
        <w:t>Localities with a low increase or decrease in the production index of the</w:t>
      </w:r>
      <w:r>
        <w:rPr>
          <w:lang w:val="de-DE"/>
        </w:rPr>
        <w:t xml:space="preserve"> </w:t>
      </w:r>
      <w:r w:rsidRPr="001E0070">
        <w:rPr>
          <w:lang w:val="de-DE"/>
        </w:rPr>
        <w:t>manufacturing industry in the first ten months of 2024 compared to the same period last year are: Bac Lieu increased by 4.9%; Dak Nong increased by 2.8%; Ha Tinh decreased by 5.3%; Gia Lai decreased by 1.8%; Quang Ngai decreased by 1.6%. Localities with low or decreased indicators of the electricity production and distribution industry: Quang Tri increased by 2.3%; Bac Lieu increased by 0.7%; Lang Son decreased by 16.7%; Quang Ngai decreased by 8.6%; Lam Dong decreased by 5.0%; Gia Lai fell 1.5%.</w:t>
      </w:r>
    </w:p>
  </w:footnote>
  <w:footnote w:id="11">
    <w:p w14:paraId="793890C3" w14:textId="77777777" w:rsidR="0063307A" w:rsidRPr="00444341" w:rsidRDefault="0063307A" w:rsidP="0063307A">
      <w:pPr>
        <w:jc w:val="both"/>
        <w:rPr>
          <w:sz w:val="20"/>
          <w:szCs w:val="20"/>
        </w:rPr>
      </w:pPr>
      <w:r w:rsidRPr="00444341">
        <w:rPr>
          <w:sz w:val="20"/>
          <w:szCs w:val="20"/>
          <w:vertAlign w:val="superscript"/>
        </w:rPr>
        <w:footnoteRef/>
      </w:r>
      <w:r>
        <w:rPr>
          <w:sz w:val="20"/>
          <w:szCs w:val="20"/>
        </w:rPr>
        <w:t xml:space="preserve"> </w:t>
      </w:r>
      <w:r w:rsidRPr="00444341">
        <w:rPr>
          <w:sz w:val="20"/>
          <w:szCs w:val="20"/>
        </w:rPr>
        <w:t xml:space="preserve">Source: National Business Registration Information System, Department of Business Registration Management, Ministry of Planning and Investment, received </w:t>
      </w:r>
      <w:r>
        <w:rPr>
          <w:sz w:val="20"/>
          <w:szCs w:val="20"/>
        </w:rPr>
        <w:t>November</w:t>
      </w:r>
      <w:r w:rsidRPr="00444341">
        <w:rPr>
          <w:sz w:val="20"/>
          <w:szCs w:val="20"/>
        </w:rPr>
        <w:t xml:space="preserve"> </w:t>
      </w:r>
      <w:r>
        <w:rPr>
          <w:sz w:val="20"/>
          <w:szCs w:val="20"/>
        </w:rPr>
        <w:t>02</w:t>
      </w:r>
      <w:r>
        <w:rPr>
          <w:sz w:val="20"/>
          <w:szCs w:val="20"/>
          <w:vertAlign w:val="superscript"/>
        </w:rPr>
        <w:t>n</w:t>
      </w:r>
      <w:r w:rsidRPr="00444341">
        <w:rPr>
          <w:sz w:val="20"/>
          <w:szCs w:val="20"/>
          <w:vertAlign w:val="superscript"/>
        </w:rPr>
        <w:t>d</w:t>
      </w:r>
      <w:r w:rsidRPr="00444341">
        <w:rPr>
          <w:sz w:val="20"/>
          <w:szCs w:val="20"/>
        </w:rPr>
        <w:t xml:space="preserve">, 2024. Implementing Decree No. 62/2024/ND-CP dated June </w:t>
      </w:r>
      <w:r>
        <w:rPr>
          <w:sz w:val="20"/>
          <w:szCs w:val="20"/>
        </w:rPr>
        <w:t>0</w:t>
      </w:r>
      <w:r w:rsidRPr="00444341">
        <w:rPr>
          <w:sz w:val="20"/>
          <w:szCs w:val="20"/>
        </w:rPr>
        <w:t>7</w:t>
      </w:r>
      <w:r>
        <w:rPr>
          <w:sz w:val="20"/>
          <w:szCs w:val="20"/>
          <w:vertAlign w:val="superscript"/>
        </w:rPr>
        <w:t>th</w:t>
      </w:r>
      <w:r w:rsidRPr="00444341">
        <w:rPr>
          <w:sz w:val="20"/>
          <w:szCs w:val="20"/>
        </w:rPr>
        <w:t xml:space="preserve">, 2024 of the Government (effective from August </w:t>
      </w:r>
      <w:r>
        <w:rPr>
          <w:sz w:val="20"/>
          <w:szCs w:val="20"/>
        </w:rPr>
        <w:t>0</w:t>
      </w:r>
      <w:r w:rsidRPr="00444341">
        <w:rPr>
          <w:sz w:val="20"/>
          <w:szCs w:val="20"/>
        </w:rPr>
        <w:t>1</w:t>
      </w:r>
      <w:r>
        <w:rPr>
          <w:sz w:val="20"/>
          <w:szCs w:val="20"/>
          <w:vertAlign w:val="superscript"/>
        </w:rPr>
        <w:t>st</w:t>
      </w:r>
      <w:r w:rsidRPr="00444341">
        <w:rPr>
          <w:sz w:val="20"/>
          <w:szCs w:val="20"/>
        </w:rPr>
        <w:t xml:space="preserve">, 2024), the data period on business registration in the month is calculated from the 1st to the last day of the reporting month. Particularly for time indicators (enterprises returning to operations, enterprises temporarily suspending business for a limited period of time, enterprises temporarily suspending operations awaiting dissolution procedures), the data period is the months before the time. August </w:t>
      </w:r>
      <w:r>
        <w:rPr>
          <w:sz w:val="20"/>
          <w:szCs w:val="20"/>
        </w:rPr>
        <w:t>0</w:t>
      </w:r>
      <w:r w:rsidRPr="00444341">
        <w:rPr>
          <w:sz w:val="20"/>
          <w:szCs w:val="20"/>
        </w:rPr>
        <w:t>1</w:t>
      </w:r>
      <w:r>
        <w:rPr>
          <w:sz w:val="20"/>
          <w:szCs w:val="20"/>
          <w:vertAlign w:val="superscript"/>
        </w:rPr>
        <w:t>st</w:t>
      </w:r>
      <w:r w:rsidRPr="00444341">
        <w:rPr>
          <w:sz w:val="20"/>
          <w:szCs w:val="20"/>
        </w:rPr>
        <w:t>, 2024 is calculated from the 21</w:t>
      </w:r>
      <w:r w:rsidRPr="00444341">
        <w:rPr>
          <w:sz w:val="20"/>
          <w:szCs w:val="20"/>
          <w:vertAlign w:val="superscript"/>
        </w:rPr>
        <w:t>st</w:t>
      </w:r>
      <w:r w:rsidRPr="00444341">
        <w:rPr>
          <w:sz w:val="20"/>
          <w:szCs w:val="20"/>
        </w:rPr>
        <w:t xml:space="preserve"> of the month preceding the reporting month to the 20</w:t>
      </w:r>
      <w:r w:rsidRPr="00444341">
        <w:rPr>
          <w:sz w:val="20"/>
          <w:szCs w:val="20"/>
          <w:vertAlign w:val="superscript"/>
        </w:rPr>
        <w:t>th</w:t>
      </w:r>
      <w:r w:rsidRPr="00444341">
        <w:rPr>
          <w:sz w:val="20"/>
          <w:szCs w:val="20"/>
        </w:rPr>
        <w:t xml:space="preserve"> of the reporting month.</w:t>
      </w:r>
    </w:p>
  </w:footnote>
  <w:footnote w:id="12">
    <w:p w14:paraId="6E4B1195" w14:textId="77777777" w:rsidR="0063307A" w:rsidRPr="00FC383C" w:rsidRDefault="0063307A" w:rsidP="0063307A">
      <w:pPr>
        <w:pStyle w:val="FootnoteText"/>
      </w:pPr>
      <w:r w:rsidRPr="00FC383C">
        <w:rPr>
          <w:rStyle w:val="FootnoteReference"/>
        </w:rPr>
        <w:footnoteRef/>
      </w:r>
      <w:r w:rsidRPr="00FC383C">
        <w:t xml:space="preserve">According to the report of the Foreign Investment Agency, Ministry of Planning and Investment, received on </w:t>
      </w:r>
      <w:r>
        <w:rPr>
          <w:lang w:val="en-US"/>
        </w:rPr>
        <w:t xml:space="preserve">November 3 </w:t>
      </w:r>
      <w:r w:rsidRPr="00FC383C">
        <w:t>, 2024.</w:t>
      </w:r>
    </w:p>
  </w:footnote>
  <w:footnote w:id="13">
    <w:p w14:paraId="50EE647C" w14:textId="77777777" w:rsidR="0063307A" w:rsidRPr="005E6AD7" w:rsidRDefault="0063307A" w:rsidP="0063307A">
      <w:pPr>
        <w:pStyle w:val="FootnoteText"/>
        <w:rPr>
          <w:lang w:val="en-US"/>
        </w:rPr>
      </w:pPr>
      <w:r>
        <w:rPr>
          <w:rStyle w:val="FootnoteReference"/>
        </w:rPr>
        <w:footnoteRef/>
      </w:r>
      <w:r>
        <w:t xml:space="preserve"> 2020-2022 </w:t>
      </w:r>
      <w:r>
        <w:rPr>
          <w:lang w:val="en-US"/>
        </w:rPr>
        <w:t xml:space="preserve">years </w:t>
      </w:r>
      <w:r w:rsidRPr="006657A9">
        <w:t xml:space="preserve">up to August 20 every year </w:t>
      </w:r>
      <w:r>
        <w:rPr>
          <w:lang w:val="en-US"/>
        </w:rPr>
        <w:t>,</w:t>
      </w:r>
      <w:r w:rsidRPr="005E6AD7">
        <w:t xml:space="preserve"> </w:t>
      </w:r>
      <w:r>
        <w:rPr>
          <w:lang w:val="en-US"/>
        </w:rPr>
        <w:t>2023 and 2024 up to August 31.</w:t>
      </w:r>
    </w:p>
  </w:footnote>
  <w:footnote w:id="14">
    <w:p w14:paraId="5A62828A" w14:textId="77777777" w:rsidR="0063307A" w:rsidRDefault="0063307A" w:rsidP="0063307A">
      <w:pPr>
        <w:pStyle w:val="FootnoteText"/>
        <w:ind w:left="142" w:hanging="142"/>
        <w:jc w:val="both"/>
        <w:rPr>
          <w:lang w:val="en-US"/>
        </w:rPr>
      </w:pPr>
      <w:r w:rsidRPr="002F2F02">
        <w:rPr>
          <w:rStyle w:val="FootnoteReference"/>
        </w:rPr>
        <w:footnoteRef/>
      </w:r>
      <w:r w:rsidRPr="00B70B38">
        <w:rPr>
          <w:lang w:val="vi-VN"/>
        </w:rPr>
        <w:t xml:space="preserve"> </w:t>
      </w:r>
      <w:r>
        <w:rPr>
          <w:lang w:val="en-US"/>
        </w:rPr>
        <w:t>According to Report No. 287/BC-BTC dated October 31, 2024 of the Ministry of Finance.</w:t>
      </w:r>
    </w:p>
    <w:p w14:paraId="1036DF59" w14:textId="77777777" w:rsidR="0063307A" w:rsidRPr="00B70B38" w:rsidRDefault="0063307A" w:rsidP="0063307A">
      <w:pPr>
        <w:pStyle w:val="FootnoteText"/>
        <w:rPr>
          <w:lang w:val="vi-VN"/>
        </w:rPr>
      </w:pPr>
    </w:p>
  </w:footnote>
  <w:footnote w:id="15">
    <w:p w14:paraId="35E4CA5F" w14:textId="77777777" w:rsidR="0063307A" w:rsidRPr="00334A03" w:rsidRDefault="0063307A" w:rsidP="0063307A">
      <w:pPr>
        <w:pStyle w:val="FootnoteText"/>
        <w:ind w:left="142" w:hanging="142"/>
        <w:jc w:val="both"/>
        <w:rPr>
          <w:lang w:val="en-US"/>
        </w:rPr>
      </w:pPr>
      <w:r w:rsidRPr="00334A03">
        <w:rPr>
          <w:rStyle w:val="FootnoteReference"/>
        </w:rPr>
        <w:footnoteRef/>
      </w:r>
      <w:r w:rsidRPr="00334A03">
        <w:t xml:space="preserve"> The value of export turnover is calculated at F.O.B price and import turnover is calculated at C.I.F price (including transportation and insurance costs of imported goods).</w:t>
      </w:r>
    </w:p>
  </w:footnote>
  <w:footnote w:id="16">
    <w:p w14:paraId="253473B5" w14:textId="77777777" w:rsidR="0063307A" w:rsidRPr="00334A03" w:rsidRDefault="0063307A" w:rsidP="0063307A">
      <w:pPr>
        <w:pStyle w:val="FootnoteText"/>
        <w:ind w:left="142" w:hanging="142"/>
        <w:jc w:val="both"/>
        <w:rPr>
          <w:lang w:val="en-US"/>
        </w:rPr>
      </w:pPr>
      <w:r w:rsidRPr="00334A03">
        <w:rPr>
          <w:rStyle w:val="FootnoteReference"/>
        </w:rPr>
        <w:footnoteRef/>
      </w:r>
      <w:r w:rsidRPr="00334A03">
        <w:t xml:space="preserve"> Total turnover and value of preliminary export and import goods in October 2024 provided by the General Department of Customs on November 3, 2024.</w:t>
      </w:r>
    </w:p>
  </w:footnote>
  <w:footnote w:id="17">
    <w:p w14:paraId="6847AE62" w14:textId="77777777" w:rsidR="0063307A" w:rsidRPr="00334A03" w:rsidRDefault="0063307A" w:rsidP="0063307A">
      <w:pPr>
        <w:pStyle w:val="FootnoteText"/>
        <w:ind w:left="142" w:hanging="142"/>
        <w:jc w:val="both"/>
      </w:pPr>
      <w:r w:rsidRPr="00334A03">
        <w:rPr>
          <w:rStyle w:val="FootnoteReference"/>
        </w:rPr>
        <w:footnoteRef/>
      </w:r>
      <w:r w:rsidRPr="00334A03">
        <w:t xml:space="preserve"> Total import and export turnover of goods in ten months of 2023 reached 559.3 billion USD, down 10.8% over the same period last year, of which exports reached 292 billion USD, down 6.8%; imports reached 267.3 billion USD, down 14.8%.</w:t>
      </w:r>
    </w:p>
  </w:footnote>
  <w:footnote w:id="18">
    <w:p w14:paraId="20F9D852" w14:textId="77777777" w:rsidR="0063307A" w:rsidRPr="00334A03" w:rsidRDefault="0063307A" w:rsidP="0063307A">
      <w:pPr>
        <w:pStyle w:val="FootnoteText"/>
        <w:ind w:left="142" w:hanging="142"/>
        <w:jc w:val="both"/>
        <w:rPr>
          <w:lang w:val="en-US"/>
        </w:rPr>
      </w:pPr>
      <w:r w:rsidRPr="00334A03">
        <w:rPr>
          <w:rStyle w:val="FootnoteReference"/>
        </w:rPr>
        <w:footnoteRef/>
      </w:r>
      <w:r w:rsidRPr="00334A03">
        <w:t xml:space="preserve"> 28 million USD higher than the figure sent by the General Department of Customs to the General Statistics Office on October 3, 2024</w:t>
      </w:r>
    </w:p>
  </w:footnote>
  <w:footnote w:id="19">
    <w:p w14:paraId="2BEC78CA" w14:textId="77777777" w:rsidR="0063307A" w:rsidRPr="00B372C3" w:rsidRDefault="0063307A" w:rsidP="0063307A">
      <w:pPr>
        <w:pStyle w:val="FootnoteText"/>
        <w:jc w:val="both"/>
        <w:rPr>
          <w:lang w:val="en-US"/>
        </w:rPr>
      </w:pPr>
      <w:r>
        <w:rPr>
          <w:rStyle w:val="FootnoteReference"/>
        </w:rPr>
        <w:footnoteRef/>
      </w:r>
      <w:r>
        <w:t xml:space="preserve"> </w:t>
      </w:r>
      <w:r w:rsidRPr="001A31AE">
        <w:rPr>
          <w:spacing w:val="-6"/>
        </w:rPr>
        <w:t>The same as the figure sent by the General Department of Customs to the General Statistics Office on October 3, 2024</w:t>
      </w:r>
      <w:r>
        <w:rPr>
          <w:spacing w:val="-6"/>
        </w:rPr>
        <w:t>.</w:t>
      </w:r>
    </w:p>
  </w:footnote>
  <w:footnote w:id="20">
    <w:p w14:paraId="29E29D4C" w14:textId="77777777" w:rsidR="0063307A" w:rsidRPr="004C7CF5" w:rsidRDefault="0063307A" w:rsidP="0063307A">
      <w:pPr>
        <w:pStyle w:val="FootnoteText"/>
        <w:ind w:left="720" w:hanging="720"/>
        <w:jc w:val="both"/>
        <w:rPr>
          <w:lang w:val="vi-VN"/>
        </w:rPr>
      </w:pPr>
      <w:r w:rsidRPr="004C7CF5">
        <w:rPr>
          <w:rStyle w:val="FootnoteReference"/>
        </w:rPr>
        <w:footnoteRef/>
      </w:r>
      <w:r w:rsidRPr="004C7CF5">
        <w:rPr>
          <w:lang w:val="vi-VN"/>
        </w:rPr>
        <w:t xml:space="preserve"> </w:t>
      </w:r>
      <w:r w:rsidRPr="00375B26">
        <w:rPr>
          <w:lang w:val="en-US"/>
        </w:rPr>
        <w:t xml:space="preserve">Preliminary trade surplus </w:t>
      </w:r>
      <w:r>
        <w:rPr>
          <w:lang w:val="en-US"/>
        </w:rPr>
        <w:t xml:space="preserve">in </w:t>
      </w:r>
      <w:r w:rsidRPr="00375B26">
        <w:rPr>
          <w:lang w:val="en-US"/>
        </w:rPr>
        <w:t xml:space="preserve">September report </w:t>
      </w:r>
      <w:r>
        <w:rPr>
          <w:lang w:val="en-US"/>
        </w:rPr>
        <w:t>was</w:t>
      </w:r>
      <w:r w:rsidRPr="00375B26">
        <w:rPr>
          <w:lang w:val="en-US"/>
        </w:rPr>
        <w:t xml:space="preserve"> 2.29 billion USD.</w:t>
      </w:r>
    </w:p>
  </w:footnote>
  <w:footnote w:id="21">
    <w:p w14:paraId="1B3665DF" w14:textId="77777777" w:rsidR="0063307A" w:rsidRPr="00D6431F" w:rsidRDefault="0063307A" w:rsidP="0063307A">
      <w:pPr>
        <w:pStyle w:val="FootnoteText"/>
        <w:ind w:left="198" w:hanging="198"/>
        <w:jc w:val="both"/>
        <w:rPr>
          <w:lang w:val="en-US"/>
        </w:rPr>
      </w:pPr>
      <w:r w:rsidRPr="00D6431F">
        <w:rPr>
          <w:rStyle w:val="FootnoteReference"/>
        </w:rPr>
        <w:footnoteRef/>
      </w:r>
      <w:r w:rsidRPr="00D6431F">
        <w:t xml:space="preserve"> </w:t>
      </w:r>
      <w:r w:rsidRPr="00A138C9">
        <w:t>Domestic rice prices increased due to the impact of prolonged rains and thunderstorms, affecting rice output. The price index of the rice group increased by 0.79% (Delicious ordinary rice increased by 0.92%; regular ordinary rice increased by 0.76%; sticky rice increased by 0.75%). Besides, some food items increased in price in October such as potato price increased by 3.52%; corn increased by 2.46%; cassava increased by 1.46%; corn flour increased by 1.04%; ready-to-eat cereals increased by 1%.</w:t>
      </w:r>
    </w:p>
  </w:footnote>
  <w:footnote w:id="22">
    <w:p w14:paraId="10EED303" w14:textId="77777777" w:rsidR="0063307A" w:rsidRPr="00D6431F" w:rsidRDefault="0063307A" w:rsidP="0063307A">
      <w:pPr>
        <w:pStyle w:val="FootnoteText"/>
        <w:ind w:left="198" w:hanging="198"/>
        <w:jc w:val="both"/>
        <w:rPr>
          <w:lang w:val="en-US"/>
        </w:rPr>
      </w:pPr>
      <w:r w:rsidRPr="00D6431F">
        <w:rPr>
          <w:rStyle w:val="FootnoteReference"/>
        </w:rPr>
        <w:footnoteRef/>
      </w:r>
      <w:r w:rsidRPr="00D6431F">
        <w:t xml:space="preserve"> </w:t>
      </w:r>
      <w:r w:rsidRPr="00A138C9">
        <w:t xml:space="preserve">Prices of fresh, dried and processed vegetables increased by 3%; </w:t>
      </w:r>
      <w:r>
        <w:t>p</w:t>
      </w:r>
      <w:r w:rsidRPr="00A138C9">
        <w:t xml:space="preserve">ork prices increased by 0.25%; </w:t>
      </w:r>
      <w:r>
        <w:t>p</w:t>
      </w:r>
      <w:r w:rsidRPr="00A138C9">
        <w:t xml:space="preserve">oultry meat prices increased by 0.2%; </w:t>
      </w:r>
      <w:r>
        <w:t>f</w:t>
      </w:r>
      <w:r w:rsidRPr="00A138C9">
        <w:t xml:space="preserve">resh seafood prices increased by 0.36%; </w:t>
      </w:r>
      <w:r>
        <w:t>f</w:t>
      </w:r>
      <w:r w:rsidRPr="00A138C9">
        <w:t xml:space="preserve">resh and processed fruit prices increased by 1.45%; </w:t>
      </w:r>
      <w:r>
        <w:t>s</w:t>
      </w:r>
      <w:r w:rsidRPr="00A138C9">
        <w:t>pice prices increased by 0.36%; tea, coffee, cocoa increased by 0.32%; cakes, jams, and candy increased by 0.23%; milk, butter, and cheese increased by 0.21%.</w:t>
      </w:r>
    </w:p>
  </w:footnote>
  <w:footnote w:id="23">
    <w:p w14:paraId="3521DA01" w14:textId="77777777" w:rsidR="0063307A" w:rsidRPr="00D6431F" w:rsidRDefault="0063307A" w:rsidP="0063307A">
      <w:pPr>
        <w:pStyle w:val="FootnoteText"/>
        <w:ind w:left="198" w:hanging="198"/>
        <w:jc w:val="both"/>
        <w:rPr>
          <w:lang w:val="en-US"/>
        </w:rPr>
      </w:pPr>
      <w:r w:rsidRPr="00D6431F">
        <w:rPr>
          <w:rStyle w:val="FootnoteReference"/>
        </w:rPr>
        <w:footnoteRef/>
      </w:r>
      <w:r>
        <w:t xml:space="preserve"> </w:t>
      </w:r>
      <w:r w:rsidRPr="00A138C9">
        <w:t>Food prices have increased and in the month of October 20, Vietnamese Women's Day has increased the demand for food outside the home. In particular, the price of takeout fast food increased by 0.42% compared to the previous month; The price of eating out at home and the price of drinking out at home both increased by 0.15%.</w:t>
      </w:r>
    </w:p>
  </w:footnote>
  <w:footnote w:id="24">
    <w:p w14:paraId="6EB52FE1" w14:textId="77777777" w:rsidR="0063307A" w:rsidRPr="00D86931" w:rsidRDefault="0063307A" w:rsidP="0063307A">
      <w:pPr>
        <w:pStyle w:val="FootnoteText"/>
        <w:ind w:left="198" w:hanging="198"/>
        <w:jc w:val="both"/>
        <w:rPr>
          <w:lang w:val="vi-VN"/>
        </w:rPr>
      </w:pPr>
      <w:r>
        <w:rPr>
          <w:rStyle w:val="FootnoteReference"/>
        </w:rPr>
        <w:footnoteRef/>
      </w:r>
      <w:r>
        <w:t xml:space="preserve"> </w:t>
      </w:r>
      <w:r w:rsidRPr="0005042C">
        <w:t>In particular, the electricity and water price index in October 2024 reflects fluctuations one month later than other items because it is calculated based on revenue and consumption output of September 2024.</w:t>
      </w:r>
    </w:p>
  </w:footnote>
  <w:footnote w:id="25">
    <w:p w14:paraId="37FAAA93" w14:textId="77777777" w:rsidR="0063307A" w:rsidRPr="00FC383C" w:rsidRDefault="0063307A" w:rsidP="0063307A">
      <w:pPr>
        <w:pStyle w:val="FootnoteText"/>
        <w:spacing w:before="20" w:after="20"/>
        <w:ind w:left="142" w:hanging="142"/>
        <w:jc w:val="both"/>
      </w:pPr>
      <w:r w:rsidRPr="00FC383C">
        <w:rPr>
          <w:rStyle w:val="FootnoteReference"/>
        </w:rPr>
        <w:footnoteRef/>
      </w:r>
      <w:r>
        <w:t xml:space="preserve"> </w:t>
      </w:r>
      <w:r w:rsidRPr="00FC383C">
        <w:t>CPI after excluding food, fresh food, energy and state-managed goods including medical services and education.</w:t>
      </w:r>
    </w:p>
  </w:footnote>
  <w:footnote w:id="26">
    <w:p w14:paraId="02EF3252" w14:textId="77777777" w:rsidR="0063307A" w:rsidRPr="00ED7B15" w:rsidRDefault="0063307A" w:rsidP="0063307A">
      <w:pPr>
        <w:pStyle w:val="FootnoteText"/>
        <w:jc w:val="both"/>
        <w:rPr>
          <w:sz w:val="18"/>
          <w:szCs w:val="18"/>
        </w:rPr>
      </w:pPr>
      <w:r w:rsidRPr="00ED7B15">
        <w:rPr>
          <w:rStyle w:val="FootnoteReference"/>
        </w:rPr>
        <w:footnoteRef/>
      </w:r>
      <w:r w:rsidRPr="00ED7B15">
        <w:rPr>
          <w:spacing w:val="2"/>
        </w:rPr>
        <w:t xml:space="preserve"> According to the report of the Border Gate Department, the Border Guard Command, the Ministry of National Defense and the Immigration Department.</w:t>
      </w:r>
    </w:p>
  </w:footnote>
  <w:footnote w:id="27">
    <w:p w14:paraId="2D6A2877" w14:textId="77777777" w:rsidR="0063307A" w:rsidRPr="00ED7B15" w:rsidRDefault="0063307A" w:rsidP="0063307A">
      <w:pPr>
        <w:pStyle w:val="FootnoteText"/>
        <w:jc w:val="both"/>
        <w:rPr>
          <w:sz w:val="18"/>
          <w:szCs w:val="18"/>
          <w:lang w:val="vi-VN"/>
        </w:rPr>
      </w:pPr>
      <w:r w:rsidRPr="00ED7B15">
        <w:rPr>
          <w:rStyle w:val="FootnoteReference"/>
          <w:sz w:val="18"/>
          <w:szCs w:val="18"/>
        </w:rPr>
        <w:footnoteRef/>
      </w:r>
      <w:r w:rsidRPr="00ED7B15">
        <w:rPr>
          <w:sz w:val="18"/>
          <w:szCs w:val="18"/>
          <w:lang w:val="vi-VN"/>
        </w:rPr>
        <w:t xml:space="preserve"> </w:t>
      </w:r>
      <w:r w:rsidRPr="00ED7B15">
        <w:rPr>
          <w:spacing w:val="2"/>
        </w:rPr>
        <w:t xml:space="preserve">The reporting period was from </w:t>
      </w:r>
      <w:r>
        <w:rPr>
          <w:spacing w:val="2"/>
        </w:rPr>
        <w:t>September</w:t>
      </w:r>
      <w:r w:rsidRPr="00ED7B15">
        <w:rPr>
          <w:spacing w:val="2"/>
        </w:rPr>
        <w:t xml:space="preserve"> 21, 202</w:t>
      </w:r>
      <w:r>
        <w:rPr>
          <w:spacing w:val="2"/>
        </w:rPr>
        <w:t>3</w:t>
      </w:r>
      <w:r w:rsidRPr="00ED7B15">
        <w:rPr>
          <w:spacing w:val="2"/>
        </w:rPr>
        <w:t xml:space="preserve"> to </w:t>
      </w:r>
      <w:r>
        <w:rPr>
          <w:spacing w:val="2"/>
        </w:rPr>
        <w:t xml:space="preserve">October </w:t>
      </w:r>
      <w:r w:rsidRPr="00ED7B15">
        <w:rPr>
          <w:spacing w:val="2"/>
        </w:rPr>
        <w:t>20, 2023.</w:t>
      </w:r>
    </w:p>
  </w:footnote>
  <w:footnote w:id="28">
    <w:p w14:paraId="4318B75B" w14:textId="77777777" w:rsidR="00E87438" w:rsidRDefault="00E87438" w:rsidP="00E87438">
      <w:pPr>
        <w:pStyle w:val="FootnoteText"/>
        <w:jc w:val="both"/>
        <w:rPr>
          <w:sz w:val="18"/>
          <w:szCs w:val="18"/>
        </w:rPr>
      </w:pPr>
      <w:r>
        <w:rPr>
          <w:rStyle w:val="FootnoteReference"/>
        </w:rPr>
        <w:footnoteRef/>
      </w:r>
      <w:r>
        <w:rPr>
          <w:spacing w:val="2"/>
        </w:rPr>
        <w:t xml:space="preserve"> According to the report of the Border Gate Department, the Border Guard Command, the Ministry of National Defense and the Immigration Department </w:t>
      </w:r>
      <w:r w:rsidRPr="008A7BD1">
        <w:rPr>
          <w:spacing w:val="2"/>
        </w:rPr>
        <w:t xml:space="preserve">on </w:t>
      </w:r>
      <w:r>
        <w:rPr>
          <w:spacing w:val="2"/>
        </w:rPr>
        <w:t>October</w:t>
      </w:r>
      <w:r w:rsidRPr="008A7BD1">
        <w:rPr>
          <w:spacing w:val="2"/>
        </w:rPr>
        <w:t xml:space="preserve"> 27, 2024.</w:t>
      </w:r>
    </w:p>
  </w:footnote>
  <w:footnote w:id="29">
    <w:p w14:paraId="263EF786" w14:textId="77777777" w:rsidR="00E87438" w:rsidRPr="00672651" w:rsidRDefault="00E87438" w:rsidP="00E87438">
      <w:pPr>
        <w:pStyle w:val="FootnoteText"/>
        <w:rPr>
          <w:lang w:val="en-US"/>
        </w:rPr>
      </w:pPr>
      <w:r>
        <w:rPr>
          <w:rStyle w:val="FootnoteReference"/>
        </w:rPr>
        <w:footnoteRef/>
      </w:r>
      <w:r>
        <w:t xml:space="preserve"> </w:t>
      </w:r>
      <w:r>
        <w:rPr>
          <w:lang w:val="en-US"/>
        </w:rPr>
        <w:t>T</w:t>
      </w:r>
      <w:r>
        <w:rPr>
          <w:lang w:val="nl-NL"/>
        </w:rPr>
        <w:t>he reporting period was from September 26, 2024 to October 25, 2024.</w:t>
      </w:r>
    </w:p>
  </w:footnote>
  <w:footnote w:id="30">
    <w:p w14:paraId="47647320" w14:textId="77777777" w:rsidR="00E87438" w:rsidRPr="00FC383C" w:rsidRDefault="00E87438" w:rsidP="00E87438">
      <w:pPr>
        <w:pStyle w:val="FootnoteText"/>
        <w:rPr>
          <w:lang w:val="nl-NL"/>
        </w:rPr>
      </w:pPr>
      <w:r w:rsidRPr="00FC383C">
        <w:rPr>
          <w:rStyle w:val="FootnoteReference"/>
        </w:rPr>
        <w:footnoteRef/>
      </w:r>
      <w:r w:rsidRPr="00FC383C">
        <w:t xml:space="preserve"> </w:t>
      </w:r>
      <w:r w:rsidRPr="003846A8">
        <w:t>A household can choose many reasons to reduce income.</w:t>
      </w:r>
    </w:p>
  </w:footnote>
  <w:footnote w:id="31">
    <w:p w14:paraId="73A1717B" w14:textId="77777777" w:rsidR="00E87438" w:rsidRPr="00F92F75" w:rsidRDefault="00E87438" w:rsidP="00E87438">
      <w:pPr>
        <w:pStyle w:val="FootnoteText"/>
        <w:ind w:left="198" w:hanging="198"/>
        <w:jc w:val="both"/>
        <w:rPr>
          <w:lang w:val="vi-VN"/>
        </w:rPr>
      </w:pPr>
      <w:r w:rsidRPr="00F92F75">
        <w:rPr>
          <w:rStyle w:val="FootnoteReference"/>
        </w:rPr>
        <w:footnoteRef/>
      </w:r>
      <w:r w:rsidRPr="00F92F75">
        <w:rPr>
          <w:lang w:val="vi-VN"/>
        </w:rPr>
        <w:t xml:space="preserve"> </w:t>
      </w:r>
      <w:r w:rsidRPr="003846A8">
        <w:rPr>
          <w:lang w:val="vi-VN"/>
        </w:rPr>
        <w:t>According to a quick report from the Office of the Ministry of Public Security and the Vietnam Maritime Administration (Ministry of Transport) on October 29, 2024.</w:t>
      </w:r>
    </w:p>
  </w:footnote>
  <w:footnote w:id="32">
    <w:p w14:paraId="138B7A3E" w14:textId="77777777" w:rsidR="00E87438" w:rsidRPr="00335DC4" w:rsidRDefault="00E87438" w:rsidP="00E87438">
      <w:pPr>
        <w:pStyle w:val="FootnoteText"/>
        <w:spacing w:after="40"/>
        <w:ind w:left="198" w:hanging="198"/>
        <w:jc w:val="both"/>
        <w:rPr>
          <w:spacing w:val="-2"/>
        </w:rPr>
      </w:pPr>
      <w:r w:rsidRPr="00FC383C">
        <w:rPr>
          <w:rStyle w:val="FootnoteReference"/>
        </w:rPr>
        <w:footnoteRef/>
      </w:r>
      <w:r w:rsidRPr="00FC383C">
        <w:t xml:space="preserve"> </w:t>
      </w:r>
      <w:r w:rsidRPr="003846A8">
        <w:t>Summary of reports from 63 Departments of Agriculture and Rural Development, reporting period from September 19 to October 18, 2024.</w:t>
      </w:r>
    </w:p>
  </w:footnote>
  <w:footnote w:id="33">
    <w:p w14:paraId="68DD480E" w14:textId="77777777" w:rsidR="00E87438" w:rsidRPr="003846A8" w:rsidRDefault="00E87438" w:rsidP="00E87438">
      <w:pPr>
        <w:pStyle w:val="FootnoteText"/>
        <w:spacing w:after="40"/>
        <w:ind w:left="198" w:hanging="198"/>
        <w:jc w:val="both"/>
      </w:pPr>
      <w:r w:rsidRPr="00335DC4">
        <w:rPr>
          <w:rStyle w:val="FootnoteReference"/>
        </w:rPr>
        <w:footnoteRef/>
      </w:r>
      <w:r w:rsidRPr="00335DC4">
        <w:t xml:space="preserve"> </w:t>
      </w:r>
      <w:r>
        <w:t>According to a report from the Department of Natural Resources and Environment, the Police of provinces and centrally run cities Department of General Statistics.</w:t>
      </w:r>
    </w:p>
  </w:footnote>
  <w:footnote w:id="34">
    <w:p w14:paraId="0C222F62" w14:textId="77777777" w:rsidR="00E87438" w:rsidRPr="00C274F1" w:rsidRDefault="00E87438" w:rsidP="00E87438">
      <w:pPr>
        <w:pStyle w:val="FootnoteText"/>
        <w:spacing w:after="40"/>
        <w:ind w:left="198" w:hanging="198"/>
        <w:rPr>
          <w:color w:val="FF0000"/>
        </w:rPr>
      </w:pPr>
      <w:r w:rsidRPr="00335DC4">
        <w:rPr>
          <w:rStyle w:val="FootnoteReference"/>
        </w:rPr>
        <w:footnoteRef/>
      </w:r>
      <w:r w:rsidRPr="00335DC4">
        <w:t xml:space="preserve"> </w:t>
      </w:r>
      <w:r w:rsidRPr="003846A8">
        <w:t>According to a quick report from the Ministry of Public Security on October 23,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A91C5" w14:textId="77777777" w:rsidR="00E87438" w:rsidRPr="00AC7FFB" w:rsidRDefault="00E87438">
    <w:pPr>
      <w:pStyle w:val="Header"/>
      <w:jc w:val="center"/>
      <w:rPr>
        <w:sz w:val="26"/>
        <w:szCs w:val="26"/>
      </w:rPr>
    </w:pPr>
    <w:r w:rsidRPr="00AC7FFB">
      <w:rPr>
        <w:sz w:val="26"/>
        <w:szCs w:val="26"/>
      </w:rPr>
      <w:fldChar w:fldCharType="begin"/>
    </w:r>
    <w:r w:rsidRPr="00AC7FFB">
      <w:rPr>
        <w:sz w:val="26"/>
        <w:szCs w:val="26"/>
      </w:rPr>
      <w:instrText xml:space="preserve"> PAGE   \* MERGEFORMAT </w:instrText>
    </w:r>
    <w:r w:rsidRPr="00AC7FFB">
      <w:rPr>
        <w:sz w:val="26"/>
        <w:szCs w:val="26"/>
      </w:rPr>
      <w:fldChar w:fldCharType="separate"/>
    </w:r>
    <w:r>
      <w:rPr>
        <w:noProof/>
        <w:sz w:val="26"/>
        <w:szCs w:val="26"/>
      </w:rPr>
      <w:t>10</w:t>
    </w:r>
    <w:r w:rsidRPr="00AC7FFB">
      <w:rPr>
        <w:sz w:val="26"/>
        <w:szCs w:val="26"/>
      </w:rPr>
      <w:fldChar w:fldCharType="end"/>
    </w:r>
  </w:p>
  <w:p w14:paraId="404717B8" w14:textId="77777777" w:rsidR="00E87438" w:rsidRDefault="00E874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2B20F8"/>
    <w:multiLevelType w:val="hybridMultilevel"/>
    <w:tmpl w:val="49DCEC6A"/>
    <w:lvl w:ilvl="0" w:tplc="AC7EED9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473062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07A"/>
    <w:rsid w:val="0063307A"/>
    <w:rsid w:val="00943340"/>
    <w:rsid w:val="009B0E4B"/>
    <w:rsid w:val="00E20DDD"/>
    <w:rsid w:val="00E87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5FAFE"/>
  <w15:chartTrackingRefBased/>
  <w15:docId w15:val="{98A68C52-DFAE-4441-9F83-CC26B518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07A"/>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qFormat/>
    <w:rsid w:val="00633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33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07A"/>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6330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0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0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0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0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0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30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330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0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0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0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07A"/>
    <w:rPr>
      <w:rFonts w:eastAsiaTheme="majorEastAsia" w:cstheme="majorBidi"/>
      <w:color w:val="272727" w:themeColor="text1" w:themeTint="D8"/>
    </w:rPr>
  </w:style>
  <w:style w:type="paragraph" w:styleId="Title">
    <w:name w:val="Title"/>
    <w:basedOn w:val="Normal"/>
    <w:next w:val="Normal"/>
    <w:link w:val="TitleChar"/>
    <w:uiPriority w:val="10"/>
    <w:qFormat/>
    <w:rsid w:val="006330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07A"/>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633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07A"/>
    <w:pPr>
      <w:spacing w:before="160"/>
      <w:jc w:val="center"/>
    </w:pPr>
    <w:rPr>
      <w:i/>
      <w:iCs/>
      <w:color w:val="404040" w:themeColor="text1" w:themeTint="BF"/>
    </w:rPr>
  </w:style>
  <w:style w:type="character" w:customStyle="1" w:styleId="QuoteChar">
    <w:name w:val="Quote Char"/>
    <w:basedOn w:val="DefaultParagraphFont"/>
    <w:link w:val="Quote"/>
    <w:uiPriority w:val="29"/>
    <w:rsid w:val="0063307A"/>
    <w:rPr>
      <w:i/>
      <w:iCs/>
      <w:color w:val="404040" w:themeColor="text1" w:themeTint="BF"/>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63307A"/>
    <w:pPr>
      <w:ind w:left="720"/>
      <w:contextualSpacing/>
    </w:pPr>
  </w:style>
  <w:style w:type="character" w:styleId="IntenseEmphasis">
    <w:name w:val="Intense Emphasis"/>
    <w:basedOn w:val="DefaultParagraphFont"/>
    <w:uiPriority w:val="21"/>
    <w:qFormat/>
    <w:rsid w:val="0063307A"/>
    <w:rPr>
      <w:i/>
      <w:iCs/>
      <w:color w:val="0F4761" w:themeColor="accent1" w:themeShade="BF"/>
    </w:rPr>
  </w:style>
  <w:style w:type="paragraph" w:styleId="IntenseQuote">
    <w:name w:val="Intense Quote"/>
    <w:basedOn w:val="Normal"/>
    <w:next w:val="Normal"/>
    <w:link w:val="IntenseQuoteChar"/>
    <w:uiPriority w:val="30"/>
    <w:qFormat/>
    <w:rsid w:val="00633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07A"/>
    <w:rPr>
      <w:i/>
      <w:iCs/>
      <w:color w:val="0F4761" w:themeColor="accent1" w:themeShade="BF"/>
    </w:rPr>
  </w:style>
  <w:style w:type="character" w:styleId="IntenseReference">
    <w:name w:val="Intense Reference"/>
    <w:basedOn w:val="DefaultParagraphFont"/>
    <w:uiPriority w:val="32"/>
    <w:qFormat/>
    <w:rsid w:val="0063307A"/>
    <w:rPr>
      <w:b/>
      <w:bCs/>
      <w:smallCaps/>
      <w:color w:val="0F4761" w:themeColor="accent1" w:themeShade="BF"/>
      <w:spacing w:val="5"/>
    </w:rPr>
  </w:style>
  <w:style w:type="character" w:styleId="Strong">
    <w:name w:val="Strong"/>
    <w:qFormat/>
    <w:rsid w:val="0063307A"/>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63307A"/>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63307A"/>
    <w:rPr>
      <w:rFonts w:ascii="Times New Roman" w:eastAsia="Calibri" w:hAnsi="Times New Roman" w:cs="Times New Roman"/>
      <w:kern w:val="0"/>
      <w:sz w:val="20"/>
      <w:szCs w:val="20"/>
      <w:lang w:val="x-none" w:eastAsia="x-none"/>
      <w14:ligatures w14:val="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63307A"/>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63307A"/>
    <w:pPr>
      <w:spacing w:before="100" w:beforeAutospacing="1" w:after="100" w:afterAutospacing="1"/>
    </w:pPr>
    <w:rPr>
      <w:rFonts w:eastAsia="Calibri"/>
      <w:sz w:val="24"/>
      <w:szCs w:val="24"/>
      <w:lang w:val="x-none" w:eastAsia="x-none"/>
    </w:rPr>
  </w:style>
  <w:style w:type="character" w:customStyle="1" w:styleId="normalchar">
    <w:name w:val="normal__char"/>
    <w:basedOn w:val="DefaultParagraphFont"/>
    <w:rsid w:val="0063307A"/>
  </w:style>
  <w:style w:type="paragraph" w:styleId="Header">
    <w:name w:val="header"/>
    <w:basedOn w:val="Normal"/>
    <w:link w:val="HeaderChar"/>
    <w:uiPriority w:val="99"/>
    <w:rsid w:val="0063307A"/>
    <w:pPr>
      <w:tabs>
        <w:tab w:val="center" w:pos="4680"/>
        <w:tab w:val="right" w:pos="9360"/>
      </w:tabs>
    </w:pPr>
    <w:rPr>
      <w:rFonts w:eastAsia="Calibri"/>
      <w:lang w:val="x-none" w:eastAsia="x-none"/>
    </w:rPr>
  </w:style>
  <w:style w:type="character" w:customStyle="1" w:styleId="HeaderChar">
    <w:name w:val="Header Char"/>
    <w:basedOn w:val="DefaultParagraphFont"/>
    <w:link w:val="Header"/>
    <w:uiPriority w:val="99"/>
    <w:rsid w:val="0063307A"/>
    <w:rPr>
      <w:rFonts w:ascii="Times New Roman" w:eastAsia="Calibri" w:hAnsi="Times New Roman" w:cs="Times New Roman"/>
      <w:kern w:val="0"/>
      <w:sz w:val="28"/>
      <w:szCs w:val="28"/>
      <w:lang w:val="x-none" w:eastAsia="x-none"/>
      <w14:ligatures w14:val="none"/>
    </w:rPr>
  </w:style>
  <w:style w:type="paragraph" w:customStyle="1" w:styleId="Normal1">
    <w:name w:val="Normal1"/>
    <w:basedOn w:val="Normal"/>
    <w:qFormat/>
    <w:rsid w:val="0063307A"/>
    <w:pPr>
      <w:spacing w:before="100" w:beforeAutospacing="1" w:after="100" w:afterAutospacing="1"/>
    </w:pPr>
    <w:rPr>
      <w:rFonts w:ascii="Calibri" w:hAnsi="Calibri" w:cs="Calibri"/>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63307A"/>
    <w:pPr>
      <w:spacing w:after="160" w:line="240" w:lineRule="exact"/>
    </w:pPr>
    <w:rPr>
      <w:rFonts w:asciiTheme="minorHAnsi" w:eastAsiaTheme="minorHAnsi" w:hAnsiTheme="minorHAnsi" w:cstheme="minorBidi"/>
      <w:kern w:val="2"/>
      <w:sz w:val="24"/>
      <w:szCs w:val="24"/>
      <w:vertAlign w:val="superscript"/>
      <w14:ligatures w14:val="standardContextual"/>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63307A"/>
    <w:rPr>
      <w:rFonts w:ascii="Times New Roman" w:eastAsia="Calibri" w:hAnsi="Times New Roman" w:cs="Times New Roman"/>
      <w:kern w:val="0"/>
      <w:lang w:val="x-none" w:eastAsia="x-none"/>
      <w14:ligatures w14:val="none"/>
    </w:rPr>
  </w:style>
  <w:style w:type="character" w:styleId="CommentReference">
    <w:name w:val="annotation reference"/>
    <w:basedOn w:val="DefaultParagraphFont"/>
    <w:uiPriority w:val="99"/>
    <w:semiHidden/>
    <w:unhideWhenUsed/>
    <w:rsid w:val="0063307A"/>
    <w:rPr>
      <w:sz w:val="16"/>
      <w:szCs w:val="16"/>
    </w:rPr>
  </w:style>
  <w:style w:type="paragraph" w:styleId="CommentText">
    <w:name w:val="annotation text"/>
    <w:basedOn w:val="Normal"/>
    <w:link w:val="CommentTextChar"/>
    <w:uiPriority w:val="99"/>
    <w:unhideWhenUsed/>
    <w:rsid w:val="0063307A"/>
    <w:rPr>
      <w:sz w:val="20"/>
      <w:szCs w:val="20"/>
      <w:lang w:val="vi-VN"/>
    </w:rPr>
  </w:style>
  <w:style w:type="character" w:customStyle="1" w:styleId="CommentTextChar">
    <w:name w:val="Comment Text Char"/>
    <w:basedOn w:val="DefaultParagraphFont"/>
    <w:link w:val="CommentText"/>
    <w:uiPriority w:val="99"/>
    <w:rsid w:val="0063307A"/>
    <w:rPr>
      <w:rFonts w:ascii="Times New Roman" w:eastAsia="Times New Roman" w:hAnsi="Times New Roman" w:cs="Times New Roman"/>
      <w:kern w:val="0"/>
      <w:sz w:val="20"/>
      <w:szCs w:val="20"/>
      <w:lang w:val="vi-VN"/>
      <w14:ligatures w14:val="none"/>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63307A"/>
  </w:style>
  <w:style w:type="paragraph" w:customStyle="1" w:styleId="Normal11">
    <w:name w:val="Normal11"/>
    <w:basedOn w:val="Normal"/>
    <w:rsid w:val="0063307A"/>
    <w:pPr>
      <w:spacing w:before="100" w:beforeAutospacing="1" w:after="100" w:afterAutospacing="1"/>
    </w:pPr>
    <w:rPr>
      <w:rFonts w:ascii="Calibri" w:hAnsi="Calibri" w:cs="Calibri"/>
      <w:sz w:val="24"/>
      <w:szCs w:val="24"/>
    </w:rPr>
  </w:style>
  <w:style w:type="paragraph" w:styleId="BalloonText">
    <w:name w:val="Balloon Text"/>
    <w:basedOn w:val="Normal"/>
    <w:link w:val="BalloonTextChar"/>
    <w:uiPriority w:val="99"/>
    <w:semiHidden/>
    <w:unhideWhenUsed/>
    <w:rsid w:val="00633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7A"/>
    <w:rPr>
      <w:rFonts w:ascii="Segoe UI" w:eastAsia="Times New Roman" w:hAnsi="Segoe UI" w:cs="Segoe UI"/>
      <w:kern w:val="0"/>
      <w:sz w:val="18"/>
      <w:szCs w:val="18"/>
      <w14:ligatures w14:val="none"/>
    </w:rPr>
  </w:style>
  <w:style w:type="table" w:styleId="TableGrid">
    <w:name w:val="Table Grid"/>
    <w:basedOn w:val="TableNormal"/>
    <w:uiPriority w:val="39"/>
    <w:rsid w:val="0063307A"/>
    <w:pPr>
      <w:spacing w:after="0" w:line="240" w:lineRule="auto"/>
    </w:pPr>
    <w:rPr>
      <w:kern w:val="0"/>
      <w:sz w:val="22"/>
      <w:szCs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63307A"/>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unhideWhenUsed/>
    <w:rsid w:val="0063307A"/>
    <w:pPr>
      <w:spacing w:after="120"/>
      <w:ind w:left="360"/>
    </w:pPr>
    <w:rPr>
      <w:lang w:val="x-none" w:eastAsia="x-none"/>
    </w:rPr>
  </w:style>
  <w:style w:type="character" w:customStyle="1" w:styleId="BodyTextIndentChar">
    <w:name w:val="Body Text Indent Char"/>
    <w:basedOn w:val="DefaultParagraphFont"/>
    <w:link w:val="BodyTextIndent"/>
    <w:rsid w:val="0063307A"/>
    <w:rPr>
      <w:rFonts w:ascii="Times New Roman" w:eastAsia="Times New Roman" w:hAnsi="Times New Roman" w:cs="Times New Roman"/>
      <w:kern w:val="0"/>
      <w:sz w:val="28"/>
      <w:szCs w:val="28"/>
      <w:lang w:val="x-none" w:eastAsia="x-none"/>
      <w14:ligatures w14:val="none"/>
    </w:rPr>
  </w:style>
  <w:style w:type="character" w:customStyle="1" w:styleId="fontstyle01">
    <w:name w:val="fontstyle01"/>
    <w:rsid w:val="0063307A"/>
    <w:rPr>
      <w:rFonts w:ascii="Times New Roman" w:hAnsi="Times New Roman" w:cs="Times New Roman" w:hint="default"/>
      <w:color w:val="000000"/>
      <w:sz w:val="28"/>
    </w:rPr>
  </w:style>
  <w:style w:type="paragraph" w:styleId="CommentSubject">
    <w:name w:val="annotation subject"/>
    <w:basedOn w:val="CommentText"/>
    <w:next w:val="CommentText"/>
    <w:link w:val="CommentSubjectChar"/>
    <w:uiPriority w:val="99"/>
    <w:semiHidden/>
    <w:unhideWhenUsed/>
    <w:rsid w:val="0063307A"/>
    <w:rPr>
      <w:b/>
      <w:bCs/>
      <w:lang w:val="en-US"/>
    </w:rPr>
  </w:style>
  <w:style w:type="character" w:customStyle="1" w:styleId="CommentSubjectChar">
    <w:name w:val="Comment Subject Char"/>
    <w:basedOn w:val="CommentTextChar"/>
    <w:link w:val="CommentSubject"/>
    <w:uiPriority w:val="99"/>
    <w:semiHidden/>
    <w:rsid w:val="0063307A"/>
    <w:rPr>
      <w:rFonts w:ascii="Times New Roman" w:eastAsia="Times New Roman" w:hAnsi="Times New Roman" w:cs="Times New Roman"/>
      <w:b/>
      <w:bCs/>
      <w:kern w:val="0"/>
      <w:sz w:val="20"/>
      <w:szCs w:val="20"/>
      <w:lang w:val="vi-VN"/>
      <w14:ligatures w14:val="none"/>
    </w:rPr>
  </w:style>
  <w:style w:type="paragraph" w:styleId="Revision">
    <w:name w:val="Revision"/>
    <w:hidden/>
    <w:uiPriority w:val="99"/>
    <w:semiHidden/>
    <w:rsid w:val="0063307A"/>
    <w:pPr>
      <w:spacing w:after="0" w:line="240" w:lineRule="auto"/>
    </w:pPr>
    <w:rPr>
      <w:rFonts w:ascii="Times New Roman" w:eastAsia="Times New Roman" w:hAnsi="Times New Roman" w:cs="Times New Roman"/>
      <w:kern w:val="0"/>
      <w:sz w:val="28"/>
      <w:szCs w:val="28"/>
      <w14:ligatures w14:val="none"/>
    </w:rPr>
  </w:style>
  <w:style w:type="character" w:customStyle="1" w:styleId="a21">
    <w:name w:val="a21"/>
    <w:rsid w:val="0063307A"/>
    <w:rPr>
      <w:rFonts w:ascii="Arial" w:hAnsi="Arial" w:cs="Arial" w:hint="default"/>
      <w:strike w:val="0"/>
      <w:dstrike w:val="0"/>
      <w:sz w:val="20"/>
      <w:szCs w:val="20"/>
      <w:u w:val="none"/>
      <w:effect w:val="none"/>
    </w:rPr>
  </w:style>
  <w:style w:type="paragraph" w:styleId="List3">
    <w:name w:val="List 3"/>
    <w:basedOn w:val="Normal"/>
    <w:rsid w:val="0063307A"/>
    <w:pPr>
      <w:spacing w:before="100" w:beforeAutospacing="1" w:after="100" w:afterAutospacing="1"/>
    </w:pPr>
    <w:rPr>
      <w:rFonts w:eastAsia="MS Mincho"/>
      <w:sz w:val="24"/>
      <w:szCs w:val="24"/>
      <w:lang w:val="vi-VN"/>
    </w:rPr>
  </w:style>
  <w:style w:type="paragraph" w:styleId="HTMLPreformatted">
    <w:name w:val="HTML Preformatted"/>
    <w:basedOn w:val="Normal"/>
    <w:link w:val="HTMLPreformattedChar"/>
    <w:uiPriority w:val="99"/>
    <w:unhideWhenUsed/>
    <w:rsid w:val="00633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3307A"/>
    <w:rPr>
      <w:rFonts w:ascii="Courier New" w:eastAsia="Times New Roman" w:hAnsi="Courier New" w:cs="Courier New"/>
      <w:kern w:val="0"/>
      <w:sz w:val="20"/>
      <w:szCs w:val="20"/>
      <w14:ligatures w14:val="none"/>
    </w:rPr>
  </w:style>
  <w:style w:type="table" w:customStyle="1" w:styleId="TableGrid1">
    <w:name w:val="Table Grid1"/>
    <w:basedOn w:val="TableNormal"/>
    <w:next w:val="TableGrid"/>
    <w:uiPriority w:val="39"/>
    <w:rsid w:val="0063307A"/>
    <w:pPr>
      <w:spacing w:after="0" w:line="240" w:lineRule="auto"/>
    </w:pPr>
    <w:rPr>
      <w:rFonts w:ascii="Calibri" w:eastAsia="Calibri" w:hAnsi="Calibri" w:cs="Times New Roman"/>
      <w:kern w:val="0"/>
      <w:sz w:val="22"/>
      <w:szCs w:val="22"/>
      <w:lang w:val="vi-VN"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63307A"/>
  </w:style>
  <w:style w:type="table" w:customStyle="1" w:styleId="TableGrid2">
    <w:name w:val="Table Grid2"/>
    <w:basedOn w:val="TableNormal"/>
    <w:next w:val="TableGrid"/>
    <w:uiPriority w:val="39"/>
    <w:locked/>
    <w:rsid w:val="0063307A"/>
    <w:pPr>
      <w:spacing w:after="0" w:line="240" w:lineRule="auto"/>
    </w:pPr>
    <w:rPr>
      <w:rFonts w:ascii="Calibri" w:eastAsia="Calibri" w:hAnsi="Calibri" w:cs="Times New Roman"/>
      <w:kern w:val="0"/>
      <w:sz w:val="22"/>
      <w:szCs w:val="22"/>
      <w:lang w:val="en"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image" Target="media/image8.png"/><Relationship Id="rId26" Type="http://schemas.openxmlformats.org/officeDocument/2006/relationships/chart" Target="charts/chart7.xml"/><Relationship Id="rId3" Type="http://schemas.openxmlformats.org/officeDocument/2006/relationships/settings" Target="settings.xml"/><Relationship Id="rId21" Type="http://schemas.openxmlformats.org/officeDocument/2006/relationships/image" Target="media/image100.w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hart" Target="charts/chart4.xml"/><Relationship Id="rId25"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image" Target="media/image110.wmf"/><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9.sv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2.xml"/><Relationship Id="rId22" Type="http://schemas.openxmlformats.org/officeDocument/2006/relationships/image" Target="media/image11.wmf"/><Relationship Id="rId27" Type="http://schemas.openxmlformats.org/officeDocument/2006/relationships/image" Target="media/image12.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tphuong\Desktop\Ph&#432;&#7907;ng%202024\B&#225;o%20c&#225;o%20th&#225;ng\TH&#193;NG%2010%202024\Bi&#7875;u%20&#273;&#7891;V&#272;T%20T10%202024%20-%20Copy.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btphuong\Desktop\Ph&#432;&#7907;ng%202024\B&#225;o%20c&#225;o%20th&#225;ng\TH&#193;NG%2010%202024\bi&#7875;u%20&#273;&#7891;%20FDI%20T10%202024%20-%20Cop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tphuong\Desktop\Ph&#432;&#7907;ng%202024\B&#225;o%20c&#225;o%20th&#225;ng\TH&#193;NG%2010%202024\Bi&#7875;u%20&#273;&#7891;%20FDI%202.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10.42.9.250\tkth02\01%20Bao%20cao%20thang\2024\Thang%2010\Chuyen%20vien\&#272;&#244;&#768;%20thi&#803;%20t&#244;&#777;ng%20m&#432;&#769;c%2010.2024.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D:\02%20BAO%20CAO\NAM2024\Th&#225;ng%2010.2024\V&#7909;%20TH\Bi&#7875;u%20&#273;&#7891;%20XNK%20T10.2024.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D:\02%20BAO%20CAO\NAM2024\Th&#225;ng%2010.2024\V&#7909;%20TH\Bi&#7875;u%20&#273;&#7891;%20XNK%20T10.2024.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D:\BAO%20CAO%20THANG\Loi%20van\2024\T10\&#273;&#7891;%20th&#7883;%20gi&#225;%20CP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88066191141331E-2"/>
          <c:y val="7.8401720034694422E-2"/>
          <c:w val="0.89996767604437333"/>
          <c:h val="0.66574137320055682"/>
        </c:manualLayout>
      </c:layout>
      <c:barChart>
        <c:barDir val="col"/>
        <c:grouping val="clustered"/>
        <c:varyColors val="0"/>
        <c:ser>
          <c:idx val="0"/>
          <c:order val="0"/>
          <c:tx>
            <c:strRef>
              <c:f>'Hình 7. Địa phương'!$D$4</c:f>
              <c:strCache>
                <c:ptCount val="1"/>
                <c:pt idx="0">
                  <c:v>In the 10 months of 2023</c:v>
                </c:pt>
              </c:strCache>
            </c:strRef>
          </c:tx>
          <c:spPr>
            <a:solidFill>
              <a:srgbClr val="CFB09D"/>
            </a:solidFill>
            <a:ln>
              <a:noFill/>
            </a:ln>
            <a:effectLst/>
          </c:spPr>
          <c:invertIfNegative val="0"/>
          <c:cat>
            <c:strRef>
              <c:f>'Hình 7. Địa phương'!$C$5:$C$13</c:f>
              <c:strCache>
                <c:ptCount val="9"/>
                <c:pt idx="0">
                  <c:v>Ha Noi</c:v>
                </c:pt>
                <c:pt idx="1">
                  <c:v>Ho Chi Minh city</c:v>
                </c:pt>
                <c:pt idx="2">
                  <c:v>Binh Duong</c:v>
                </c:pt>
                <c:pt idx="3">
                  <c:v>Ba Ria - Vung Tau</c:v>
                </c:pt>
                <c:pt idx="4">
                  <c:v>Hai Phong</c:v>
                </c:pt>
                <c:pt idx="5">
                  <c:v>Hung Yen</c:v>
                </c:pt>
                <c:pt idx="6">
                  <c:v>Dong Nai</c:v>
                </c:pt>
                <c:pt idx="7">
                  <c:v>Thanh Hoa</c:v>
                </c:pt>
                <c:pt idx="8">
                  <c:v>Quang Ninh</c:v>
                </c:pt>
              </c:strCache>
            </c:strRef>
          </c:cat>
          <c:val>
            <c:numRef>
              <c:f>'Hình 7. Địa phương'!$D$5:$D$13</c:f>
              <c:numCache>
                <c:formatCode>0.0</c:formatCode>
                <c:ptCount val="9"/>
                <c:pt idx="0">
                  <c:v>39333.182000000001</c:v>
                </c:pt>
                <c:pt idx="1">
                  <c:v>35697.4</c:v>
                </c:pt>
                <c:pt idx="2">
                  <c:v>14791.066000000001</c:v>
                </c:pt>
                <c:pt idx="3">
                  <c:v>12670.060639999998</c:v>
                </c:pt>
                <c:pt idx="4">
                  <c:v>15433.495999999999</c:v>
                </c:pt>
                <c:pt idx="5">
                  <c:v>11605.508</c:v>
                </c:pt>
                <c:pt idx="6">
                  <c:v>8452.2970000000005</c:v>
                </c:pt>
                <c:pt idx="7">
                  <c:v>8803.8269999999993</c:v>
                </c:pt>
                <c:pt idx="8">
                  <c:v>10343.138999999999</c:v>
                </c:pt>
              </c:numCache>
            </c:numRef>
          </c:val>
          <c:extLst>
            <c:ext xmlns:c16="http://schemas.microsoft.com/office/drawing/2014/chart" uri="{C3380CC4-5D6E-409C-BE32-E72D297353CC}">
              <c16:uniqueId val="{00000000-5E8C-484F-BA33-E861A79645A4}"/>
            </c:ext>
          </c:extLst>
        </c:ser>
        <c:ser>
          <c:idx val="1"/>
          <c:order val="1"/>
          <c:tx>
            <c:strRef>
              <c:f>'Hình 7. Địa phương'!$E$4</c:f>
              <c:strCache>
                <c:ptCount val="1"/>
                <c:pt idx="0">
                  <c:v>In the 10 months of 2024</c:v>
                </c:pt>
              </c:strCache>
            </c:strRef>
          </c:tx>
          <c:spPr>
            <a:solidFill>
              <a:srgbClr val="C84863"/>
            </a:solidFill>
            <a:ln>
              <a:noFill/>
            </a:ln>
            <a:effectLst/>
          </c:spPr>
          <c:invertIfNegative val="0"/>
          <c:dLbls>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8C-484F-BA33-E861A79645A4}"/>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phương'!$C$5:$C$13</c:f>
              <c:strCache>
                <c:ptCount val="9"/>
                <c:pt idx="0">
                  <c:v>Ha Noi</c:v>
                </c:pt>
                <c:pt idx="1">
                  <c:v>Ho Chi Minh city</c:v>
                </c:pt>
                <c:pt idx="2">
                  <c:v>Binh Duong</c:v>
                </c:pt>
                <c:pt idx="3">
                  <c:v>Ba Ria - Vung Tau</c:v>
                </c:pt>
                <c:pt idx="4">
                  <c:v>Hai Phong</c:v>
                </c:pt>
                <c:pt idx="5">
                  <c:v>Hung Yen</c:v>
                </c:pt>
                <c:pt idx="6">
                  <c:v>Dong Nai</c:v>
                </c:pt>
                <c:pt idx="7">
                  <c:v>Thanh Hoa</c:v>
                </c:pt>
                <c:pt idx="8">
                  <c:v>Quang Ninh</c:v>
                </c:pt>
              </c:strCache>
            </c:strRef>
          </c:cat>
          <c:val>
            <c:numRef>
              <c:f>'Hình 7. Địa phương'!$E$5:$E$13</c:f>
              <c:numCache>
                <c:formatCode>0.0</c:formatCode>
                <c:ptCount val="9"/>
                <c:pt idx="0">
                  <c:v>53157.002999999997</c:v>
                </c:pt>
                <c:pt idx="1">
                  <c:v>34868.116000000002</c:v>
                </c:pt>
                <c:pt idx="2">
                  <c:v>15866.298000000001</c:v>
                </c:pt>
                <c:pt idx="3">
                  <c:v>14177.270049999999</c:v>
                </c:pt>
                <c:pt idx="4">
                  <c:v>13949.495999999999</c:v>
                </c:pt>
                <c:pt idx="5">
                  <c:v>12074.365</c:v>
                </c:pt>
                <c:pt idx="6">
                  <c:v>11087.288</c:v>
                </c:pt>
                <c:pt idx="7">
                  <c:v>10736.700999999999</c:v>
                </c:pt>
                <c:pt idx="8">
                  <c:v>10700.522999999999</c:v>
                </c:pt>
              </c:numCache>
            </c:numRef>
          </c:val>
          <c:extLst>
            <c:ext xmlns:c16="http://schemas.microsoft.com/office/drawing/2014/chart" uri="{C3380CC4-5D6E-409C-BE32-E72D297353CC}">
              <c16:uniqueId val="{00000002-5E8C-484F-BA33-E861A79645A4}"/>
            </c:ext>
          </c:extLst>
        </c:ser>
        <c:dLbls>
          <c:showLegendKey val="0"/>
          <c:showVal val="0"/>
          <c:showCatName val="0"/>
          <c:showSerName val="0"/>
          <c:showPercent val="0"/>
          <c:showBubbleSize val="0"/>
        </c:dLbls>
        <c:gapWidth val="36"/>
        <c:axId val="1071631488"/>
        <c:axId val="1071632032"/>
      </c:barChart>
      <c:catAx>
        <c:axId val="107163148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71632032"/>
        <c:crosses val="autoZero"/>
        <c:auto val="1"/>
        <c:lblAlgn val="ctr"/>
        <c:lblOffset val="100"/>
        <c:noMultiLvlLbl val="0"/>
      </c:catAx>
      <c:valAx>
        <c:axId val="10716320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71631488"/>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'!$A$16</c:f>
              <c:strCache>
                <c:ptCount val="1"/>
                <c:pt idx="0">
                  <c:v>Newly register capital</c:v>
                </c:pt>
              </c:strCache>
            </c:strRef>
          </c:tx>
          <c:invertIfNegative val="0"/>
          <c:dLbls>
            <c:dLbl>
              <c:idx val="0"/>
              <c:tx>
                <c:rich>
                  <a:bodyPr/>
                  <a:lstStyle/>
                  <a:p>
                    <a:r>
                      <a:rPr lang="en-US"/>
                      <a:t>11,66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7C4-49BE-9D10-9013E8023124}"/>
                </c:ext>
              </c:extLst>
            </c:dLbl>
            <c:dLbl>
              <c:idx val="1"/>
              <c:tx>
                <c:rich>
                  <a:bodyPr/>
                  <a:lstStyle/>
                  <a:p>
                    <a:r>
                      <a:rPr lang="en-US"/>
                      <a:t>13,02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7C4-49BE-9D10-9013E8023124}"/>
                </c:ext>
              </c:extLst>
            </c:dLbl>
            <c:dLbl>
              <c:idx val="2"/>
              <c:tx>
                <c:rich>
                  <a:bodyPr/>
                  <a:lstStyle/>
                  <a:p>
                    <a:r>
                      <a:rPr lang="en-US"/>
                      <a:t>9,93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7C4-49BE-9D10-9013E8023124}"/>
                </c:ext>
              </c:extLst>
            </c:dLbl>
            <c:dLbl>
              <c:idx val="3"/>
              <c:tx>
                <c:rich>
                  <a:bodyPr/>
                  <a:lstStyle/>
                  <a:p>
                    <a:r>
                      <a:rPr lang="en-US"/>
                      <a:t>15,62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7C4-49BE-9D10-9013E8023124}"/>
                </c:ext>
              </c:extLst>
            </c:dLbl>
            <c:dLbl>
              <c:idx val="4"/>
              <c:tx>
                <c:rich>
                  <a:bodyPr/>
                  <a:lstStyle/>
                  <a:p>
                    <a:r>
                      <a:rPr lang="en-US"/>
                      <a:t>15,23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7C4-49BE-9D10-9013E802312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2020</c:v>
                </c:pt>
                <c:pt idx="1">
                  <c:v>2021</c:v>
                </c:pt>
                <c:pt idx="2">
                  <c:v>2022</c:v>
                </c:pt>
                <c:pt idx="3">
                  <c:v>2023</c:v>
                </c:pt>
                <c:pt idx="4">
                  <c:v>2024</c:v>
                </c:pt>
              </c:numCache>
            </c:numRef>
          </c:cat>
          <c:val>
            <c:numRef>
              <c:f>'04. FDI SO SANH '!$B$16:$F$16</c:f>
              <c:numCache>
                <c:formatCode>0.00</c:formatCode>
                <c:ptCount val="5"/>
                <c:pt idx="0">
                  <c:v>11.660719753000002</c:v>
                </c:pt>
                <c:pt idx="1">
                  <c:v>13.01891840891</c:v>
                </c:pt>
                <c:pt idx="2">
                  <c:v>9.9294258680000027</c:v>
                </c:pt>
                <c:pt idx="3">
                  <c:v>15.615983543519997</c:v>
                </c:pt>
                <c:pt idx="4">
                  <c:v>15.229960766280001</c:v>
                </c:pt>
              </c:numCache>
            </c:numRef>
          </c:val>
          <c:extLst>
            <c:ext xmlns:c16="http://schemas.microsoft.com/office/drawing/2014/chart" uri="{C3380CC4-5D6E-409C-BE32-E72D297353CC}">
              <c16:uniqueId val="{00000005-B7C4-49BE-9D10-9013E8023124}"/>
            </c:ext>
          </c:extLst>
        </c:ser>
        <c:ser>
          <c:idx val="1"/>
          <c:order val="1"/>
          <c:tx>
            <c:strRef>
              <c:f>'04. FDI SO SANH '!$A$17</c:f>
              <c:strCache>
                <c:ptCount val="1"/>
                <c:pt idx="0">
                  <c:v>Adjust register capital</c:v>
                </c:pt>
              </c:strCache>
            </c:strRef>
          </c:tx>
          <c:invertIfNegative val="0"/>
          <c:dLbls>
            <c:dLbl>
              <c:idx val="0"/>
              <c:tx>
                <c:rich>
                  <a:bodyPr/>
                  <a:lstStyle/>
                  <a:p>
                    <a:r>
                      <a:rPr lang="en-US"/>
                      <a:t>5,71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7C4-49BE-9D10-9013E8023124}"/>
                </c:ext>
              </c:extLst>
            </c:dLbl>
            <c:dLbl>
              <c:idx val="1"/>
              <c:tx>
                <c:rich>
                  <a:bodyPr/>
                  <a:lstStyle/>
                  <a:p>
                    <a:r>
                      <a:rPr lang="en-US"/>
                      <a:t>7,09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7C4-49BE-9D10-9013E8023124}"/>
                </c:ext>
              </c:extLst>
            </c:dLbl>
            <c:dLbl>
              <c:idx val="2"/>
              <c:tx>
                <c:rich>
                  <a:bodyPr wrap="square" lIns="38100" tIns="19050" rIns="38100" bIns="19050" anchor="ctr">
                    <a:noAutofit/>
                  </a:bodyPr>
                  <a:lstStyle/>
                  <a:p>
                    <a:pPr>
                      <a:defRPr/>
                    </a:pPr>
                    <a:r>
                      <a:rPr lang="en-US"/>
                      <a:t>8,74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B7C4-49BE-9D10-9013E8023124}"/>
                </c:ext>
              </c:extLst>
            </c:dLbl>
            <c:dLbl>
              <c:idx val="3"/>
              <c:layout>
                <c:manualLayout>
                  <c:x val="7.207205843852202E-3"/>
                  <c:y val="0"/>
                </c:manualLayout>
              </c:layout>
              <c:tx>
                <c:rich>
                  <a:bodyPr/>
                  <a:lstStyle/>
                  <a:p>
                    <a:r>
                      <a:rPr lang="en-US"/>
                      <a:t>5,89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7C4-49BE-9D10-9013E8023124}"/>
                </c:ext>
              </c:extLst>
            </c:dLbl>
            <c:dLbl>
              <c:idx val="4"/>
              <c:tx>
                <c:rich>
                  <a:bodyPr/>
                  <a:lstStyle/>
                  <a:p>
                    <a:r>
                      <a:rPr lang="en-US"/>
                      <a:t>8,35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7C4-49BE-9D10-9013E802312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'!$B$17:$F$17</c:f>
              <c:numCache>
                <c:formatCode>0.00</c:formatCode>
                <c:ptCount val="5"/>
                <c:pt idx="0">
                  <c:v>5.7097218754687509</c:v>
                </c:pt>
                <c:pt idx="1">
                  <c:v>7.0893741567193755</c:v>
                </c:pt>
                <c:pt idx="2">
                  <c:v>8.7404454397325004</c:v>
                </c:pt>
                <c:pt idx="3">
                  <c:v>5.8920893383970991</c:v>
                </c:pt>
                <c:pt idx="4">
                  <c:v>8.3486237367946377</c:v>
                </c:pt>
              </c:numCache>
            </c:numRef>
          </c:val>
          <c:extLst>
            <c:ext xmlns:c16="http://schemas.microsoft.com/office/drawing/2014/chart" uri="{C3380CC4-5D6E-409C-BE32-E72D297353CC}">
              <c16:uniqueId val="{0000000B-B7C4-49BE-9D10-9013E8023124}"/>
            </c:ext>
          </c:extLst>
        </c:ser>
        <c:ser>
          <c:idx val="2"/>
          <c:order val="2"/>
          <c:tx>
            <c:strRef>
              <c:f>'04. FDI SO SANH '!$A$18</c:f>
              <c:strCache>
                <c:ptCount val="1"/>
                <c:pt idx="0">
                  <c:v>Total value of capital contribution and share purchases of foreign investor</c:v>
                </c:pt>
              </c:strCache>
            </c:strRef>
          </c:tx>
          <c:invertIfNegative val="0"/>
          <c:dLbls>
            <c:dLbl>
              <c:idx val="0"/>
              <c:tx>
                <c:rich>
                  <a:bodyPr/>
                  <a:lstStyle/>
                  <a:p>
                    <a:r>
                      <a:rPr lang="en-US"/>
                      <a:t>6,11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B7C4-49BE-9D10-9013E8023124}"/>
                </c:ext>
              </c:extLst>
            </c:dLbl>
            <c:dLbl>
              <c:idx val="1"/>
              <c:tx>
                <c:rich>
                  <a:bodyPr/>
                  <a:lstStyle/>
                  <a:p>
                    <a:r>
                      <a:rPr lang="en-US" baseline="0"/>
                      <a:t>3,63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B7C4-49BE-9D10-9013E8023124}"/>
                </c:ext>
              </c:extLst>
            </c:dLbl>
            <c:dLbl>
              <c:idx val="2"/>
              <c:tx>
                <c:rich>
                  <a:bodyPr/>
                  <a:lstStyle/>
                  <a:p>
                    <a:r>
                      <a:rPr lang="en-US"/>
                      <a:t>3,79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B7C4-49BE-9D10-9013E8023124}"/>
                </c:ext>
              </c:extLst>
            </c:dLbl>
            <c:dLbl>
              <c:idx val="3"/>
              <c:tx>
                <c:rich>
                  <a:bodyPr wrap="square" lIns="38100" tIns="19050" rIns="38100" bIns="19050" anchor="ctr">
                    <a:noAutofit/>
                  </a:bodyPr>
                  <a:lstStyle/>
                  <a:p>
                    <a:pPr>
                      <a:defRPr/>
                    </a:pPr>
                    <a:r>
                      <a:rPr lang="en-US"/>
                      <a:t>5,25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B7C4-49BE-9D10-9013E8023124}"/>
                </c:ext>
              </c:extLst>
            </c:dLbl>
            <c:dLbl>
              <c:idx val="4"/>
              <c:layout>
                <c:manualLayout>
                  <c:x val="2.4024019479507323E-2"/>
                  <c:y val="0"/>
                </c:manualLayout>
              </c:layout>
              <c:tx>
                <c:rich>
                  <a:bodyPr/>
                  <a:lstStyle/>
                  <a:p>
                    <a:r>
                      <a:rPr lang="en-US"/>
                      <a:t> 3,68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B7C4-49BE-9D10-9013E802312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'!$B$18:$F$18</c:f>
              <c:numCache>
                <c:formatCode>0.00</c:formatCode>
                <c:ptCount val="5"/>
                <c:pt idx="0">
                  <c:v>6.1103619607112778</c:v>
                </c:pt>
                <c:pt idx="1">
                  <c:v>3.6295158574534789</c:v>
                </c:pt>
                <c:pt idx="2">
                  <c:v>3.7913193232799984</c:v>
                </c:pt>
                <c:pt idx="3">
                  <c:v>5.2495251247499981</c:v>
                </c:pt>
                <c:pt idx="4">
                  <c:v>3.6806401039611085</c:v>
                </c:pt>
              </c:numCache>
            </c:numRef>
          </c:val>
          <c:extLst>
            <c:ext xmlns:c16="http://schemas.microsoft.com/office/drawing/2014/chart" uri="{C3380CC4-5D6E-409C-BE32-E72D297353CC}">
              <c16:uniqueId val="{00000011-B7C4-49BE-9D10-9013E8023124}"/>
            </c:ext>
          </c:extLst>
        </c:ser>
        <c:dLbls>
          <c:showLegendKey val="0"/>
          <c:showVal val="0"/>
          <c:showCatName val="0"/>
          <c:showSerName val="0"/>
          <c:showPercent val="0"/>
          <c:showBubbleSize val="0"/>
        </c:dLbls>
        <c:gapWidth val="150"/>
        <c:overlap val="100"/>
        <c:axId val="-1874218784"/>
        <c:axId val="-1874232928"/>
      </c:barChart>
      <c:catAx>
        <c:axId val="-1874218784"/>
        <c:scaling>
          <c:orientation val="minMax"/>
        </c:scaling>
        <c:delete val="0"/>
        <c:axPos val="l"/>
        <c:numFmt formatCode="General" sourceLinked="1"/>
        <c:majorTickMark val="out"/>
        <c:minorTickMark val="none"/>
        <c:tickLblPos val="nextTo"/>
        <c:crossAx val="-1874232928"/>
        <c:crosses val="autoZero"/>
        <c:auto val="1"/>
        <c:lblAlgn val="ctr"/>
        <c:lblOffset val="100"/>
        <c:noMultiLvlLbl val="0"/>
      </c:catAx>
      <c:valAx>
        <c:axId val="-1874232928"/>
        <c:scaling>
          <c:orientation val="minMax"/>
        </c:scaling>
        <c:delete val="0"/>
        <c:axPos val="b"/>
        <c:majorGridlines/>
        <c:numFmt formatCode="0.00" sourceLinked="1"/>
        <c:majorTickMark val="out"/>
        <c:minorTickMark val="none"/>
        <c:tickLblPos val="nextTo"/>
        <c:crossAx val="-1874218784"/>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
              <a:t>Billion </a:t>
            </a:r>
            <a:r>
              <a:rPr lang="en" baseline="0"/>
              <a:t>USD</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Sheet2!$B$4:$F$4</c:f>
              <c:numCache>
                <c:formatCode>General</c:formatCode>
                <c:ptCount val="5"/>
                <c:pt idx="0">
                  <c:v>2020</c:v>
                </c:pt>
                <c:pt idx="1">
                  <c:v>2021</c:v>
                </c:pt>
                <c:pt idx="2">
                  <c:v>2022</c:v>
                </c:pt>
                <c:pt idx="3">
                  <c:v>2023</c:v>
                </c:pt>
                <c:pt idx="4">
                  <c:v>2024</c:v>
                </c:pt>
              </c:numCache>
            </c:numRef>
          </c:cat>
          <c:val>
            <c:numRef>
              <c:f>Sheet2!$B$5:$F$5</c:f>
              <c:numCache>
                <c:formatCode>0.00</c:formatCode>
                <c:ptCount val="5"/>
                <c:pt idx="0">
                  <c:v>15.8</c:v>
                </c:pt>
                <c:pt idx="1">
                  <c:v>15.15</c:v>
                </c:pt>
                <c:pt idx="2">
                  <c:v>17.45</c:v>
                </c:pt>
                <c:pt idx="3">
                  <c:v>18</c:v>
                </c:pt>
                <c:pt idx="4">
                  <c:v>19.579999999999998</c:v>
                </c:pt>
              </c:numCache>
            </c:numRef>
          </c:val>
          <c:extLst>
            <c:ext xmlns:c16="http://schemas.microsoft.com/office/drawing/2014/chart" uri="{C3380CC4-5D6E-409C-BE32-E72D297353CC}">
              <c16:uniqueId val="{00000000-24E3-4CFC-BB3B-A1E93D4E51AC}"/>
            </c:ext>
          </c:extLst>
        </c:ser>
        <c:dLbls>
          <c:showLegendKey val="0"/>
          <c:showVal val="0"/>
          <c:showCatName val="0"/>
          <c:showSerName val="0"/>
          <c:showPercent val="0"/>
          <c:showBubbleSize val="0"/>
        </c:dLbls>
        <c:gapWidth val="219"/>
        <c:overlap val="-27"/>
        <c:axId val="-1784020400"/>
        <c:axId val="-1784005712"/>
      </c:barChart>
      <c:catAx>
        <c:axId val="-178402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005712"/>
        <c:crosses val="autoZero"/>
        <c:auto val="1"/>
        <c:lblAlgn val="ctr"/>
        <c:lblOffset val="100"/>
        <c:noMultiLvlLbl val="0"/>
      </c:catAx>
      <c:valAx>
        <c:axId val="-17840057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020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EN!$A$4</c:f>
              <c:strCache>
                <c:ptCount val="1"/>
                <c:pt idx="0">
                  <c:v>Total (Trillion dongs)</c:v>
                </c:pt>
              </c:strCache>
            </c:strRef>
          </c:tx>
          <c:spPr>
            <a:solidFill>
              <a:schemeClr val="accent2">
                <a:lumMod val="60000"/>
                <a:lumOff val="40000"/>
              </a:schemeClr>
            </a:solidFill>
            <a:ln>
              <a:noFill/>
            </a:ln>
            <a:effectLst/>
          </c:spPr>
          <c:invertIfNegative val="0"/>
          <c:dLbls>
            <c:dLbl>
              <c:idx val="2"/>
              <c:layout>
                <c:manualLayout>
                  <c:x val="1.7777777777777684E-2"/>
                  <c:y val="-2.268950686577820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A1-436C-BDF0-0F5E43480EF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2020</c:v>
                </c:pt>
                <c:pt idx="1">
                  <c:v>2021</c:v>
                </c:pt>
                <c:pt idx="2">
                  <c:v>2022</c:v>
                </c:pt>
                <c:pt idx="3">
                  <c:v>2023</c:v>
                </c:pt>
                <c:pt idx="4">
                  <c:v>2024</c:v>
                </c:pt>
              </c:numCache>
            </c:numRef>
          </c:cat>
          <c:val>
            <c:numRef>
              <c:f>EN!$B$4:$F$4</c:f>
              <c:numCache>
                <c:formatCode>0.0</c:formatCode>
                <c:ptCount val="5"/>
                <c:pt idx="0">
                  <c:v>3964.9898314902125</c:v>
                </c:pt>
                <c:pt idx="1">
                  <c:v>3591.2142686938696</c:v>
                </c:pt>
                <c:pt idx="2">
                  <c:v>4400.9505910581593</c:v>
                </c:pt>
                <c:pt idx="3">
                  <c:v>4833.7571429121044</c:v>
                </c:pt>
                <c:pt idx="4">
                  <c:v>5246.2256486954575</c:v>
                </c:pt>
              </c:numCache>
            </c:numRef>
          </c:val>
          <c:extLst>
            <c:ext xmlns:c16="http://schemas.microsoft.com/office/drawing/2014/chart" uri="{C3380CC4-5D6E-409C-BE32-E72D297353CC}">
              <c16:uniqueId val="{00000001-7EA1-436C-BDF0-0F5E43480EF1}"/>
            </c:ext>
          </c:extLst>
        </c:ser>
        <c:dLbls>
          <c:showLegendKey val="0"/>
          <c:showVal val="0"/>
          <c:showCatName val="0"/>
          <c:showSerName val="0"/>
          <c:showPercent val="0"/>
          <c:showBubbleSize val="0"/>
        </c:dLbls>
        <c:gapWidth val="122"/>
        <c:overlap val="-27"/>
        <c:axId val="167844352"/>
        <c:axId val="116812032"/>
      </c:barChart>
      <c:lineChart>
        <c:grouping val="stacked"/>
        <c:varyColors val="0"/>
        <c:ser>
          <c:idx val="1"/>
          <c:order val="1"/>
          <c:tx>
            <c:strRef>
              <c:f>EN!$A$5</c:f>
              <c:strCache>
                <c:ptCount val="1"/>
                <c:pt idx="0">
                  <c:v>Growth rate over the same period last year (%)</c:v>
                </c:pt>
              </c:strCache>
            </c:strRef>
          </c:tx>
          <c:spPr>
            <a:ln w="28575" cap="rnd">
              <a:solidFill>
                <a:srgbClr val="002060"/>
              </a:solidFill>
              <a:round/>
            </a:ln>
            <a:effectLst/>
          </c:spPr>
          <c:marker>
            <c:symbol val="circle"/>
            <c:size val="6"/>
            <c:spPr>
              <a:solidFill>
                <a:srgbClr val="002060"/>
              </a:solidFill>
              <a:ln w="9525">
                <a:noFill/>
              </a:ln>
              <a:effectLst/>
            </c:spPr>
          </c:marker>
          <c:dLbls>
            <c:dLbl>
              <c:idx val="0"/>
              <c:layout>
                <c:manualLayout>
                  <c:x val="-4.3174603174603178E-2"/>
                  <c:y val="7.9207920792079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A1-436C-BDF0-0F5E43480EF1}"/>
                </c:ext>
              </c:extLst>
            </c:dLbl>
            <c:dLbl>
              <c:idx val="1"/>
              <c:layout>
                <c:manualLayout>
                  <c:x val="-4.0634920634920635E-2"/>
                  <c:y val="5.4455445544554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A1-436C-BDF0-0F5E43480EF1}"/>
                </c:ext>
              </c:extLst>
            </c:dLbl>
            <c:dLbl>
              <c:idx val="2"/>
              <c:layout>
                <c:manualLayout>
                  <c:x val="-4.3174603174603178E-2"/>
                  <c:y val="-6.4356435643564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A1-436C-BDF0-0F5E43480EF1}"/>
                </c:ext>
              </c:extLst>
            </c:dLbl>
            <c:dLbl>
              <c:idx val="3"/>
              <c:layout>
                <c:manualLayout>
                  <c:x val="-3.6111086114235816E-2"/>
                  <c:y val="7.64574725189054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A1-436C-BDF0-0F5E43480EF1}"/>
                </c:ext>
              </c:extLst>
            </c:dLbl>
            <c:dLbl>
              <c:idx val="4"/>
              <c:layout>
                <c:manualLayout>
                  <c:x val="-3.3015873015872922E-2"/>
                  <c:y val="6.4356435643564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A1-436C-BDF0-0F5E43480EF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2020</c:v>
                </c:pt>
                <c:pt idx="1">
                  <c:v>2021</c:v>
                </c:pt>
                <c:pt idx="2">
                  <c:v>2022</c:v>
                </c:pt>
                <c:pt idx="3">
                  <c:v>2023</c:v>
                </c:pt>
                <c:pt idx="4">
                  <c:v>2024</c:v>
                </c:pt>
              </c:numCache>
            </c:numRef>
          </c:cat>
          <c:val>
            <c:numRef>
              <c:f>EN!$B$5:$F$5</c:f>
              <c:numCache>
                <c:formatCode>0.0</c:formatCode>
                <c:ptCount val="5"/>
                <c:pt idx="0">
                  <c:v>-2.7830807319098056</c:v>
                </c:pt>
                <c:pt idx="1">
                  <c:v>-9.426898395244109</c:v>
                </c:pt>
                <c:pt idx="2">
                  <c:v>22.547702859812688</c:v>
                </c:pt>
                <c:pt idx="3">
                  <c:v>9.8343878873196502</c:v>
                </c:pt>
                <c:pt idx="4">
                  <c:v>8.5330829329762281</c:v>
                </c:pt>
              </c:numCache>
            </c:numRef>
          </c:val>
          <c:smooth val="0"/>
          <c:extLst>
            <c:ext xmlns:c16="http://schemas.microsoft.com/office/drawing/2014/chart" uri="{C3380CC4-5D6E-409C-BE32-E72D297353CC}">
              <c16:uniqueId val="{00000007-7EA1-436C-BDF0-0F5E43480EF1}"/>
            </c:ext>
          </c:extLst>
        </c:ser>
        <c:dLbls>
          <c:showLegendKey val="0"/>
          <c:showVal val="0"/>
          <c:showCatName val="0"/>
          <c:showSerName val="0"/>
          <c:showPercent val="0"/>
          <c:showBubbleSize val="0"/>
        </c:dLbls>
        <c:marker val="1"/>
        <c:smooth val="0"/>
        <c:axId val="116867072"/>
        <c:axId val="116812608"/>
      </c:lineChart>
      <c:catAx>
        <c:axId val="16784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6812032"/>
        <c:crosses val="autoZero"/>
        <c:auto val="1"/>
        <c:lblAlgn val="ctr"/>
        <c:lblOffset val="100"/>
        <c:noMultiLvlLbl val="0"/>
      </c:catAx>
      <c:valAx>
        <c:axId val="1168120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44352"/>
        <c:crosses val="autoZero"/>
        <c:crossBetween val="between"/>
      </c:valAx>
      <c:valAx>
        <c:axId val="11681260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867072"/>
        <c:crosses val="max"/>
        <c:crossBetween val="between"/>
      </c:valAx>
      <c:catAx>
        <c:axId val="116867072"/>
        <c:scaling>
          <c:orientation val="minMax"/>
        </c:scaling>
        <c:delete val="1"/>
        <c:axPos val="b"/>
        <c:numFmt formatCode="General" sourceLinked="1"/>
        <c:majorTickMark val="out"/>
        <c:minorTickMark val="none"/>
        <c:tickLblPos val="nextTo"/>
        <c:crossAx val="1168126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8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800">
                <a:solidFill>
                  <a:sysClr val="windowText" lastClr="000000"/>
                </a:solidFill>
                <a:latin typeface="Arial" panose="020B0604020202020204" pitchFamily="34" charset="0"/>
                <a:cs typeface="Arial" panose="020B0604020202020204" pitchFamily="34" charset="0"/>
              </a:defRPr>
            </a:pPr>
            <a:r>
              <a:rPr lang="en-US" sz="8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dLbl>
              <c:idx val="0"/>
              <c:tx>
                <c:rich>
                  <a:bodyPr/>
                  <a:lstStyle/>
                  <a:p>
                    <a:r>
                      <a:rPr lang="en-US"/>
                      <a:t>50.8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63D-4894-90B1-008BB2DEFFBC}"/>
                </c:ext>
              </c:extLst>
            </c:dLbl>
            <c:dLbl>
              <c:idx val="1"/>
              <c:tx>
                <c:rich>
                  <a:bodyPr/>
                  <a:lstStyle/>
                  <a:p>
                    <a:r>
                      <a:rPr lang="en-US"/>
                      <a:t>98.4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63D-4894-90B1-008BB2DEFFBC}"/>
                </c:ext>
              </c:extLst>
            </c:dLbl>
            <c:dLbl>
              <c:idx val="2"/>
              <c:tx>
                <c:rich>
                  <a:bodyPr/>
                  <a:lstStyle/>
                  <a:p>
                    <a:r>
                      <a:rPr lang="en-US"/>
                      <a:t>30.6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63D-4894-90B1-008BB2DEFFBC}"/>
                </c:ext>
              </c:extLst>
            </c:dLbl>
            <c:dLbl>
              <c:idx val="3"/>
              <c:tx>
                <c:rich>
                  <a:bodyPr/>
                  <a:lstStyle/>
                  <a:p>
                    <a:r>
                      <a:rPr lang="en-US"/>
                      <a:t>21.0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63D-4894-90B1-008BB2DEFFBC}"/>
                </c:ext>
              </c:extLst>
            </c:dLbl>
            <c:dLbl>
              <c:idx val="4"/>
              <c:tx>
                <c:rich>
                  <a:bodyPr/>
                  <a:lstStyle/>
                  <a:p>
                    <a:r>
                      <a:rPr lang="en-US"/>
                      <a:t>42.3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63D-4894-90B1-008BB2DEFFBC}"/>
                </c:ext>
              </c:extLst>
            </c:dLbl>
            <c:dLbl>
              <c:idx val="5"/>
              <c:tx>
                <c:rich>
                  <a:bodyPr/>
                  <a:lstStyle/>
                  <a:p>
                    <a:r>
                      <a:rPr lang="en-US"/>
                      <a:t>20.2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63D-4894-90B1-008BB2DEFFB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50.8</c:v>
                </c:pt>
                <c:pt idx="1">
                  <c:v>98.4</c:v>
                </c:pt>
                <c:pt idx="2">
                  <c:v>30.6</c:v>
                </c:pt>
                <c:pt idx="3">
                  <c:v>21</c:v>
                </c:pt>
                <c:pt idx="4">
                  <c:v>42.3</c:v>
                </c:pt>
                <c:pt idx="5">
                  <c:v>20.2</c:v>
                </c:pt>
              </c:numCache>
            </c:numRef>
          </c:val>
          <c:extLst>
            <c:ext xmlns:c16="http://schemas.microsoft.com/office/drawing/2014/chart" uri="{C3380CC4-5D6E-409C-BE32-E72D297353CC}">
              <c16:uniqueId val="{00000006-563D-4894-90B1-008BB2DEFFBC}"/>
            </c:ext>
          </c:extLst>
        </c:ser>
        <c:ser>
          <c:idx val="1"/>
          <c:order val="1"/>
          <c:tx>
            <c:v>Nhập khẩu hàng hóa</c:v>
          </c:tx>
          <c:spPr>
            <a:solidFill>
              <a:srgbClr val="FFFF00"/>
            </a:solidFill>
            <a:ln w="3175">
              <a:solidFill>
                <a:schemeClr val="bg2">
                  <a:lumMod val="25000"/>
                </a:schemeClr>
              </a:solidFill>
            </a:ln>
            <a:effectLst/>
          </c:spPr>
          <c:invertIfNegative val="0"/>
          <c:dLbls>
            <c:dLbl>
              <c:idx val="0"/>
              <c:tx>
                <c:rich>
                  <a:bodyPr/>
                  <a:lstStyle/>
                  <a:p>
                    <a:r>
                      <a:rPr lang="en-US"/>
                      <a:t>117.7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63D-4894-90B1-008BB2DEFFBC}"/>
                </c:ext>
              </c:extLst>
            </c:dLbl>
            <c:dLbl>
              <c:idx val="1"/>
              <c:layout>
                <c:manualLayout>
                  <c:x val="0"/>
                  <c:y val="3.7804788404744299E-3"/>
                </c:manualLayout>
              </c:layout>
              <c:tx>
                <c:rich>
                  <a:bodyPr/>
                  <a:lstStyle/>
                  <a:p>
                    <a:r>
                      <a:rPr lang="en-US"/>
                      <a:t>12.3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63D-4894-90B1-008BB2DEFFBC}"/>
                </c:ext>
              </c:extLst>
            </c:dLbl>
            <c:dLbl>
              <c:idx val="2"/>
              <c:tx>
                <c:rich>
                  <a:bodyPr/>
                  <a:lstStyle/>
                  <a:p>
                    <a:r>
                      <a:rPr lang="en-US"/>
                      <a:t>37.9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63D-4894-90B1-008BB2DEFFBC}"/>
                </c:ext>
              </c:extLst>
            </c:dLbl>
            <c:dLbl>
              <c:idx val="3"/>
              <c:tx>
                <c:rich>
                  <a:bodyPr/>
                  <a:lstStyle/>
                  <a:p>
                    <a:r>
                      <a:rPr lang="en-US"/>
                      <a:t>46.3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563D-4894-90B1-008BB2DEFFBC}"/>
                </c:ext>
              </c:extLst>
            </c:dLbl>
            <c:dLbl>
              <c:idx val="4"/>
              <c:tx>
                <c:rich>
                  <a:bodyPr/>
                  <a:lstStyle/>
                  <a:p>
                    <a:r>
                      <a:rPr lang="en-US"/>
                      <a:t>13.8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563D-4894-90B1-008BB2DEFFBC}"/>
                </c:ext>
              </c:extLst>
            </c:dLbl>
            <c:dLbl>
              <c:idx val="5"/>
              <c:tx>
                <c:rich>
                  <a:bodyPr/>
                  <a:lstStyle/>
                  <a:p>
                    <a:r>
                      <a:rPr lang="en-US"/>
                      <a:t>17.8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563D-4894-90B1-008BB2DEFFB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117.7</c:v>
                </c:pt>
                <c:pt idx="1">
                  <c:v>12.3</c:v>
                </c:pt>
                <c:pt idx="2">
                  <c:v>37.9</c:v>
                </c:pt>
                <c:pt idx="3">
                  <c:v>46.3</c:v>
                </c:pt>
                <c:pt idx="4">
                  <c:v>13.8</c:v>
                </c:pt>
                <c:pt idx="5">
                  <c:v>17.8</c:v>
                </c:pt>
              </c:numCache>
            </c:numRef>
          </c:val>
          <c:extLst>
            <c:ext xmlns:c16="http://schemas.microsoft.com/office/drawing/2014/chart" uri="{C3380CC4-5D6E-409C-BE32-E72D297353CC}">
              <c16:uniqueId val="{0000000D-563D-4894-90B1-008BB2DEFFBC}"/>
            </c:ext>
          </c:extLst>
        </c:ser>
        <c:dLbls>
          <c:showLegendKey val="0"/>
          <c:showVal val="0"/>
          <c:showCatName val="0"/>
          <c:showSerName val="0"/>
          <c:showPercent val="0"/>
          <c:showBubbleSize val="0"/>
        </c:dLbls>
        <c:gapWidth val="75"/>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8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0"/>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710-444A-ADE8-FD23FF94D88B}"/>
                </c:ext>
              </c:extLst>
            </c:dLbl>
            <c:dLbl>
              <c:idx val="1"/>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710-444A-ADE8-FD23FF94D88B}"/>
                </c:ext>
              </c:extLst>
            </c:dLbl>
            <c:dLbl>
              <c:idx val="2"/>
              <c:tx>
                <c:rich>
                  <a:bodyPr/>
                  <a:lstStyle/>
                  <a:p>
                    <a:r>
                      <a:rPr lang="en-US"/>
                      <a:t>13.9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710-444A-ADE8-FD23FF94D88B}"/>
                </c:ext>
              </c:extLst>
            </c:dLbl>
            <c:dLbl>
              <c:idx val="3"/>
              <c:tx>
                <c:rich>
                  <a:bodyPr/>
                  <a:lstStyle/>
                  <a:p>
                    <a:r>
                      <a:rPr lang="en-US"/>
                      <a:t>6.9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710-444A-ADE8-FD23FF94D88B}"/>
                </c:ext>
              </c:extLst>
            </c:dLbl>
            <c:dLbl>
              <c:idx val="4"/>
              <c:tx>
                <c:rich>
                  <a:bodyPr/>
                  <a:lstStyle/>
                  <a:p>
                    <a:r>
                      <a:rPr lang="en-US"/>
                      <a:t>16.4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710-444A-ADE8-FD23FF94D88B}"/>
                </c:ext>
              </c:extLst>
            </c:dLbl>
            <c:dLbl>
              <c:idx val="5"/>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710-444A-ADE8-FD23FF94D88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formatCode="General">
                  <c:v>2.1</c:v>
                </c:pt>
                <c:pt idx="1">
                  <c:v>24.2</c:v>
                </c:pt>
                <c:pt idx="2">
                  <c:v>13.9</c:v>
                </c:pt>
                <c:pt idx="3">
                  <c:v>6.9</c:v>
                </c:pt>
                <c:pt idx="4" formatCode="General">
                  <c:v>16.399999999999999</c:v>
                </c:pt>
                <c:pt idx="5">
                  <c:v>4.5999999999999996</c:v>
                </c:pt>
              </c:numCache>
            </c:numRef>
          </c:val>
          <c:extLst>
            <c:ext xmlns:c16="http://schemas.microsoft.com/office/drawing/2014/chart" uri="{C3380CC4-5D6E-409C-BE32-E72D297353CC}">
              <c16:uniqueId val="{00000006-3710-444A-ADE8-FD23FF94D88B}"/>
            </c:ext>
          </c:extLst>
        </c:ser>
        <c:ser>
          <c:idx val="1"/>
          <c:order val="1"/>
          <c:tx>
            <c:v>Nhập khẩu hàng hóa</c:v>
          </c:tx>
          <c:spPr>
            <a:solidFill>
              <a:srgbClr val="FFFF00"/>
            </a:solidFill>
            <a:ln w="3175">
              <a:solidFill>
                <a:schemeClr val="bg2">
                  <a:lumMod val="25000"/>
                </a:schemeClr>
              </a:solidFill>
            </a:ln>
            <a:effectLst/>
          </c:spPr>
          <c:invertIfNegative val="0"/>
          <c:dLbls>
            <c:dLbl>
              <c:idx val="0"/>
              <c:tx>
                <c:rich>
                  <a:bodyPr/>
                  <a:lstStyle/>
                  <a:p>
                    <a:r>
                      <a:rPr lang="en-US"/>
                      <a:t>31.6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710-444A-ADE8-FD23FF94D88B}"/>
                </c:ext>
              </c:extLst>
            </c:dLbl>
            <c:dLbl>
              <c:idx val="1"/>
              <c:layout>
                <c:manualLayout>
                  <c:x val="3.5813458100346151E-4"/>
                  <c:y val="-3.7866857551896922E-3"/>
                </c:manualLayout>
              </c:layout>
              <c:tx>
                <c:rich>
                  <a:bodyPr/>
                  <a:lstStyle/>
                  <a:p>
                    <a:r>
                      <a:rPr lang="en-US"/>
                      <a:t>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710-444A-ADE8-FD23FF94D88B}"/>
                </c:ext>
              </c:extLst>
            </c:dLbl>
            <c:dLbl>
              <c:idx val="2"/>
              <c:tx>
                <c:rich>
                  <a:bodyPr/>
                  <a:lstStyle/>
                  <a:p>
                    <a:r>
                      <a:rPr lang="en-US"/>
                      <a:t>12.4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710-444A-ADE8-FD23FF94D88B}"/>
                </c:ext>
              </c:extLst>
            </c:dLbl>
            <c:dLbl>
              <c:idx val="3"/>
              <c:tx>
                <c:rich>
                  <a:bodyPr/>
                  <a:lstStyle/>
                  <a:p>
                    <a:r>
                      <a:rPr lang="en-US"/>
                      <a:t>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3710-444A-ADE8-FD23FF94D88B}"/>
                </c:ext>
              </c:extLst>
            </c:dLbl>
            <c:dLbl>
              <c:idx val="4"/>
              <c:layout>
                <c:manualLayout>
                  <c:x val="7.6045627376424927E-3"/>
                  <c:y val="1.1364829396325458E-2"/>
                </c:manualLayout>
              </c:layout>
              <c:tx>
                <c:rich>
                  <a:bodyPr/>
                  <a:lstStyle/>
                  <a:p>
                    <a:r>
                      <a:rPr lang="en-US"/>
                      <a:t>12.2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710-444A-ADE8-FD23FF94D88B}"/>
                </c:ext>
              </c:extLst>
            </c:dLbl>
            <c:dLbl>
              <c:idx val="5"/>
              <c:tx>
                <c:rich>
                  <a:bodyPr/>
                  <a:lstStyle/>
                  <a:p>
                    <a:r>
                      <a:rPr lang="en-US"/>
                      <a:t>0.2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3710-444A-ADE8-FD23FF94D88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General</c:formatCode>
                <c:ptCount val="6"/>
                <c:pt idx="0" formatCode="0.0">
                  <c:v>31.6</c:v>
                </c:pt>
                <c:pt idx="1">
                  <c:v>8.1999999999999993</c:v>
                </c:pt>
                <c:pt idx="2">
                  <c:v>12.4</c:v>
                </c:pt>
                <c:pt idx="3">
                  <c:v>7.6</c:v>
                </c:pt>
                <c:pt idx="4" formatCode="0.0">
                  <c:v>12.2</c:v>
                </c:pt>
                <c:pt idx="5" formatCode="0.0">
                  <c:v>0.2</c:v>
                </c:pt>
              </c:numCache>
            </c:numRef>
          </c:val>
          <c:extLst>
            <c:ext xmlns:c16="http://schemas.microsoft.com/office/drawing/2014/chart" uri="{C3380CC4-5D6E-409C-BE32-E72D297353CC}">
              <c16:uniqueId val="{0000000D-3710-444A-ADE8-FD23FF94D88B}"/>
            </c:ext>
          </c:extLst>
        </c:ser>
        <c:dLbls>
          <c:showLegendKey val="0"/>
          <c:showVal val="0"/>
          <c:showCatName val="0"/>
          <c:showSerName val="0"/>
          <c:showPercent val="0"/>
          <c:showBubbleSize val="0"/>
        </c:dLbls>
        <c:gapWidth val="50"/>
        <c:overlap val="-27"/>
        <c:axId val="464358304"/>
        <c:axId val="464351232"/>
      </c:barChart>
      <c:catAx>
        <c:axId val="464358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lgn="just">
              <a:defRPr sz="700" b="1"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99129165145748"/>
          <c:y val="2.4169503564529682E-2"/>
          <c:w val="0.85555161565069271"/>
          <c:h val="0.53272246909730347"/>
        </c:manualLayout>
      </c:layout>
      <c:barChart>
        <c:barDir val="col"/>
        <c:grouping val="clustered"/>
        <c:varyColors val="0"/>
        <c:ser>
          <c:idx val="0"/>
          <c:order val="0"/>
          <c:spPr>
            <a:solidFill>
              <a:srgbClr val="FF0000"/>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E9A5-4EC9-98C2-698800B8F3B6}"/>
              </c:ext>
            </c:extLst>
          </c:dPt>
          <c:dPt>
            <c:idx val="1"/>
            <c:invertIfNegative val="0"/>
            <c:bubble3D val="0"/>
            <c:spPr>
              <a:solidFill>
                <a:srgbClr val="FF0000"/>
              </a:solidFill>
              <a:ln>
                <a:noFill/>
              </a:ln>
              <a:effectLst/>
            </c:spPr>
            <c:extLst>
              <c:ext xmlns:c16="http://schemas.microsoft.com/office/drawing/2014/chart" uri="{C3380CC4-5D6E-409C-BE32-E72D297353CC}">
                <c16:uniqueId val="{00000003-E9A5-4EC9-98C2-698800B8F3B6}"/>
              </c:ext>
            </c:extLst>
          </c:dPt>
          <c:dPt>
            <c:idx val="2"/>
            <c:invertIfNegative val="0"/>
            <c:bubble3D val="0"/>
            <c:spPr>
              <a:solidFill>
                <a:srgbClr val="FF0000"/>
              </a:solidFill>
              <a:ln>
                <a:noFill/>
              </a:ln>
              <a:effectLst/>
            </c:spPr>
            <c:extLst>
              <c:ext xmlns:c16="http://schemas.microsoft.com/office/drawing/2014/chart" uri="{C3380CC4-5D6E-409C-BE32-E72D297353CC}">
                <c16:uniqueId val="{00000005-E9A5-4EC9-98C2-698800B8F3B6}"/>
              </c:ext>
            </c:extLst>
          </c:dPt>
          <c:dPt>
            <c:idx val="3"/>
            <c:invertIfNegative val="0"/>
            <c:bubble3D val="0"/>
            <c:spPr>
              <a:solidFill>
                <a:srgbClr val="FF0000"/>
              </a:solidFill>
              <a:ln>
                <a:noFill/>
              </a:ln>
              <a:effectLst/>
            </c:spPr>
            <c:extLst>
              <c:ext xmlns:c16="http://schemas.microsoft.com/office/drawing/2014/chart" uri="{C3380CC4-5D6E-409C-BE32-E72D297353CC}">
                <c16:uniqueId val="{00000007-E9A5-4EC9-98C2-698800B8F3B6}"/>
              </c:ext>
            </c:extLst>
          </c:dPt>
          <c:dPt>
            <c:idx val="4"/>
            <c:invertIfNegative val="0"/>
            <c:bubble3D val="0"/>
            <c:spPr>
              <a:solidFill>
                <a:srgbClr val="FF0000"/>
              </a:solidFill>
              <a:ln>
                <a:solidFill>
                  <a:srgbClr val="FF0000"/>
                </a:solidFill>
              </a:ln>
              <a:effectLst/>
            </c:spPr>
            <c:extLst>
              <c:ext xmlns:c16="http://schemas.microsoft.com/office/drawing/2014/chart" uri="{C3380CC4-5D6E-409C-BE32-E72D297353CC}">
                <c16:uniqueId val="{00000009-E9A5-4EC9-98C2-698800B8F3B6}"/>
              </c:ext>
            </c:extLst>
          </c:dPt>
          <c:dPt>
            <c:idx val="6"/>
            <c:invertIfNegative val="0"/>
            <c:bubble3D val="0"/>
            <c:spPr>
              <a:solidFill>
                <a:srgbClr val="FF0000"/>
              </a:solidFill>
              <a:ln>
                <a:noFill/>
              </a:ln>
              <a:effectLst/>
            </c:spPr>
            <c:extLst>
              <c:ext xmlns:c16="http://schemas.microsoft.com/office/drawing/2014/chart" uri="{C3380CC4-5D6E-409C-BE32-E72D297353CC}">
                <c16:uniqueId val="{0000000B-E9A5-4EC9-98C2-698800B8F3B6}"/>
              </c:ext>
            </c:extLst>
          </c:dPt>
          <c:dPt>
            <c:idx val="8"/>
            <c:invertIfNegative val="0"/>
            <c:bubble3D val="0"/>
            <c:spPr>
              <a:solidFill>
                <a:srgbClr val="FF0000"/>
              </a:solidFill>
              <a:ln>
                <a:noFill/>
              </a:ln>
              <a:effectLst/>
            </c:spPr>
            <c:extLst>
              <c:ext xmlns:c16="http://schemas.microsoft.com/office/drawing/2014/chart" uri="{C3380CC4-5D6E-409C-BE32-E72D297353CC}">
                <c16:uniqueId val="{0000000D-E9A5-4EC9-98C2-698800B8F3B6}"/>
              </c:ext>
            </c:extLst>
          </c:dPt>
          <c:dPt>
            <c:idx val="9"/>
            <c:invertIfNegative val="0"/>
            <c:bubble3D val="0"/>
            <c:spPr>
              <a:solidFill>
                <a:srgbClr val="FF0000"/>
              </a:solidFill>
              <a:ln>
                <a:noFill/>
              </a:ln>
              <a:effectLst/>
            </c:spPr>
            <c:extLst>
              <c:ext xmlns:c16="http://schemas.microsoft.com/office/drawing/2014/chart" uri="{C3380CC4-5D6E-409C-BE32-E72D297353CC}">
                <c16:uniqueId val="{0000000F-E9A5-4EC9-98C2-698800B8F3B6}"/>
              </c:ext>
            </c:extLst>
          </c:dPt>
          <c:dPt>
            <c:idx val="10"/>
            <c:invertIfNegative val="0"/>
            <c:bubble3D val="0"/>
            <c:spPr>
              <a:solidFill>
                <a:srgbClr val="FF0000"/>
              </a:solidFill>
              <a:ln>
                <a:noFill/>
              </a:ln>
              <a:effectLst/>
            </c:spPr>
            <c:extLst>
              <c:ext xmlns:c16="http://schemas.microsoft.com/office/drawing/2014/chart" uri="{C3380CC4-5D6E-409C-BE32-E72D297353CC}">
                <c16:uniqueId val="{00000011-E9A5-4EC9-98C2-698800B8F3B6}"/>
              </c:ext>
            </c:extLst>
          </c:dPt>
          <c:dPt>
            <c:idx val="11"/>
            <c:invertIfNegative val="0"/>
            <c:bubble3D val="0"/>
            <c:spPr>
              <a:solidFill>
                <a:srgbClr val="00B050"/>
              </a:solidFill>
              <a:ln>
                <a:noFill/>
              </a:ln>
              <a:effectLst/>
            </c:spPr>
            <c:extLst>
              <c:ext xmlns:c16="http://schemas.microsoft.com/office/drawing/2014/chart" uri="{C3380CC4-5D6E-409C-BE32-E72D297353CC}">
                <c16:uniqueId val="{00000013-E9A5-4EC9-98C2-698800B8F3B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Sheet2!$B$2:$B$13</c:f>
              <c:strCache>
                <c:ptCount val="12"/>
                <c:pt idx="0">
                  <c:v>Consumer price index</c:v>
                </c:pt>
                <c:pt idx="1">
                  <c:v>VII. Transport</c:v>
                </c:pt>
                <c:pt idx="2">
                  <c:v>I. Food and foodstuff</c:v>
                </c:pt>
                <c:pt idx="3">
                  <c:v>IX. Education </c:v>
                </c:pt>
                <c:pt idx="4">
                  <c:v>XI. Other consumer goods and services</c:v>
                </c:pt>
                <c:pt idx="5">
                  <c:v>V. Household equipment and goods</c:v>
                </c:pt>
                <c:pt idx="6">
                  <c:v>II. Beverage and cigarette</c:v>
                </c:pt>
                <c:pt idx="7">
                  <c:v>IV. Housing and construction materials</c:v>
                </c:pt>
                <c:pt idx="8">
                  <c:v>III. Garment, hat, footwear</c:v>
                </c:pt>
                <c:pt idx="9">
                  <c:v>X. Culture, entertainments and tourism</c:v>
                </c:pt>
                <c:pt idx="10">
                  <c:v>VI. Medicine and health care services</c:v>
                </c:pt>
                <c:pt idx="11">
                  <c:v>VIII. Post and communication</c:v>
                </c:pt>
              </c:strCache>
            </c:strRef>
          </c:cat>
          <c:val>
            <c:numRef>
              <c:f>Sheet2!$C$2:$C$13</c:f>
              <c:numCache>
                <c:formatCode>0.00%</c:formatCode>
                <c:ptCount val="12"/>
                <c:pt idx="0">
                  <c:v>3.3320000000000506E-3</c:v>
                </c:pt>
                <c:pt idx="1">
                  <c:v>6.6079999999999472E-3</c:v>
                </c:pt>
                <c:pt idx="2">
                  <c:v>5.5070000000000622E-3</c:v>
                </c:pt>
                <c:pt idx="3">
                  <c:v>4.7860000000000012E-3</c:v>
                </c:pt>
                <c:pt idx="4">
                  <c:v>2.5920000000000699E-3</c:v>
                </c:pt>
                <c:pt idx="5">
                  <c:v>1.9639999999999701E-3</c:v>
                </c:pt>
                <c:pt idx="6">
                  <c:v>1.1369999999999436E-3</c:v>
                </c:pt>
                <c:pt idx="7">
                  <c:v>1.1260000000000048E-3</c:v>
                </c:pt>
                <c:pt idx="8">
                  <c:v>8.9999999999999998E-4</c:v>
                </c:pt>
                <c:pt idx="9">
                  <c:v>8.9999999999999998E-4</c:v>
                </c:pt>
                <c:pt idx="10">
                  <c:v>2.3399999999995202E-4</c:v>
                </c:pt>
                <c:pt idx="11">
                  <c:v>-5.4800000000000183E-4</c:v>
                </c:pt>
              </c:numCache>
            </c:numRef>
          </c:val>
          <c:extLst>
            <c:ext xmlns:c16="http://schemas.microsoft.com/office/drawing/2014/chart" uri="{C3380CC4-5D6E-409C-BE32-E72D297353CC}">
              <c16:uniqueId val="{00000014-E9A5-4EC9-98C2-698800B8F3B6}"/>
            </c:ext>
          </c:extLst>
        </c:ser>
        <c:dLbls>
          <c:showLegendKey val="0"/>
          <c:showVal val="0"/>
          <c:showCatName val="0"/>
          <c:showSerName val="0"/>
          <c:showPercent val="0"/>
          <c:showBubbleSize val="0"/>
        </c:dLbls>
        <c:gapWidth val="112"/>
        <c:overlap val="-27"/>
        <c:axId val="124467008"/>
        <c:axId val="120957152"/>
      </c:barChart>
      <c:catAx>
        <c:axId val="1244670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0957152"/>
        <c:crosses val="autoZero"/>
        <c:auto val="1"/>
        <c:lblAlgn val="ctr"/>
        <c:lblOffset val="100"/>
        <c:noMultiLvlLbl val="0"/>
      </c:catAx>
      <c:valAx>
        <c:axId val="120957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67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0.15249</cdr:x>
      <cdr:y>0.11207</cdr:y>
    </cdr:from>
    <cdr:to>
      <cdr:x>0.23878</cdr:x>
      <cdr:y>0.1798</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906340" y="320595"/>
          <a:ext cx="512885" cy="19375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35,1%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0.71982</cdr:x>
      <cdr:y>0.48328</cdr:y>
    </cdr:from>
    <cdr:to>
      <cdr:x>0.80288</cdr:x>
      <cdr:y>0.5394</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278351" y="1382495"/>
          <a:ext cx="493674" cy="16055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31,2%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Billion</a:t>
          </a:r>
          <a:r>
            <a:rPr lang="en-US" sz="900" b="1" i="1" baseline="0">
              <a:latin typeface="Arial" panose="020B0604020202020204" pitchFamily="34" charset="0"/>
              <a:cs typeface="Arial" panose="020B0604020202020204" pitchFamily="34" charset="0"/>
            </a:rPr>
            <a:t> VND</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0.14216</cdr:x>
      <cdr:y>0.11177</cdr:y>
    </cdr:from>
    <cdr:to>
      <cdr:x>0.16134</cdr:x>
      <cdr:y>0.14718</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344235" y="453422"/>
          <a:ext cx="148522"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0.42143</cdr:x>
      <cdr:y>0.46514</cdr:y>
    </cdr:from>
    <cdr:to>
      <cdr:x>0.44061</cdr:x>
      <cdr:y>0.50055</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2511147" y="1324276"/>
          <a:ext cx="101296"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0.62327</cdr:x>
      <cdr:y>0.51039</cdr:y>
    </cdr:from>
    <cdr:to>
      <cdr:x>0.64245</cdr:x>
      <cdr:y>0.5458</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5839111" y="2200796"/>
          <a:ext cx="153581"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0.25745</cdr:x>
      <cdr:y>0.2364</cdr:y>
    </cdr:from>
    <cdr:to>
      <cdr:x>0.33816</cdr:x>
      <cdr:y>0.30986</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1530180" y="676276"/>
          <a:ext cx="479708" cy="21013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0.33866</cdr:x>
      <cdr:y>0.44552</cdr:y>
    </cdr:from>
    <cdr:to>
      <cdr:x>0.43623</cdr:x>
      <cdr:y>0.54564</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012873" y="1274493"/>
          <a:ext cx="579917" cy="28641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0.42436</cdr:x>
      <cdr:y>0.45711</cdr:y>
    </cdr:from>
    <cdr:to>
      <cdr:x>0.52193</cdr:x>
      <cdr:y>0.53498</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522254" y="1307657"/>
          <a:ext cx="579917" cy="22276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11,9%</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0.53454</cdr:x>
      <cdr:y>0.44289</cdr:y>
    </cdr:from>
    <cdr:to>
      <cdr:x>0.63211</cdr:x>
      <cdr:y>0.53509</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177090" y="1266957"/>
          <a:ext cx="579917" cy="26375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9</a:t>
          </a:r>
          <a:r>
            <a:rPr lang="en-US" sz="800">
              <a:solidFill>
                <a:sysClr val="windowText" lastClr="000000"/>
              </a:solidFill>
              <a:latin typeface="Arial" panose="020B0604020202020204" pitchFamily="34" charset="0"/>
              <a:cs typeface="Arial" panose="020B0604020202020204" pitchFamily="34" charset="0"/>
            </a:rPr>
            <a:t>,6%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0.63669</cdr:x>
      <cdr:y>0.48412</cdr:y>
    </cdr:from>
    <cdr:to>
      <cdr:x>0.73426</cdr:x>
      <cdr:y>0.56003</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784215" y="1384920"/>
          <a:ext cx="579917" cy="21715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0.83198</cdr:x>
      <cdr:y>0.49585</cdr:y>
    </cdr:from>
    <cdr:to>
      <cdr:x>0.93999</cdr:x>
      <cdr:y>0.55673</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944985" y="1418476"/>
          <a:ext cx="641969" cy="17415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22,0%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0.92279</cdr:x>
      <cdr:y>0.49205</cdr:y>
    </cdr:from>
    <cdr:to>
      <cdr:x>1</cdr:x>
      <cdr:y>0.56937</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484695" y="1407585"/>
          <a:ext cx="458905" cy="22119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0.33111</cdr:x>
      <cdr:y>0.46365</cdr:y>
    </cdr:from>
    <cdr:to>
      <cdr:x>0.35029</cdr:x>
      <cdr:y>0.49906</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3110577" y="1929329"/>
          <a:ext cx="148521"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0.82467</cdr:x>
      <cdr:y>0.51303</cdr:y>
    </cdr:from>
    <cdr:to>
      <cdr:x>0.84385</cdr:x>
      <cdr:y>0.54844</cdr:y>
    </cdr:to>
    <cdr:sp macro="" textlink="">
      <cdr:nvSpPr>
        <cdr:cNvPr id="21"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4907860" y="1461268"/>
          <a:ext cx="101297"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0.70788</cdr:x>
      <cdr:y>0.50741</cdr:y>
    </cdr:from>
    <cdr:to>
      <cdr:x>0.72706</cdr:x>
      <cdr:y>0.54282</cdr:y>
    </cdr:to>
    <cdr:sp macro="" textlink="">
      <cdr:nvSpPr>
        <cdr:cNvPr id="22"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4213722" y="1445193"/>
          <a:ext cx="101296" cy="11399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0.52731</cdr:x>
      <cdr:y>0.46372</cdr:y>
    </cdr:from>
    <cdr:to>
      <cdr:x>0.55177</cdr:x>
      <cdr:y>0.50325</cdr:y>
    </cdr:to>
    <cdr:sp macro="" textlink="">
      <cdr:nvSpPr>
        <cdr:cNvPr id="27"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flipH="1">
          <a:off x="3150298" y="1310416"/>
          <a:ext cx="113082" cy="145380"/>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0.91183</cdr:x>
      <cdr:y>0.51801</cdr:y>
    </cdr:from>
    <cdr:to>
      <cdr:x>0.93101</cdr:x>
      <cdr:y>0.55342</cdr:y>
    </cdr:to>
    <cdr:sp macro="" textlink="">
      <cdr:nvSpPr>
        <cdr:cNvPr id="29"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5425889" y="1475518"/>
          <a:ext cx="101296"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0.24521</cdr:x>
      <cdr:y>0.24079</cdr:y>
    </cdr:from>
    <cdr:to>
      <cdr:x>0.26559</cdr:x>
      <cdr:y>0.29436</cdr:y>
    </cdr:to>
    <cdr:sp macro="" textlink="">
      <cdr:nvSpPr>
        <cdr:cNvPr id="23" name="Arrow: Right 7">
          <a:extLst xmlns:a="http://schemas.openxmlformats.org/drawingml/2006/main">
            <a:ext uri="{FF2B5EF4-FFF2-40B4-BE49-F238E27FC236}">
              <a16:creationId xmlns:a16="http://schemas.microsoft.com/office/drawing/2014/main" id="{8BB99AF5-FCD0-994D-69B8-2CDC4BC79AA2}"/>
            </a:ext>
          </a:extLst>
        </cdr:cNvPr>
        <cdr:cNvSpPr/>
      </cdr:nvSpPr>
      <cdr:spPr>
        <a:xfrm xmlns:a="http://schemas.openxmlformats.org/drawingml/2006/main" rot="5400000" flipV="1">
          <a:off x="1441374" y="704865"/>
          <a:ext cx="153246" cy="121131"/>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0.84865</cdr:x>
      <cdr:y>0.05278</cdr:y>
    </cdr:from>
    <cdr:to>
      <cdr:x>0.96577</cdr:x>
      <cdr:y>0.13872</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486274" y="160873"/>
          <a:ext cx="619126"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27,26</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0.7964</cdr:x>
      <cdr:y>0.19444</cdr:y>
    </cdr:from>
    <cdr:to>
      <cdr:x>0.95495</cdr:x>
      <cdr:y>0.28038</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210050" y="592654"/>
          <a:ext cx="838199"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26,76</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0.81081</cdr:x>
      <cdr:y>0.32188</cdr:y>
    </cdr:from>
    <cdr:to>
      <cdr:x>0.91712</cdr:x>
      <cdr:y>0.40782</cdr:y>
    </cdr:to>
    <cdr:sp macro="" textlink="">
      <cdr:nvSpPr>
        <cdr:cNvPr id="4" name="Text Box 2"/>
        <cdr:cNvSpPr txBox="1">
          <a:spLocks xmlns:a="http://schemas.openxmlformats.org/drawingml/2006/main" noChangeArrowheads="1"/>
        </cdr:cNvSpPr>
      </cdr:nvSpPr>
      <cdr:spPr bwMode="auto">
        <a:xfrm xmlns:a="http://schemas.openxmlformats.org/drawingml/2006/main">
          <a:off x="4286246" y="981090"/>
          <a:ext cx="561980"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22,46</a:t>
          </a:r>
        </a:p>
      </cdr:txBody>
    </cdr:sp>
  </cdr:relSizeAnchor>
  <cdr:relSizeAnchor xmlns:cdr="http://schemas.openxmlformats.org/drawingml/2006/chartDrawing">
    <cdr:from>
      <cdr:x>0.81441</cdr:x>
      <cdr:y>0.46367</cdr:y>
    </cdr:from>
    <cdr:to>
      <cdr:x>0.92613</cdr:x>
      <cdr:y>0.54961</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305301" y="1413266"/>
          <a:ext cx="590548"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23,74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0.80901</cdr:x>
      <cdr:y>0.60625</cdr:y>
    </cdr:from>
    <cdr:to>
      <cdr:x>0.95315</cdr:x>
      <cdr:y>0.69219</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276726" y="1847850"/>
          <a:ext cx="762000" cy="2619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23,48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34</Pages>
  <Words>9448</Words>
  <Characters>53858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Trâm Anh</dc:creator>
  <cp:keywords/>
  <dc:description/>
  <cp:lastModifiedBy>Nguyễn Thị Hương</cp:lastModifiedBy>
  <cp:revision>2</cp:revision>
  <dcterms:created xsi:type="dcterms:W3CDTF">2024-12-02T02:35:00Z</dcterms:created>
  <dcterms:modified xsi:type="dcterms:W3CDTF">2024-12-10T01:51:00Z</dcterms:modified>
</cp:coreProperties>
</file>