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1.xml" ContentType="application/vnd.openxmlformats-officedocument.drawingml.chartshapes+xml"/>
  <Override PartName="/word/charts/chart4.xml" ContentType="application/vnd.openxmlformats-officedocument.drawingml.chart+xml"/>
  <Override PartName="/word/drawings/drawing2.xml" ContentType="application/vnd.openxmlformats-officedocument.drawingml.chartshapes+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9.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jc w:val="center"/>
        <w:tblLayout w:type="fixed"/>
        <w:tblLook w:val="0000" w:firstRow="0" w:lastRow="0" w:firstColumn="0" w:lastColumn="0" w:noHBand="0" w:noVBand="0"/>
      </w:tblPr>
      <w:tblGrid>
        <w:gridCol w:w="4147"/>
        <w:gridCol w:w="6201"/>
      </w:tblGrid>
      <w:tr w:rsidR="00AE05A0" w:rsidRPr="00E76B02" w14:paraId="49AD3D46" w14:textId="77777777" w:rsidTr="00237146">
        <w:trPr>
          <w:trHeight w:val="1276"/>
          <w:jc w:val="center"/>
        </w:trPr>
        <w:tc>
          <w:tcPr>
            <w:tcW w:w="4147" w:type="dxa"/>
          </w:tcPr>
          <w:p w14:paraId="420A3BC6" w14:textId="77777777" w:rsidR="00256FF8" w:rsidRPr="00E76B02" w:rsidRDefault="00256FF8" w:rsidP="00256FF8">
            <w:pPr>
              <w:jc w:val="center"/>
              <w:rPr>
                <w:spacing w:val="-6"/>
                <w:sz w:val="26"/>
                <w:szCs w:val="26"/>
              </w:rPr>
            </w:pPr>
            <w:r w:rsidRPr="00E76B02">
              <w:rPr>
                <w:spacing w:val="-6"/>
                <w:sz w:val="26"/>
                <w:szCs w:val="26"/>
              </w:rPr>
              <w:t>MINISTRY OF FINANCE</w:t>
            </w:r>
          </w:p>
          <w:p w14:paraId="1DA3E064" w14:textId="77777777" w:rsidR="00256FF8" w:rsidRPr="00E76B02" w:rsidRDefault="00256FF8" w:rsidP="00256FF8">
            <w:pPr>
              <w:jc w:val="center"/>
              <w:rPr>
                <w:b/>
                <w:bCs/>
                <w:spacing w:val="-6"/>
                <w:sz w:val="26"/>
                <w:szCs w:val="26"/>
              </w:rPr>
            </w:pPr>
            <w:r w:rsidRPr="00E76B02">
              <w:rPr>
                <w:b/>
                <w:bCs/>
                <w:spacing w:val="-6"/>
                <w:sz w:val="26"/>
                <w:szCs w:val="26"/>
              </w:rPr>
              <w:t>NATIONAL STATISTICS OFFICE</w:t>
            </w:r>
          </w:p>
          <w:p w14:paraId="64E6CAD9" w14:textId="77777777" w:rsidR="00AE05A0" w:rsidRPr="00E76B02" w:rsidRDefault="00AE05A0" w:rsidP="00AE05A0">
            <w:pPr>
              <w:spacing w:line="144" w:lineRule="auto"/>
              <w:jc w:val="center"/>
              <w:rPr>
                <w:bCs/>
                <w:spacing w:val="-6"/>
                <w:vertAlign w:val="superscript"/>
              </w:rPr>
            </w:pPr>
            <w:r w:rsidRPr="00E76B02">
              <w:rPr>
                <w:bCs/>
                <w:spacing w:val="-6"/>
                <w:sz w:val="26"/>
                <w:szCs w:val="26"/>
                <w:vertAlign w:val="superscript"/>
              </w:rPr>
              <w:t>________________</w:t>
            </w:r>
          </w:p>
          <w:p w14:paraId="0500D97A" w14:textId="2789EE47" w:rsidR="00AE05A0" w:rsidRPr="00E76B02" w:rsidRDefault="005A44E4" w:rsidP="00A3367A">
            <w:pPr>
              <w:spacing w:before="240" w:line="252" w:lineRule="auto"/>
              <w:jc w:val="center"/>
            </w:pPr>
            <w:r w:rsidRPr="00E76B02">
              <w:t>No</w:t>
            </w:r>
            <w:r w:rsidR="00AE05A0" w:rsidRPr="00E76B02">
              <w:t>:</w:t>
            </w:r>
            <w:r w:rsidR="00496C77" w:rsidRPr="00E76B02">
              <w:t xml:space="preserve"> </w:t>
            </w:r>
            <w:r w:rsidR="00A3367A" w:rsidRPr="00E76B02">
              <w:t>451</w:t>
            </w:r>
            <w:r w:rsidR="00AE05A0" w:rsidRPr="00E76B02">
              <w:t>/BC-CTK</w:t>
            </w:r>
          </w:p>
        </w:tc>
        <w:tc>
          <w:tcPr>
            <w:tcW w:w="6201" w:type="dxa"/>
          </w:tcPr>
          <w:p w14:paraId="25061548" w14:textId="77777777" w:rsidR="00256FF8" w:rsidRPr="00E76B02" w:rsidRDefault="00256FF8" w:rsidP="00256FF8">
            <w:pPr>
              <w:jc w:val="center"/>
              <w:rPr>
                <w:b/>
                <w:bCs/>
                <w:sz w:val="26"/>
                <w:szCs w:val="26"/>
              </w:rPr>
            </w:pPr>
            <w:r w:rsidRPr="00E76B02">
              <w:rPr>
                <w:b/>
                <w:bCs/>
                <w:sz w:val="26"/>
                <w:szCs w:val="24"/>
              </w:rPr>
              <w:t>SOCIALIST REPUBLIC OF VIET NAM</w:t>
            </w:r>
          </w:p>
          <w:p w14:paraId="756B31BC" w14:textId="77777777" w:rsidR="00256FF8" w:rsidRPr="00E76B02" w:rsidRDefault="00256FF8" w:rsidP="00256FF8">
            <w:pPr>
              <w:jc w:val="center"/>
              <w:rPr>
                <w:b/>
                <w:bCs/>
                <w:szCs w:val="24"/>
              </w:rPr>
            </w:pPr>
            <w:r w:rsidRPr="00E76B02">
              <w:rPr>
                <w:b/>
                <w:bCs/>
                <w:sz w:val="26"/>
                <w:szCs w:val="24"/>
              </w:rPr>
              <w:t>Independence-Freedom-Happiness</w:t>
            </w:r>
          </w:p>
          <w:p w14:paraId="27271214" w14:textId="77777777" w:rsidR="00AE05A0" w:rsidRPr="00E76B02" w:rsidRDefault="00AE05A0" w:rsidP="00AE05A0">
            <w:pPr>
              <w:spacing w:line="144" w:lineRule="auto"/>
              <w:jc w:val="center"/>
              <w:rPr>
                <w:bCs/>
                <w:szCs w:val="24"/>
                <w:vertAlign w:val="superscript"/>
              </w:rPr>
            </w:pPr>
            <w:r w:rsidRPr="00E76B02">
              <w:rPr>
                <w:bCs/>
                <w:szCs w:val="24"/>
                <w:vertAlign w:val="superscript"/>
              </w:rPr>
              <w:t>______________________________________</w:t>
            </w:r>
          </w:p>
          <w:p w14:paraId="20ED4643" w14:textId="4E1F5062" w:rsidR="00AE05A0" w:rsidRPr="00E76B02" w:rsidRDefault="00256FF8" w:rsidP="00A3367A">
            <w:pPr>
              <w:spacing w:before="240" w:line="252" w:lineRule="auto"/>
              <w:ind w:hanging="2"/>
              <w:jc w:val="center"/>
              <w:rPr>
                <w:b/>
                <w:bCs/>
                <w:i/>
                <w:iCs/>
              </w:rPr>
            </w:pPr>
            <w:r w:rsidRPr="00E76B02">
              <w:rPr>
                <w:i/>
                <w:iCs/>
              </w:rPr>
              <w:t xml:space="preserve">Ha Noi, </w:t>
            </w:r>
            <w:r w:rsidR="0067241E" w:rsidRPr="00E76B02">
              <w:rPr>
                <w:i/>
                <w:iCs/>
              </w:rPr>
              <w:t>6</w:t>
            </w:r>
            <w:r w:rsidRPr="00E76B02">
              <w:rPr>
                <w:i/>
                <w:iCs/>
                <w:vertAlign w:val="superscript"/>
              </w:rPr>
              <w:t>th</w:t>
            </w:r>
            <w:r w:rsidRPr="00E76B02">
              <w:rPr>
                <w:i/>
                <w:iCs/>
              </w:rPr>
              <w:t xml:space="preserve"> </w:t>
            </w:r>
            <w:r w:rsidR="00A3367A" w:rsidRPr="00E76B02">
              <w:rPr>
                <w:i/>
                <w:iCs/>
              </w:rPr>
              <w:t>December</w:t>
            </w:r>
            <w:r w:rsidRPr="00E76B02">
              <w:rPr>
                <w:i/>
                <w:iCs/>
              </w:rPr>
              <w:t xml:space="preserve"> 2025</w:t>
            </w:r>
          </w:p>
        </w:tc>
      </w:tr>
    </w:tbl>
    <w:p w14:paraId="68E81A84" w14:textId="77777777" w:rsidR="002A7012" w:rsidRPr="00E76B02" w:rsidRDefault="002A7012" w:rsidP="002A7012">
      <w:pPr>
        <w:jc w:val="center"/>
        <w:rPr>
          <w:b/>
          <w:bCs/>
          <w:sz w:val="24"/>
          <w:szCs w:val="48"/>
        </w:rPr>
      </w:pPr>
    </w:p>
    <w:p w14:paraId="7FADE6B1" w14:textId="77777777" w:rsidR="00256FF8" w:rsidRPr="00E76B02" w:rsidRDefault="00256FF8" w:rsidP="00256FF8">
      <w:pPr>
        <w:jc w:val="center"/>
        <w:rPr>
          <w:b/>
          <w:bCs/>
          <w:sz w:val="40"/>
          <w:szCs w:val="40"/>
        </w:rPr>
      </w:pPr>
      <w:r w:rsidRPr="00E76B02">
        <w:rPr>
          <w:b/>
          <w:bCs/>
          <w:sz w:val="40"/>
          <w:szCs w:val="40"/>
        </w:rPr>
        <w:t>REPORT</w:t>
      </w:r>
    </w:p>
    <w:p w14:paraId="4D7818A0" w14:textId="444CFA62" w:rsidR="00256FF8" w:rsidRPr="00E76B02" w:rsidRDefault="00256FF8" w:rsidP="00256FF8">
      <w:pPr>
        <w:jc w:val="center"/>
        <w:rPr>
          <w:b/>
          <w:bCs/>
          <w:sz w:val="34"/>
          <w:szCs w:val="34"/>
        </w:rPr>
      </w:pPr>
      <w:r w:rsidRPr="00E76B02">
        <w:rPr>
          <w:b/>
          <w:bCs/>
          <w:sz w:val="34"/>
          <w:szCs w:val="34"/>
        </w:rPr>
        <w:t xml:space="preserve">SOCIO-ECONOMIC SITUATION </w:t>
      </w:r>
      <w:r w:rsidRPr="00E76B02">
        <w:rPr>
          <w:b/>
          <w:bCs/>
          <w:sz w:val="34"/>
          <w:szCs w:val="34"/>
        </w:rPr>
        <w:br/>
        <w:t xml:space="preserve">IN </w:t>
      </w:r>
      <w:r w:rsidR="00A3367A" w:rsidRPr="00E76B02">
        <w:rPr>
          <w:b/>
          <w:bCs/>
          <w:sz w:val="34"/>
          <w:szCs w:val="34"/>
        </w:rPr>
        <w:t xml:space="preserve">NOVEMBER </w:t>
      </w:r>
      <w:r w:rsidRPr="00E76B02">
        <w:rPr>
          <w:b/>
          <w:bCs/>
          <w:sz w:val="34"/>
          <w:szCs w:val="34"/>
        </w:rPr>
        <w:t xml:space="preserve">AND </w:t>
      </w:r>
      <w:r w:rsidR="003B1AD9">
        <w:rPr>
          <w:b/>
          <w:bCs/>
          <w:sz w:val="34"/>
          <w:szCs w:val="34"/>
        </w:rPr>
        <w:t xml:space="preserve">THE </w:t>
      </w:r>
      <w:r w:rsidR="0067241E" w:rsidRPr="00E76B02">
        <w:rPr>
          <w:b/>
          <w:bCs/>
          <w:sz w:val="34"/>
          <w:szCs w:val="34"/>
        </w:rPr>
        <w:t>1</w:t>
      </w:r>
      <w:r w:rsidR="00A3367A" w:rsidRPr="00E76B02">
        <w:rPr>
          <w:b/>
          <w:bCs/>
          <w:sz w:val="34"/>
          <w:szCs w:val="34"/>
        </w:rPr>
        <w:t>1</w:t>
      </w:r>
      <w:r w:rsidRPr="00E76B02">
        <w:rPr>
          <w:b/>
          <w:bCs/>
          <w:sz w:val="34"/>
          <w:szCs w:val="34"/>
        </w:rPr>
        <w:t xml:space="preserve"> MONTHS OF 2025</w:t>
      </w:r>
    </w:p>
    <w:p w14:paraId="5F1D9475" w14:textId="38F8F4D2" w:rsidR="002A7012" w:rsidRPr="00E76B02" w:rsidRDefault="002A7012" w:rsidP="005A44E4">
      <w:pPr>
        <w:jc w:val="center"/>
        <w:rPr>
          <w:rFonts w:ascii="Arial" w:hAnsi="Arial" w:cs="Arial"/>
          <w:b/>
          <w:bCs/>
          <w:sz w:val="38"/>
          <w:szCs w:val="52"/>
        </w:rPr>
      </w:pPr>
      <w:r w:rsidRPr="00E76B02">
        <w:rPr>
          <w:b/>
          <w:bCs/>
          <w:sz w:val="40"/>
          <w:szCs w:val="40"/>
        </w:rPr>
        <w:t xml:space="preserve"> </w:t>
      </w:r>
      <w:r w:rsidRPr="00E76B02">
        <w:rPr>
          <w:rFonts w:ascii="Arial" w:hAnsi="Arial" w:cs="Arial"/>
          <w:b/>
          <w:bCs/>
          <w:noProof/>
          <w:sz w:val="50"/>
          <w:szCs w:val="52"/>
        </w:rPr>
        <mc:AlternateContent>
          <mc:Choice Requires="wps">
            <w:drawing>
              <wp:anchor distT="0" distB="0" distL="114300" distR="114300" simplePos="0" relativeHeight="251664384" behindDoc="0" locked="0" layoutInCell="1" allowOverlap="1" wp14:anchorId="2107B36E" wp14:editId="3F7B5A07">
                <wp:simplePos x="0" y="0"/>
                <wp:positionH relativeFrom="column">
                  <wp:posOffset>2136140</wp:posOffset>
                </wp:positionH>
                <wp:positionV relativeFrom="paragraph">
                  <wp:posOffset>26035</wp:posOffset>
                </wp:positionV>
                <wp:extent cx="1412875" cy="0"/>
                <wp:effectExtent l="10160" t="6985" r="5715" b="12065"/>
                <wp:wrapNone/>
                <wp:docPr id="7"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2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FAF00FC" id="_x0000_t32" coordsize="21600,21600" o:spt="32" o:oned="t" path="m,l21600,21600e" filled="f">
                <v:path arrowok="t" fillok="f" o:connecttype="none"/>
                <o:lock v:ext="edit" shapetype="t"/>
              </v:shapetype>
              <v:shape id="AutoShape 4" o:spid="_x0000_s1026" type="#_x0000_t32" style="position:absolute;margin-left:168.2pt;margin-top:2.05pt;width:111.2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5PaHgIAADsEAAAOAAAAZHJzL2Uyb0RvYy54bWysU82O2yAQvlfqOyDuie3UyS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R8wUqSH&#10;Fj3tvY6RUR7KMxhXgFWltjYkSI/q1Txr+t0hpauOqJZH47eTAd8seCTvXMLFGQiyG75oBjYE8GOt&#10;jo3tAyRUAR1jS063lvCjRxQeszybzB+mGNGrLiHF1dFY5z9z3aMglNh5S0Tb+UorBY3XNothyOHZ&#10;+UCLFFeHEFXpjZAy9l8qNJR4MZ1Mo4PTUrCgDGbOtrtKWnQgYYLiF3MEzb2Z1XvFIljHCVtfZE+E&#10;PMsQXKqAB4kBnYt0HpEfi3Sxnq/n+SifzNajPK3r0dOmykezTfYwrT/VVVVnPwO1LC86wRhXgd11&#10;XLP878bhsjjnQbsN7K0MyXv0WC8ge/1H0rGzoZnnsdhpdtraa8dhQqPxZZvCCtzfQb7f+dUvAAAA&#10;//8DAFBLAwQUAAYACAAAACEA3ixeSdwAAAAHAQAADwAAAGRycy9kb3ducmV2LnhtbEyOwW7CMBBE&#10;75X6D9ZW4lIVJ0AQpHEQqsSBYwGpVxNvk7TxOoodEvj6bnuhx9GM3rxsM9pGXLDztSMF8TQCgVQ4&#10;U1Op4HTcvaxA+KDJ6MYRKriih03++JDp1LiB3vFyCKVgCPlUK6hCaFMpfVGh1X7qWiTuPl1ndeDY&#10;ldJ0emC4beQsipbS6pr4odItvlVYfB96qwB9n8TRdm3L0/42PH/Mbl9De1Rq8jRuX0EEHMN9DL/6&#10;rA45O51dT8aLRsF8vlzwVMEiBsF9kqzWIM5/WeaZ/O+f/wAAAP//AwBQSwECLQAUAAYACAAAACEA&#10;toM4kv4AAADhAQAAEwAAAAAAAAAAAAAAAAAAAAAAW0NvbnRlbnRfVHlwZXNdLnhtbFBLAQItABQA&#10;BgAIAAAAIQA4/SH/1gAAAJQBAAALAAAAAAAAAAAAAAAAAC8BAABfcmVscy8ucmVsc1BLAQItABQA&#10;BgAIAAAAIQA5t5PaHgIAADsEAAAOAAAAAAAAAAAAAAAAAC4CAABkcnMvZTJvRG9jLnhtbFBLAQIt&#10;ABQABgAIAAAAIQDeLF5J3AAAAAcBAAAPAAAAAAAAAAAAAAAAAHgEAABkcnMvZG93bnJldi54bWxQ&#10;SwUGAAAAAAQABADzAAAAgQUAAAAA&#10;"/>
            </w:pict>
          </mc:Fallback>
        </mc:AlternateContent>
      </w:r>
    </w:p>
    <w:p w14:paraId="55DC57A6" w14:textId="7922230D" w:rsidR="007438AE" w:rsidRPr="00E76B02" w:rsidRDefault="006D3AD1" w:rsidP="00853DE5">
      <w:pPr>
        <w:tabs>
          <w:tab w:val="left" w:pos="720"/>
        </w:tabs>
        <w:spacing w:after="100" w:line="259" w:lineRule="auto"/>
        <w:ind w:firstLine="720"/>
        <w:jc w:val="both"/>
        <w:rPr>
          <w:b/>
        </w:rPr>
      </w:pPr>
      <w:r w:rsidRPr="00E76B02">
        <w:rPr>
          <w:b/>
          <w:bCs/>
        </w:rPr>
        <w:t>1</w:t>
      </w:r>
      <w:r w:rsidRPr="00E76B02">
        <w:rPr>
          <w:b/>
        </w:rPr>
        <w:t xml:space="preserve">. </w:t>
      </w:r>
      <w:r w:rsidR="00A66E09" w:rsidRPr="00E76B02">
        <w:rPr>
          <w:b/>
        </w:rPr>
        <w:t xml:space="preserve">Agriculture, forestry, and fishing </w:t>
      </w:r>
    </w:p>
    <w:p w14:paraId="1F94314D" w14:textId="5F43242B" w:rsidR="00A3367A" w:rsidRPr="00E76B02" w:rsidRDefault="00A3367A" w:rsidP="00853DE5">
      <w:pPr>
        <w:tabs>
          <w:tab w:val="left" w:pos="720"/>
        </w:tabs>
        <w:spacing w:after="100" w:line="259" w:lineRule="auto"/>
        <w:ind w:firstLine="720"/>
        <w:jc w:val="both"/>
        <w:rPr>
          <w:i/>
        </w:rPr>
      </w:pPr>
      <w:r w:rsidRPr="00E76B02">
        <w:rPr>
          <w:i/>
        </w:rPr>
        <w:t>In November, agricultural production focused on harvesting winter-spring rice, cultivating other winter crops, caring for and restoring production and livestock affected by natural disasters and floods, especially in the coastal provinces of the South Central C</w:t>
      </w:r>
      <w:r w:rsidR="001512C4" w:rsidRPr="00E76B02">
        <w:rPr>
          <w:i/>
        </w:rPr>
        <w:t xml:space="preserve">oast and the Central Highlands. </w:t>
      </w:r>
      <w:r w:rsidRPr="00E76B02">
        <w:rPr>
          <w:i/>
        </w:rPr>
        <w:t>Wood exploitation and aquaculture</w:t>
      </w:r>
      <w:r w:rsidR="00BF1C1A" w:rsidRPr="00E76B02">
        <w:rPr>
          <w:i/>
        </w:rPr>
        <w:t xml:space="preserve"> witnessed a stability</w:t>
      </w:r>
      <w:r w:rsidRPr="00E76B02">
        <w:rPr>
          <w:i/>
        </w:rPr>
        <w:t>, ensuring raw</w:t>
      </w:r>
      <w:r w:rsidR="00BF1C1A" w:rsidRPr="00E76B02">
        <w:rPr>
          <w:i/>
        </w:rPr>
        <w:t xml:space="preserve"> </w:t>
      </w:r>
      <w:r w:rsidRPr="00E76B02">
        <w:rPr>
          <w:i/>
        </w:rPr>
        <w:t xml:space="preserve">material </w:t>
      </w:r>
      <w:r w:rsidR="00BF1C1A" w:rsidRPr="00E76B02">
        <w:rPr>
          <w:i/>
        </w:rPr>
        <w:t xml:space="preserve">supply </w:t>
      </w:r>
      <w:r w:rsidRPr="00E76B02">
        <w:rPr>
          <w:i/>
        </w:rPr>
        <w:t xml:space="preserve">for processing and export. However, due to </w:t>
      </w:r>
      <w:r w:rsidR="00BF1C1A" w:rsidRPr="00E76B02">
        <w:rPr>
          <w:i/>
        </w:rPr>
        <w:t xml:space="preserve">the severe </w:t>
      </w:r>
      <w:r w:rsidRPr="00E76B02">
        <w:rPr>
          <w:i/>
        </w:rPr>
        <w:t xml:space="preserve">weather, </w:t>
      </w:r>
      <w:r w:rsidR="00BF1C1A" w:rsidRPr="00E76B02">
        <w:rPr>
          <w:i/>
        </w:rPr>
        <w:t xml:space="preserve">some localities were recorded with a slow </w:t>
      </w:r>
      <w:r w:rsidRPr="00E76B02">
        <w:rPr>
          <w:i/>
        </w:rPr>
        <w:t xml:space="preserve">progress of afforestation, and </w:t>
      </w:r>
      <w:r w:rsidR="00BF1C1A" w:rsidRPr="00E76B02">
        <w:rPr>
          <w:i/>
        </w:rPr>
        <w:t xml:space="preserve">a decrease of </w:t>
      </w:r>
      <w:r w:rsidRPr="00E76B02">
        <w:rPr>
          <w:i/>
        </w:rPr>
        <w:t xml:space="preserve">marine </w:t>
      </w:r>
      <w:r w:rsidR="00BF1C1A" w:rsidRPr="00E76B02">
        <w:rPr>
          <w:i/>
        </w:rPr>
        <w:t xml:space="preserve">capture </w:t>
      </w:r>
      <w:r w:rsidRPr="00E76B02">
        <w:rPr>
          <w:i/>
        </w:rPr>
        <w:t>fisheries.</w:t>
      </w:r>
    </w:p>
    <w:p w14:paraId="60A42AE8" w14:textId="77777777" w:rsidR="00A66E09" w:rsidRPr="00E76B02" w:rsidRDefault="00A66E09" w:rsidP="00A66E09">
      <w:pPr>
        <w:tabs>
          <w:tab w:val="left" w:pos="360"/>
          <w:tab w:val="left" w:pos="1134"/>
        </w:tabs>
        <w:spacing w:after="100" w:line="259" w:lineRule="auto"/>
        <w:ind w:firstLine="720"/>
        <w:jc w:val="both"/>
        <w:rPr>
          <w:b/>
          <w:bCs/>
          <w:i/>
          <w:iCs/>
        </w:rPr>
      </w:pPr>
      <w:r w:rsidRPr="00E76B02">
        <w:rPr>
          <w:b/>
          <w:bCs/>
          <w:i/>
          <w:iCs/>
        </w:rPr>
        <w:t xml:space="preserve">a) Agriculture </w:t>
      </w:r>
    </w:p>
    <w:p w14:paraId="170B6C8A" w14:textId="0E906A9E" w:rsidR="00A66E09" w:rsidRPr="00E76B02" w:rsidRDefault="00821866" w:rsidP="00A66E09">
      <w:pPr>
        <w:spacing w:after="100" w:line="259" w:lineRule="auto"/>
        <w:ind w:firstLine="720"/>
        <w:jc w:val="both"/>
        <w:rPr>
          <w:i/>
        </w:rPr>
      </w:pPr>
      <w:r w:rsidRPr="00E76B02">
        <w:rPr>
          <w:i/>
        </w:rPr>
        <w:t>Winter-spring</w:t>
      </w:r>
      <w:r w:rsidR="00331BCF" w:rsidRPr="00E76B02">
        <w:rPr>
          <w:i/>
        </w:rPr>
        <w:t xml:space="preserve"> rice</w:t>
      </w:r>
    </w:p>
    <w:p w14:paraId="627C1DE8" w14:textId="3AC594CE" w:rsidR="00276BC3" w:rsidRPr="00E76B02" w:rsidRDefault="00E0396B" w:rsidP="00393919">
      <w:pPr>
        <w:tabs>
          <w:tab w:val="left" w:pos="720"/>
        </w:tabs>
        <w:spacing w:after="100" w:line="259" w:lineRule="auto"/>
        <w:ind w:firstLine="720"/>
        <w:jc w:val="both"/>
      </w:pPr>
      <w:r w:rsidRPr="00E76B02">
        <w:t xml:space="preserve">As of </w:t>
      </w:r>
      <w:r w:rsidR="00076598" w:rsidRPr="00E76B02">
        <w:t>November</w:t>
      </w:r>
      <w:r w:rsidRPr="00E76B02">
        <w:t xml:space="preserve"> 20, 2025, the </w:t>
      </w:r>
      <w:r w:rsidR="00562D83" w:rsidRPr="00E76B02">
        <w:t xml:space="preserve">nationwide </w:t>
      </w:r>
      <w:r w:rsidRPr="00E76B02">
        <w:t>harvested</w:t>
      </w:r>
      <w:r w:rsidR="00A0134C" w:rsidRPr="00E76B02">
        <w:t xml:space="preserve"> area reached </w:t>
      </w:r>
      <w:r w:rsidR="004E23A5" w:rsidRPr="00E76B02">
        <w:t xml:space="preserve">1,283.2 hectares of </w:t>
      </w:r>
      <w:r w:rsidR="00F60ECF">
        <w:t xml:space="preserve">the </w:t>
      </w:r>
      <w:r w:rsidR="004E23A5" w:rsidRPr="00E76B02">
        <w:t>winter-spring rice</w:t>
      </w:r>
      <w:r w:rsidR="00562D83">
        <w:t>,</w:t>
      </w:r>
      <w:r w:rsidR="004E23A5" w:rsidRPr="00E76B02">
        <w:t xml:space="preserve"> </w:t>
      </w:r>
      <w:r w:rsidR="00562D83" w:rsidRPr="00E76B02">
        <w:t>ma</w:t>
      </w:r>
      <w:r w:rsidR="00562D83">
        <w:t>king</w:t>
      </w:r>
      <w:r w:rsidR="00562D83" w:rsidRPr="00E76B02">
        <w:t xml:space="preserve"> </w:t>
      </w:r>
      <w:r w:rsidR="00A0134C" w:rsidRPr="00E76B02">
        <w:t xml:space="preserve">up </w:t>
      </w:r>
      <w:r w:rsidR="004E23A5" w:rsidRPr="00E76B02">
        <w:t>83</w:t>
      </w:r>
      <w:r w:rsidRPr="00E76B02">
        <w:t>.</w:t>
      </w:r>
      <w:r w:rsidR="004E23A5" w:rsidRPr="00E76B02">
        <w:t>3</w:t>
      </w:r>
      <w:r w:rsidRPr="00E76B02">
        <w:t>% of the cultivated area,</w:t>
      </w:r>
      <w:r w:rsidR="001512C4" w:rsidRPr="00E76B02">
        <w:t xml:space="preserve"> </w:t>
      </w:r>
      <w:r w:rsidR="00562D83">
        <w:t xml:space="preserve">and </w:t>
      </w:r>
      <w:r w:rsidR="004E23A5" w:rsidRPr="00E76B02">
        <w:t xml:space="preserve">equal to 100.2% </w:t>
      </w:r>
      <w:r w:rsidR="00562D83" w:rsidRPr="00562D83">
        <w:t>of the same period last year</w:t>
      </w:r>
      <w:r w:rsidR="004E23A5" w:rsidRPr="00E76B02">
        <w:t>. O</w:t>
      </w:r>
      <w:r w:rsidRPr="00E76B02">
        <w:t>f wh</w:t>
      </w:r>
      <w:r w:rsidR="004B5D0B" w:rsidRPr="00E76B02">
        <w:t xml:space="preserve">ich </w:t>
      </w:r>
      <w:r w:rsidR="00F60ECF">
        <w:t xml:space="preserve">the </w:t>
      </w:r>
      <w:r w:rsidR="00562D83">
        <w:t>N</w:t>
      </w:r>
      <w:r w:rsidR="00562D83" w:rsidRPr="00E76B02">
        <w:t xml:space="preserve">orthern </w:t>
      </w:r>
      <w:r w:rsidRPr="00E76B02">
        <w:t xml:space="preserve">localities </w:t>
      </w:r>
      <w:r w:rsidR="00562D83" w:rsidRPr="00562D83">
        <w:t xml:space="preserve">harvested </w:t>
      </w:r>
      <w:r w:rsidR="00821866" w:rsidRPr="00E76B02">
        <w:t>940.</w:t>
      </w:r>
      <w:r w:rsidR="004E23A5" w:rsidRPr="00E76B02">
        <w:t xml:space="preserve">3 </w:t>
      </w:r>
      <w:r w:rsidR="00821866" w:rsidRPr="00E76B02">
        <w:t>thousand hectares</w:t>
      </w:r>
      <w:r w:rsidRPr="00E76B02">
        <w:t xml:space="preserve">, </w:t>
      </w:r>
      <w:r w:rsidR="007F5238" w:rsidRPr="00E76B02">
        <w:t>account</w:t>
      </w:r>
      <w:r w:rsidR="00562D83">
        <w:t>ing</w:t>
      </w:r>
      <w:r w:rsidR="007F5238" w:rsidRPr="00E76B02">
        <w:t xml:space="preserve"> for</w:t>
      </w:r>
      <w:r w:rsidRPr="00E76B02">
        <w:t xml:space="preserve"> </w:t>
      </w:r>
      <w:r w:rsidR="004E23A5" w:rsidRPr="00E76B02">
        <w:t>95.7</w:t>
      </w:r>
      <w:r w:rsidRPr="00E76B02">
        <w:t>0%</w:t>
      </w:r>
      <w:r w:rsidR="00562D83">
        <w:t xml:space="preserve">, and </w:t>
      </w:r>
      <w:r w:rsidR="00562D83" w:rsidRPr="00E76B02">
        <w:t>equal to 99.2%</w:t>
      </w:r>
      <w:r w:rsidRPr="00E76B02">
        <w:t xml:space="preserve">; </w:t>
      </w:r>
      <w:r w:rsidR="00F60ECF">
        <w:t xml:space="preserve">the </w:t>
      </w:r>
      <w:r w:rsidRPr="00E76B02">
        <w:t>Southern localities</w:t>
      </w:r>
      <w:r w:rsidR="00313FB7" w:rsidRPr="00E76B02">
        <w:t xml:space="preserve"> </w:t>
      </w:r>
      <w:r w:rsidR="00562D83" w:rsidRPr="00562D83">
        <w:t xml:space="preserve">harvested </w:t>
      </w:r>
      <w:r w:rsidR="00276BC3" w:rsidRPr="00E76B02">
        <w:t xml:space="preserve">342.9 </w:t>
      </w:r>
      <w:r w:rsidR="00EC6378" w:rsidRPr="00E76B02">
        <w:t>thousand</w:t>
      </w:r>
      <w:r w:rsidRPr="00E76B02">
        <w:t xml:space="preserve"> hectares, </w:t>
      </w:r>
      <w:r w:rsidR="00562D83" w:rsidRPr="00E76B02">
        <w:t>account</w:t>
      </w:r>
      <w:r w:rsidR="00562D83">
        <w:t>ing</w:t>
      </w:r>
      <w:r w:rsidR="00562D83" w:rsidRPr="00E76B02">
        <w:t xml:space="preserve"> for 61.3%</w:t>
      </w:r>
      <w:r w:rsidR="00562D83">
        <w:t xml:space="preserve">, and </w:t>
      </w:r>
      <w:r w:rsidRPr="00E76B02">
        <w:t>equal to 103.</w:t>
      </w:r>
      <w:r w:rsidR="00276BC3" w:rsidRPr="00E76B02">
        <w:t>0</w:t>
      </w:r>
      <w:r w:rsidRPr="00E76B02">
        <w:t xml:space="preserve">%. </w:t>
      </w:r>
      <w:r w:rsidR="007F5238" w:rsidRPr="00E76B02">
        <w:t>The winter-spring rice</w:t>
      </w:r>
      <w:r w:rsidR="00276BC3" w:rsidRPr="00E76B02">
        <w:t xml:space="preserve"> this year was recorded with favorable weather conditions at the beginning of the crop for rice growth and development. However, at harvesting period, heavy rains </w:t>
      </w:r>
      <w:r w:rsidR="00B77F49">
        <w:t>due to</w:t>
      </w:r>
      <w:r w:rsidR="00276BC3" w:rsidRPr="00E76B02">
        <w:t xml:space="preserve"> storms </w:t>
      </w:r>
      <w:r w:rsidR="00B77F49" w:rsidRPr="00E76B02">
        <w:t>flood</w:t>
      </w:r>
      <w:r w:rsidR="00B77F49">
        <w:t>ed</w:t>
      </w:r>
      <w:r w:rsidR="00B77F49" w:rsidRPr="00E76B02">
        <w:t xml:space="preserve"> </w:t>
      </w:r>
      <w:r w:rsidR="00853DE5" w:rsidRPr="00E76B02">
        <w:t>some localities</w:t>
      </w:r>
      <w:r w:rsidR="00B77F49">
        <w:t>,</w:t>
      </w:r>
      <w:r w:rsidR="00853DE5" w:rsidRPr="00E76B02">
        <w:t xml:space="preserve"> </w:t>
      </w:r>
      <w:r w:rsidR="00B77F49">
        <w:t xml:space="preserve">and </w:t>
      </w:r>
      <w:r w:rsidR="00853DE5" w:rsidRPr="00E76B02">
        <w:t xml:space="preserve">affected </w:t>
      </w:r>
      <w:r w:rsidR="00276BC3" w:rsidRPr="00E76B02">
        <w:t xml:space="preserve">the </w:t>
      </w:r>
      <w:r w:rsidR="00853DE5" w:rsidRPr="00E76B02">
        <w:t xml:space="preserve">national </w:t>
      </w:r>
      <w:r w:rsidR="00276BC3" w:rsidRPr="00E76B02">
        <w:t>harvest</w:t>
      </w:r>
      <w:r w:rsidR="00853DE5" w:rsidRPr="00E76B02">
        <w:t>ing progress</w:t>
      </w:r>
      <w:r w:rsidR="00276BC3" w:rsidRPr="00E76B02">
        <w:t xml:space="preserve">. Some localities </w:t>
      </w:r>
      <w:r w:rsidR="00853DE5" w:rsidRPr="00E76B02">
        <w:t xml:space="preserve">were recorded with a year-on-year slow of </w:t>
      </w:r>
      <w:r w:rsidR="00276BC3" w:rsidRPr="00E76B02">
        <w:t>harvest</w:t>
      </w:r>
      <w:r w:rsidR="00853DE5" w:rsidRPr="00E76B02">
        <w:t xml:space="preserve">ing </w:t>
      </w:r>
      <w:r w:rsidR="00276BC3" w:rsidRPr="00E76B02">
        <w:t>progress</w:t>
      </w:r>
      <w:r w:rsidR="00DB36A3">
        <w:t xml:space="preserve"> including</w:t>
      </w:r>
      <w:r w:rsidR="00853DE5" w:rsidRPr="00E76B02">
        <w:t xml:space="preserve"> </w:t>
      </w:r>
      <w:r w:rsidR="00276BC3" w:rsidRPr="00E76B02">
        <w:t xml:space="preserve">Thanh Hoa </w:t>
      </w:r>
      <w:r w:rsidR="00DB36A3">
        <w:t>(</w:t>
      </w:r>
      <w:r w:rsidR="00276BC3" w:rsidRPr="00E76B02">
        <w:t>93.8%</w:t>
      </w:r>
      <w:r w:rsidR="00DB36A3">
        <w:t>)</w:t>
      </w:r>
      <w:r w:rsidR="00276BC3" w:rsidRPr="00E76B02">
        <w:t xml:space="preserve">, Ninh Binh </w:t>
      </w:r>
      <w:r w:rsidR="00DB36A3">
        <w:t>(</w:t>
      </w:r>
      <w:r w:rsidR="00853DE5" w:rsidRPr="00E76B02">
        <w:t>94.7%</w:t>
      </w:r>
      <w:r w:rsidR="00DB36A3">
        <w:t>),</w:t>
      </w:r>
      <w:r w:rsidR="00853DE5" w:rsidRPr="00E76B02">
        <w:t xml:space="preserve"> and </w:t>
      </w:r>
      <w:r w:rsidR="00276BC3" w:rsidRPr="00E76B02">
        <w:t xml:space="preserve">Hai Phong </w:t>
      </w:r>
      <w:r w:rsidR="00DB36A3">
        <w:t>(</w:t>
      </w:r>
      <w:r w:rsidR="00276BC3" w:rsidRPr="00E76B02">
        <w:t>96.7%</w:t>
      </w:r>
      <w:r w:rsidR="00DB36A3">
        <w:t>)</w:t>
      </w:r>
      <w:r w:rsidR="00853DE5" w:rsidRPr="00E76B02">
        <w:rPr>
          <w:rStyle w:val="FootnoteReference"/>
          <w:iCs/>
          <w:spacing w:val="-2"/>
        </w:rPr>
        <w:footnoteReference w:id="1"/>
      </w:r>
      <w:r w:rsidR="00276BC3" w:rsidRPr="00E76B02">
        <w:t>.</w:t>
      </w:r>
    </w:p>
    <w:p w14:paraId="425F5FF2" w14:textId="0EC4480C" w:rsidR="00853DE5" w:rsidRPr="00E76B02" w:rsidRDefault="00853DE5" w:rsidP="00393919">
      <w:pPr>
        <w:tabs>
          <w:tab w:val="left" w:pos="720"/>
        </w:tabs>
        <w:spacing w:after="100" w:line="259" w:lineRule="auto"/>
        <w:ind w:firstLine="720"/>
        <w:jc w:val="both"/>
      </w:pPr>
      <w:r w:rsidRPr="00E76B02">
        <w:t xml:space="preserve">According to reports of localities, the national winter-spring rice yield this year </w:t>
      </w:r>
      <w:r w:rsidR="00AA277A" w:rsidRPr="00E76B02">
        <w:t xml:space="preserve">was </w:t>
      </w:r>
      <w:r w:rsidRPr="00E76B02">
        <w:t>estimated at 52.4 quintals/h</w:t>
      </w:r>
      <w:r w:rsidR="00AA277A" w:rsidRPr="00E76B02">
        <w:t>ectare</w:t>
      </w:r>
      <w:r w:rsidRPr="00E76B02">
        <w:t xml:space="preserve">, </w:t>
      </w:r>
      <w:r w:rsidR="00DB36A3">
        <w:t>showing</w:t>
      </w:r>
      <w:r w:rsidR="00B13730" w:rsidRPr="00E76B02">
        <w:t xml:space="preserve"> </w:t>
      </w:r>
      <w:r w:rsidRPr="00E76B02">
        <w:t>a</w:t>
      </w:r>
      <w:r w:rsidR="00AA277A" w:rsidRPr="00E76B02">
        <w:t xml:space="preserve"> year-on-year i</w:t>
      </w:r>
      <w:r w:rsidRPr="00E76B02">
        <w:t>ncrease of 2.2 quintals/h</w:t>
      </w:r>
      <w:r w:rsidR="007F5238" w:rsidRPr="00E76B02">
        <w:t xml:space="preserve">ectare, </w:t>
      </w:r>
      <w:r w:rsidRPr="00E76B02">
        <w:t xml:space="preserve">of which </w:t>
      </w:r>
      <w:r w:rsidR="00F60ECF">
        <w:t xml:space="preserve">the </w:t>
      </w:r>
      <w:r w:rsidR="00DB36A3">
        <w:t>N</w:t>
      </w:r>
      <w:r w:rsidR="00DB36A3" w:rsidRPr="00E76B02">
        <w:t xml:space="preserve">orthern </w:t>
      </w:r>
      <w:r w:rsidRPr="00E76B02">
        <w:t xml:space="preserve">localities </w:t>
      </w:r>
      <w:r w:rsidR="00AA277A" w:rsidRPr="00E76B02">
        <w:t xml:space="preserve">were </w:t>
      </w:r>
      <w:r w:rsidRPr="00E76B02">
        <w:t>estimated at 50.7 quintals/h</w:t>
      </w:r>
      <w:r w:rsidR="00AA277A" w:rsidRPr="00E76B02">
        <w:t>ectare</w:t>
      </w:r>
      <w:r w:rsidRPr="00E76B02">
        <w:t>,</w:t>
      </w:r>
      <w:r w:rsidR="00AA277A" w:rsidRPr="00E76B02">
        <w:t xml:space="preserve"> </w:t>
      </w:r>
      <w:r w:rsidR="00DB36A3">
        <w:t>rising</w:t>
      </w:r>
      <w:r w:rsidR="00DB36A3" w:rsidRPr="00E76B02">
        <w:t xml:space="preserve"> </w:t>
      </w:r>
      <w:r w:rsidR="00AA277A" w:rsidRPr="00E76B02">
        <w:t xml:space="preserve">by </w:t>
      </w:r>
      <w:r w:rsidRPr="00E76B02">
        <w:t>3.2 quintals/h</w:t>
      </w:r>
      <w:r w:rsidR="00AA277A" w:rsidRPr="00E76B02">
        <w:t>ect</w:t>
      </w:r>
      <w:r w:rsidRPr="00E76B02">
        <w:t>a</w:t>
      </w:r>
      <w:r w:rsidR="00AA277A" w:rsidRPr="00E76B02">
        <w:t>re</w:t>
      </w:r>
      <w:r w:rsidR="00AA277A" w:rsidRPr="00E76B02">
        <w:rPr>
          <w:rStyle w:val="FootnoteReference"/>
        </w:rPr>
        <w:footnoteReference w:id="2"/>
      </w:r>
      <w:r w:rsidRPr="00E76B02">
        <w:t xml:space="preserve"> (the Red River </w:t>
      </w:r>
      <w:r w:rsidR="00294DFC" w:rsidRPr="00E76B02">
        <w:t xml:space="preserve">Delta </w:t>
      </w:r>
      <w:r w:rsidRPr="00E76B02">
        <w:t xml:space="preserve">reached 55.5 </w:t>
      </w:r>
      <w:r w:rsidRPr="00E76B02">
        <w:lastRenderedPageBreak/>
        <w:t>quintals/</w:t>
      </w:r>
      <w:r w:rsidR="00AA277A" w:rsidRPr="00E76B02">
        <w:t>hectare</w:t>
      </w:r>
      <w:r w:rsidRPr="00E76B02">
        <w:t xml:space="preserve">, </w:t>
      </w:r>
      <w:r w:rsidR="00DB36A3">
        <w:t>growing</w:t>
      </w:r>
      <w:r w:rsidR="00DB36A3" w:rsidRPr="00E76B02">
        <w:t xml:space="preserve"> </w:t>
      </w:r>
      <w:r w:rsidR="00AA277A" w:rsidRPr="00E76B02">
        <w:t xml:space="preserve">by </w:t>
      </w:r>
      <w:r w:rsidRPr="00E76B02">
        <w:t>8.0 quintals/h</w:t>
      </w:r>
      <w:r w:rsidR="00AA277A" w:rsidRPr="00E76B02">
        <w:t>ectare</w:t>
      </w:r>
      <w:r w:rsidR="007E2634" w:rsidRPr="00E76B02">
        <w:rPr>
          <w:rStyle w:val="FootnoteReference"/>
        </w:rPr>
        <w:footnoteReference w:id="3"/>
      </w:r>
      <w:r w:rsidRPr="00E76B02">
        <w:t xml:space="preserve">). The </w:t>
      </w:r>
      <w:r w:rsidR="00AA277A" w:rsidRPr="00E76B02">
        <w:t xml:space="preserve">yield of </w:t>
      </w:r>
      <w:r w:rsidR="00F60ECF">
        <w:t xml:space="preserve">the </w:t>
      </w:r>
      <w:r w:rsidRPr="00E76B02">
        <w:t xml:space="preserve">winter-spring rice </w:t>
      </w:r>
      <w:r w:rsidR="00AA277A" w:rsidRPr="00E76B02">
        <w:t>in</w:t>
      </w:r>
      <w:r w:rsidR="00F60ECF">
        <w:t xml:space="preserve"> the</w:t>
      </w:r>
      <w:r w:rsidR="00AA277A" w:rsidRPr="00E76B02">
        <w:t xml:space="preserve"> </w:t>
      </w:r>
      <w:r w:rsidR="0020242D">
        <w:t>S</w:t>
      </w:r>
      <w:r w:rsidR="0020242D" w:rsidRPr="00E76B02">
        <w:t xml:space="preserve">outhern </w:t>
      </w:r>
      <w:r w:rsidRPr="00E76B02">
        <w:t xml:space="preserve">localities </w:t>
      </w:r>
      <w:r w:rsidR="00AA277A" w:rsidRPr="00E76B02">
        <w:t>w</w:t>
      </w:r>
      <w:r w:rsidR="00F60ECF">
        <w:t>as</w:t>
      </w:r>
      <w:r w:rsidR="00AA277A" w:rsidRPr="00E76B02">
        <w:t xml:space="preserve"> </w:t>
      </w:r>
      <w:r w:rsidRPr="00E76B02">
        <w:t>estimated at 55.3 quintals/h</w:t>
      </w:r>
      <w:r w:rsidR="00AA277A" w:rsidRPr="00E76B02">
        <w:t>ectare</w:t>
      </w:r>
      <w:r w:rsidRPr="00E76B02">
        <w:t>,</w:t>
      </w:r>
      <w:r w:rsidR="001512C4" w:rsidRPr="00E76B02">
        <w:t xml:space="preserve"> show</w:t>
      </w:r>
      <w:r w:rsidR="0020242D">
        <w:t>ing</w:t>
      </w:r>
      <w:r w:rsidRPr="00E76B02">
        <w:t xml:space="preserve"> a</w:t>
      </w:r>
      <w:r w:rsidR="007F5238" w:rsidRPr="00E76B02">
        <w:t xml:space="preserve"> year-</w:t>
      </w:r>
      <w:r w:rsidR="00AA277A" w:rsidRPr="00E76B02">
        <w:t>on-year growth of 0.3 quintals/hectare</w:t>
      </w:r>
      <w:r w:rsidRPr="00E76B02">
        <w:t xml:space="preserve">. The national </w:t>
      </w:r>
      <w:r w:rsidR="00AA277A" w:rsidRPr="00E76B02">
        <w:t xml:space="preserve">production of </w:t>
      </w:r>
      <w:r w:rsidR="00F60ECF">
        <w:t xml:space="preserve">the </w:t>
      </w:r>
      <w:r w:rsidRPr="00E76B02">
        <w:t xml:space="preserve">winter-spring rice </w:t>
      </w:r>
      <w:r w:rsidR="00AA277A" w:rsidRPr="00E76B02">
        <w:t xml:space="preserve">was </w:t>
      </w:r>
      <w:r w:rsidRPr="00E76B02">
        <w:t xml:space="preserve">estimated at 8.07 million tons, </w:t>
      </w:r>
      <w:r w:rsidR="007F5238" w:rsidRPr="00E76B02">
        <w:t>a year</w:t>
      </w:r>
      <w:r w:rsidR="00AA277A" w:rsidRPr="00E76B02">
        <w:t>-on-year expansion of 314.7 tons</w:t>
      </w:r>
      <w:r w:rsidRPr="00E76B02">
        <w:t xml:space="preserve">, of which the North </w:t>
      </w:r>
      <w:r w:rsidR="00AA277A" w:rsidRPr="00E76B02">
        <w:t xml:space="preserve">was </w:t>
      </w:r>
      <w:r w:rsidRPr="00E76B02">
        <w:t xml:space="preserve">estimated at 4.98 million tons, </w:t>
      </w:r>
      <w:r w:rsidR="0020242D">
        <w:t xml:space="preserve">an </w:t>
      </w:r>
      <w:r w:rsidR="0020242D" w:rsidRPr="00E76B02">
        <w:t>increas</w:t>
      </w:r>
      <w:r w:rsidR="0020242D">
        <w:t>e of</w:t>
      </w:r>
      <w:r w:rsidR="00AA277A" w:rsidRPr="00E76B02">
        <w:t xml:space="preserve"> </w:t>
      </w:r>
      <w:r w:rsidRPr="00E76B02">
        <w:t>243.3 thousand tons (the Red River</w:t>
      </w:r>
      <w:r w:rsidR="0020242D">
        <w:t xml:space="preserve"> </w:t>
      </w:r>
      <w:r w:rsidR="0020242D" w:rsidRPr="00E76B02">
        <w:t>Delta</w:t>
      </w:r>
      <w:r w:rsidRPr="00E76B02">
        <w:t xml:space="preserve"> reached 2.6 million tons, </w:t>
      </w:r>
      <w:r w:rsidR="00AA277A" w:rsidRPr="00E76B02">
        <w:t xml:space="preserve">a growth of </w:t>
      </w:r>
      <w:r w:rsidRPr="00E76B02">
        <w:t xml:space="preserve">319.1 thousand tons); the South reached 3.09 million tons, </w:t>
      </w:r>
      <w:r w:rsidR="0020242D">
        <w:t xml:space="preserve">a rise of </w:t>
      </w:r>
      <w:r w:rsidRPr="00E76B02">
        <w:t>71.5 thousand tons.</w:t>
      </w:r>
    </w:p>
    <w:p w14:paraId="74C5BF9B" w14:textId="4DEEC12A" w:rsidR="007438AE" w:rsidRPr="00E76B02" w:rsidRDefault="00AD54BB" w:rsidP="00393919">
      <w:pPr>
        <w:tabs>
          <w:tab w:val="left" w:pos="720"/>
        </w:tabs>
        <w:spacing w:after="120" w:line="264" w:lineRule="auto"/>
        <w:ind w:firstLine="720"/>
        <w:jc w:val="both"/>
        <w:rPr>
          <w:i/>
        </w:rPr>
      </w:pPr>
      <w:r w:rsidRPr="00E76B02">
        <w:rPr>
          <w:i/>
        </w:rPr>
        <w:t>Autumn-</w:t>
      </w:r>
      <w:r w:rsidR="0020242D">
        <w:rPr>
          <w:i/>
        </w:rPr>
        <w:t>w</w:t>
      </w:r>
      <w:r w:rsidR="0020242D" w:rsidRPr="00E76B02">
        <w:rPr>
          <w:i/>
        </w:rPr>
        <w:t xml:space="preserve">inter </w:t>
      </w:r>
      <w:r w:rsidRPr="00E76B02">
        <w:rPr>
          <w:i/>
        </w:rPr>
        <w:t>rice</w:t>
      </w:r>
    </w:p>
    <w:p w14:paraId="13534931" w14:textId="5E758E8E" w:rsidR="007E2634" w:rsidRPr="00E76B02" w:rsidRDefault="007E2634" w:rsidP="00393919">
      <w:pPr>
        <w:tabs>
          <w:tab w:val="left" w:pos="0"/>
        </w:tabs>
        <w:spacing w:after="120" w:line="264" w:lineRule="auto"/>
        <w:ind w:firstLine="720"/>
        <w:jc w:val="both"/>
        <w:rPr>
          <w:color w:val="000000"/>
        </w:rPr>
      </w:pPr>
      <w:r w:rsidRPr="00E76B02">
        <w:rPr>
          <w:color w:val="000000"/>
        </w:rPr>
        <w:t xml:space="preserve">In 2025, the cultivation area of autumn-winter rice in </w:t>
      </w:r>
      <w:r w:rsidR="00F60ECF">
        <w:rPr>
          <w:color w:val="000000"/>
        </w:rPr>
        <w:t xml:space="preserve">the </w:t>
      </w:r>
      <w:r w:rsidRPr="00E76B02">
        <w:rPr>
          <w:color w:val="000000"/>
        </w:rPr>
        <w:t xml:space="preserve">Mekong River Delta and Tay Ninh </w:t>
      </w:r>
      <w:r w:rsidR="00F60ECF">
        <w:rPr>
          <w:color w:val="000000"/>
        </w:rPr>
        <w:t xml:space="preserve">province </w:t>
      </w:r>
      <w:r w:rsidRPr="00E76B02">
        <w:rPr>
          <w:color w:val="000000"/>
        </w:rPr>
        <w:t>w</w:t>
      </w:r>
      <w:r w:rsidR="00F60ECF">
        <w:rPr>
          <w:color w:val="000000"/>
        </w:rPr>
        <w:t>as</w:t>
      </w:r>
      <w:r w:rsidRPr="00E76B02">
        <w:rPr>
          <w:color w:val="000000"/>
        </w:rPr>
        <w:t xml:space="preserve"> estimated at </w:t>
      </w:r>
      <w:r w:rsidR="0020242D">
        <w:t>716.6 thousand hectares</w:t>
      </w:r>
      <w:r w:rsidRPr="00E76B02">
        <w:rPr>
          <w:color w:val="000000"/>
        </w:rPr>
        <w:t>,</w:t>
      </w:r>
      <w:r w:rsidR="001512C4" w:rsidRPr="00E76B02">
        <w:rPr>
          <w:color w:val="000000"/>
        </w:rPr>
        <w:t xml:space="preserve"> </w:t>
      </w:r>
      <w:r w:rsidRPr="00E76B02">
        <w:rPr>
          <w:color w:val="000000"/>
        </w:rPr>
        <w:t xml:space="preserve">a year-on-year drop of 1,300 hectares </w:t>
      </w:r>
      <w:r w:rsidR="0020242D">
        <w:rPr>
          <w:color w:val="000000"/>
        </w:rPr>
        <w:t>because</w:t>
      </w:r>
      <w:r w:rsidRPr="00E76B02">
        <w:rPr>
          <w:color w:val="000000"/>
        </w:rPr>
        <w:t xml:space="preserve"> some localities converted partly the rice cultivation land area to fruit trees and vegetables for higher economic efficiency. In addition, some </w:t>
      </w:r>
      <w:r w:rsidR="008B54B0" w:rsidRPr="00E76B02">
        <w:rPr>
          <w:color w:val="000000"/>
        </w:rPr>
        <w:t xml:space="preserve">localities were recorded not ready </w:t>
      </w:r>
      <w:r w:rsidR="00F60ECF">
        <w:rPr>
          <w:color w:val="000000"/>
        </w:rPr>
        <w:t>to</w:t>
      </w:r>
      <w:r w:rsidR="008B54B0" w:rsidRPr="00E76B02">
        <w:rPr>
          <w:color w:val="000000"/>
        </w:rPr>
        <w:t xml:space="preserve"> cultivat</w:t>
      </w:r>
      <w:r w:rsidR="00F60ECF">
        <w:rPr>
          <w:color w:val="000000"/>
        </w:rPr>
        <w:t>e</w:t>
      </w:r>
      <w:r w:rsidR="008B54B0" w:rsidRPr="00E76B02">
        <w:rPr>
          <w:color w:val="000000"/>
        </w:rPr>
        <w:t xml:space="preserve"> new crops </w:t>
      </w:r>
      <w:r w:rsidRPr="00E76B02">
        <w:rPr>
          <w:color w:val="000000"/>
        </w:rPr>
        <w:t xml:space="preserve">yet, proactively </w:t>
      </w:r>
      <w:r w:rsidR="005B13C3" w:rsidRPr="00E76B02">
        <w:rPr>
          <w:color w:val="000000"/>
        </w:rPr>
        <w:t xml:space="preserve">flooding fields to deposit nutrient-rich silt preparing </w:t>
      </w:r>
      <w:r w:rsidRPr="00E76B02">
        <w:rPr>
          <w:color w:val="000000"/>
        </w:rPr>
        <w:t>for th</w:t>
      </w:r>
      <w:r w:rsidR="001512C4" w:rsidRPr="00E76B02">
        <w:rPr>
          <w:color w:val="000000"/>
        </w:rPr>
        <w:t xml:space="preserve">e 2025-2026 </w:t>
      </w:r>
      <w:r w:rsidR="005B13C3" w:rsidRPr="00E76B02">
        <w:rPr>
          <w:color w:val="000000"/>
        </w:rPr>
        <w:t xml:space="preserve">winter-spring crop. </w:t>
      </w:r>
      <w:r w:rsidRPr="00E76B02">
        <w:rPr>
          <w:color w:val="000000"/>
        </w:rPr>
        <w:t xml:space="preserve">Some localities </w:t>
      </w:r>
      <w:r w:rsidR="005B13C3" w:rsidRPr="00E76B02">
        <w:rPr>
          <w:color w:val="000000"/>
        </w:rPr>
        <w:t xml:space="preserve">witnessed a year-on-year decrease in cultivation area, </w:t>
      </w:r>
      <w:r w:rsidR="00AA53D3">
        <w:rPr>
          <w:color w:val="000000"/>
        </w:rPr>
        <w:t>including</w:t>
      </w:r>
      <w:r w:rsidR="005B13C3" w:rsidRPr="00E76B02">
        <w:rPr>
          <w:color w:val="000000"/>
        </w:rPr>
        <w:t xml:space="preserve"> </w:t>
      </w:r>
      <w:r w:rsidRPr="00E76B02">
        <w:rPr>
          <w:color w:val="000000"/>
        </w:rPr>
        <w:t xml:space="preserve">Vinh Long </w:t>
      </w:r>
      <w:r w:rsidR="00AA53D3">
        <w:rPr>
          <w:color w:val="000000"/>
        </w:rPr>
        <w:t xml:space="preserve">(down </w:t>
      </w:r>
      <w:r w:rsidRPr="00E76B02">
        <w:rPr>
          <w:color w:val="000000"/>
        </w:rPr>
        <w:t>1,700 hectares</w:t>
      </w:r>
      <w:r w:rsidR="00AA53D3">
        <w:rPr>
          <w:color w:val="000000"/>
        </w:rPr>
        <w:t>)</w:t>
      </w:r>
      <w:r w:rsidRPr="00E76B02">
        <w:rPr>
          <w:color w:val="000000"/>
        </w:rPr>
        <w:t xml:space="preserve">; Can Tho </w:t>
      </w:r>
      <w:r w:rsidR="00AA53D3">
        <w:rPr>
          <w:color w:val="000000"/>
        </w:rPr>
        <w:t xml:space="preserve">(down </w:t>
      </w:r>
      <w:r w:rsidRPr="00E76B02">
        <w:rPr>
          <w:color w:val="000000"/>
        </w:rPr>
        <w:t>2,600 hectares</w:t>
      </w:r>
      <w:r w:rsidR="00AA53D3">
        <w:rPr>
          <w:color w:val="000000"/>
        </w:rPr>
        <w:t>)</w:t>
      </w:r>
      <w:r w:rsidRPr="00E76B02">
        <w:rPr>
          <w:color w:val="000000"/>
        </w:rPr>
        <w:t xml:space="preserve">; Kien Giang </w:t>
      </w:r>
      <w:r w:rsidR="00AA53D3">
        <w:rPr>
          <w:color w:val="000000"/>
        </w:rPr>
        <w:t xml:space="preserve">(down </w:t>
      </w:r>
      <w:r w:rsidRPr="00E76B02">
        <w:rPr>
          <w:color w:val="000000"/>
        </w:rPr>
        <w:t>6,700 hectares</w:t>
      </w:r>
      <w:r w:rsidR="00AA53D3">
        <w:rPr>
          <w:color w:val="000000"/>
        </w:rPr>
        <w:t>)</w:t>
      </w:r>
      <w:r w:rsidRPr="00E76B02">
        <w:rPr>
          <w:color w:val="000000"/>
        </w:rPr>
        <w:t xml:space="preserve">; Ca Mau </w:t>
      </w:r>
      <w:r w:rsidR="00AA53D3">
        <w:rPr>
          <w:color w:val="000000"/>
        </w:rPr>
        <w:t xml:space="preserve">(down </w:t>
      </w:r>
      <w:r w:rsidR="005B13C3" w:rsidRPr="00E76B02">
        <w:rPr>
          <w:color w:val="000000"/>
        </w:rPr>
        <w:t>7,100 hectares</w:t>
      </w:r>
      <w:r w:rsidR="00AA53D3">
        <w:rPr>
          <w:color w:val="000000"/>
        </w:rPr>
        <w:t>)</w:t>
      </w:r>
      <w:r w:rsidR="005B13C3" w:rsidRPr="00E76B02">
        <w:rPr>
          <w:color w:val="000000"/>
        </w:rPr>
        <w:t>.</w:t>
      </w:r>
    </w:p>
    <w:p w14:paraId="3FBB3CFC" w14:textId="44A42346" w:rsidR="006A673C" w:rsidRPr="00E76B02" w:rsidRDefault="006A673C" w:rsidP="00393919">
      <w:pPr>
        <w:tabs>
          <w:tab w:val="left" w:pos="0"/>
        </w:tabs>
        <w:spacing w:after="120" w:line="264" w:lineRule="auto"/>
        <w:ind w:firstLine="720"/>
        <w:jc w:val="both"/>
        <w:rPr>
          <w:color w:val="000000"/>
        </w:rPr>
      </w:pPr>
      <w:r w:rsidRPr="00E76B02">
        <w:rPr>
          <w:color w:val="000000"/>
        </w:rPr>
        <w:t xml:space="preserve">As of November 20, 2025, </w:t>
      </w:r>
      <w:r w:rsidR="00F60ECF">
        <w:rPr>
          <w:color w:val="000000"/>
        </w:rPr>
        <w:t xml:space="preserve">the </w:t>
      </w:r>
      <w:r w:rsidRPr="00E76B02">
        <w:rPr>
          <w:color w:val="000000"/>
        </w:rPr>
        <w:t xml:space="preserve">localities in the </w:t>
      </w:r>
      <w:r w:rsidR="00E257F9">
        <w:rPr>
          <w:color w:val="000000"/>
        </w:rPr>
        <w:t>country</w:t>
      </w:r>
      <w:r w:rsidR="00E257F9" w:rsidRPr="00E76B02">
        <w:rPr>
          <w:color w:val="000000"/>
        </w:rPr>
        <w:t xml:space="preserve"> </w:t>
      </w:r>
      <w:r w:rsidRPr="00E76B02">
        <w:rPr>
          <w:color w:val="000000"/>
        </w:rPr>
        <w:t>harvested 435.7 thousand hectares o</w:t>
      </w:r>
      <w:r w:rsidR="00EC6378" w:rsidRPr="00E76B02">
        <w:rPr>
          <w:color w:val="000000"/>
        </w:rPr>
        <w:t xml:space="preserve">f autumn-winter rice, </w:t>
      </w:r>
      <w:r w:rsidR="00E257F9" w:rsidRPr="00E76B02">
        <w:rPr>
          <w:color w:val="000000"/>
        </w:rPr>
        <w:t>account</w:t>
      </w:r>
      <w:r w:rsidR="00E257F9">
        <w:rPr>
          <w:color w:val="000000"/>
        </w:rPr>
        <w:t>ing</w:t>
      </w:r>
      <w:r w:rsidR="00E257F9" w:rsidRPr="00E76B02">
        <w:rPr>
          <w:color w:val="000000"/>
        </w:rPr>
        <w:t xml:space="preserve"> </w:t>
      </w:r>
      <w:r w:rsidRPr="00E76B02">
        <w:rPr>
          <w:color w:val="000000"/>
        </w:rPr>
        <w:t xml:space="preserve">for 60.8% of the </w:t>
      </w:r>
      <w:r w:rsidR="00E257F9" w:rsidRPr="00E76B02">
        <w:t xml:space="preserve">cultivated </w:t>
      </w:r>
      <w:r w:rsidRPr="00E76B02">
        <w:rPr>
          <w:color w:val="000000"/>
        </w:rPr>
        <w:t>area</w:t>
      </w:r>
      <w:r w:rsidR="00E257F9">
        <w:rPr>
          <w:color w:val="000000"/>
        </w:rPr>
        <w:t>,</w:t>
      </w:r>
      <w:r w:rsidRPr="00E76B02">
        <w:rPr>
          <w:color w:val="000000"/>
        </w:rPr>
        <w:t xml:space="preserve"> and equal to 95.9% of the same period last year, due to late </w:t>
      </w:r>
      <w:r w:rsidR="006056D5" w:rsidRPr="00E76B02">
        <w:rPr>
          <w:color w:val="000000"/>
        </w:rPr>
        <w:t>sowing</w:t>
      </w:r>
      <w:r w:rsidRPr="00E76B02">
        <w:rPr>
          <w:color w:val="000000"/>
        </w:rPr>
        <w:t xml:space="preserve">, especially </w:t>
      </w:r>
      <w:r w:rsidR="00E257F9">
        <w:rPr>
          <w:color w:val="000000"/>
        </w:rPr>
        <w:t xml:space="preserve">in </w:t>
      </w:r>
      <w:r w:rsidR="006056D5" w:rsidRPr="00E76B02">
        <w:rPr>
          <w:color w:val="000000"/>
        </w:rPr>
        <w:t>An Giang</w:t>
      </w:r>
      <w:r w:rsidR="00E257F9">
        <w:rPr>
          <w:color w:val="000000"/>
        </w:rPr>
        <w:t>,</w:t>
      </w:r>
      <w:r w:rsidR="006056D5" w:rsidRPr="00E76B02">
        <w:rPr>
          <w:color w:val="000000"/>
        </w:rPr>
        <w:t xml:space="preserve"> </w:t>
      </w:r>
      <w:r w:rsidR="00E257F9">
        <w:rPr>
          <w:color w:val="000000"/>
        </w:rPr>
        <w:t xml:space="preserve">which </w:t>
      </w:r>
      <w:r w:rsidR="006056D5" w:rsidRPr="00E76B02">
        <w:rPr>
          <w:color w:val="000000"/>
        </w:rPr>
        <w:t xml:space="preserve">was recorded </w:t>
      </w:r>
      <w:r w:rsidRPr="00E76B02">
        <w:rPr>
          <w:color w:val="000000"/>
        </w:rPr>
        <w:t xml:space="preserve">the largest autumn-winter rice area in the region. The harvested area of ​​An Giang </w:t>
      </w:r>
      <w:r w:rsidR="006056D5" w:rsidRPr="00E76B02">
        <w:rPr>
          <w:color w:val="000000"/>
        </w:rPr>
        <w:t xml:space="preserve">reached </w:t>
      </w:r>
      <w:r w:rsidRPr="00E76B02">
        <w:rPr>
          <w:color w:val="000000"/>
        </w:rPr>
        <w:t>155</w:t>
      </w:r>
      <w:r w:rsidR="006056D5" w:rsidRPr="00E76B02">
        <w:rPr>
          <w:color w:val="000000"/>
        </w:rPr>
        <w:t xml:space="preserve">.7 thousand hectares, </w:t>
      </w:r>
      <w:r w:rsidR="00BF71D9" w:rsidRPr="00E76B02">
        <w:rPr>
          <w:color w:val="000000"/>
        </w:rPr>
        <w:t>account</w:t>
      </w:r>
      <w:r w:rsidR="00BF71D9">
        <w:rPr>
          <w:color w:val="000000"/>
        </w:rPr>
        <w:t>ing</w:t>
      </w:r>
      <w:r w:rsidR="00BF71D9" w:rsidRPr="00E76B02">
        <w:rPr>
          <w:color w:val="000000"/>
        </w:rPr>
        <w:t xml:space="preserve"> </w:t>
      </w:r>
      <w:r w:rsidRPr="00E76B02">
        <w:rPr>
          <w:color w:val="000000"/>
        </w:rPr>
        <w:t xml:space="preserve">for 62.9% of the </w:t>
      </w:r>
      <w:r w:rsidR="00BB1DDD" w:rsidRPr="00E76B02">
        <w:t xml:space="preserve">cultivated </w:t>
      </w:r>
      <w:r w:rsidRPr="00E76B02">
        <w:rPr>
          <w:color w:val="000000"/>
        </w:rPr>
        <w:t>area</w:t>
      </w:r>
      <w:r w:rsidR="00BF71D9">
        <w:rPr>
          <w:color w:val="000000"/>
        </w:rPr>
        <w:t>,</w:t>
      </w:r>
      <w:r w:rsidRPr="00E76B02">
        <w:rPr>
          <w:color w:val="000000"/>
        </w:rPr>
        <w:t xml:space="preserve"> and equal to 84.9% of the same period last year.</w:t>
      </w:r>
    </w:p>
    <w:p w14:paraId="04962EA7" w14:textId="6716D4C6" w:rsidR="007438AE" w:rsidRPr="00E76B02" w:rsidRDefault="003953A6" w:rsidP="00393919">
      <w:pPr>
        <w:shd w:val="clear" w:color="auto" w:fill="FFFFFF"/>
        <w:spacing w:after="120" w:line="264" w:lineRule="auto"/>
        <w:ind w:firstLine="720"/>
        <w:jc w:val="both"/>
        <w:rPr>
          <w:i/>
        </w:rPr>
      </w:pPr>
      <w:r w:rsidRPr="00E76B02">
        <w:rPr>
          <w:i/>
        </w:rPr>
        <w:t>Annual crops</w:t>
      </w:r>
    </w:p>
    <w:p w14:paraId="23263207" w14:textId="1923DF63" w:rsidR="006056D5" w:rsidRPr="00E76B02" w:rsidRDefault="006056D5" w:rsidP="00393919">
      <w:pPr>
        <w:shd w:val="clear" w:color="auto" w:fill="FFFFFF"/>
        <w:spacing w:after="120" w:line="264" w:lineRule="auto"/>
        <w:ind w:firstLine="720"/>
        <w:jc w:val="both"/>
      </w:pPr>
      <w:r w:rsidRPr="00E76B02">
        <w:t>Due to the impact of natural disasters and floods, the area of ​​most vegetable</w:t>
      </w:r>
      <w:r w:rsidR="007E1453" w:rsidRPr="00E76B02">
        <w:t>s and</w:t>
      </w:r>
      <w:r w:rsidRPr="00E76B02">
        <w:t xml:space="preserve"> crops witnessed a year-on-year decrease. </w:t>
      </w:r>
      <w:r w:rsidR="007E1453" w:rsidRPr="00E76B02">
        <w:t>Generally, t</w:t>
      </w:r>
      <w:r w:rsidRPr="00E76B02">
        <w:t xml:space="preserve">he cultivation progress </w:t>
      </w:r>
      <w:r w:rsidR="007E1453" w:rsidRPr="00E76B02">
        <w:t xml:space="preserve">witnessed </w:t>
      </w:r>
      <w:r w:rsidRPr="00E76B02">
        <w:t xml:space="preserve">a fall in most </w:t>
      </w:r>
      <w:r w:rsidR="00E76B02" w:rsidRPr="00E76B02">
        <w:t>crops;</w:t>
      </w:r>
      <w:r w:rsidRPr="00E76B02">
        <w:t xml:space="preserve"> </w:t>
      </w:r>
      <w:r w:rsidR="007E1453" w:rsidRPr="00E76B02">
        <w:t>however</w:t>
      </w:r>
      <w:r w:rsidRPr="00E76B02">
        <w:t xml:space="preserve">, </w:t>
      </w:r>
      <w:r w:rsidR="00F60ECF">
        <w:t xml:space="preserve">the </w:t>
      </w:r>
      <w:r w:rsidR="00BB1DDD">
        <w:t>N</w:t>
      </w:r>
      <w:r w:rsidR="00BB1DDD" w:rsidRPr="00E76B02">
        <w:t xml:space="preserve">orthern </w:t>
      </w:r>
      <w:r w:rsidRPr="00E76B02">
        <w:t xml:space="preserve">localities quickly restored production </w:t>
      </w:r>
      <w:r w:rsidR="007E1453" w:rsidRPr="00E76B02">
        <w:t xml:space="preserve">when </w:t>
      </w:r>
      <w:r w:rsidRPr="00E76B02">
        <w:t>the weather conditions got stable. Specialized vegetable growing areas in Ha</w:t>
      </w:r>
      <w:r w:rsidR="00BB1DDD">
        <w:t xml:space="preserve"> N</w:t>
      </w:r>
      <w:r w:rsidR="00BB1DDD" w:rsidRPr="00E76B02">
        <w:t>oi</w:t>
      </w:r>
      <w:r w:rsidRPr="00E76B02">
        <w:t xml:space="preserve">, Hai Duong, and Vinh Phuc </w:t>
      </w:r>
      <w:r w:rsidR="00660E3A" w:rsidRPr="00E76B02">
        <w:t xml:space="preserve">saw an </w:t>
      </w:r>
      <w:r w:rsidRPr="00E76B02">
        <w:t>expan</w:t>
      </w:r>
      <w:r w:rsidR="00660E3A" w:rsidRPr="00E76B02">
        <w:t xml:space="preserve">sion in cultivated </w:t>
      </w:r>
      <w:r w:rsidRPr="00E76B02">
        <w:t xml:space="preserve">area to meet the demand at the end of the year and during the </w:t>
      </w:r>
      <w:r w:rsidR="007E1453" w:rsidRPr="00E76B02">
        <w:t xml:space="preserve">traditional </w:t>
      </w:r>
      <w:r w:rsidR="00BB1DDD" w:rsidRPr="00E76B02">
        <w:t>Lunar New Year</w:t>
      </w:r>
      <w:r w:rsidRPr="00E76B02">
        <w:t>.</w:t>
      </w:r>
    </w:p>
    <w:p w14:paraId="5A604E59" w14:textId="103DA099" w:rsidR="007438AE" w:rsidRPr="00E76B02" w:rsidRDefault="005A44E4" w:rsidP="007438AE">
      <w:pPr>
        <w:pStyle w:val="Normal2"/>
        <w:spacing w:before="60" w:beforeAutospacing="0" w:after="60" w:afterAutospacing="0" w:line="271" w:lineRule="auto"/>
        <w:jc w:val="center"/>
        <w:rPr>
          <w:rFonts w:ascii="Arial" w:hAnsi="Arial" w:cs="Arial"/>
          <w:b/>
        </w:rPr>
      </w:pPr>
      <w:r w:rsidRPr="00E76B02">
        <w:rPr>
          <w:rFonts w:ascii="Arial" w:hAnsi="Arial" w:cs="Arial"/>
          <w:b/>
        </w:rPr>
        <w:t>Figure 1</w:t>
      </w:r>
      <w:r w:rsidR="007438AE" w:rsidRPr="00E76B02">
        <w:rPr>
          <w:rFonts w:ascii="Arial" w:hAnsi="Arial" w:cs="Arial"/>
          <w:b/>
        </w:rPr>
        <w:t xml:space="preserve">. </w:t>
      </w:r>
      <w:r w:rsidR="008629B8">
        <w:rPr>
          <w:rFonts w:ascii="Arial" w:hAnsi="Arial" w:cs="Arial"/>
          <w:b/>
        </w:rPr>
        <w:t>C</w:t>
      </w:r>
      <w:r w:rsidR="008629B8" w:rsidRPr="008629B8">
        <w:rPr>
          <w:rFonts w:ascii="Arial" w:hAnsi="Arial" w:cs="Arial"/>
          <w:b/>
        </w:rPr>
        <w:t xml:space="preserve">ultivated </w:t>
      </w:r>
      <w:r w:rsidR="001855E1" w:rsidRPr="00E76B02">
        <w:rPr>
          <w:rFonts w:ascii="Arial" w:hAnsi="Arial" w:cs="Arial"/>
          <w:b/>
        </w:rPr>
        <w:t>area</w:t>
      </w:r>
      <w:r w:rsidR="008629B8">
        <w:rPr>
          <w:rFonts w:ascii="Arial" w:hAnsi="Arial" w:cs="Arial"/>
          <w:b/>
        </w:rPr>
        <w:t>s</w:t>
      </w:r>
      <w:r w:rsidR="001855E1" w:rsidRPr="00E76B02">
        <w:rPr>
          <w:rFonts w:ascii="Arial" w:hAnsi="Arial" w:cs="Arial"/>
          <w:b/>
        </w:rPr>
        <w:t xml:space="preserve"> of</w:t>
      </w:r>
      <w:r w:rsidR="003953A6" w:rsidRPr="00E76B02">
        <w:rPr>
          <w:rFonts w:ascii="Arial" w:hAnsi="Arial" w:cs="Arial"/>
          <w:b/>
        </w:rPr>
        <w:t xml:space="preserve"> annual crops</w:t>
      </w:r>
      <w:r w:rsidR="007438AE" w:rsidRPr="00E76B02">
        <w:rPr>
          <w:rFonts w:ascii="Arial" w:hAnsi="Arial" w:cs="Arial"/>
          <w:b/>
        </w:rPr>
        <w:t xml:space="preserve"> </w:t>
      </w:r>
    </w:p>
    <w:p w14:paraId="3BAA9D06" w14:textId="6423832F" w:rsidR="007438AE" w:rsidRPr="00E76B02" w:rsidRDefault="007438AE" w:rsidP="007438AE">
      <w:pPr>
        <w:pStyle w:val="Normal2"/>
        <w:spacing w:before="60" w:beforeAutospacing="0" w:after="60" w:afterAutospacing="0" w:line="271" w:lineRule="auto"/>
        <w:jc w:val="center"/>
        <w:rPr>
          <w:rFonts w:ascii="Arial" w:hAnsi="Arial" w:cs="Arial"/>
          <w:bCs/>
          <w:i/>
          <w:iCs/>
        </w:rPr>
      </w:pPr>
      <w:r w:rsidRPr="00E76B02">
        <w:rPr>
          <w:rFonts w:ascii="Arial" w:hAnsi="Arial" w:cs="Arial"/>
          <w:bCs/>
          <w:i/>
          <w:iCs/>
        </w:rPr>
        <w:t>(</w:t>
      </w:r>
      <w:r w:rsidR="003953A6" w:rsidRPr="00E76B02">
        <w:rPr>
          <w:rFonts w:ascii="Arial" w:hAnsi="Arial" w:cs="Arial"/>
          <w:bCs/>
          <w:i/>
          <w:iCs/>
        </w:rPr>
        <w:t xml:space="preserve">As of </w:t>
      </w:r>
      <w:r w:rsidR="00EC6378" w:rsidRPr="00E76B02">
        <w:rPr>
          <w:rFonts w:ascii="Arial" w:hAnsi="Arial" w:cs="Arial"/>
          <w:bCs/>
          <w:i/>
          <w:iCs/>
        </w:rPr>
        <w:t>November</w:t>
      </w:r>
      <w:r w:rsidR="008629B8">
        <w:rPr>
          <w:rFonts w:ascii="Arial" w:hAnsi="Arial" w:cs="Arial"/>
          <w:bCs/>
          <w:i/>
          <w:iCs/>
        </w:rPr>
        <w:t xml:space="preserve"> </w:t>
      </w:r>
      <w:r w:rsidR="008629B8" w:rsidRPr="00E76B02">
        <w:rPr>
          <w:rFonts w:ascii="Arial" w:hAnsi="Arial" w:cs="Arial"/>
          <w:bCs/>
          <w:i/>
          <w:iCs/>
        </w:rPr>
        <w:t>20</w:t>
      </w:r>
      <w:r w:rsidR="008629B8">
        <w:rPr>
          <w:rFonts w:ascii="Arial" w:hAnsi="Arial" w:cs="Arial"/>
          <w:bCs/>
          <w:i/>
          <w:iCs/>
        </w:rPr>
        <w:t xml:space="preserve">, </w:t>
      </w:r>
      <w:r w:rsidRPr="00E76B02">
        <w:rPr>
          <w:rFonts w:ascii="Arial" w:hAnsi="Arial" w:cs="Arial"/>
          <w:bCs/>
          <w:i/>
          <w:iCs/>
        </w:rPr>
        <w:t>2025)</w:t>
      </w:r>
    </w:p>
    <w:p w14:paraId="1B56D037" w14:textId="26E3FC01" w:rsidR="007438AE" w:rsidRPr="00E76B02" w:rsidRDefault="00753320" w:rsidP="007438AE">
      <w:pPr>
        <w:pStyle w:val="Normal2"/>
        <w:spacing w:before="60" w:beforeAutospacing="0" w:after="60" w:afterAutospacing="0" w:line="271" w:lineRule="auto"/>
        <w:jc w:val="center"/>
        <w:rPr>
          <w:rFonts w:ascii="Arial" w:hAnsi="Arial" w:cs="Arial"/>
          <w:bCs/>
          <w:i/>
          <w:iCs/>
        </w:rPr>
      </w:pPr>
      <w:r w:rsidRPr="00E76B02">
        <w:rPr>
          <w:noProof/>
        </w:rPr>
        <w:lastRenderedPageBreak/>
        <w:drawing>
          <wp:inline distT="0" distB="0" distL="0" distR="0" wp14:anchorId="09AB06DF" wp14:editId="4A3CDEAA">
            <wp:extent cx="5699760" cy="2246755"/>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99760" cy="2246755"/>
                    </a:xfrm>
                    <a:prstGeom prst="rect">
                      <a:avLst/>
                    </a:prstGeom>
                    <a:noFill/>
                    <a:ln>
                      <a:noFill/>
                    </a:ln>
                  </pic:spPr>
                </pic:pic>
              </a:graphicData>
            </a:graphic>
          </wp:inline>
        </w:drawing>
      </w:r>
    </w:p>
    <w:p w14:paraId="6C7E8A12" w14:textId="0A8407F2" w:rsidR="007438AE" w:rsidRPr="00E76B02" w:rsidRDefault="003953A6" w:rsidP="00393919">
      <w:pPr>
        <w:spacing w:before="120" w:after="120" w:line="264" w:lineRule="auto"/>
        <w:ind w:firstLine="720"/>
        <w:jc w:val="both"/>
        <w:rPr>
          <w:b/>
        </w:rPr>
      </w:pPr>
      <w:r w:rsidRPr="00E76B02">
        <w:rPr>
          <w:i/>
        </w:rPr>
        <w:t>Livestock</w:t>
      </w:r>
    </w:p>
    <w:p w14:paraId="33C2C28C" w14:textId="5E4F25DC" w:rsidR="00B84CE3" w:rsidRPr="00E76B02" w:rsidRDefault="002F6112" w:rsidP="00394A97">
      <w:pPr>
        <w:tabs>
          <w:tab w:val="left" w:pos="709"/>
        </w:tabs>
        <w:spacing w:before="60" w:after="120" w:line="264" w:lineRule="auto"/>
        <w:jc w:val="both"/>
      </w:pPr>
      <w:r w:rsidRPr="00E76B02">
        <w:tab/>
      </w:r>
      <w:r w:rsidR="001855E1" w:rsidRPr="00E76B02">
        <w:t xml:space="preserve">Buffalo farming showed a </w:t>
      </w:r>
      <w:r w:rsidR="00E76B02" w:rsidRPr="00E76B02">
        <w:t>downtrend</w:t>
      </w:r>
      <w:r w:rsidR="001855E1" w:rsidRPr="00E76B02">
        <w:t xml:space="preserve">, mainly due to the narrowing of natural grazing areas, high input costs, long maturation periods, and low </w:t>
      </w:r>
      <w:r w:rsidR="004B5D0B" w:rsidRPr="00E76B02">
        <w:t>profits</w:t>
      </w:r>
      <w:r w:rsidR="001855E1" w:rsidRPr="00E76B02">
        <w:t>. Some localities saw a sharp decrease in buffal</w:t>
      </w:r>
      <w:r w:rsidR="00B84CE3" w:rsidRPr="00E76B02">
        <w:t>o numbers</w:t>
      </w:r>
      <w:r w:rsidR="00394A97">
        <w:t xml:space="preserve"> including</w:t>
      </w:r>
      <w:r w:rsidR="00B84CE3" w:rsidRPr="00E76B02">
        <w:t xml:space="preserve"> Thanh Hoa </w:t>
      </w:r>
      <w:r w:rsidR="00394A97">
        <w:t xml:space="preserve">(down </w:t>
      </w:r>
      <w:r w:rsidR="001855E1" w:rsidRPr="00E76B02">
        <w:t>1</w:t>
      </w:r>
      <w:r w:rsidR="007E1453" w:rsidRPr="00E76B02">
        <w:t>3</w:t>
      </w:r>
      <w:r w:rsidR="001855E1" w:rsidRPr="00E76B02">
        <w:t>.</w:t>
      </w:r>
      <w:r w:rsidR="007E1453" w:rsidRPr="00E76B02">
        <w:t>2</w:t>
      </w:r>
      <w:r w:rsidR="001855E1" w:rsidRPr="00E76B02">
        <w:t>%</w:t>
      </w:r>
      <w:r w:rsidR="00394A97">
        <w:t>)</w:t>
      </w:r>
      <w:r w:rsidR="001855E1" w:rsidRPr="00E76B02">
        <w:t xml:space="preserve">; </w:t>
      </w:r>
      <w:r w:rsidR="007E1453" w:rsidRPr="00E76B02">
        <w:t xml:space="preserve">Lai Chau </w:t>
      </w:r>
      <w:r w:rsidR="00394A97">
        <w:t xml:space="preserve">(down </w:t>
      </w:r>
      <w:r w:rsidR="001855E1" w:rsidRPr="00E76B02">
        <w:t>3</w:t>
      </w:r>
      <w:r w:rsidR="00B84CE3" w:rsidRPr="00E76B02">
        <w:t>.</w:t>
      </w:r>
      <w:r w:rsidR="007E1453" w:rsidRPr="00E76B02">
        <w:t>1</w:t>
      </w:r>
      <w:r w:rsidR="001855E1" w:rsidRPr="00E76B02">
        <w:t>%</w:t>
      </w:r>
      <w:r w:rsidR="00394A97">
        <w:t>)</w:t>
      </w:r>
      <w:r w:rsidR="001855E1" w:rsidRPr="00E76B02">
        <w:t xml:space="preserve">; </w:t>
      </w:r>
      <w:r w:rsidR="007E1453" w:rsidRPr="00E76B02">
        <w:t xml:space="preserve">Tuyen Quang </w:t>
      </w:r>
      <w:r w:rsidR="00394A97">
        <w:t xml:space="preserve">(down </w:t>
      </w:r>
      <w:r w:rsidR="00B84CE3" w:rsidRPr="00E76B02">
        <w:t>2.6%</w:t>
      </w:r>
      <w:r w:rsidR="00394A97">
        <w:t>)</w:t>
      </w:r>
      <w:r w:rsidR="00B84CE3" w:rsidRPr="00E76B02">
        <w:t xml:space="preserve">; Phu Tho </w:t>
      </w:r>
      <w:r w:rsidR="00394A97">
        <w:t xml:space="preserve">(down </w:t>
      </w:r>
      <w:r w:rsidR="00B84CE3" w:rsidRPr="00E76B02">
        <w:t>2.5%</w:t>
      </w:r>
      <w:r w:rsidR="00394A97">
        <w:t>)</w:t>
      </w:r>
      <w:r w:rsidR="001855E1" w:rsidRPr="00E76B02">
        <w:t>. The</w:t>
      </w:r>
      <w:r w:rsidR="005062EC" w:rsidRPr="00E76B02">
        <w:t xml:space="preserve"> </w:t>
      </w:r>
      <w:r w:rsidR="00821866" w:rsidRPr="00E76B02">
        <w:t>cattle</w:t>
      </w:r>
      <w:r w:rsidR="005062EC" w:rsidRPr="00E76B02">
        <w:t xml:space="preserve"> numbers showed </w:t>
      </w:r>
      <w:r w:rsidR="00B84CE3" w:rsidRPr="00E76B02">
        <w:t xml:space="preserve">a </w:t>
      </w:r>
      <w:r w:rsidR="005062EC" w:rsidRPr="00E76B02">
        <w:t>slight decrease,</w:t>
      </w:r>
      <w:r w:rsidR="001855E1" w:rsidRPr="00E76B02">
        <w:t xml:space="preserve"> mainly due to lack of green roughage sources, high input costs and ineffective small-scale farming. </w:t>
      </w:r>
      <w:r w:rsidR="00E76B02" w:rsidRPr="00E76B02">
        <w:t>However,</w:t>
      </w:r>
      <w:r w:rsidR="00B84CE3" w:rsidRPr="00E76B02">
        <w:t xml:space="preserve"> some l</w:t>
      </w:r>
      <w:r w:rsidR="001855E1" w:rsidRPr="00E76B02">
        <w:t xml:space="preserve">ocalities </w:t>
      </w:r>
      <w:r w:rsidR="004B5D0B" w:rsidRPr="00E76B02">
        <w:t>recorded</w:t>
      </w:r>
      <w:r w:rsidR="005062EC" w:rsidRPr="00E76B02">
        <w:t xml:space="preserve"> </w:t>
      </w:r>
      <w:r w:rsidR="001855E1" w:rsidRPr="00E76B02">
        <w:t xml:space="preserve">a </w:t>
      </w:r>
      <w:r w:rsidR="00B84CE3" w:rsidRPr="00E76B02">
        <w:t xml:space="preserve">growth </w:t>
      </w:r>
      <w:r w:rsidR="001855E1" w:rsidRPr="00E76B02">
        <w:t>in cattle</w:t>
      </w:r>
      <w:r w:rsidR="005062EC" w:rsidRPr="00E76B02">
        <w:t xml:space="preserve"> numbers</w:t>
      </w:r>
      <w:r w:rsidR="00B84CE3" w:rsidRPr="00E76B02">
        <w:t xml:space="preserve"> thanks to stable consumption markets and developed high-tech farm systems, of which Nghe An </w:t>
      </w:r>
      <w:r w:rsidR="00394A97">
        <w:t xml:space="preserve">and </w:t>
      </w:r>
      <w:r w:rsidR="00394A97" w:rsidRPr="00E76B02">
        <w:t xml:space="preserve">Lam Dong </w:t>
      </w:r>
      <w:r w:rsidR="00394A97">
        <w:t xml:space="preserve">witnessed an increase of </w:t>
      </w:r>
      <w:r w:rsidR="00B84CE3" w:rsidRPr="00E76B02">
        <w:t>2.4%</w:t>
      </w:r>
      <w:r w:rsidR="00394A97">
        <w:t>,</w:t>
      </w:r>
      <w:r w:rsidR="00B84CE3" w:rsidRPr="00E76B02">
        <w:t xml:space="preserve"> and 2.1%, respectively.</w:t>
      </w:r>
    </w:p>
    <w:p w14:paraId="74B44307" w14:textId="4C673809" w:rsidR="009F755A" w:rsidRPr="00E76B02" w:rsidRDefault="009F755A" w:rsidP="00394A97">
      <w:pPr>
        <w:tabs>
          <w:tab w:val="left" w:pos="709"/>
        </w:tabs>
        <w:spacing w:before="60" w:after="120" w:line="264" w:lineRule="auto"/>
        <w:jc w:val="both"/>
      </w:pPr>
      <w:r w:rsidRPr="00E76B02">
        <w:tab/>
      </w:r>
      <w:r w:rsidR="00947651" w:rsidRPr="00E76B02">
        <w:t xml:space="preserve">Pig farming witnessed a recovery after impact of African swine </w:t>
      </w:r>
      <w:r w:rsidR="00E76B02" w:rsidRPr="00E76B02">
        <w:t>fever;</w:t>
      </w:r>
      <w:r w:rsidR="00947651" w:rsidRPr="00E76B02">
        <w:t xml:space="preserve"> however, </w:t>
      </w:r>
      <w:r w:rsidR="00DA3FB3">
        <w:t xml:space="preserve">in </w:t>
      </w:r>
      <w:r w:rsidR="00947651" w:rsidRPr="00E76B02">
        <w:t>the Central provinces</w:t>
      </w:r>
      <w:r w:rsidR="00DA3FB3">
        <w:t>,</w:t>
      </w:r>
      <w:r w:rsidR="00947651" w:rsidRPr="00E76B02">
        <w:t xml:space="preserve"> </w:t>
      </w:r>
      <w:r w:rsidR="00DA3FB3">
        <w:t>due to the severe impact of floods,</w:t>
      </w:r>
      <w:r w:rsidR="00DA3FB3" w:rsidRPr="00E76B02" w:rsidDel="00DA3FB3">
        <w:t xml:space="preserve"> </w:t>
      </w:r>
      <w:r w:rsidR="00DA3FB3">
        <w:t xml:space="preserve">the </w:t>
      </w:r>
      <w:r w:rsidR="00DA3FB3" w:rsidRPr="00E76B02">
        <w:t>repopulation process</w:t>
      </w:r>
      <w:r w:rsidR="00DA3FB3">
        <w:t xml:space="preserve"> was</w:t>
      </w:r>
      <w:r w:rsidR="00947651" w:rsidRPr="00E76B02">
        <w:t xml:space="preserve"> </w:t>
      </w:r>
      <w:r w:rsidR="00DA3FB3" w:rsidRPr="00DA3FB3">
        <w:t>interrupted</w:t>
      </w:r>
      <w:r w:rsidR="00947651" w:rsidRPr="00E76B02">
        <w:t xml:space="preserve">, </w:t>
      </w:r>
      <w:r w:rsidR="00DA3FB3">
        <w:t xml:space="preserve">the </w:t>
      </w:r>
      <w:r w:rsidR="00947651" w:rsidRPr="00E76B02">
        <w:t>scale of farming</w:t>
      </w:r>
      <w:r w:rsidR="00DA3FB3">
        <w:t xml:space="preserve"> was shrunk,</w:t>
      </w:r>
      <w:r w:rsidR="00947651" w:rsidRPr="00E76B02">
        <w:t xml:space="preserve"> and the recovery of production faced uncertainties. Some localities </w:t>
      </w:r>
      <w:r w:rsidR="00EC6378" w:rsidRPr="00E76B02">
        <w:t>experienced</w:t>
      </w:r>
      <w:r w:rsidR="005C51BF" w:rsidRPr="00E76B02">
        <w:t xml:space="preserve"> a year-on-year decrease of the </w:t>
      </w:r>
      <w:r w:rsidR="00947651" w:rsidRPr="00E76B02">
        <w:t>pig</w:t>
      </w:r>
      <w:r w:rsidR="005C51BF" w:rsidRPr="00E76B02">
        <w:t xml:space="preserve"> numbers, </w:t>
      </w:r>
      <w:r w:rsidR="00DA3FB3">
        <w:t>including</w:t>
      </w:r>
      <w:r w:rsidR="005C51BF" w:rsidRPr="00E76B02">
        <w:t xml:space="preserve"> </w:t>
      </w:r>
      <w:r w:rsidR="00947651" w:rsidRPr="00E76B02">
        <w:t xml:space="preserve">Da Nang </w:t>
      </w:r>
      <w:r w:rsidR="00DA3FB3">
        <w:t xml:space="preserve">(down </w:t>
      </w:r>
      <w:r w:rsidR="00947651" w:rsidRPr="00E76B02">
        <w:t>2.2%</w:t>
      </w:r>
      <w:r w:rsidR="00DA3FB3">
        <w:t>)</w:t>
      </w:r>
      <w:r w:rsidR="00947651" w:rsidRPr="00E76B02">
        <w:t xml:space="preserve">; Ha Tinh </w:t>
      </w:r>
      <w:r w:rsidR="00DA3FB3">
        <w:t xml:space="preserve">(down </w:t>
      </w:r>
      <w:r w:rsidR="00947651" w:rsidRPr="00E76B02">
        <w:t>2.8%</w:t>
      </w:r>
      <w:r w:rsidR="00DA3FB3">
        <w:t>)</w:t>
      </w:r>
      <w:r w:rsidR="00947651" w:rsidRPr="00E76B02">
        <w:t xml:space="preserve">; Thanh Hoa </w:t>
      </w:r>
      <w:r w:rsidR="00DA3FB3">
        <w:t xml:space="preserve">(down </w:t>
      </w:r>
      <w:r w:rsidR="00947651" w:rsidRPr="00E76B02">
        <w:t>3.2%</w:t>
      </w:r>
      <w:r w:rsidR="00DA3FB3">
        <w:t>)</w:t>
      </w:r>
      <w:r w:rsidR="00947651" w:rsidRPr="00E76B02">
        <w:t xml:space="preserve">; Quang Ngai </w:t>
      </w:r>
      <w:r w:rsidR="00DA3FB3">
        <w:t xml:space="preserve">(down </w:t>
      </w:r>
      <w:r w:rsidR="00947651" w:rsidRPr="00E76B02">
        <w:t>4.8%</w:t>
      </w:r>
      <w:r w:rsidR="00DA3FB3">
        <w:t>)</w:t>
      </w:r>
      <w:r w:rsidR="00947651" w:rsidRPr="00E76B02">
        <w:t xml:space="preserve">; Quang Tri </w:t>
      </w:r>
      <w:r w:rsidR="00DA3FB3">
        <w:t xml:space="preserve">(down </w:t>
      </w:r>
      <w:r w:rsidR="005C51BF" w:rsidRPr="00E76B02">
        <w:t>5.5%</w:t>
      </w:r>
      <w:r w:rsidR="00DA3FB3">
        <w:t>),</w:t>
      </w:r>
      <w:r w:rsidR="005C51BF" w:rsidRPr="00E76B02">
        <w:t xml:space="preserve"> and</w:t>
      </w:r>
      <w:r w:rsidR="00947651" w:rsidRPr="00E76B02">
        <w:t xml:space="preserve"> Khanh Hoa </w:t>
      </w:r>
      <w:r w:rsidR="00DA3FB3">
        <w:t xml:space="preserve">(down </w:t>
      </w:r>
      <w:r w:rsidR="00947651" w:rsidRPr="00E76B02">
        <w:t>2</w:t>
      </w:r>
      <w:r w:rsidR="005C51BF" w:rsidRPr="00E76B02">
        <w:t>1.0%</w:t>
      </w:r>
      <w:r w:rsidR="00DA3FB3">
        <w:t>)</w:t>
      </w:r>
      <w:r w:rsidR="005C51BF" w:rsidRPr="00E76B02">
        <w:t>.</w:t>
      </w:r>
      <w:r w:rsidR="00947651" w:rsidRPr="00E76B02">
        <w:t xml:space="preserve"> Poultry farming in the South Central Coast and Central Highlands </w:t>
      </w:r>
      <w:r w:rsidR="005C51BF" w:rsidRPr="00E76B02">
        <w:t xml:space="preserve">localities were affected by floods and rains </w:t>
      </w:r>
      <w:r w:rsidR="00947651" w:rsidRPr="00E76B02">
        <w:t>caus</w:t>
      </w:r>
      <w:r w:rsidR="005C51BF" w:rsidRPr="00E76B02">
        <w:t xml:space="preserve">ed </w:t>
      </w:r>
      <w:r w:rsidR="00E76B02" w:rsidRPr="00E76B02">
        <w:t>a decline</w:t>
      </w:r>
      <w:r w:rsidR="00947651" w:rsidRPr="00E76B02">
        <w:t xml:space="preserve"> in</w:t>
      </w:r>
      <w:r w:rsidR="005C51BF" w:rsidRPr="00E76B02">
        <w:t xml:space="preserve"> local production,</w:t>
      </w:r>
      <w:r w:rsidR="00947651" w:rsidRPr="00E76B02">
        <w:t xml:space="preserve"> </w:t>
      </w:r>
      <w:r w:rsidR="005C51BF" w:rsidRPr="00E76B02">
        <w:t xml:space="preserve">however, </w:t>
      </w:r>
      <w:r w:rsidR="00947651" w:rsidRPr="00E76B02">
        <w:t xml:space="preserve">the </w:t>
      </w:r>
      <w:r w:rsidR="005C51BF" w:rsidRPr="00E76B02">
        <w:t xml:space="preserve">national </w:t>
      </w:r>
      <w:r w:rsidR="00947651" w:rsidRPr="00E76B02">
        <w:t xml:space="preserve">number of poultry maintained an upward trend thanks to the stability and expansion of farming scale </w:t>
      </w:r>
      <w:r w:rsidR="005C51BF" w:rsidRPr="00E76B02">
        <w:t>of other localities</w:t>
      </w:r>
      <w:r w:rsidR="00947651" w:rsidRPr="00E76B02">
        <w:t xml:space="preserve">. Some localities </w:t>
      </w:r>
      <w:r w:rsidR="005C51BF" w:rsidRPr="00E76B02">
        <w:t>witnessed a year-on-year sharp</w:t>
      </w:r>
      <w:r w:rsidR="00947651" w:rsidRPr="00E76B02">
        <w:t xml:space="preserve"> increase in poultry </w:t>
      </w:r>
      <w:r w:rsidR="005C51BF" w:rsidRPr="00E76B02">
        <w:t xml:space="preserve">numbers, </w:t>
      </w:r>
      <w:r w:rsidR="00DB4D00">
        <w:t>including</w:t>
      </w:r>
      <w:r w:rsidR="00947651" w:rsidRPr="00E76B02">
        <w:t xml:space="preserve"> Nghe An </w:t>
      </w:r>
      <w:r w:rsidR="00DB4D00">
        <w:t xml:space="preserve">(up </w:t>
      </w:r>
      <w:r w:rsidR="00947651" w:rsidRPr="00E76B02">
        <w:t>7.0%</w:t>
      </w:r>
      <w:r w:rsidR="00DB4D00">
        <w:t>)</w:t>
      </w:r>
      <w:r w:rsidR="00947651" w:rsidRPr="00E76B02">
        <w:t xml:space="preserve">; Thanh Hoa </w:t>
      </w:r>
      <w:r w:rsidR="00DB4D00">
        <w:t xml:space="preserve">(up </w:t>
      </w:r>
      <w:r w:rsidR="00947651" w:rsidRPr="00E76B02">
        <w:t>6.3%</w:t>
      </w:r>
      <w:r w:rsidR="00DB4D00">
        <w:t>)</w:t>
      </w:r>
      <w:r w:rsidR="00947651" w:rsidRPr="00E76B02">
        <w:t xml:space="preserve">; Phu Tho </w:t>
      </w:r>
      <w:r w:rsidR="00DB4D00">
        <w:t>up (</w:t>
      </w:r>
      <w:r w:rsidR="00947651" w:rsidRPr="00E76B02">
        <w:t>3.8%</w:t>
      </w:r>
      <w:r w:rsidR="00DB4D00">
        <w:t>)</w:t>
      </w:r>
      <w:r w:rsidR="00947651" w:rsidRPr="00E76B02">
        <w:t xml:space="preserve">; Dong Nai </w:t>
      </w:r>
      <w:r w:rsidR="00DB4D00">
        <w:t xml:space="preserve">(up </w:t>
      </w:r>
      <w:r w:rsidR="00947651" w:rsidRPr="00E76B02">
        <w:t>2.9%</w:t>
      </w:r>
      <w:r w:rsidR="00DB4D00">
        <w:t>),</w:t>
      </w:r>
      <w:r w:rsidR="00947651" w:rsidRPr="00E76B02">
        <w:t xml:space="preserve"> and Ha</w:t>
      </w:r>
      <w:r w:rsidR="00DB4D00">
        <w:t xml:space="preserve"> N</w:t>
      </w:r>
      <w:r w:rsidR="00DB4D00" w:rsidRPr="00E76B02">
        <w:t xml:space="preserve">oi </w:t>
      </w:r>
      <w:r w:rsidR="00DB4D00">
        <w:t xml:space="preserve">(up </w:t>
      </w:r>
      <w:r w:rsidR="00947651" w:rsidRPr="00E76B02">
        <w:t>1.2%</w:t>
      </w:r>
      <w:r w:rsidR="00DB4D00">
        <w:t>)</w:t>
      </w:r>
      <w:r w:rsidR="00947651" w:rsidRPr="00E76B02">
        <w:t>.</w:t>
      </w:r>
      <w:r w:rsidR="001855E1" w:rsidRPr="00E76B02">
        <w:tab/>
      </w:r>
    </w:p>
    <w:p w14:paraId="62147620" w14:textId="3CEF6161" w:rsidR="00215D8A" w:rsidRPr="00E76B02" w:rsidRDefault="00215D8A" w:rsidP="00215D8A">
      <w:pPr>
        <w:tabs>
          <w:tab w:val="left" w:pos="900"/>
        </w:tabs>
        <w:spacing w:after="40"/>
        <w:jc w:val="center"/>
        <w:rPr>
          <w:rFonts w:ascii="Arial" w:hAnsi="Arial" w:cs="Arial"/>
          <w:b/>
          <w:sz w:val="24"/>
        </w:rPr>
      </w:pPr>
      <w:r w:rsidRPr="00E76B02">
        <w:rPr>
          <w:rFonts w:ascii="Arial" w:hAnsi="Arial" w:cs="Arial"/>
          <w:b/>
          <w:sz w:val="24"/>
        </w:rPr>
        <w:t xml:space="preserve">Figure 2. </w:t>
      </w:r>
      <w:r w:rsidR="00C535AB">
        <w:rPr>
          <w:rFonts w:ascii="Arial" w:hAnsi="Arial" w:cs="Arial"/>
          <w:b/>
          <w:sz w:val="24"/>
        </w:rPr>
        <w:t xml:space="preserve">Year-on-year </w:t>
      </w:r>
      <w:r w:rsidRPr="00E76B02">
        <w:rPr>
          <w:rFonts w:ascii="Arial" w:hAnsi="Arial" w:cs="Arial"/>
          <w:b/>
          <w:sz w:val="24"/>
        </w:rPr>
        <w:t xml:space="preserve">growth rate of </w:t>
      </w:r>
      <w:r w:rsidR="00C535AB">
        <w:rPr>
          <w:rFonts w:ascii="Arial" w:hAnsi="Arial" w:cs="Arial"/>
          <w:b/>
          <w:sz w:val="24"/>
        </w:rPr>
        <w:t>l</w:t>
      </w:r>
      <w:r w:rsidR="00C535AB" w:rsidRPr="00E76B02">
        <w:rPr>
          <w:rFonts w:ascii="Arial" w:hAnsi="Arial" w:cs="Arial"/>
          <w:b/>
          <w:sz w:val="24"/>
        </w:rPr>
        <w:t xml:space="preserve">ivestock </w:t>
      </w:r>
      <w:r w:rsidRPr="00E76B02">
        <w:rPr>
          <w:rFonts w:ascii="Arial" w:hAnsi="Arial" w:cs="Arial"/>
          <w:b/>
          <w:sz w:val="24"/>
        </w:rPr>
        <w:t xml:space="preserve">and </w:t>
      </w:r>
      <w:r w:rsidR="00C535AB">
        <w:rPr>
          <w:rFonts w:ascii="Arial" w:hAnsi="Arial" w:cs="Arial"/>
          <w:b/>
          <w:sz w:val="24"/>
        </w:rPr>
        <w:t>p</w:t>
      </w:r>
      <w:r w:rsidR="00C535AB" w:rsidRPr="00E76B02">
        <w:rPr>
          <w:rFonts w:ascii="Arial" w:hAnsi="Arial" w:cs="Arial"/>
          <w:b/>
          <w:sz w:val="24"/>
        </w:rPr>
        <w:t xml:space="preserve">oultry </w:t>
      </w:r>
      <w:r w:rsidRPr="00E76B02">
        <w:rPr>
          <w:rFonts w:ascii="Arial" w:hAnsi="Arial" w:cs="Arial"/>
          <w:b/>
          <w:sz w:val="24"/>
        </w:rPr>
        <w:t>number</w:t>
      </w:r>
      <w:r w:rsidR="00C535AB">
        <w:rPr>
          <w:rFonts w:ascii="Arial" w:hAnsi="Arial" w:cs="Arial"/>
          <w:b/>
          <w:sz w:val="24"/>
        </w:rPr>
        <w:br/>
      </w:r>
      <w:r w:rsidRPr="00E76B02">
        <w:rPr>
          <w:rFonts w:ascii="Arial" w:hAnsi="Arial" w:cs="Arial"/>
          <w:b/>
          <w:sz w:val="24"/>
        </w:rPr>
        <w:t xml:space="preserve">at the end of </w:t>
      </w:r>
      <w:r w:rsidR="00E76B02" w:rsidRPr="00E76B02">
        <w:rPr>
          <w:rFonts w:ascii="Arial" w:hAnsi="Arial" w:cs="Arial"/>
          <w:b/>
          <w:sz w:val="24"/>
        </w:rPr>
        <w:t>November</w:t>
      </w:r>
      <w:r w:rsidRPr="00E76B02">
        <w:rPr>
          <w:rFonts w:ascii="Arial" w:hAnsi="Arial" w:cs="Arial"/>
          <w:b/>
          <w:sz w:val="24"/>
        </w:rPr>
        <w:t xml:space="preserve"> 2025</w:t>
      </w:r>
    </w:p>
    <w:p w14:paraId="74831212" w14:textId="69FDE260" w:rsidR="007438AE" w:rsidRPr="00E76B02" w:rsidRDefault="00753320" w:rsidP="007438AE">
      <w:pPr>
        <w:spacing w:before="60" w:after="60" w:line="271" w:lineRule="auto"/>
        <w:jc w:val="center"/>
        <w:rPr>
          <w:rFonts w:ascii="Arial" w:hAnsi="Arial" w:cs="Arial"/>
          <w:b/>
          <w:sz w:val="24"/>
        </w:rPr>
      </w:pPr>
      <w:r w:rsidRPr="00E76B02">
        <w:rPr>
          <w:noProof/>
        </w:rPr>
        <w:lastRenderedPageBreak/>
        <w:drawing>
          <wp:inline distT="0" distB="0" distL="0" distR="0" wp14:anchorId="27F6B556" wp14:editId="24103A46">
            <wp:extent cx="5699760" cy="1516796"/>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99760" cy="1516796"/>
                    </a:xfrm>
                    <a:prstGeom prst="rect">
                      <a:avLst/>
                    </a:prstGeom>
                    <a:noFill/>
                    <a:ln>
                      <a:noFill/>
                    </a:ln>
                  </pic:spPr>
                </pic:pic>
              </a:graphicData>
            </a:graphic>
          </wp:inline>
        </w:drawing>
      </w:r>
    </w:p>
    <w:p w14:paraId="547862A7" w14:textId="471DB1E0" w:rsidR="00215D8A" w:rsidRPr="00E76B02" w:rsidRDefault="00215D8A" w:rsidP="00393919">
      <w:pPr>
        <w:spacing w:after="120" w:line="264" w:lineRule="auto"/>
        <w:ind w:firstLine="720"/>
        <w:jc w:val="both"/>
      </w:pPr>
      <w:r w:rsidRPr="00E76B02">
        <w:t xml:space="preserve">As of </w:t>
      </w:r>
      <w:r w:rsidR="00674BAB" w:rsidRPr="00E76B02">
        <w:t>November</w:t>
      </w:r>
      <w:r w:rsidRPr="00E76B02">
        <w:t xml:space="preserve"> </w:t>
      </w:r>
      <w:r w:rsidR="00674BAB" w:rsidRPr="00E76B02">
        <w:t>30</w:t>
      </w:r>
      <w:r w:rsidRPr="00E76B02">
        <w:t>, 2025, the country was n</w:t>
      </w:r>
      <w:r w:rsidR="00674BAB" w:rsidRPr="00E76B02">
        <w:t xml:space="preserve">o longer </w:t>
      </w:r>
      <w:r w:rsidR="00516337">
        <w:t xml:space="preserve">the </w:t>
      </w:r>
      <w:r w:rsidR="00674BAB" w:rsidRPr="00E76B02">
        <w:t>recorded blue ear</w:t>
      </w:r>
      <w:r w:rsidR="00516337">
        <w:t>.</w:t>
      </w:r>
      <w:r w:rsidRPr="00E76B02">
        <w:t xml:space="preserve"> </w:t>
      </w:r>
      <w:r w:rsidR="00516337" w:rsidRPr="00E76B02">
        <w:t>However</w:t>
      </w:r>
      <w:r w:rsidRPr="00E76B02">
        <w:t xml:space="preserve">, </w:t>
      </w:r>
      <w:r w:rsidR="00674BAB" w:rsidRPr="00E76B02">
        <w:t xml:space="preserve">the avian influenza was still </w:t>
      </w:r>
      <w:r w:rsidRPr="00E76B02">
        <w:t xml:space="preserve">reported in localities such as </w:t>
      </w:r>
      <w:r w:rsidR="00674BAB" w:rsidRPr="00E76B02">
        <w:t>Ha Noi,</w:t>
      </w:r>
      <w:r w:rsidRPr="00E76B02">
        <w:t xml:space="preserve"> N</w:t>
      </w:r>
      <w:r w:rsidR="00AD256D" w:rsidRPr="00E76B02">
        <w:t xml:space="preserve">inh Binh, </w:t>
      </w:r>
      <w:r w:rsidRPr="00E76B02">
        <w:t>Quang Ngai</w:t>
      </w:r>
      <w:r w:rsidR="00516337">
        <w:t>,</w:t>
      </w:r>
      <w:r w:rsidRPr="00E76B02">
        <w:t xml:space="preserve"> </w:t>
      </w:r>
      <w:r w:rsidR="00674BAB" w:rsidRPr="00E76B02">
        <w:t xml:space="preserve">Dong Thap, Ca Mau; </w:t>
      </w:r>
      <w:r w:rsidR="00516337">
        <w:t>the f</w:t>
      </w:r>
      <w:r w:rsidR="00516337" w:rsidRPr="00E76B02">
        <w:t>oot</w:t>
      </w:r>
      <w:r w:rsidR="00674BAB" w:rsidRPr="00E76B02">
        <w:t xml:space="preserve">-and-mouth disease was reported in Tuyen Quang and Son La; </w:t>
      </w:r>
      <w:r w:rsidR="00516337">
        <w:t xml:space="preserve">the </w:t>
      </w:r>
      <w:r w:rsidR="00674BAB" w:rsidRPr="00E76B02">
        <w:t xml:space="preserve">lumpy skin disease </w:t>
      </w:r>
      <w:r w:rsidR="00516337">
        <w:t>was</w:t>
      </w:r>
      <w:r w:rsidR="00516337" w:rsidRPr="00E76B02">
        <w:t xml:space="preserve"> </w:t>
      </w:r>
      <w:r w:rsidR="00674BAB" w:rsidRPr="00E76B02">
        <w:t xml:space="preserve">occurred </w:t>
      </w:r>
      <w:r w:rsidR="00516337">
        <w:t xml:space="preserve">in </w:t>
      </w:r>
      <w:r w:rsidR="00674BAB" w:rsidRPr="00E76B02">
        <w:t xml:space="preserve">Nghe An; and </w:t>
      </w:r>
      <w:r w:rsidR="00516337">
        <w:t xml:space="preserve">the </w:t>
      </w:r>
      <w:r w:rsidR="00674BAB" w:rsidRPr="00E76B02">
        <w:t xml:space="preserve">African swine fever </w:t>
      </w:r>
      <w:r w:rsidR="00516337">
        <w:t>remained</w:t>
      </w:r>
      <w:r w:rsidR="00516337" w:rsidRPr="00E76B02">
        <w:t xml:space="preserve"> </w:t>
      </w:r>
      <w:r w:rsidR="00674BAB" w:rsidRPr="00E76B02">
        <w:t xml:space="preserve">in 31 localities </w:t>
      </w:r>
      <w:r w:rsidR="00516337">
        <w:t xml:space="preserve">where </w:t>
      </w:r>
      <w:r w:rsidR="00516337" w:rsidRPr="00516337">
        <w:t xml:space="preserve">the outbreak has not yet passed </w:t>
      </w:r>
      <w:r w:rsidRPr="00E76B02">
        <w:t>21 days</w:t>
      </w:r>
      <w:r w:rsidR="00AD256D" w:rsidRPr="00E76B02">
        <w:t>.</w:t>
      </w:r>
    </w:p>
    <w:p w14:paraId="714E18D6" w14:textId="4485EC94" w:rsidR="007438AE" w:rsidRPr="00E76B02" w:rsidRDefault="00DF42BD" w:rsidP="00393919">
      <w:pPr>
        <w:spacing w:after="120" w:line="264" w:lineRule="auto"/>
        <w:ind w:firstLine="720"/>
        <w:jc w:val="both"/>
        <w:rPr>
          <w:b/>
          <w:i/>
          <w:iCs/>
        </w:rPr>
      </w:pPr>
      <w:r w:rsidRPr="00E76B02">
        <w:rPr>
          <w:b/>
          <w:i/>
          <w:iCs/>
        </w:rPr>
        <w:t>b) Forestry</w:t>
      </w:r>
    </w:p>
    <w:p w14:paraId="08A93D80" w14:textId="55A9FCF4" w:rsidR="00C93D47" w:rsidRPr="00E76B02" w:rsidRDefault="00DF42BD" w:rsidP="00393919">
      <w:pPr>
        <w:spacing w:after="120" w:line="264" w:lineRule="auto"/>
        <w:ind w:firstLine="720"/>
        <w:jc w:val="both"/>
      </w:pPr>
      <w:r w:rsidRPr="00E76B02">
        <w:t xml:space="preserve">The area of newly concentrated planted forest in </w:t>
      </w:r>
      <w:r w:rsidR="00674BAB" w:rsidRPr="00E76B02">
        <w:t>November</w:t>
      </w:r>
      <w:r w:rsidRPr="00E76B02">
        <w:t xml:space="preserve"> was estimated at </w:t>
      </w:r>
      <w:r w:rsidR="00674BAB" w:rsidRPr="00E76B02">
        <w:t>29.9</w:t>
      </w:r>
      <w:r w:rsidRPr="00E76B02">
        <w:t xml:space="preserve"> thousand hectares nationwide, a year-on-year </w:t>
      </w:r>
      <w:r w:rsidR="00AD256D" w:rsidRPr="00E76B02">
        <w:t xml:space="preserve">decline </w:t>
      </w:r>
      <w:r w:rsidR="001F497D" w:rsidRPr="00E76B02">
        <w:t xml:space="preserve">of </w:t>
      </w:r>
      <w:r w:rsidR="00674BAB" w:rsidRPr="00E76B02">
        <w:t>4.8</w:t>
      </w:r>
      <w:r w:rsidR="001F497D" w:rsidRPr="00E76B02">
        <w:t xml:space="preserve">%; the number of </w:t>
      </w:r>
      <w:r w:rsidRPr="00E76B02">
        <w:t xml:space="preserve">scattered forest trees reached </w:t>
      </w:r>
      <w:r w:rsidR="00C93D47" w:rsidRPr="00E76B02">
        <w:t>8</w:t>
      </w:r>
      <w:r w:rsidRPr="00E76B02">
        <w:t>.</w:t>
      </w:r>
      <w:r w:rsidR="00C93D47" w:rsidRPr="00E76B02">
        <w:t>3</w:t>
      </w:r>
      <w:r w:rsidR="006A1212" w:rsidRPr="00E76B02">
        <w:t xml:space="preserve"> million, </w:t>
      </w:r>
      <w:r w:rsidR="006C76F1">
        <w:t xml:space="preserve">a </w:t>
      </w:r>
      <w:r w:rsidR="006C76F1" w:rsidRPr="00E76B02">
        <w:t>f</w:t>
      </w:r>
      <w:r w:rsidR="006C76F1">
        <w:t>a</w:t>
      </w:r>
      <w:r w:rsidR="006C76F1" w:rsidRPr="00E76B02">
        <w:t xml:space="preserve">ll </w:t>
      </w:r>
      <w:r w:rsidR="006C76F1">
        <w:t>of</w:t>
      </w:r>
      <w:r w:rsidR="006C76F1" w:rsidRPr="00E76B02">
        <w:t xml:space="preserve"> </w:t>
      </w:r>
      <w:r w:rsidR="00C93D47" w:rsidRPr="00E76B02">
        <w:t>1</w:t>
      </w:r>
      <w:r w:rsidR="00AD256D" w:rsidRPr="00E76B02">
        <w:t>.</w:t>
      </w:r>
      <w:r w:rsidR="002157EA" w:rsidRPr="00E76B02">
        <w:t>0</w:t>
      </w:r>
      <w:r w:rsidR="006A1212" w:rsidRPr="00E76B02">
        <w:t>%</w:t>
      </w:r>
      <w:r w:rsidR="00C93D47" w:rsidRPr="00E76B02">
        <w:rPr>
          <w:rStyle w:val="FootnoteReference"/>
        </w:rPr>
        <w:footnoteReference w:id="4"/>
      </w:r>
      <w:r w:rsidR="006A1212" w:rsidRPr="00E76B02">
        <w:t xml:space="preserve">; </w:t>
      </w:r>
      <w:r w:rsidRPr="00E76B02">
        <w:t>wood production reached 2,</w:t>
      </w:r>
      <w:r w:rsidR="00904BDB" w:rsidRPr="00E76B02">
        <w:t>4</w:t>
      </w:r>
      <w:r w:rsidR="00C93D47" w:rsidRPr="00E76B02">
        <w:t>78</w:t>
      </w:r>
      <w:r w:rsidR="00904BDB" w:rsidRPr="00E76B02">
        <w:t>.</w:t>
      </w:r>
      <w:r w:rsidR="00C93D47" w:rsidRPr="00E76B02">
        <w:t>5</w:t>
      </w:r>
      <w:r w:rsidRPr="00E76B02">
        <w:t xml:space="preserve"> thousand</w:t>
      </w:r>
      <w:r w:rsidR="00AD05C0" w:rsidRPr="00E76B02">
        <w:t xml:space="preserve"> m</w:t>
      </w:r>
      <w:r w:rsidR="00AD05C0" w:rsidRPr="0075763C">
        <w:rPr>
          <w:vertAlign w:val="superscript"/>
        </w:rPr>
        <w:t>3</w:t>
      </w:r>
      <w:r w:rsidRPr="00E76B02">
        <w:t xml:space="preserve">, </w:t>
      </w:r>
      <w:r w:rsidR="006C76F1">
        <w:t>a rise of</w:t>
      </w:r>
      <w:r w:rsidR="00904BDB" w:rsidRPr="00E76B02">
        <w:t xml:space="preserve"> 1</w:t>
      </w:r>
      <w:r w:rsidRPr="00E76B02">
        <w:t>.</w:t>
      </w:r>
      <w:r w:rsidR="00C93D47" w:rsidRPr="00E76B02">
        <w:t>9</w:t>
      </w:r>
      <w:r w:rsidRPr="00E76B02">
        <w:t>%</w:t>
      </w:r>
      <w:r w:rsidR="006C76F1">
        <w:t xml:space="preserve"> due</w:t>
      </w:r>
      <w:r w:rsidR="00753320" w:rsidRPr="00E76B02">
        <w:t xml:space="preserve"> to </w:t>
      </w:r>
      <w:r w:rsidR="007678A1" w:rsidRPr="00E76B02">
        <w:t>stability</w:t>
      </w:r>
      <w:r w:rsidR="00C93D47" w:rsidRPr="00E76B02">
        <w:t xml:space="preserve"> of raw wood, </w:t>
      </w:r>
      <w:r w:rsidR="006C76F1">
        <w:t xml:space="preserve">and </w:t>
      </w:r>
      <w:r w:rsidR="006C76F1" w:rsidRPr="00E76B02">
        <w:t>promot</w:t>
      </w:r>
      <w:r w:rsidR="006C76F1">
        <w:t>ion of</w:t>
      </w:r>
      <w:r w:rsidR="006C76F1" w:rsidRPr="00E76B02">
        <w:t xml:space="preserve"> </w:t>
      </w:r>
      <w:r w:rsidR="00C93D47" w:rsidRPr="00E76B02">
        <w:t>wood harvesting as the trees reached harvesting</w:t>
      </w:r>
      <w:r w:rsidR="006C76F1">
        <w:t xml:space="preserve"> </w:t>
      </w:r>
      <w:r w:rsidR="006C76F1" w:rsidRPr="00E76B02">
        <w:t>period</w:t>
      </w:r>
      <w:r w:rsidR="00E768AE" w:rsidRPr="00E76B02">
        <w:rPr>
          <w:vertAlign w:val="superscript"/>
        </w:rPr>
        <w:footnoteReference w:id="5"/>
      </w:r>
      <w:r w:rsidR="00C93D47" w:rsidRPr="00E76B02">
        <w:t xml:space="preserve"> </w:t>
      </w:r>
      <w:r w:rsidR="006C76F1">
        <w:t xml:space="preserve">in </w:t>
      </w:r>
      <w:r w:rsidR="006C76F1" w:rsidRPr="00E76B02">
        <w:t>several localities</w:t>
      </w:r>
      <w:r w:rsidR="00C93D47" w:rsidRPr="00E76B02">
        <w:t xml:space="preserve">. </w:t>
      </w:r>
      <w:r w:rsidR="00753320" w:rsidRPr="00E76B02">
        <w:t>In general</w:t>
      </w:r>
      <w:r w:rsidR="00C93D47" w:rsidRPr="00E76B02">
        <w:t xml:space="preserve">, in eleven months of 2025, the area of ​​newly planted forests was estimated at 281.1 thousand hectares, a year-on-year growth of 6.5%; the number of scattered trees reached 83.0 million trees, </w:t>
      </w:r>
      <w:r w:rsidR="006C76F1">
        <w:t>an increase of</w:t>
      </w:r>
      <w:r w:rsidR="001512C4" w:rsidRPr="00E76B02">
        <w:t xml:space="preserve"> </w:t>
      </w:r>
      <w:r w:rsidR="00C93D47" w:rsidRPr="00E76B02">
        <w:t>1.0%; and production of harvested wood reached 22,881.5 thousand m</w:t>
      </w:r>
      <w:r w:rsidR="00C93D47" w:rsidRPr="0075763C">
        <w:rPr>
          <w:vertAlign w:val="superscript"/>
        </w:rPr>
        <w:t>3</w:t>
      </w:r>
      <w:r w:rsidR="00C93D47" w:rsidRPr="00E76B02">
        <w:t xml:space="preserve">, </w:t>
      </w:r>
      <w:r w:rsidR="006C76F1">
        <w:t>a build-up of</w:t>
      </w:r>
      <w:r w:rsidR="00C93D47" w:rsidRPr="00E76B02">
        <w:t xml:space="preserve"> 6.8%. </w:t>
      </w:r>
    </w:p>
    <w:p w14:paraId="23FA3256" w14:textId="0F8B1CF9" w:rsidR="001F497D" w:rsidRPr="00E76B02" w:rsidRDefault="001F497D" w:rsidP="00393919">
      <w:pPr>
        <w:spacing w:after="120" w:line="264" w:lineRule="auto"/>
        <w:ind w:firstLine="720"/>
        <w:jc w:val="both"/>
      </w:pPr>
      <w:r w:rsidRPr="00E76B02">
        <w:t>The damaged forest area</w:t>
      </w:r>
      <w:r w:rsidR="00DD4746" w:rsidRPr="00E76B02">
        <w:rPr>
          <w:spacing w:val="-4"/>
          <w:vertAlign w:val="superscript"/>
        </w:rPr>
        <w:footnoteReference w:id="6"/>
      </w:r>
      <w:r w:rsidRPr="00E76B02">
        <w:t xml:space="preserve"> in the month was estimated at </w:t>
      </w:r>
      <w:r w:rsidR="00904BDB" w:rsidRPr="00E76B02">
        <w:t>1</w:t>
      </w:r>
      <w:r w:rsidR="00E768AE" w:rsidRPr="00E76B02">
        <w:t>8</w:t>
      </w:r>
      <w:r w:rsidR="00904BDB" w:rsidRPr="00E76B02">
        <w:t>.</w:t>
      </w:r>
      <w:r w:rsidR="00E768AE" w:rsidRPr="00E76B02">
        <w:t>8</w:t>
      </w:r>
      <w:r w:rsidRPr="00E76B02">
        <w:t xml:space="preserve"> hectares, a year-on-year </w:t>
      </w:r>
      <w:r w:rsidR="00E768AE" w:rsidRPr="00E76B02">
        <w:t xml:space="preserve">drop </w:t>
      </w:r>
      <w:r w:rsidRPr="00E76B02">
        <w:t xml:space="preserve">of </w:t>
      </w:r>
      <w:r w:rsidR="00E768AE" w:rsidRPr="00E76B02">
        <w:t>76.0</w:t>
      </w:r>
      <w:r w:rsidRPr="00E76B02">
        <w:t xml:space="preserve">%, of which the deforested area was estimated </w:t>
      </w:r>
      <w:r w:rsidR="00AD05C0" w:rsidRPr="00E76B02">
        <w:t xml:space="preserve">at </w:t>
      </w:r>
      <w:r w:rsidR="00E768AE" w:rsidRPr="00E76B02">
        <w:t xml:space="preserve">18.7 </w:t>
      </w:r>
      <w:r w:rsidR="00AD05C0" w:rsidRPr="00E76B02">
        <w:t xml:space="preserve">hectares, </w:t>
      </w:r>
      <w:r w:rsidR="00141545" w:rsidRPr="00E76B02">
        <w:t>declin</w:t>
      </w:r>
      <w:r w:rsidR="00141545">
        <w:t>ing</w:t>
      </w:r>
      <w:r w:rsidR="00141545" w:rsidRPr="00E76B02">
        <w:t xml:space="preserve"> </w:t>
      </w:r>
      <w:r w:rsidR="002157EA" w:rsidRPr="00E76B02">
        <w:t>by 75.1</w:t>
      </w:r>
      <w:r w:rsidRPr="00E76B02">
        <w:t xml:space="preserve">%; the burnt forest area reached </w:t>
      </w:r>
      <w:r w:rsidR="00904BDB" w:rsidRPr="00E76B02">
        <w:t>0</w:t>
      </w:r>
      <w:r w:rsidRPr="00E76B02">
        <w:t>.</w:t>
      </w:r>
      <w:r w:rsidR="00E768AE" w:rsidRPr="00E76B02">
        <w:t>1</w:t>
      </w:r>
      <w:r w:rsidRPr="00E76B02">
        <w:t xml:space="preserve"> hectares, </w:t>
      </w:r>
      <w:r w:rsidR="00141545" w:rsidRPr="00E76B02">
        <w:t>dropp</w:t>
      </w:r>
      <w:r w:rsidR="00141545">
        <w:t>ing</w:t>
      </w:r>
      <w:r w:rsidR="00141545" w:rsidRPr="00E76B02">
        <w:t xml:space="preserve"> </w:t>
      </w:r>
      <w:r w:rsidR="002157EA" w:rsidRPr="00E76B02">
        <w:t>by 96.9</w:t>
      </w:r>
      <w:r w:rsidR="008B4394" w:rsidRPr="00E76B02">
        <w:t xml:space="preserve">%. </w:t>
      </w:r>
      <w:r w:rsidRPr="00E76B02">
        <w:t xml:space="preserve">Generally, in </w:t>
      </w:r>
      <w:r w:rsidR="00F60ECF">
        <w:t xml:space="preserve">the </w:t>
      </w:r>
      <w:r w:rsidR="00E768AE" w:rsidRPr="00E76B02">
        <w:t>11</w:t>
      </w:r>
      <w:r w:rsidRPr="00E76B02">
        <w:t xml:space="preserve">months of 2025, the total damaged forest area was </w:t>
      </w:r>
      <w:r w:rsidR="008B4394" w:rsidRPr="00E76B02">
        <w:t xml:space="preserve">estimated at </w:t>
      </w:r>
      <w:r w:rsidR="00E768AE" w:rsidRPr="00E76B02">
        <w:t>1,059</w:t>
      </w:r>
      <w:r w:rsidR="00045E19" w:rsidRPr="00E76B02">
        <w:t>.</w:t>
      </w:r>
      <w:r w:rsidR="00E768AE" w:rsidRPr="00E76B02">
        <w:t>6</w:t>
      </w:r>
      <w:r w:rsidRPr="00E76B02">
        <w:t xml:space="preserve"> hectares, a year-on-year</w:t>
      </w:r>
      <w:r w:rsidR="005C152A" w:rsidRPr="00E76B02">
        <w:t xml:space="preserve"> </w:t>
      </w:r>
      <w:r w:rsidR="00045E19" w:rsidRPr="00E76B02">
        <w:t>drop</w:t>
      </w:r>
      <w:r w:rsidR="005C152A" w:rsidRPr="00E76B02">
        <w:t xml:space="preserve"> of 3</w:t>
      </w:r>
      <w:r w:rsidR="00E768AE" w:rsidRPr="00E76B02">
        <w:t>3</w:t>
      </w:r>
      <w:r w:rsidR="005C152A" w:rsidRPr="00E76B02">
        <w:t>.</w:t>
      </w:r>
      <w:r w:rsidR="00E768AE" w:rsidRPr="00E76B02">
        <w:t>1</w:t>
      </w:r>
      <w:r w:rsidR="005C152A" w:rsidRPr="00E76B02">
        <w:t>%</w:t>
      </w:r>
      <w:r w:rsidRPr="00E76B02">
        <w:t xml:space="preserve">, of which the </w:t>
      </w:r>
      <w:r w:rsidR="00141545" w:rsidRPr="00E76B02">
        <w:t xml:space="preserve">deforested </w:t>
      </w:r>
      <w:r w:rsidR="005C152A" w:rsidRPr="00E76B02">
        <w:t xml:space="preserve">area </w:t>
      </w:r>
      <w:r w:rsidRPr="00E76B02">
        <w:t>was</w:t>
      </w:r>
      <w:r w:rsidR="00045E19" w:rsidRPr="00E76B02">
        <w:t xml:space="preserve"> 7</w:t>
      </w:r>
      <w:r w:rsidR="00E768AE" w:rsidRPr="00E76B02">
        <w:t>44</w:t>
      </w:r>
      <w:r w:rsidRPr="00E76B02">
        <w:t>.</w:t>
      </w:r>
      <w:r w:rsidR="00E768AE" w:rsidRPr="00E76B02">
        <w:t>1</w:t>
      </w:r>
      <w:r w:rsidRPr="00E76B02">
        <w:t xml:space="preserve"> hectares, </w:t>
      </w:r>
      <w:r w:rsidR="00141545" w:rsidRPr="00E76B02">
        <w:t>dropp</w:t>
      </w:r>
      <w:r w:rsidR="00141545">
        <w:t>ing</w:t>
      </w:r>
      <w:r w:rsidR="00141545" w:rsidRPr="00E76B02">
        <w:t xml:space="preserve"> </w:t>
      </w:r>
      <w:r w:rsidR="00F474BB" w:rsidRPr="00E76B02">
        <w:t xml:space="preserve">by </w:t>
      </w:r>
      <w:r w:rsidR="00E768AE" w:rsidRPr="00E76B02">
        <w:t>11</w:t>
      </w:r>
      <w:r w:rsidRPr="00E76B02">
        <w:t>.</w:t>
      </w:r>
      <w:r w:rsidR="00E768AE" w:rsidRPr="00E76B02">
        <w:t>3</w:t>
      </w:r>
      <w:r w:rsidRPr="00E76B02">
        <w:t xml:space="preserve">%; the </w:t>
      </w:r>
      <w:r w:rsidR="00141545" w:rsidRPr="00E76B02">
        <w:t xml:space="preserve">burnt forest area </w:t>
      </w:r>
      <w:r w:rsidRPr="00E76B02">
        <w:t>was 3</w:t>
      </w:r>
      <w:r w:rsidR="00045E19" w:rsidRPr="00E76B02">
        <w:t>1</w:t>
      </w:r>
      <w:r w:rsidRPr="00E76B02">
        <w:t>5.</w:t>
      </w:r>
      <w:r w:rsidR="00E768AE" w:rsidRPr="00E76B02">
        <w:t>5</w:t>
      </w:r>
      <w:r w:rsidRPr="00E76B02">
        <w:t xml:space="preserve"> hectares, </w:t>
      </w:r>
      <w:r w:rsidR="00141545">
        <w:t>decreasing by</w:t>
      </w:r>
      <w:r w:rsidR="005C152A" w:rsidRPr="00E76B02">
        <w:t xml:space="preserve"> </w:t>
      </w:r>
      <w:r w:rsidRPr="00E76B02">
        <w:t>5</w:t>
      </w:r>
      <w:r w:rsidR="00045E19" w:rsidRPr="00E76B02">
        <w:t>7</w:t>
      </w:r>
      <w:r w:rsidRPr="00E76B02">
        <w:t>.</w:t>
      </w:r>
      <w:r w:rsidR="00E768AE" w:rsidRPr="00E76B02">
        <w:t>8</w:t>
      </w:r>
      <w:r w:rsidRPr="00E76B02">
        <w:t>%.</w:t>
      </w:r>
    </w:p>
    <w:p w14:paraId="03A3F1DC" w14:textId="3605E12A" w:rsidR="007438AE" w:rsidRPr="00E76B02" w:rsidRDefault="00A51D11" w:rsidP="00393919">
      <w:pPr>
        <w:spacing w:after="120" w:line="264" w:lineRule="auto"/>
        <w:ind w:firstLine="720"/>
        <w:jc w:val="both"/>
        <w:rPr>
          <w:b/>
          <w:bCs/>
          <w:i/>
          <w:iCs/>
        </w:rPr>
      </w:pPr>
      <w:r w:rsidRPr="00E76B02">
        <w:rPr>
          <w:b/>
          <w:bCs/>
          <w:i/>
          <w:iCs/>
        </w:rPr>
        <w:t>c) Fishing</w:t>
      </w:r>
    </w:p>
    <w:p w14:paraId="535FE757" w14:textId="304C87A7" w:rsidR="00E96D8C" w:rsidRPr="00E76B02" w:rsidRDefault="00E96D8C" w:rsidP="00E96D8C">
      <w:pPr>
        <w:spacing w:after="120" w:line="264" w:lineRule="auto"/>
        <w:ind w:firstLine="720"/>
        <w:jc w:val="both"/>
      </w:pPr>
      <w:r w:rsidRPr="00E76B02">
        <w:t xml:space="preserve">Capture fisheries and aquaculture production in </w:t>
      </w:r>
      <w:r w:rsidR="00E768AE" w:rsidRPr="00E76B02">
        <w:t>November</w:t>
      </w:r>
      <w:r w:rsidRPr="00E76B02">
        <w:t xml:space="preserve"> w</w:t>
      </w:r>
      <w:r w:rsidR="00F60ECF">
        <w:t>ere</w:t>
      </w:r>
      <w:r w:rsidRPr="00E76B02">
        <w:t xml:space="preserve"> estimated at </w:t>
      </w:r>
      <w:r w:rsidR="00E768AE" w:rsidRPr="00E76B02">
        <w:t>904</w:t>
      </w:r>
      <w:r w:rsidR="00045E19" w:rsidRPr="00E76B02">
        <w:t>.</w:t>
      </w:r>
      <w:r w:rsidR="00E768AE" w:rsidRPr="00E76B02">
        <w:t xml:space="preserve">5 </w:t>
      </w:r>
      <w:r w:rsidR="007678A1" w:rsidRPr="00E76B02">
        <w:t>thousand</w:t>
      </w:r>
      <w:r w:rsidR="00E768AE" w:rsidRPr="00E76B02">
        <w:t xml:space="preserve"> tons</w:t>
      </w:r>
      <w:r w:rsidR="00045E19" w:rsidRPr="00E76B02">
        <w:t>,</w:t>
      </w:r>
      <w:r w:rsidR="00F474BB" w:rsidRPr="00E76B02">
        <w:t xml:space="preserve"> </w:t>
      </w:r>
      <w:r w:rsidR="00045E19" w:rsidRPr="00E76B02">
        <w:t>a year-on-year increase of 2.</w:t>
      </w:r>
      <w:r w:rsidR="00E768AE" w:rsidRPr="00E76B02">
        <w:t>6</w:t>
      </w:r>
      <w:r w:rsidR="00045E19" w:rsidRPr="00E76B02">
        <w:t>%, of which fish reached 6</w:t>
      </w:r>
      <w:r w:rsidR="00DD4746" w:rsidRPr="00E76B02">
        <w:t>33</w:t>
      </w:r>
      <w:r w:rsidR="00045E19" w:rsidRPr="00E76B02">
        <w:t>.</w:t>
      </w:r>
      <w:r w:rsidR="00DD4746" w:rsidRPr="00E76B02">
        <w:t>5</w:t>
      </w:r>
      <w:r w:rsidRPr="00E76B02">
        <w:t xml:space="preserve"> thousand tons, </w:t>
      </w:r>
      <w:r w:rsidR="00F75336" w:rsidRPr="00E76B02">
        <w:t>gr</w:t>
      </w:r>
      <w:r w:rsidR="00F75336">
        <w:t>o</w:t>
      </w:r>
      <w:r w:rsidR="00F75336" w:rsidRPr="00E76B02">
        <w:t>w</w:t>
      </w:r>
      <w:r w:rsidR="00F75336">
        <w:t>ing</w:t>
      </w:r>
      <w:r w:rsidR="00F75336" w:rsidRPr="00E76B02">
        <w:t xml:space="preserve"> </w:t>
      </w:r>
      <w:r w:rsidR="00F474BB" w:rsidRPr="00E76B02">
        <w:t xml:space="preserve">by </w:t>
      </w:r>
      <w:r w:rsidR="00045E19" w:rsidRPr="00E76B02">
        <w:t>2</w:t>
      </w:r>
      <w:r w:rsidRPr="00E76B02">
        <w:t>.</w:t>
      </w:r>
      <w:r w:rsidR="00DD4746" w:rsidRPr="00E76B02">
        <w:t>4</w:t>
      </w:r>
      <w:r w:rsidRPr="00E76B02">
        <w:t>%; shrimp reached 1</w:t>
      </w:r>
      <w:r w:rsidR="00045E19" w:rsidRPr="00E76B02">
        <w:t>5</w:t>
      </w:r>
      <w:r w:rsidR="00DD4746" w:rsidRPr="00E76B02">
        <w:t>7</w:t>
      </w:r>
      <w:r w:rsidRPr="00E76B02">
        <w:t>.</w:t>
      </w:r>
      <w:r w:rsidR="00DD4746" w:rsidRPr="00E76B02">
        <w:t>8</w:t>
      </w:r>
      <w:r w:rsidR="00555A87" w:rsidRPr="00E76B02">
        <w:t xml:space="preserve"> thousand tons, </w:t>
      </w:r>
      <w:r w:rsidR="00F75336">
        <w:lastRenderedPageBreak/>
        <w:t>going</w:t>
      </w:r>
      <w:r w:rsidR="00F75336" w:rsidRPr="00E76B02">
        <w:t xml:space="preserve"> </w:t>
      </w:r>
      <w:r w:rsidR="00555A87" w:rsidRPr="00E76B02">
        <w:t>up</w:t>
      </w:r>
      <w:r w:rsidRPr="00E76B02">
        <w:t xml:space="preserve"> </w:t>
      </w:r>
      <w:r w:rsidR="00DD4746" w:rsidRPr="00E76B02">
        <w:t>4</w:t>
      </w:r>
      <w:r w:rsidRPr="00E76B02">
        <w:t>.</w:t>
      </w:r>
      <w:r w:rsidR="00DD4746" w:rsidRPr="00E76B02">
        <w:t>5</w:t>
      </w:r>
      <w:r w:rsidRPr="00E76B02">
        <w:t>%; other aquatic products reached 1</w:t>
      </w:r>
      <w:r w:rsidR="00045E19" w:rsidRPr="00E76B02">
        <w:t>1</w:t>
      </w:r>
      <w:r w:rsidR="00DD4746" w:rsidRPr="00E76B02">
        <w:t>3</w:t>
      </w:r>
      <w:r w:rsidRPr="00E76B02">
        <w:t>.</w:t>
      </w:r>
      <w:r w:rsidR="00DD4746" w:rsidRPr="00E76B02">
        <w:t>2</w:t>
      </w:r>
      <w:r w:rsidRPr="00E76B02">
        <w:t xml:space="preserve"> thousand tons, </w:t>
      </w:r>
      <w:r w:rsidR="00F75336" w:rsidRPr="00E76B02">
        <w:t>r</w:t>
      </w:r>
      <w:r w:rsidR="00F75336">
        <w:t>i</w:t>
      </w:r>
      <w:r w:rsidR="00F75336" w:rsidRPr="00E76B02">
        <w:t>s</w:t>
      </w:r>
      <w:r w:rsidR="00F75336">
        <w:t>ing</w:t>
      </w:r>
      <w:r w:rsidR="00F75336" w:rsidRPr="00E76B02">
        <w:t xml:space="preserve"> </w:t>
      </w:r>
      <w:r w:rsidRPr="00E76B02">
        <w:t xml:space="preserve">by </w:t>
      </w:r>
      <w:r w:rsidR="00283405" w:rsidRPr="00E76B02">
        <w:t>0</w:t>
      </w:r>
      <w:r w:rsidRPr="00E76B02">
        <w:t>.</w:t>
      </w:r>
      <w:r w:rsidR="00283405" w:rsidRPr="00E76B02">
        <w:t>9</w:t>
      </w:r>
      <w:r w:rsidRPr="00E76B02">
        <w:t>%.</w:t>
      </w:r>
    </w:p>
    <w:p w14:paraId="213AC874" w14:textId="00C74164" w:rsidR="00E96D8C" w:rsidRPr="00E76B02" w:rsidRDefault="00E96D8C" w:rsidP="00E96D8C">
      <w:pPr>
        <w:spacing w:after="120" w:line="264" w:lineRule="auto"/>
        <w:ind w:firstLine="720"/>
        <w:jc w:val="both"/>
      </w:pPr>
      <w:r w:rsidRPr="00E76B02">
        <w:t xml:space="preserve">Aquaculture production in the month was estimated at </w:t>
      </w:r>
      <w:r w:rsidR="00DD4746" w:rsidRPr="00E76B02">
        <w:t>625</w:t>
      </w:r>
      <w:r w:rsidRPr="00E76B02">
        <w:t>.</w:t>
      </w:r>
      <w:r w:rsidR="00DD4746" w:rsidRPr="00E76B02">
        <w:t>7</w:t>
      </w:r>
      <w:r w:rsidRPr="00E76B02">
        <w:t xml:space="preserve"> thousand tons, a year-on-year upturn </w:t>
      </w:r>
      <w:r w:rsidR="002157EA" w:rsidRPr="00E76B02">
        <w:t>of 5.4%,</w:t>
      </w:r>
      <w:r w:rsidRPr="00E76B02">
        <w:t xml:space="preserve"> of which, fish reached </w:t>
      </w:r>
      <w:r w:rsidR="00DD4746" w:rsidRPr="00E76B02">
        <w:t>423</w:t>
      </w:r>
      <w:r w:rsidRPr="00E76B02">
        <w:t>.</w:t>
      </w:r>
      <w:r w:rsidR="00DD4746" w:rsidRPr="00E76B02">
        <w:t>7</w:t>
      </w:r>
      <w:r w:rsidRPr="00E76B02">
        <w:t xml:space="preserve"> thousand tons, </w:t>
      </w:r>
      <w:r w:rsidR="00F4285B" w:rsidRPr="00E76B02">
        <w:t>r</w:t>
      </w:r>
      <w:r w:rsidR="00F4285B">
        <w:t>ising</w:t>
      </w:r>
      <w:r w:rsidR="00F4285B" w:rsidRPr="00E76B02">
        <w:t xml:space="preserve"> </w:t>
      </w:r>
      <w:r w:rsidRPr="00E76B02">
        <w:t xml:space="preserve">by </w:t>
      </w:r>
      <w:r w:rsidR="00DD4746" w:rsidRPr="00E76B02">
        <w:t>5</w:t>
      </w:r>
      <w:r w:rsidRPr="00E76B02">
        <w:t>.</w:t>
      </w:r>
      <w:r w:rsidR="00DD4746" w:rsidRPr="00E76B02">
        <w:t>3</w:t>
      </w:r>
      <w:r w:rsidRPr="00E76B02">
        <w:t>%; shrimp reached 1</w:t>
      </w:r>
      <w:r w:rsidR="00DD4746" w:rsidRPr="00E76B02">
        <w:t>44</w:t>
      </w:r>
      <w:r w:rsidRPr="00E76B02">
        <w:t>.</w:t>
      </w:r>
      <w:r w:rsidR="00283405" w:rsidRPr="00E76B02">
        <w:t>8</w:t>
      </w:r>
      <w:r w:rsidRPr="00E76B02">
        <w:t xml:space="preserve"> thousand tons, </w:t>
      </w:r>
      <w:r w:rsidR="00F4285B" w:rsidRPr="00E76B02">
        <w:t>gr</w:t>
      </w:r>
      <w:r w:rsidR="00F4285B">
        <w:t>o</w:t>
      </w:r>
      <w:r w:rsidR="00F4285B" w:rsidRPr="00E76B02">
        <w:t>w</w:t>
      </w:r>
      <w:r w:rsidR="00F4285B">
        <w:t>ing</w:t>
      </w:r>
      <w:r w:rsidR="00F4285B" w:rsidRPr="00E76B02">
        <w:t xml:space="preserve"> </w:t>
      </w:r>
      <w:r w:rsidRPr="00E76B02">
        <w:t>by</w:t>
      </w:r>
      <w:r w:rsidR="00283405" w:rsidRPr="00E76B02">
        <w:t xml:space="preserve"> </w:t>
      </w:r>
      <w:r w:rsidR="00DD4746" w:rsidRPr="00E76B02">
        <w:t>5</w:t>
      </w:r>
      <w:r w:rsidRPr="00E76B02">
        <w:t>.</w:t>
      </w:r>
      <w:r w:rsidR="00DD4746" w:rsidRPr="00E76B02">
        <w:t>2</w:t>
      </w:r>
      <w:r w:rsidRPr="00E76B02">
        <w:t>%.</w:t>
      </w:r>
    </w:p>
    <w:p w14:paraId="21E706A2" w14:textId="768C743B" w:rsidR="005B7E4F" w:rsidRPr="00E76B02" w:rsidRDefault="005B7E4F" w:rsidP="00E96D8C">
      <w:pPr>
        <w:spacing w:after="120" w:line="264" w:lineRule="auto"/>
        <w:ind w:firstLine="720"/>
        <w:jc w:val="both"/>
      </w:pPr>
      <w:r w:rsidRPr="00E76B02">
        <w:t>Pangasius production in the month show</w:t>
      </w:r>
      <w:r w:rsidR="00FF58DC" w:rsidRPr="00E76B02">
        <w:t>ed</w:t>
      </w:r>
      <w:r w:rsidRPr="00E76B02">
        <w:t xml:space="preserve"> a year-on</w:t>
      </w:r>
      <w:r w:rsidR="00E6680C" w:rsidRPr="00E76B02">
        <w:t>-year increase</w:t>
      </w:r>
      <w:r w:rsidR="00F474BB" w:rsidRPr="00E76B02">
        <w:t>,</w:t>
      </w:r>
      <w:r w:rsidR="00E6680C" w:rsidRPr="00E76B02">
        <w:t xml:space="preserve"> </w:t>
      </w:r>
      <w:r w:rsidR="008B4394" w:rsidRPr="00E76B02">
        <w:t xml:space="preserve">thanks to </w:t>
      </w:r>
      <w:r w:rsidR="00E6680C" w:rsidRPr="00E76B02">
        <w:t xml:space="preserve">the rise </w:t>
      </w:r>
      <w:r w:rsidRPr="00E76B02">
        <w:t>in raw pangasius prices</w:t>
      </w:r>
      <w:r w:rsidR="005A52CB" w:rsidRPr="00E76B02">
        <w:rPr>
          <w:vertAlign w:val="superscript"/>
        </w:rPr>
        <w:footnoteReference w:id="7"/>
      </w:r>
      <w:r w:rsidRPr="00E76B02">
        <w:t xml:space="preserve">, and the harvested pangasius production ensured the source of raw materials for export processing. Pangasius production in the month was estimated at </w:t>
      </w:r>
      <w:r w:rsidR="005A52CB" w:rsidRPr="00E76B02">
        <w:t>213</w:t>
      </w:r>
      <w:r w:rsidRPr="00E76B02">
        <w:t>.</w:t>
      </w:r>
      <w:r w:rsidR="00FF58DC" w:rsidRPr="00E76B02">
        <w:t>5</w:t>
      </w:r>
      <w:r w:rsidRPr="00E76B02">
        <w:t xml:space="preserve"> thousand tons,</w:t>
      </w:r>
      <w:r w:rsidR="00F474BB" w:rsidRPr="00E76B02">
        <w:t xml:space="preserve"> which showed </w:t>
      </w:r>
      <w:r w:rsidRPr="00E76B02">
        <w:t xml:space="preserve">a year-on-year </w:t>
      </w:r>
      <w:r w:rsidR="005A44E4" w:rsidRPr="00E76B02">
        <w:t>growth</w:t>
      </w:r>
      <w:r w:rsidRPr="00E76B02">
        <w:t xml:space="preserve"> of </w:t>
      </w:r>
      <w:r w:rsidR="005A52CB" w:rsidRPr="00E76B02">
        <w:t>6</w:t>
      </w:r>
      <w:r w:rsidRPr="00E76B02">
        <w:t>.</w:t>
      </w:r>
      <w:r w:rsidR="005A52CB" w:rsidRPr="00E76B02">
        <w:t>4</w:t>
      </w:r>
      <w:r w:rsidRPr="00E76B02">
        <w:t>%.</w:t>
      </w:r>
    </w:p>
    <w:p w14:paraId="7287E259" w14:textId="45F6D445" w:rsidR="005A52CB" w:rsidRPr="00E76B02" w:rsidRDefault="005A52CB" w:rsidP="00393919">
      <w:pPr>
        <w:spacing w:after="120" w:line="264" w:lineRule="auto"/>
        <w:ind w:firstLine="720"/>
        <w:jc w:val="both"/>
      </w:pPr>
      <w:r w:rsidRPr="00E76B02">
        <w:t xml:space="preserve">Shrimp production in the month witnessed a year-on-year upward trend thanks to a slight increase in raw shrimp prices and export demand to major markets for the year-end demand. </w:t>
      </w:r>
      <w:r w:rsidR="007678A1" w:rsidRPr="00E76B02">
        <w:t>White leg</w:t>
      </w:r>
      <w:r w:rsidRPr="00E76B02">
        <w:t xml:space="preserve"> shrimp production in November was estimated at 104.8 thousand tons, a year-on-year growth of 5.9%; black tiger shrimp production reached 32.1 thousand tons, </w:t>
      </w:r>
      <w:r w:rsidR="00320F23">
        <w:t xml:space="preserve">a rise of </w:t>
      </w:r>
      <w:r w:rsidRPr="00E76B02">
        <w:t>3.2%.</w:t>
      </w:r>
    </w:p>
    <w:p w14:paraId="3215AE5D" w14:textId="20D963DE" w:rsidR="009247C6" w:rsidRPr="00E76B02" w:rsidRDefault="006F0412" w:rsidP="00393919">
      <w:pPr>
        <w:spacing w:after="120" w:line="264" w:lineRule="auto"/>
        <w:ind w:firstLine="720"/>
        <w:jc w:val="both"/>
      </w:pPr>
      <w:r w:rsidRPr="00E76B02">
        <w:t>The capture fisheries in the month w</w:t>
      </w:r>
      <w:r w:rsidR="00F60ECF">
        <w:t>ere</w:t>
      </w:r>
      <w:r w:rsidRPr="00E76B02">
        <w:t xml:space="preserve"> estimated at </w:t>
      </w:r>
      <w:r w:rsidR="00A457F3" w:rsidRPr="00E76B02">
        <w:t>2</w:t>
      </w:r>
      <w:r w:rsidR="005A52CB" w:rsidRPr="00E76B02">
        <w:t>7</w:t>
      </w:r>
      <w:r w:rsidR="00A457F3" w:rsidRPr="00E76B02">
        <w:t>8.</w:t>
      </w:r>
      <w:r w:rsidR="005A52CB" w:rsidRPr="00E76B02">
        <w:t>8</w:t>
      </w:r>
      <w:r w:rsidRPr="00E76B02">
        <w:t xml:space="preserve"> thousand </w:t>
      </w:r>
      <w:r w:rsidR="0075763C" w:rsidRPr="00E76B02">
        <w:t>tons, a</w:t>
      </w:r>
      <w:r w:rsidRPr="00E76B02">
        <w:t xml:space="preserve"> year-on-year </w:t>
      </w:r>
      <w:r w:rsidR="005A52CB" w:rsidRPr="00E76B02">
        <w:t xml:space="preserve">decline </w:t>
      </w:r>
      <w:r w:rsidRPr="00E76B02">
        <w:t xml:space="preserve">of </w:t>
      </w:r>
      <w:r w:rsidR="005A52CB" w:rsidRPr="00E76B02">
        <w:t>3</w:t>
      </w:r>
      <w:r w:rsidRPr="00E76B02">
        <w:t>.</w:t>
      </w:r>
      <w:r w:rsidR="005A52CB" w:rsidRPr="00E76B02">
        <w:t>2</w:t>
      </w:r>
      <w:r w:rsidRPr="00E76B02">
        <w:t xml:space="preserve">%, </w:t>
      </w:r>
      <w:r w:rsidR="009247C6" w:rsidRPr="00E76B02">
        <w:t>due to severe weather caused by</w:t>
      </w:r>
      <w:r w:rsidR="00F60ECF">
        <w:t xml:space="preserve"> the</w:t>
      </w:r>
      <w:r w:rsidR="009247C6" w:rsidRPr="00E76B02">
        <w:t xml:space="preserve"> Typhoon No. 13 and its aftermath, fishing vessels were forced ashore to avoid the storm, directly impacte</w:t>
      </w:r>
      <w:r w:rsidR="008B4394" w:rsidRPr="00E76B02">
        <w:t xml:space="preserve">d to marine capture fisheries. Of which, </w:t>
      </w:r>
      <w:r w:rsidR="009247C6" w:rsidRPr="00E76B02">
        <w:t xml:space="preserve">fish production reached 209.8 thousand tons, </w:t>
      </w:r>
      <w:r w:rsidR="002C1B36" w:rsidRPr="00E76B02">
        <w:t>f</w:t>
      </w:r>
      <w:r w:rsidR="002C1B36">
        <w:t>a</w:t>
      </w:r>
      <w:r w:rsidR="002C1B36" w:rsidRPr="00E76B02">
        <w:t>ll</w:t>
      </w:r>
      <w:r w:rsidR="002C1B36">
        <w:t>ing</w:t>
      </w:r>
      <w:r w:rsidR="002C1B36" w:rsidRPr="00E76B02">
        <w:t xml:space="preserve"> </w:t>
      </w:r>
      <w:r w:rsidR="009247C6" w:rsidRPr="00E76B02">
        <w:t>by 2.9%; shrimp production reached 13.0 thousand tons</w:t>
      </w:r>
      <w:r w:rsidR="002C1B36">
        <w:t>,</w:t>
      </w:r>
      <w:r w:rsidR="009247C6" w:rsidRPr="00E76B02">
        <w:t xml:space="preserve"> </w:t>
      </w:r>
      <w:r w:rsidR="002C1B36" w:rsidRPr="00E76B02">
        <w:t>decreas</w:t>
      </w:r>
      <w:r w:rsidR="002C1B36">
        <w:t>ing</w:t>
      </w:r>
      <w:r w:rsidR="002C1B36" w:rsidRPr="00E76B02">
        <w:t xml:space="preserve"> </w:t>
      </w:r>
      <w:r w:rsidR="009247C6" w:rsidRPr="00E76B02">
        <w:t xml:space="preserve">by 2.3%; other aquatic products reached 56.0 thousand tons, </w:t>
      </w:r>
      <w:r w:rsidR="002C1B36" w:rsidRPr="00E76B02">
        <w:t>dropp</w:t>
      </w:r>
      <w:r w:rsidR="002C1B36">
        <w:t>ing</w:t>
      </w:r>
      <w:r w:rsidR="002C1B36" w:rsidRPr="00E76B02">
        <w:t xml:space="preserve"> </w:t>
      </w:r>
      <w:r w:rsidR="009247C6" w:rsidRPr="00E76B02">
        <w:t>by 4.3%. The total marine fisheries production was estimated at 259.5 thousand tons, a year-on-year decrease of 2.8%</w:t>
      </w:r>
      <w:r w:rsidR="002C1B36">
        <w:t>. Of which</w:t>
      </w:r>
      <w:r w:rsidR="009247C6" w:rsidRPr="00E76B02">
        <w:t xml:space="preserve">, </w:t>
      </w:r>
      <w:r w:rsidR="002C1B36">
        <w:t>f</w:t>
      </w:r>
      <w:r w:rsidR="002C1B36" w:rsidRPr="00E76B02">
        <w:t xml:space="preserve">ish </w:t>
      </w:r>
      <w:r w:rsidR="009247C6" w:rsidRPr="00E76B02">
        <w:t xml:space="preserve">reached 198.0 thousand tons </w:t>
      </w:r>
      <w:r w:rsidR="002C1B36">
        <w:t xml:space="preserve">(up </w:t>
      </w:r>
      <w:r w:rsidR="009247C6" w:rsidRPr="00E76B02">
        <w:t>2.6%</w:t>
      </w:r>
      <w:r w:rsidR="002C1B36">
        <w:t>)</w:t>
      </w:r>
      <w:r w:rsidR="009247C6" w:rsidRPr="00E76B02">
        <w:t>; shrimp reached 12.5 thousand tons</w:t>
      </w:r>
      <w:r w:rsidR="002C1B36">
        <w:t xml:space="preserve"> (up</w:t>
      </w:r>
      <w:r w:rsidR="002C1B36" w:rsidRPr="00E76B02">
        <w:t xml:space="preserve"> </w:t>
      </w:r>
      <w:r w:rsidR="009247C6" w:rsidRPr="00E76B02">
        <w:t>1.6%</w:t>
      </w:r>
      <w:r w:rsidR="002C1B36">
        <w:t>)</w:t>
      </w:r>
      <w:r w:rsidR="009247C6" w:rsidRPr="00E76B02">
        <w:t xml:space="preserve">; other aquatic products reached 49.0 thousand tons </w:t>
      </w:r>
      <w:r w:rsidR="002C1B36">
        <w:t>(up</w:t>
      </w:r>
      <w:r w:rsidR="009247C6" w:rsidRPr="00E76B02">
        <w:t xml:space="preserve"> 3.9%</w:t>
      </w:r>
      <w:r w:rsidR="002C1B36">
        <w:t>)</w:t>
      </w:r>
      <w:r w:rsidR="009247C6" w:rsidRPr="00E76B02">
        <w:t>.</w:t>
      </w:r>
    </w:p>
    <w:p w14:paraId="11B095E8" w14:textId="77777777" w:rsidR="005A44E4" w:rsidRPr="00E76B02" w:rsidRDefault="005A44E4" w:rsidP="00393919">
      <w:pPr>
        <w:spacing w:before="120" w:line="264" w:lineRule="auto"/>
        <w:ind w:firstLine="567"/>
        <w:jc w:val="center"/>
        <w:rPr>
          <w:rFonts w:ascii="Arial" w:hAnsi="Arial" w:cs="Arial"/>
          <w:b/>
          <w:bCs/>
          <w:sz w:val="24"/>
          <w:szCs w:val="24"/>
        </w:rPr>
      </w:pPr>
    </w:p>
    <w:p w14:paraId="38EE45B6" w14:textId="77777777" w:rsidR="00F60ECF" w:rsidRDefault="005A44E4" w:rsidP="00F60ECF">
      <w:pPr>
        <w:tabs>
          <w:tab w:val="left" w:pos="900"/>
        </w:tabs>
        <w:spacing w:after="40"/>
        <w:jc w:val="center"/>
        <w:rPr>
          <w:rFonts w:ascii="Arial" w:hAnsi="Arial" w:cs="Arial"/>
          <w:b/>
          <w:sz w:val="24"/>
        </w:rPr>
      </w:pPr>
      <w:r w:rsidRPr="00E76B02">
        <w:rPr>
          <w:rFonts w:ascii="Arial" w:hAnsi="Arial" w:cs="Arial"/>
          <w:b/>
          <w:sz w:val="24"/>
        </w:rPr>
        <w:t>Figure 3. Capture fisheries and aquaculture production</w:t>
      </w:r>
    </w:p>
    <w:p w14:paraId="22065565" w14:textId="15E6FE3C" w:rsidR="005A44E4" w:rsidRPr="00E76B02" w:rsidRDefault="005A44E4" w:rsidP="00F60ECF">
      <w:pPr>
        <w:tabs>
          <w:tab w:val="left" w:pos="900"/>
        </w:tabs>
        <w:spacing w:after="40"/>
        <w:jc w:val="center"/>
        <w:rPr>
          <w:rFonts w:ascii="Arial" w:hAnsi="Arial" w:cs="Arial"/>
          <w:b/>
          <w:sz w:val="24"/>
        </w:rPr>
      </w:pPr>
      <w:r w:rsidRPr="00E76B02">
        <w:rPr>
          <w:rFonts w:ascii="Arial" w:hAnsi="Arial" w:cs="Arial"/>
          <w:b/>
          <w:sz w:val="24"/>
        </w:rPr>
        <w:t xml:space="preserve"> in </w:t>
      </w:r>
      <w:r w:rsidR="00F60ECF">
        <w:rPr>
          <w:rFonts w:ascii="Arial" w:hAnsi="Arial" w:cs="Arial"/>
          <w:b/>
          <w:sz w:val="24"/>
        </w:rPr>
        <w:t xml:space="preserve">the </w:t>
      </w:r>
      <w:r w:rsidR="00DB34FC" w:rsidRPr="00E76B02">
        <w:rPr>
          <w:rFonts w:ascii="Arial" w:hAnsi="Arial" w:cs="Arial"/>
          <w:b/>
          <w:sz w:val="24"/>
        </w:rPr>
        <w:t>1</w:t>
      </w:r>
      <w:r w:rsidR="00BB26E5" w:rsidRPr="00E76B02">
        <w:rPr>
          <w:rFonts w:ascii="Arial" w:hAnsi="Arial" w:cs="Arial"/>
          <w:b/>
          <w:sz w:val="24"/>
        </w:rPr>
        <w:t>1</w:t>
      </w:r>
      <w:r w:rsidRPr="00E76B02">
        <w:rPr>
          <w:rFonts w:ascii="Arial" w:hAnsi="Arial" w:cs="Arial"/>
          <w:b/>
          <w:sz w:val="24"/>
        </w:rPr>
        <w:t xml:space="preserve"> months of 2025</w:t>
      </w:r>
      <w:r w:rsidR="00F60ECF">
        <w:rPr>
          <w:rFonts w:ascii="Arial" w:hAnsi="Arial" w:cs="Arial"/>
          <w:b/>
          <w:sz w:val="24"/>
        </w:rPr>
        <w:t xml:space="preserve"> </w:t>
      </w:r>
      <w:r w:rsidRPr="00E76B02">
        <w:rPr>
          <w:rFonts w:ascii="Arial" w:hAnsi="Arial" w:cs="Arial"/>
          <w:b/>
          <w:sz w:val="24"/>
        </w:rPr>
        <w:t>(Y-o-Y)</w:t>
      </w:r>
    </w:p>
    <w:p w14:paraId="6DA807A0" w14:textId="6B1BC7D4" w:rsidR="00BE4BA9" w:rsidRPr="00E76B02" w:rsidRDefault="008B4394" w:rsidP="008B4394">
      <w:pPr>
        <w:spacing w:before="100" w:beforeAutospacing="1" w:after="100" w:afterAutospacing="1"/>
        <w:rPr>
          <w:sz w:val="24"/>
          <w:szCs w:val="24"/>
        </w:rPr>
      </w:pPr>
      <w:r w:rsidRPr="00E76B02">
        <w:rPr>
          <w:noProof/>
          <w:sz w:val="24"/>
          <w:szCs w:val="24"/>
        </w:rPr>
        <w:lastRenderedPageBreak/>
        <w:drawing>
          <wp:inline distT="0" distB="0" distL="0" distR="0" wp14:anchorId="37793652" wp14:editId="169C6624">
            <wp:extent cx="5664200" cy="1950720"/>
            <wp:effectExtent l="0" t="0" r="0" b="0"/>
            <wp:docPr id="4" name="Picture 4" descr="C:\Users\nchung\Downloads\Thuy san _T10-25-0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nchung\Downloads\Thuy san _T10-25-02 (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65606" cy="1951204"/>
                    </a:xfrm>
                    <a:prstGeom prst="rect">
                      <a:avLst/>
                    </a:prstGeom>
                    <a:noFill/>
                    <a:ln>
                      <a:noFill/>
                    </a:ln>
                  </pic:spPr>
                </pic:pic>
              </a:graphicData>
            </a:graphic>
          </wp:inline>
        </w:drawing>
      </w:r>
    </w:p>
    <w:p w14:paraId="2DC3E91A" w14:textId="73035DCE" w:rsidR="00550671" w:rsidRPr="00E76B02" w:rsidRDefault="0075763C" w:rsidP="00393919">
      <w:pPr>
        <w:spacing w:before="120" w:after="120" w:line="264" w:lineRule="auto"/>
        <w:ind w:firstLine="720"/>
        <w:jc w:val="both"/>
      </w:pPr>
      <w:r w:rsidRPr="00E76B02">
        <w:t>Generally,</w:t>
      </w:r>
      <w:r w:rsidR="00550671" w:rsidRPr="00E76B02">
        <w:t xml:space="preserve"> </w:t>
      </w:r>
      <w:r w:rsidR="00555A87" w:rsidRPr="00E76B02">
        <w:t>in</w:t>
      </w:r>
      <w:r w:rsidR="00550671" w:rsidRPr="00E76B02">
        <w:t xml:space="preserve"> </w:t>
      </w:r>
      <w:r w:rsidR="00F60ECF">
        <w:t xml:space="preserve">the </w:t>
      </w:r>
      <w:r w:rsidR="00DB34FC" w:rsidRPr="00E76B02">
        <w:t>1</w:t>
      </w:r>
      <w:r w:rsidR="00220517" w:rsidRPr="00E76B02">
        <w:t>1</w:t>
      </w:r>
      <w:r w:rsidR="00550671" w:rsidRPr="00E76B02">
        <w:t xml:space="preserve"> months of 2025, the total capture fisheries and aquaculture production w</w:t>
      </w:r>
      <w:r w:rsidR="00F60ECF">
        <w:t>ere</w:t>
      </w:r>
      <w:r w:rsidR="00550671" w:rsidRPr="00E76B02">
        <w:t xml:space="preserve"> estimated at </w:t>
      </w:r>
      <w:r w:rsidR="00220517" w:rsidRPr="00E76B02">
        <w:t>9</w:t>
      </w:r>
      <w:r w:rsidR="00550671" w:rsidRPr="00E76B02">
        <w:t>,</w:t>
      </w:r>
      <w:r w:rsidR="00220517" w:rsidRPr="00E76B02">
        <w:t>049</w:t>
      </w:r>
      <w:r w:rsidR="00550671" w:rsidRPr="00E76B02">
        <w:t>.</w:t>
      </w:r>
      <w:r w:rsidR="00220517" w:rsidRPr="00E76B02">
        <w:t>6</w:t>
      </w:r>
      <w:r w:rsidR="00550671" w:rsidRPr="00E76B02">
        <w:t xml:space="preserve"> thousand to</w:t>
      </w:r>
      <w:r w:rsidR="00DB34FC" w:rsidRPr="00E76B02">
        <w:t xml:space="preserve">ns, a year-on-year growth of </w:t>
      </w:r>
      <w:r w:rsidR="00220517" w:rsidRPr="00E76B02">
        <w:t>2</w:t>
      </w:r>
      <w:r w:rsidR="00DB34FC" w:rsidRPr="00E76B02">
        <w:t>.</w:t>
      </w:r>
      <w:r w:rsidR="00220517" w:rsidRPr="00E76B02">
        <w:t>9</w:t>
      </w:r>
      <w:r w:rsidR="00550671" w:rsidRPr="00E76B02">
        <w:t xml:space="preserve">%, of which, fish reached </w:t>
      </w:r>
      <w:r w:rsidR="00220517" w:rsidRPr="00E76B02">
        <w:t>6</w:t>
      </w:r>
      <w:r w:rsidR="00550671" w:rsidRPr="00E76B02">
        <w:t>,</w:t>
      </w:r>
      <w:r w:rsidR="00220517" w:rsidRPr="00E76B02">
        <w:t>362</w:t>
      </w:r>
      <w:r w:rsidR="00550671" w:rsidRPr="00E76B02">
        <w:t>.</w:t>
      </w:r>
      <w:r w:rsidR="00220517" w:rsidRPr="00E76B02">
        <w:t>4</w:t>
      </w:r>
      <w:r w:rsidR="00550671" w:rsidRPr="00E76B02">
        <w:t xml:space="preserve"> thousand tons, </w:t>
      </w:r>
      <w:r w:rsidR="00864E69" w:rsidRPr="00E76B02">
        <w:t>increas</w:t>
      </w:r>
      <w:r w:rsidR="00864E69">
        <w:t>ing</w:t>
      </w:r>
      <w:r w:rsidR="00864E69" w:rsidRPr="00E76B02">
        <w:t xml:space="preserve"> </w:t>
      </w:r>
      <w:r w:rsidR="00F474BB" w:rsidRPr="00E76B02">
        <w:t xml:space="preserve">by </w:t>
      </w:r>
      <w:r w:rsidR="00550671" w:rsidRPr="00E76B02">
        <w:t>2.</w:t>
      </w:r>
      <w:r w:rsidR="00220517" w:rsidRPr="00E76B02">
        <w:t>6</w:t>
      </w:r>
      <w:r w:rsidR="00550671" w:rsidRPr="00E76B02">
        <w:t xml:space="preserve">%; shrimp reached </w:t>
      </w:r>
      <w:r w:rsidR="00DB34FC" w:rsidRPr="00E76B02">
        <w:t>1,</w:t>
      </w:r>
      <w:r w:rsidR="00220517" w:rsidRPr="00E76B02">
        <w:t>413</w:t>
      </w:r>
      <w:r w:rsidR="00DB34FC" w:rsidRPr="00E76B02">
        <w:t>.</w:t>
      </w:r>
      <w:r w:rsidR="00220517" w:rsidRPr="00E76B02">
        <w:t>9</w:t>
      </w:r>
      <w:r w:rsidR="00550671" w:rsidRPr="00E76B02">
        <w:t xml:space="preserve"> thousand tons, </w:t>
      </w:r>
      <w:r w:rsidR="00864E69" w:rsidRPr="00E76B02">
        <w:t>r</w:t>
      </w:r>
      <w:r w:rsidR="00864E69">
        <w:t>i</w:t>
      </w:r>
      <w:r w:rsidR="00864E69" w:rsidRPr="00E76B02">
        <w:t>s</w:t>
      </w:r>
      <w:r w:rsidR="00864E69">
        <w:t>ing</w:t>
      </w:r>
      <w:r w:rsidR="00864E69" w:rsidRPr="00E76B02">
        <w:t xml:space="preserve"> </w:t>
      </w:r>
      <w:r w:rsidR="00F474BB" w:rsidRPr="00E76B02">
        <w:t xml:space="preserve">by </w:t>
      </w:r>
      <w:r w:rsidR="00550671" w:rsidRPr="00E76B02">
        <w:t>5.</w:t>
      </w:r>
      <w:r w:rsidR="00220517" w:rsidRPr="00E76B02">
        <w:t>5</w:t>
      </w:r>
      <w:r w:rsidR="00550671" w:rsidRPr="00E76B02">
        <w:t xml:space="preserve">%; other aquatic products reached </w:t>
      </w:r>
      <w:r w:rsidR="00DB34FC" w:rsidRPr="00E76B02">
        <w:t>1,</w:t>
      </w:r>
      <w:r w:rsidR="00220517" w:rsidRPr="00E76B02">
        <w:t>273</w:t>
      </w:r>
      <w:r w:rsidR="00DB34FC" w:rsidRPr="00E76B02">
        <w:t xml:space="preserve">.3 </w:t>
      </w:r>
      <w:r w:rsidR="00550671" w:rsidRPr="00E76B02">
        <w:t>thousand tons,</w:t>
      </w:r>
      <w:r w:rsidR="00F474BB" w:rsidRPr="00E76B02">
        <w:t xml:space="preserve"> </w:t>
      </w:r>
      <w:r w:rsidR="00864E69" w:rsidRPr="00E76B02">
        <w:t>gr</w:t>
      </w:r>
      <w:r w:rsidR="00864E69">
        <w:t>o</w:t>
      </w:r>
      <w:r w:rsidR="00864E69" w:rsidRPr="00E76B02">
        <w:t>w</w:t>
      </w:r>
      <w:r w:rsidR="00864E69">
        <w:t>ing</w:t>
      </w:r>
      <w:r w:rsidR="00864E69" w:rsidRPr="00E76B02">
        <w:t xml:space="preserve"> </w:t>
      </w:r>
      <w:r w:rsidR="00F474BB" w:rsidRPr="00E76B02">
        <w:t xml:space="preserve">by </w:t>
      </w:r>
      <w:r w:rsidR="00220517" w:rsidRPr="00E76B02">
        <w:t>1</w:t>
      </w:r>
      <w:r w:rsidR="00550671" w:rsidRPr="00E76B02">
        <w:t>.</w:t>
      </w:r>
      <w:r w:rsidR="00220517" w:rsidRPr="00E76B02">
        <w:t>9</w:t>
      </w:r>
      <w:r w:rsidR="00550671" w:rsidRPr="00E76B02">
        <w:t>%.</w:t>
      </w:r>
    </w:p>
    <w:p w14:paraId="6D3539F4" w14:textId="77777777" w:rsidR="000D4591" w:rsidRPr="00E76B02" w:rsidRDefault="000D4591" w:rsidP="000D4591">
      <w:pPr>
        <w:widowControl w:val="0"/>
        <w:spacing w:before="120" w:after="120" w:line="264" w:lineRule="auto"/>
        <w:ind w:firstLine="720"/>
        <w:jc w:val="both"/>
        <w:rPr>
          <w:b/>
          <w:bCs/>
        </w:rPr>
      </w:pPr>
      <w:r w:rsidRPr="00E76B02">
        <w:rPr>
          <w:b/>
        </w:rPr>
        <w:t>2. Industrial production</w:t>
      </w:r>
    </w:p>
    <w:p w14:paraId="2DFD270D" w14:textId="7C9CC112" w:rsidR="000D4591" w:rsidRPr="00E76B02" w:rsidRDefault="000D4591" w:rsidP="000D4591">
      <w:pPr>
        <w:widowControl w:val="0"/>
        <w:shd w:val="clear" w:color="auto" w:fill="FFFFFF"/>
        <w:spacing w:after="120" w:line="264" w:lineRule="auto"/>
        <w:ind w:firstLine="720"/>
        <w:jc w:val="both"/>
        <w:rPr>
          <w:i/>
        </w:rPr>
      </w:pPr>
      <w:r w:rsidRPr="00E76B02">
        <w:rPr>
          <w:i/>
        </w:rPr>
        <w:t xml:space="preserve">November's industrial production continued its upward trend, </w:t>
      </w:r>
      <w:r w:rsidR="00945EFF">
        <w:rPr>
          <w:i/>
        </w:rPr>
        <w:t>as</w:t>
      </w:r>
      <w:r w:rsidRPr="00E76B02">
        <w:rPr>
          <w:i/>
        </w:rPr>
        <w:t xml:space="preserve"> businesses </w:t>
      </w:r>
      <w:r w:rsidR="00945EFF" w:rsidRPr="00E76B02">
        <w:rPr>
          <w:i/>
        </w:rPr>
        <w:t>accelerat</w:t>
      </w:r>
      <w:r w:rsidR="00945EFF">
        <w:rPr>
          <w:i/>
        </w:rPr>
        <w:t>ed</w:t>
      </w:r>
      <w:r w:rsidR="00945EFF" w:rsidRPr="00E76B02">
        <w:rPr>
          <w:i/>
        </w:rPr>
        <w:t xml:space="preserve"> </w:t>
      </w:r>
      <w:r w:rsidR="00945EFF">
        <w:rPr>
          <w:i/>
        </w:rPr>
        <w:t>production</w:t>
      </w:r>
      <w:r w:rsidR="00945EFF" w:rsidRPr="00E76B02">
        <w:rPr>
          <w:i/>
        </w:rPr>
        <w:t xml:space="preserve"> </w:t>
      </w:r>
      <w:r w:rsidRPr="00E76B02">
        <w:rPr>
          <w:i/>
        </w:rPr>
        <w:t xml:space="preserve">to meet year-end demand for both domestic sales and exports. In November, the Index of Industrial Production (IIP) was estimated </w:t>
      </w:r>
      <w:r w:rsidR="00945EFF">
        <w:rPr>
          <w:i/>
        </w:rPr>
        <w:t xml:space="preserve">to </w:t>
      </w:r>
      <w:r w:rsidRPr="00E76B02">
        <w:rPr>
          <w:i/>
        </w:rPr>
        <w:t xml:space="preserve">grow </w:t>
      </w:r>
      <w:r w:rsidR="00945EFF">
        <w:rPr>
          <w:i/>
        </w:rPr>
        <w:t>by</w:t>
      </w:r>
      <w:r w:rsidRPr="00E76B02">
        <w:rPr>
          <w:i/>
        </w:rPr>
        <w:t xml:space="preserve"> 2.3% month-on-month and 10.8% year-on-year</w:t>
      </w:r>
      <w:r w:rsidRPr="00E76B02">
        <w:rPr>
          <w:rFonts w:eastAsia="DengXian Light"/>
          <w:i/>
          <w:vertAlign w:val="superscript"/>
        </w:rPr>
        <w:footnoteReference w:id="8"/>
      </w:r>
      <w:r w:rsidRPr="00E76B02">
        <w:rPr>
          <w:i/>
        </w:rPr>
        <w:t xml:space="preserve">. </w:t>
      </w:r>
      <w:r w:rsidR="00E76B02" w:rsidRPr="00E76B02">
        <w:rPr>
          <w:i/>
        </w:rPr>
        <w:t>Generally,</w:t>
      </w:r>
      <w:r w:rsidRPr="00E76B02">
        <w:rPr>
          <w:i/>
        </w:rPr>
        <w:t xml:space="preserve"> for </w:t>
      </w:r>
      <w:r w:rsidR="00FE4438">
        <w:rPr>
          <w:i/>
        </w:rPr>
        <w:t xml:space="preserve">the </w:t>
      </w:r>
      <w:r w:rsidRPr="00E76B02">
        <w:rPr>
          <w:i/>
        </w:rPr>
        <w:t>11 months of 2025, the IIP grew by 9.3% over the same period last year.</w:t>
      </w:r>
    </w:p>
    <w:p w14:paraId="63CFD64B" w14:textId="703994BA" w:rsidR="000D4591" w:rsidRPr="00E76B02" w:rsidRDefault="000D4591" w:rsidP="000D4591">
      <w:pPr>
        <w:widowControl w:val="0"/>
        <w:shd w:val="clear" w:color="auto" w:fill="FFFFFF"/>
        <w:tabs>
          <w:tab w:val="left" w:pos="8931"/>
        </w:tabs>
        <w:spacing w:after="120" w:line="264" w:lineRule="auto"/>
        <w:ind w:firstLine="720"/>
        <w:jc w:val="both"/>
      </w:pPr>
      <w:r w:rsidRPr="0075763C">
        <w:rPr>
          <w:i/>
        </w:rPr>
        <w:t>In November, the IIP</w:t>
      </w:r>
      <w:r w:rsidRPr="00E76B02">
        <w:t xml:space="preserve"> was estimated </w:t>
      </w:r>
      <w:r w:rsidR="00FB2108">
        <w:t xml:space="preserve">to </w:t>
      </w:r>
      <w:r w:rsidRPr="00E76B02">
        <w:t xml:space="preserve">grow </w:t>
      </w:r>
      <w:r w:rsidR="00FB2108">
        <w:t>by</w:t>
      </w:r>
      <w:r w:rsidRPr="00E76B02">
        <w:t xml:space="preserve"> 2.3% month-on-month</w:t>
      </w:r>
      <w:r w:rsidRPr="00E76B02">
        <w:rPr>
          <w:rFonts w:eastAsia="DengXian Light"/>
          <w:vertAlign w:val="superscript"/>
        </w:rPr>
        <w:footnoteReference w:id="9"/>
      </w:r>
      <w:r w:rsidRPr="00E76B02">
        <w:t xml:space="preserve"> and 10.8% year-on-year. Specifically, the manufacturing recorded a year-on-year increase of 11.8%; the mining and quarrying rose by 7.0%; the water supply, sewerage, waste management and remediation activities grew by 6.5%; and </w:t>
      </w:r>
      <w:r w:rsidR="00FB2108">
        <w:t>the</w:t>
      </w:r>
      <w:r w:rsidRPr="00E76B02">
        <w:t xml:space="preserve"> electricity</w:t>
      </w:r>
      <w:r w:rsidR="00FB2108">
        <w:t xml:space="preserve"> supply</w:t>
      </w:r>
      <w:r w:rsidRPr="00E76B02">
        <w:t xml:space="preserve"> increased by 5.8%.  </w:t>
      </w:r>
    </w:p>
    <w:p w14:paraId="375CDA68" w14:textId="6C0BA38C" w:rsidR="000D4591" w:rsidRPr="00E76B02" w:rsidRDefault="00E76B02" w:rsidP="000D4591">
      <w:pPr>
        <w:widowControl w:val="0"/>
        <w:shd w:val="clear" w:color="auto" w:fill="FFFFFF"/>
        <w:tabs>
          <w:tab w:val="left" w:pos="8931"/>
        </w:tabs>
        <w:spacing w:after="120" w:line="264" w:lineRule="auto"/>
        <w:ind w:firstLine="720"/>
        <w:jc w:val="both"/>
        <w:rPr>
          <w:spacing w:val="-2"/>
        </w:rPr>
      </w:pPr>
      <w:r w:rsidRPr="00E76B02">
        <w:rPr>
          <w:i/>
          <w:iCs/>
        </w:rPr>
        <w:t>Generally,</w:t>
      </w:r>
      <w:r w:rsidR="000D4591" w:rsidRPr="00E76B02">
        <w:rPr>
          <w:i/>
          <w:iCs/>
        </w:rPr>
        <w:t xml:space="preserve"> for 11 months of 2025</w:t>
      </w:r>
      <w:r w:rsidR="000D4591" w:rsidRPr="00E76B02">
        <w:t xml:space="preserve">, the IIP was estimated to grow by 9.3% over the same period last year (the corresponding figure in 2024 was 8.3%). Specifically, the manufacturing grew by 10.6% (the corresponding figure in 2024 was 9.6%), contributing 8.5 percentage points to the overall growth; the water supply, sewerage, waste management and remediation activities increased by 8.4% (versus 10.2% in 2024), contributing 0.1 percentage points; the </w:t>
      </w:r>
      <w:r w:rsidR="00F661A2" w:rsidRPr="00E76B02">
        <w:t>electricity</w:t>
      </w:r>
      <w:r w:rsidR="00F661A2">
        <w:t xml:space="preserve"> supply</w:t>
      </w:r>
      <w:r w:rsidR="000D4591" w:rsidRPr="00E76B02">
        <w:t xml:space="preserve"> rose by 6.5% (versus 9.8% in 2024), contributing 0.6 percentage points; the mining and quarrying grew by 0.9% (6.7% decline in the same period of </w:t>
      </w:r>
      <w:r w:rsidR="000D4591" w:rsidRPr="00E76B02">
        <w:lastRenderedPageBreak/>
        <w:t>2024), contributing 0.1 percentage points.</w:t>
      </w:r>
    </w:p>
    <w:p w14:paraId="0033957C" w14:textId="4728D54D" w:rsidR="000D4591" w:rsidRPr="00E76B02" w:rsidRDefault="000D4591" w:rsidP="000D4591">
      <w:pPr>
        <w:widowControl w:val="0"/>
        <w:shd w:val="clear" w:color="auto" w:fill="FFFFFF"/>
        <w:tabs>
          <w:tab w:val="left" w:pos="8931"/>
        </w:tabs>
        <w:spacing w:after="120" w:line="264" w:lineRule="auto"/>
        <w:ind w:firstLine="720"/>
        <w:jc w:val="both"/>
      </w:pPr>
      <w:r w:rsidRPr="00E76B02">
        <w:rPr>
          <w:i/>
          <w:iCs/>
        </w:rPr>
        <w:t xml:space="preserve">In </w:t>
      </w:r>
      <w:r w:rsidR="00FE4438">
        <w:rPr>
          <w:i/>
          <w:iCs/>
        </w:rPr>
        <w:t xml:space="preserve">the </w:t>
      </w:r>
      <w:r w:rsidRPr="00E76B02">
        <w:rPr>
          <w:i/>
          <w:iCs/>
        </w:rPr>
        <w:t>11 months of 2025, the IIP of several key 2-digit activities experienced a year-on-year increase as follows:</w:t>
      </w:r>
      <w:r w:rsidRPr="00E76B02">
        <w:t xml:space="preserve"> manufacture of motor vehicles 22.0%;</w:t>
      </w:r>
      <w:r w:rsidR="00F661A2">
        <w:t xml:space="preserve"> </w:t>
      </w:r>
      <w:r w:rsidRPr="00E76B02">
        <w:t>manufacture of other non-metallic mineral products 16.5%; manufacture of rubber and plastic products 16.4%; manufacture of basic metals 15.5%; manufacture of wearing apparel 13.5%; manufacture of fabricated metal products (except machinery and equipment) 12.6%; manufacture of paper and paper products 11.6%; manufacture of leather and related products 11.2%; manufacture of chemicals and chemical products 11.2%; manufacture of coke, refined petroleum products 10.6%; manufacture of food products 10.5%; manufacture of furniture 10.1%; manufacture of computer, electronic and optical products 8.5%. Conversely, the IIP for some activities nudged up or decreased as follows: mining of hard coal and lignite nudged up 3.7%; extraction of crude petroleum and natural gas reduced by 2.7%.</w:t>
      </w:r>
    </w:p>
    <w:p w14:paraId="55FA7762" w14:textId="77777777" w:rsidR="000D4591" w:rsidRPr="00E76B02" w:rsidRDefault="000D4591" w:rsidP="000D4591">
      <w:pPr>
        <w:shd w:val="clear" w:color="auto" w:fill="FFFFFF"/>
        <w:tabs>
          <w:tab w:val="left" w:pos="8931"/>
        </w:tabs>
        <w:spacing w:before="120" w:after="120" w:line="252" w:lineRule="auto"/>
        <w:jc w:val="center"/>
        <w:rPr>
          <w:rFonts w:ascii="Arial" w:hAnsi="Arial" w:cs="Arial"/>
          <w:b/>
          <w:sz w:val="24"/>
          <w:szCs w:val="22"/>
        </w:rPr>
      </w:pPr>
      <w:r w:rsidRPr="00E76B02">
        <w:rPr>
          <w:rFonts w:ascii="Arial" w:hAnsi="Arial"/>
          <w:b/>
          <w:sz w:val="24"/>
        </w:rPr>
        <w:t xml:space="preserve">Table 1. Year-on-year IIP growth rate for 11 months in the period of 2021 - 2025 for several key industrial activities </w:t>
      </w:r>
    </w:p>
    <w:p w14:paraId="04C2D36F" w14:textId="77777777" w:rsidR="000D4591" w:rsidRPr="00E76B02" w:rsidRDefault="000D4591" w:rsidP="000D4591">
      <w:pPr>
        <w:shd w:val="clear" w:color="auto" w:fill="FFFFFF"/>
        <w:tabs>
          <w:tab w:val="left" w:pos="8931"/>
        </w:tabs>
        <w:spacing w:before="60"/>
        <w:jc w:val="right"/>
        <w:rPr>
          <w:rFonts w:ascii="Arial" w:hAnsi="Arial" w:cs="Arial"/>
          <w:b/>
          <w:bCs/>
          <w:i/>
          <w:iCs/>
          <w:sz w:val="20"/>
          <w:szCs w:val="20"/>
        </w:rPr>
      </w:pPr>
      <w:r w:rsidRPr="00E76B02">
        <w:rPr>
          <w:rFonts w:ascii="Arial" w:hAnsi="Arial"/>
          <w:b/>
          <w:i/>
          <w:sz w:val="20"/>
        </w:rPr>
        <w:t xml:space="preserve">   %</w:t>
      </w:r>
    </w:p>
    <w:tbl>
      <w:tblPr>
        <w:tblW w:w="9245" w:type="dxa"/>
        <w:jc w:val="center"/>
        <w:tblBorders>
          <w:top w:val="single" w:sz="4" w:space="0" w:color="auto"/>
        </w:tblBorders>
        <w:tblLook w:val="04A0" w:firstRow="1" w:lastRow="0" w:firstColumn="1" w:lastColumn="0" w:noHBand="0" w:noVBand="1"/>
      </w:tblPr>
      <w:tblGrid>
        <w:gridCol w:w="4536"/>
        <w:gridCol w:w="999"/>
        <w:gridCol w:w="986"/>
        <w:gridCol w:w="1027"/>
        <w:gridCol w:w="841"/>
        <w:gridCol w:w="856"/>
      </w:tblGrid>
      <w:tr w:rsidR="000D4591" w:rsidRPr="00E76B02" w14:paraId="1DD85FF4" w14:textId="77777777" w:rsidTr="00E76B02">
        <w:trPr>
          <w:trHeight w:val="578"/>
          <w:tblHeader/>
          <w:jc w:val="center"/>
        </w:trPr>
        <w:tc>
          <w:tcPr>
            <w:tcW w:w="4536" w:type="dxa"/>
            <w:tcBorders>
              <w:top w:val="single" w:sz="4" w:space="0" w:color="auto"/>
              <w:left w:val="nil"/>
              <w:bottom w:val="nil"/>
              <w:right w:val="nil"/>
            </w:tcBorders>
            <w:shd w:val="clear" w:color="auto" w:fill="FFFFFF"/>
            <w:hideMark/>
          </w:tcPr>
          <w:p w14:paraId="4135E93E" w14:textId="77777777" w:rsidR="000D4591" w:rsidRPr="00E76B02" w:rsidRDefault="000D4591" w:rsidP="00E76B02">
            <w:pPr>
              <w:spacing w:before="20" w:after="20" w:line="254" w:lineRule="auto"/>
              <w:jc w:val="center"/>
              <w:rPr>
                <w:rFonts w:ascii="Arial" w:hAnsi="Arial" w:cs="Arial"/>
                <w:b/>
                <w:bCs/>
                <w:sz w:val="20"/>
                <w:szCs w:val="20"/>
              </w:rPr>
            </w:pPr>
            <w:r w:rsidRPr="00E76B02">
              <w:rPr>
                <w:rFonts w:ascii="Arial" w:hAnsi="Arial"/>
                <w:b/>
                <w:sz w:val="20"/>
              </w:rPr>
              <w:t> </w:t>
            </w:r>
          </w:p>
        </w:tc>
        <w:tc>
          <w:tcPr>
            <w:tcW w:w="999" w:type="dxa"/>
            <w:tcBorders>
              <w:top w:val="single" w:sz="4" w:space="0" w:color="auto"/>
              <w:left w:val="nil"/>
              <w:bottom w:val="single" w:sz="4" w:space="0" w:color="auto"/>
              <w:right w:val="nil"/>
            </w:tcBorders>
            <w:vAlign w:val="center"/>
            <w:hideMark/>
          </w:tcPr>
          <w:p w14:paraId="4C41D7E6" w14:textId="77777777" w:rsidR="000D4591" w:rsidRPr="00E76B02" w:rsidRDefault="000D4591" w:rsidP="00E76B02">
            <w:pPr>
              <w:spacing w:before="20" w:after="20" w:line="254" w:lineRule="auto"/>
              <w:jc w:val="right"/>
              <w:rPr>
                <w:rFonts w:ascii="Arial" w:hAnsi="Arial" w:cs="Arial"/>
                <w:b/>
                <w:bCs/>
                <w:sz w:val="20"/>
                <w:szCs w:val="20"/>
              </w:rPr>
            </w:pPr>
            <w:r w:rsidRPr="00E76B02">
              <w:rPr>
                <w:rFonts w:ascii="Arial" w:hAnsi="Arial"/>
                <w:b/>
                <w:sz w:val="20"/>
              </w:rPr>
              <w:t>2021</w:t>
            </w:r>
          </w:p>
        </w:tc>
        <w:tc>
          <w:tcPr>
            <w:tcW w:w="986" w:type="dxa"/>
            <w:tcBorders>
              <w:top w:val="single" w:sz="4" w:space="0" w:color="auto"/>
              <w:left w:val="nil"/>
              <w:bottom w:val="single" w:sz="4" w:space="0" w:color="auto"/>
              <w:right w:val="nil"/>
            </w:tcBorders>
            <w:vAlign w:val="center"/>
            <w:hideMark/>
          </w:tcPr>
          <w:p w14:paraId="15046D5F" w14:textId="77777777" w:rsidR="000D4591" w:rsidRPr="00E76B02" w:rsidRDefault="000D4591" w:rsidP="00E76B02">
            <w:pPr>
              <w:spacing w:before="20" w:after="20" w:line="254" w:lineRule="auto"/>
              <w:jc w:val="right"/>
              <w:rPr>
                <w:rFonts w:ascii="Arial" w:hAnsi="Arial" w:cs="Arial"/>
                <w:b/>
                <w:bCs/>
                <w:sz w:val="20"/>
                <w:szCs w:val="20"/>
              </w:rPr>
            </w:pPr>
            <w:r w:rsidRPr="00E76B02">
              <w:rPr>
                <w:rFonts w:ascii="Arial" w:hAnsi="Arial"/>
                <w:b/>
                <w:sz w:val="20"/>
              </w:rPr>
              <w:t xml:space="preserve"> 2022</w:t>
            </w:r>
          </w:p>
        </w:tc>
        <w:tc>
          <w:tcPr>
            <w:tcW w:w="1027" w:type="dxa"/>
            <w:tcBorders>
              <w:top w:val="single" w:sz="4" w:space="0" w:color="auto"/>
              <w:left w:val="nil"/>
              <w:bottom w:val="single" w:sz="4" w:space="0" w:color="auto"/>
              <w:right w:val="nil"/>
            </w:tcBorders>
            <w:vAlign w:val="center"/>
            <w:hideMark/>
          </w:tcPr>
          <w:p w14:paraId="65E48EAE" w14:textId="77777777" w:rsidR="000D4591" w:rsidRPr="00E76B02" w:rsidRDefault="000D4591" w:rsidP="00E76B02">
            <w:pPr>
              <w:spacing w:before="20" w:after="20" w:line="254" w:lineRule="auto"/>
              <w:jc w:val="right"/>
              <w:rPr>
                <w:rFonts w:ascii="Arial" w:hAnsi="Arial" w:cs="Arial"/>
                <w:b/>
                <w:bCs/>
                <w:sz w:val="20"/>
                <w:szCs w:val="20"/>
              </w:rPr>
            </w:pPr>
            <w:r w:rsidRPr="00E76B02">
              <w:rPr>
                <w:rFonts w:ascii="Arial" w:hAnsi="Arial"/>
                <w:b/>
                <w:sz w:val="20"/>
              </w:rPr>
              <w:t>2023</w:t>
            </w:r>
          </w:p>
        </w:tc>
        <w:tc>
          <w:tcPr>
            <w:tcW w:w="841" w:type="dxa"/>
            <w:tcBorders>
              <w:top w:val="single" w:sz="4" w:space="0" w:color="auto"/>
              <w:left w:val="nil"/>
              <w:bottom w:val="single" w:sz="4" w:space="0" w:color="auto"/>
              <w:right w:val="nil"/>
            </w:tcBorders>
            <w:vAlign w:val="center"/>
            <w:hideMark/>
          </w:tcPr>
          <w:p w14:paraId="0C4299C2" w14:textId="77777777" w:rsidR="000D4591" w:rsidRPr="00E76B02" w:rsidRDefault="000D4591" w:rsidP="00E76B02">
            <w:pPr>
              <w:spacing w:before="20" w:after="20" w:line="254" w:lineRule="auto"/>
              <w:jc w:val="right"/>
              <w:rPr>
                <w:rFonts w:ascii="Arial" w:hAnsi="Arial" w:cs="Arial"/>
                <w:b/>
                <w:bCs/>
                <w:sz w:val="20"/>
                <w:szCs w:val="20"/>
              </w:rPr>
            </w:pPr>
            <w:r w:rsidRPr="00E76B02">
              <w:rPr>
                <w:rFonts w:ascii="Arial" w:hAnsi="Arial"/>
                <w:b/>
                <w:sz w:val="20"/>
              </w:rPr>
              <w:t>2024</w:t>
            </w:r>
          </w:p>
        </w:tc>
        <w:tc>
          <w:tcPr>
            <w:tcW w:w="856" w:type="dxa"/>
            <w:tcBorders>
              <w:top w:val="single" w:sz="4" w:space="0" w:color="auto"/>
              <w:left w:val="nil"/>
              <w:bottom w:val="single" w:sz="4" w:space="0" w:color="auto"/>
              <w:right w:val="nil"/>
            </w:tcBorders>
            <w:vAlign w:val="center"/>
            <w:hideMark/>
          </w:tcPr>
          <w:p w14:paraId="72115435" w14:textId="77777777" w:rsidR="000D4591" w:rsidRPr="00E76B02" w:rsidRDefault="000D4591" w:rsidP="00E76B02">
            <w:pPr>
              <w:spacing w:before="20" w:after="20" w:line="254" w:lineRule="auto"/>
              <w:jc w:val="right"/>
              <w:rPr>
                <w:rFonts w:ascii="Arial" w:hAnsi="Arial" w:cs="Arial"/>
                <w:b/>
                <w:bCs/>
                <w:sz w:val="20"/>
                <w:szCs w:val="20"/>
              </w:rPr>
            </w:pPr>
            <w:r w:rsidRPr="00E76B02">
              <w:rPr>
                <w:rFonts w:ascii="Arial" w:hAnsi="Arial"/>
                <w:b/>
                <w:sz w:val="20"/>
              </w:rPr>
              <w:t>2025</w:t>
            </w:r>
          </w:p>
        </w:tc>
      </w:tr>
      <w:tr w:rsidR="000D4591" w:rsidRPr="00E76B02" w14:paraId="69DE0E12" w14:textId="77777777" w:rsidTr="00E76B02">
        <w:trPr>
          <w:trHeight w:val="51"/>
          <w:jc w:val="center"/>
        </w:trPr>
        <w:tc>
          <w:tcPr>
            <w:tcW w:w="4536" w:type="dxa"/>
            <w:tcBorders>
              <w:top w:val="nil"/>
              <w:left w:val="nil"/>
              <w:bottom w:val="nil"/>
              <w:right w:val="nil"/>
            </w:tcBorders>
            <w:shd w:val="clear" w:color="auto" w:fill="FFFFFF"/>
          </w:tcPr>
          <w:p w14:paraId="10E5E04C" w14:textId="77777777" w:rsidR="000D4591" w:rsidRPr="00E76B02" w:rsidRDefault="000D4591" w:rsidP="00E76B02">
            <w:pPr>
              <w:spacing w:before="20" w:after="20" w:line="254" w:lineRule="auto"/>
              <w:jc w:val="center"/>
              <w:rPr>
                <w:rFonts w:ascii="Arial" w:hAnsi="Arial" w:cs="Arial"/>
                <w:b/>
                <w:bCs/>
                <w:sz w:val="20"/>
                <w:szCs w:val="20"/>
              </w:rPr>
            </w:pPr>
          </w:p>
        </w:tc>
        <w:tc>
          <w:tcPr>
            <w:tcW w:w="999" w:type="dxa"/>
            <w:tcBorders>
              <w:top w:val="single" w:sz="4" w:space="0" w:color="auto"/>
              <w:left w:val="nil"/>
              <w:bottom w:val="nil"/>
              <w:right w:val="nil"/>
            </w:tcBorders>
            <w:vAlign w:val="center"/>
          </w:tcPr>
          <w:p w14:paraId="5DDA701E" w14:textId="77777777" w:rsidR="000D4591" w:rsidRPr="00E76B02" w:rsidRDefault="000D4591" w:rsidP="00E76B02">
            <w:pPr>
              <w:spacing w:before="20" w:after="20" w:line="254" w:lineRule="auto"/>
              <w:jc w:val="center"/>
              <w:rPr>
                <w:rFonts w:ascii="Arial" w:hAnsi="Arial" w:cs="Arial"/>
                <w:b/>
                <w:bCs/>
                <w:sz w:val="20"/>
                <w:szCs w:val="20"/>
              </w:rPr>
            </w:pPr>
          </w:p>
        </w:tc>
        <w:tc>
          <w:tcPr>
            <w:tcW w:w="986" w:type="dxa"/>
            <w:tcBorders>
              <w:top w:val="single" w:sz="4" w:space="0" w:color="auto"/>
              <w:left w:val="nil"/>
              <w:bottom w:val="nil"/>
              <w:right w:val="nil"/>
            </w:tcBorders>
            <w:vAlign w:val="center"/>
          </w:tcPr>
          <w:p w14:paraId="200C04B2" w14:textId="77777777" w:rsidR="000D4591" w:rsidRPr="00E76B02" w:rsidRDefault="000D4591" w:rsidP="00E76B02">
            <w:pPr>
              <w:spacing w:before="20" w:after="20" w:line="254" w:lineRule="auto"/>
              <w:jc w:val="center"/>
              <w:rPr>
                <w:rFonts w:ascii="Arial" w:hAnsi="Arial" w:cs="Arial"/>
                <w:b/>
                <w:bCs/>
                <w:sz w:val="20"/>
                <w:szCs w:val="20"/>
              </w:rPr>
            </w:pPr>
          </w:p>
        </w:tc>
        <w:tc>
          <w:tcPr>
            <w:tcW w:w="1027" w:type="dxa"/>
            <w:tcBorders>
              <w:top w:val="single" w:sz="4" w:space="0" w:color="auto"/>
              <w:left w:val="nil"/>
              <w:bottom w:val="nil"/>
              <w:right w:val="nil"/>
            </w:tcBorders>
            <w:vAlign w:val="center"/>
          </w:tcPr>
          <w:p w14:paraId="081CD352" w14:textId="77777777" w:rsidR="000D4591" w:rsidRPr="00E76B02" w:rsidRDefault="000D4591" w:rsidP="00E76B02">
            <w:pPr>
              <w:spacing w:before="20" w:after="20" w:line="254" w:lineRule="auto"/>
              <w:jc w:val="center"/>
              <w:rPr>
                <w:rFonts w:ascii="Arial" w:hAnsi="Arial" w:cs="Arial"/>
                <w:b/>
                <w:bCs/>
                <w:sz w:val="20"/>
                <w:szCs w:val="20"/>
              </w:rPr>
            </w:pPr>
          </w:p>
        </w:tc>
        <w:tc>
          <w:tcPr>
            <w:tcW w:w="841" w:type="dxa"/>
            <w:tcBorders>
              <w:top w:val="single" w:sz="4" w:space="0" w:color="auto"/>
              <w:left w:val="nil"/>
              <w:bottom w:val="nil"/>
              <w:right w:val="nil"/>
            </w:tcBorders>
            <w:vAlign w:val="center"/>
          </w:tcPr>
          <w:p w14:paraId="54E39C2C" w14:textId="77777777" w:rsidR="000D4591" w:rsidRPr="00E76B02" w:rsidRDefault="000D4591" w:rsidP="00E76B02">
            <w:pPr>
              <w:spacing w:before="20" w:after="20" w:line="254" w:lineRule="auto"/>
              <w:jc w:val="center"/>
              <w:rPr>
                <w:rFonts w:ascii="Arial" w:hAnsi="Arial" w:cs="Arial"/>
                <w:b/>
                <w:bCs/>
                <w:sz w:val="20"/>
                <w:szCs w:val="20"/>
              </w:rPr>
            </w:pPr>
          </w:p>
        </w:tc>
        <w:tc>
          <w:tcPr>
            <w:tcW w:w="856" w:type="dxa"/>
            <w:tcBorders>
              <w:top w:val="single" w:sz="4" w:space="0" w:color="auto"/>
              <w:left w:val="nil"/>
              <w:bottom w:val="nil"/>
              <w:right w:val="nil"/>
            </w:tcBorders>
            <w:vAlign w:val="center"/>
          </w:tcPr>
          <w:p w14:paraId="3AEB2458" w14:textId="77777777" w:rsidR="000D4591" w:rsidRPr="00E76B02" w:rsidRDefault="000D4591" w:rsidP="00E76B02">
            <w:pPr>
              <w:spacing w:before="20" w:after="20" w:line="254" w:lineRule="auto"/>
              <w:jc w:val="center"/>
              <w:rPr>
                <w:rFonts w:ascii="Arial" w:hAnsi="Arial" w:cs="Arial"/>
                <w:b/>
                <w:bCs/>
                <w:sz w:val="20"/>
                <w:szCs w:val="20"/>
              </w:rPr>
            </w:pPr>
          </w:p>
        </w:tc>
      </w:tr>
      <w:tr w:rsidR="000D4591" w:rsidRPr="00E76B02" w14:paraId="7E46106C" w14:textId="77777777" w:rsidTr="00E76B02">
        <w:trPr>
          <w:trHeight w:val="309"/>
          <w:jc w:val="center"/>
        </w:trPr>
        <w:tc>
          <w:tcPr>
            <w:tcW w:w="4536" w:type="dxa"/>
            <w:tcBorders>
              <w:top w:val="nil"/>
              <w:left w:val="nil"/>
              <w:bottom w:val="nil"/>
              <w:right w:val="nil"/>
            </w:tcBorders>
            <w:shd w:val="clear" w:color="auto" w:fill="FFFFFF"/>
            <w:noWrap/>
            <w:hideMark/>
          </w:tcPr>
          <w:p w14:paraId="06CEBB09" w14:textId="77777777" w:rsidR="000D4591" w:rsidRPr="00E76B02" w:rsidRDefault="000D4591" w:rsidP="00E76B02">
            <w:pPr>
              <w:rPr>
                <w:rFonts w:ascii="Arial" w:hAnsi="Arial" w:cs="Arial"/>
                <w:sz w:val="20"/>
                <w:szCs w:val="20"/>
              </w:rPr>
            </w:pPr>
            <w:r w:rsidRPr="00E76B02">
              <w:rPr>
                <w:rFonts w:ascii="Arial" w:hAnsi="Arial"/>
                <w:sz w:val="20"/>
              </w:rPr>
              <w:t>Mining of hard coal and lignite</w:t>
            </w:r>
          </w:p>
        </w:tc>
        <w:tc>
          <w:tcPr>
            <w:tcW w:w="999" w:type="dxa"/>
            <w:tcBorders>
              <w:top w:val="nil"/>
              <w:left w:val="nil"/>
              <w:bottom w:val="nil"/>
              <w:right w:val="nil"/>
            </w:tcBorders>
            <w:hideMark/>
          </w:tcPr>
          <w:p w14:paraId="43E9EA5D" w14:textId="77777777" w:rsidR="000D4591" w:rsidRPr="00E76B02" w:rsidRDefault="000D4591" w:rsidP="00E76B02">
            <w:pPr>
              <w:jc w:val="center"/>
              <w:rPr>
                <w:rFonts w:ascii="Arial" w:hAnsi="Arial" w:cs="Arial"/>
                <w:sz w:val="20"/>
                <w:szCs w:val="20"/>
              </w:rPr>
            </w:pPr>
            <w:r w:rsidRPr="00E76B02">
              <w:rPr>
                <w:rFonts w:ascii="Arial" w:hAnsi="Arial"/>
                <w:sz w:val="20"/>
              </w:rPr>
              <w:t>7.5</w:t>
            </w:r>
          </w:p>
        </w:tc>
        <w:tc>
          <w:tcPr>
            <w:tcW w:w="986" w:type="dxa"/>
            <w:tcBorders>
              <w:top w:val="nil"/>
              <w:left w:val="nil"/>
              <w:bottom w:val="nil"/>
              <w:right w:val="nil"/>
            </w:tcBorders>
            <w:hideMark/>
          </w:tcPr>
          <w:p w14:paraId="7FD0BE0F" w14:textId="77777777" w:rsidR="000D4591" w:rsidRPr="00E76B02" w:rsidRDefault="000D4591" w:rsidP="00E76B02">
            <w:pPr>
              <w:jc w:val="center"/>
              <w:rPr>
                <w:rFonts w:ascii="Arial" w:hAnsi="Arial" w:cs="Arial"/>
                <w:sz w:val="20"/>
                <w:szCs w:val="20"/>
              </w:rPr>
            </w:pPr>
            <w:r w:rsidRPr="00E76B02">
              <w:rPr>
                <w:rFonts w:ascii="Arial" w:hAnsi="Arial"/>
                <w:sz w:val="20"/>
              </w:rPr>
              <w:t>5.8</w:t>
            </w:r>
          </w:p>
        </w:tc>
        <w:tc>
          <w:tcPr>
            <w:tcW w:w="1027" w:type="dxa"/>
            <w:tcBorders>
              <w:top w:val="nil"/>
              <w:left w:val="nil"/>
              <w:bottom w:val="nil"/>
              <w:right w:val="nil"/>
            </w:tcBorders>
            <w:hideMark/>
          </w:tcPr>
          <w:p w14:paraId="06184235" w14:textId="77777777" w:rsidR="000D4591" w:rsidRPr="00E76B02" w:rsidRDefault="000D4591" w:rsidP="00E76B02">
            <w:pPr>
              <w:jc w:val="center"/>
              <w:rPr>
                <w:rFonts w:ascii="Arial" w:hAnsi="Arial" w:cs="Arial"/>
                <w:sz w:val="20"/>
                <w:szCs w:val="20"/>
              </w:rPr>
            </w:pPr>
            <w:r w:rsidRPr="00E76B02">
              <w:rPr>
                <w:rFonts w:ascii="Arial" w:hAnsi="Arial"/>
                <w:sz w:val="20"/>
              </w:rPr>
              <w:t>-0.8</w:t>
            </w:r>
          </w:p>
        </w:tc>
        <w:tc>
          <w:tcPr>
            <w:tcW w:w="841" w:type="dxa"/>
            <w:tcBorders>
              <w:top w:val="nil"/>
              <w:left w:val="nil"/>
              <w:bottom w:val="nil"/>
              <w:right w:val="nil"/>
            </w:tcBorders>
            <w:hideMark/>
          </w:tcPr>
          <w:p w14:paraId="6BB0AF5D" w14:textId="77777777" w:rsidR="000D4591" w:rsidRPr="00E76B02" w:rsidRDefault="000D4591" w:rsidP="00E76B02">
            <w:pPr>
              <w:jc w:val="center"/>
              <w:rPr>
                <w:rFonts w:ascii="Arial" w:hAnsi="Arial" w:cs="Arial"/>
                <w:sz w:val="20"/>
                <w:szCs w:val="20"/>
              </w:rPr>
            </w:pPr>
            <w:r w:rsidRPr="00E76B02">
              <w:rPr>
                <w:rFonts w:ascii="Arial" w:hAnsi="Arial"/>
                <w:sz w:val="20"/>
              </w:rPr>
              <w:t>-5.8</w:t>
            </w:r>
          </w:p>
        </w:tc>
        <w:tc>
          <w:tcPr>
            <w:tcW w:w="856" w:type="dxa"/>
            <w:tcBorders>
              <w:top w:val="nil"/>
              <w:left w:val="nil"/>
              <w:bottom w:val="nil"/>
              <w:right w:val="nil"/>
            </w:tcBorders>
            <w:hideMark/>
          </w:tcPr>
          <w:p w14:paraId="744460E4" w14:textId="77777777" w:rsidR="000D4591" w:rsidRPr="00E76B02" w:rsidRDefault="000D4591" w:rsidP="00E76B02">
            <w:pPr>
              <w:jc w:val="center"/>
              <w:rPr>
                <w:rFonts w:ascii="Arial" w:hAnsi="Arial" w:cs="Arial"/>
                <w:sz w:val="20"/>
                <w:szCs w:val="20"/>
              </w:rPr>
            </w:pPr>
            <w:r w:rsidRPr="00E76B02">
              <w:rPr>
                <w:rFonts w:ascii="Arial" w:hAnsi="Arial"/>
                <w:sz w:val="20"/>
              </w:rPr>
              <w:t>3.7</w:t>
            </w:r>
          </w:p>
        </w:tc>
      </w:tr>
      <w:tr w:rsidR="000D4591" w:rsidRPr="00E76B02" w14:paraId="7EFA3295" w14:textId="77777777" w:rsidTr="00E76B02">
        <w:trPr>
          <w:trHeight w:val="309"/>
          <w:jc w:val="center"/>
        </w:trPr>
        <w:tc>
          <w:tcPr>
            <w:tcW w:w="4536" w:type="dxa"/>
            <w:tcBorders>
              <w:top w:val="nil"/>
              <w:left w:val="nil"/>
              <w:bottom w:val="nil"/>
              <w:right w:val="nil"/>
            </w:tcBorders>
            <w:shd w:val="clear" w:color="auto" w:fill="FFFFFF"/>
            <w:noWrap/>
            <w:hideMark/>
          </w:tcPr>
          <w:p w14:paraId="60F0FA57" w14:textId="77777777" w:rsidR="000D4591" w:rsidRPr="00E76B02" w:rsidRDefault="000D4591" w:rsidP="00E76B02">
            <w:pPr>
              <w:rPr>
                <w:rFonts w:ascii="Arial" w:hAnsi="Arial" w:cs="Arial"/>
                <w:sz w:val="20"/>
                <w:szCs w:val="20"/>
              </w:rPr>
            </w:pPr>
            <w:r w:rsidRPr="00E76B02">
              <w:rPr>
                <w:rFonts w:ascii="Arial" w:hAnsi="Arial"/>
                <w:sz w:val="20"/>
              </w:rPr>
              <w:t>Extraction of crude petroleum and natural</w:t>
            </w:r>
          </w:p>
        </w:tc>
        <w:tc>
          <w:tcPr>
            <w:tcW w:w="999" w:type="dxa"/>
            <w:tcBorders>
              <w:top w:val="nil"/>
              <w:left w:val="nil"/>
              <w:bottom w:val="nil"/>
              <w:right w:val="nil"/>
            </w:tcBorders>
            <w:hideMark/>
          </w:tcPr>
          <w:p w14:paraId="17C0C63B" w14:textId="77777777" w:rsidR="000D4591" w:rsidRPr="00E76B02" w:rsidRDefault="000D4591" w:rsidP="00E76B02">
            <w:pPr>
              <w:jc w:val="center"/>
              <w:rPr>
                <w:rFonts w:ascii="Arial" w:hAnsi="Arial" w:cs="Arial"/>
                <w:sz w:val="20"/>
                <w:szCs w:val="20"/>
              </w:rPr>
            </w:pPr>
            <w:r w:rsidRPr="00E76B02">
              <w:rPr>
                <w:rFonts w:ascii="Arial" w:hAnsi="Arial"/>
                <w:sz w:val="20"/>
              </w:rPr>
              <w:t>-12.6</w:t>
            </w:r>
          </w:p>
        </w:tc>
        <w:tc>
          <w:tcPr>
            <w:tcW w:w="986" w:type="dxa"/>
            <w:tcBorders>
              <w:top w:val="nil"/>
              <w:left w:val="nil"/>
              <w:bottom w:val="nil"/>
              <w:right w:val="nil"/>
            </w:tcBorders>
            <w:hideMark/>
          </w:tcPr>
          <w:p w14:paraId="59818B1E" w14:textId="77777777" w:rsidR="000D4591" w:rsidRPr="00E76B02" w:rsidRDefault="000D4591" w:rsidP="00E76B02">
            <w:pPr>
              <w:jc w:val="center"/>
              <w:rPr>
                <w:rFonts w:ascii="Arial" w:hAnsi="Arial" w:cs="Arial"/>
                <w:sz w:val="20"/>
                <w:szCs w:val="20"/>
              </w:rPr>
            </w:pPr>
            <w:r w:rsidRPr="00E76B02">
              <w:rPr>
                <w:rFonts w:ascii="Arial" w:hAnsi="Arial"/>
                <w:sz w:val="20"/>
              </w:rPr>
              <w:t>4.7</w:t>
            </w:r>
          </w:p>
        </w:tc>
        <w:tc>
          <w:tcPr>
            <w:tcW w:w="1027" w:type="dxa"/>
            <w:tcBorders>
              <w:top w:val="nil"/>
              <w:left w:val="nil"/>
              <w:bottom w:val="nil"/>
              <w:right w:val="nil"/>
            </w:tcBorders>
            <w:hideMark/>
          </w:tcPr>
          <w:p w14:paraId="59C2D4E4" w14:textId="77777777" w:rsidR="000D4591" w:rsidRPr="00E76B02" w:rsidRDefault="000D4591" w:rsidP="00E76B02">
            <w:pPr>
              <w:jc w:val="center"/>
              <w:rPr>
                <w:rFonts w:ascii="Arial" w:hAnsi="Arial" w:cs="Arial"/>
                <w:sz w:val="20"/>
                <w:szCs w:val="20"/>
              </w:rPr>
            </w:pPr>
            <w:r w:rsidRPr="00E76B02">
              <w:rPr>
                <w:rFonts w:ascii="Arial" w:hAnsi="Arial"/>
                <w:sz w:val="20"/>
              </w:rPr>
              <w:t>-4.4</w:t>
            </w:r>
          </w:p>
        </w:tc>
        <w:tc>
          <w:tcPr>
            <w:tcW w:w="841" w:type="dxa"/>
            <w:tcBorders>
              <w:top w:val="nil"/>
              <w:left w:val="nil"/>
              <w:bottom w:val="nil"/>
              <w:right w:val="nil"/>
            </w:tcBorders>
            <w:hideMark/>
          </w:tcPr>
          <w:p w14:paraId="226E0440" w14:textId="77777777" w:rsidR="000D4591" w:rsidRPr="00E76B02" w:rsidRDefault="000D4591" w:rsidP="00E76B02">
            <w:pPr>
              <w:jc w:val="center"/>
              <w:rPr>
                <w:rFonts w:ascii="Arial" w:hAnsi="Arial" w:cs="Arial"/>
                <w:sz w:val="20"/>
                <w:szCs w:val="20"/>
              </w:rPr>
            </w:pPr>
            <w:r w:rsidRPr="00E76B02">
              <w:rPr>
                <w:rFonts w:ascii="Arial" w:hAnsi="Arial"/>
                <w:sz w:val="20"/>
              </w:rPr>
              <w:t>-11.2</w:t>
            </w:r>
          </w:p>
        </w:tc>
        <w:tc>
          <w:tcPr>
            <w:tcW w:w="856" w:type="dxa"/>
            <w:tcBorders>
              <w:top w:val="nil"/>
              <w:left w:val="nil"/>
              <w:bottom w:val="nil"/>
              <w:right w:val="nil"/>
            </w:tcBorders>
            <w:hideMark/>
          </w:tcPr>
          <w:p w14:paraId="71A5C16C" w14:textId="77777777" w:rsidR="000D4591" w:rsidRPr="00E76B02" w:rsidRDefault="000D4591" w:rsidP="00E76B02">
            <w:pPr>
              <w:jc w:val="center"/>
              <w:rPr>
                <w:rFonts w:ascii="Arial" w:hAnsi="Arial" w:cs="Arial"/>
                <w:sz w:val="20"/>
                <w:szCs w:val="20"/>
              </w:rPr>
            </w:pPr>
            <w:r w:rsidRPr="00E76B02">
              <w:rPr>
                <w:rFonts w:ascii="Arial" w:hAnsi="Arial"/>
                <w:sz w:val="20"/>
              </w:rPr>
              <w:t>-2.7</w:t>
            </w:r>
          </w:p>
        </w:tc>
      </w:tr>
      <w:tr w:rsidR="000D4591" w:rsidRPr="00E76B02" w14:paraId="47175BBE" w14:textId="77777777" w:rsidTr="00E76B02">
        <w:trPr>
          <w:trHeight w:val="335"/>
          <w:jc w:val="center"/>
        </w:trPr>
        <w:tc>
          <w:tcPr>
            <w:tcW w:w="4536" w:type="dxa"/>
            <w:tcBorders>
              <w:top w:val="nil"/>
              <w:left w:val="nil"/>
              <w:bottom w:val="nil"/>
              <w:right w:val="nil"/>
            </w:tcBorders>
            <w:shd w:val="clear" w:color="auto" w:fill="FFFFFF"/>
            <w:hideMark/>
          </w:tcPr>
          <w:p w14:paraId="5F738320" w14:textId="77777777" w:rsidR="000D4591" w:rsidRPr="00E76B02" w:rsidRDefault="000D4591" w:rsidP="00E76B02">
            <w:pPr>
              <w:rPr>
                <w:rFonts w:ascii="Arial" w:hAnsi="Arial" w:cs="Arial"/>
                <w:sz w:val="20"/>
                <w:szCs w:val="20"/>
              </w:rPr>
            </w:pPr>
            <w:r w:rsidRPr="00E76B02">
              <w:rPr>
                <w:rFonts w:ascii="Arial" w:hAnsi="Arial"/>
                <w:sz w:val="20"/>
              </w:rPr>
              <w:t>Manufacture of food products</w:t>
            </w:r>
          </w:p>
        </w:tc>
        <w:tc>
          <w:tcPr>
            <w:tcW w:w="999" w:type="dxa"/>
            <w:tcBorders>
              <w:top w:val="nil"/>
              <w:left w:val="nil"/>
              <w:bottom w:val="nil"/>
              <w:right w:val="nil"/>
            </w:tcBorders>
            <w:hideMark/>
          </w:tcPr>
          <w:p w14:paraId="6D7A4C59" w14:textId="77777777" w:rsidR="000D4591" w:rsidRPr="00E76B02" w:rsidRDefault="000D4591" w:rsidP="00E76B02">
            <w:pPr>
              <w:jc w:val="center"/>
              <w:rPr>
                <w:rFonts w:ascii="Arial" w:hAnsi="Arial" w:cs="Arial"/>
                <w:sz w:val="20"/>
                <w:szCs w:val="20"/>
              </w:rPr>
            </w:pPr>
            <w:r w:rsidRPr="00E76B02">
              <w:rPr>
                <w:rFonts w:ascii="Arial" w:hAnsi="Arial"/>
                <w:sz w:val="20"/>
              </w:rPr>
              <w:t>1.9</w:t>
            </w:r>
          </w:p>
        </w:tc>
        <w:tc>
          <w:tcPr>
            <w:tcW w:w="986" w:type="dxa"/>
            <w:tcBorders>
              <w:top w:val="nil"/>
              <w:left w:val="nil"/>
              <w:bottom w:val="nil"/>
              <w:right w:val="nil"/>
            </w:tcBorders>
            <w:hideMark/>
          </w:tcPr>
          <w:p w14:paraId="07CFD77D" w14:textId="77777777" w:rsidR="000D4591" w:rsidRPr="00E76B02" w:rsidRDefault="000D4591" w:rsidP="00E76B02">
            <w:pPr>
              <w:jc w:val="center"/>
              <w:rPr>
                <w:rFonts w:ascii="Arial" w:hAnsi="Arial" w:cs="Arial"/>
                <w:sz w:val="20"/>
                <w:szCs w:val="20"/>
              </w:rPr>
            </w:pPr>
            <w:r w:rsidRPr="00E76B02">
              <w:rPr>
                <w:rFonts w:ascii="Arial" w:hAnsi="Arial"/>
                <w:sz w:val="20"/>
              </w:rPr>
              <w:t>9.2</w:t>
            </w:r>
          </w:p>
        </w:tc>
        <w:tc>
          <w:tcPr>
            <w:tcW w:w="1027" w:type="dxa"/>
            <w:tcBorders>
              <w:top w:val="nil"/>
              <w:left w:val="nil"/>
              <w:bottom w:val="nil"/>
              <w:right w:val="nil"/>
            </w:tcBorders>
            <w:hideMark/>
          </w:tcPr>
          <w:p w14:paraId="4B8A9247" w14:textId="77777777" w:rsidR="000D4591" w:rsidRPr="00E76B02" w:rsidRDefault="000D4591" w:rsidP="00E76B02">
            <w:pPr>
              <w:jc w:val="center"/>
              <w:rPr>
                <w:rFonts w:ascii="Arial" w:hAnsi="Arial" w:cs="Arial"/>
                <w:sz w:val="20"/>
                <w:szCs w:val="20"/>
              </w:rPr>
            </w:pPr>
            <w:r w:rsidRPr="00E76B02">
              <w:rPr>
                <w:rFonts w:ascii="Arial" w:hAnsi="Arial"/>
                <w:sz w:val="20"/>
              </w:rPr>
              <w:t>5.8</w:t>
            </w:r>
          </w:p>
        </w:tc>
        <w:tc>
          <w:tcPr>
            <w:tcW w:w="841" w:type="dxa"/>
            <w:tcBorders>
              <w:top w:val="nil"/>
              <w:left w:val="nil"/>
              <w:bottom w:val="nil"/>
              <w:right w:val="nil"/>
            </w:tcBorders>
            <w:hideMark/>
          </w:tcPr>
          <w:p w14:paraId="1E1A8CA8" w14:textId="77777777" w:rsidR="000D4591" w:rsidRPr="00E76B02" w:rsidRDefault="000D4591" w:rsidP="00E76B02">
            <w:pPr>
              <w:jc w:val="center"/>
              <w:rPr>
                <w:rFonts w:ascii="Arial" w:hAnsi="Arial" w:cs="Arial"/>
                <w:sz w:val="20"/>
                <w:szCs w:val="20"/>
              </w:rPr>
            </w:pPr>
            <w:r w:rsidRPr="00E76B02">
              <w:rPr>
                <w:rFonts w:ascii="Arial" w:hAnsi="Arial"/>
                <w:sz w:val="20"/>
              </w:rPr>
              <w:t>7.1</w:t>
            </w:r>
          </w:p>
        </w:tc>
        <w:tc>
          <w:tcPr>
            <w:tcW w:w="856" w:type="dxa"/>
            <w:tcBorders>
              <w:top w:val="nil"/>
              <w:left w:val="nil"/>
              <w:bottom w:val="nil"/>
              <w:right w:val="nil"/>
            </w:tcBorders>
            <w:hideMark/>
          </w:tcPr>
          <w:p w14:paraId="7B92BADB" w14:textId="77777777" w:rsidR="000D4591" w:rsidRPr="00E76B02" w:rsidRDefault="000D4591" w:rsidP="00E76B02">
            <w:pPr>
              <w:jc w:val="center"/>
              <w:rPr>
                <w:rFonts w:ascii="Arial" w:hAnsi="Arial" w:cs="Arial"/>
                <w:sz w:val="20"/>
                <w:szCs w:val="20"/>
              </w:rPr>
            </w:pPr>
            <w:r w:rsidRPr="00E76B02">
              <w:rPr>
                <w:rFonts w:ascii="Arial" w:hAnsi="Arial"/>
                <w:sz w:val="20"/>
              </w:rPr>
              <w:t>10.5</w:t>
            </w:r>
          </w:p>
        </w:tc>
      </w:tr>
      <w:tr w:rsidR="000D4591" w:rsidRPr="00E76B02" w14:paraId="239A2281" w14:textId="77777777" w:rsidTr="00E76B02">
        <w:trPr>
          <w:trHeight w:val="309"/>
          <w:jc w:val="center"/>
        </w:trPr>
        <w:tc>
          <w:tcPr>
            <w:tcW w:w="4536" w:type="dxa"/>
            <w:tcBorders>
              <w:top w:val="nil"/>
              <w:left w:val="nil"/>
              <w:bottom w:val="nil"/>
              <w:right w:val="nil"/>
            </w:tcBorders>
            <w:shd w:val="clear" w:color="auto" w:fill="FFFFFF"/>
            <w:noWrap/>
            <w:hideMark/>
          </w:tcPr>
          <w:p w14:paraId="66276F59" w14:textId="77777777" w:rsidR="000D4591" w:rsidRPr="00E76B02" w:rsidRDefault="000D4591" w:rsidP="00E76B02">
            <w:pPr>
              <w:rPr>
                <w:rFonts w:ascii="Arial" w:hAnsi="Arial" w:cs="Arial"/>
                <w:sz w:val="20"/>
                <w:szCs w:val="20"/>
              </w:rPr>
            </w:pPr>
            <w:r w:rsidRPr="00E76B02">
              <w:rPr>
                <w:rFonts w:ascii="Arial" w:hAnsi="Arial"/>
                <w:sz w:val="20"/>
              </w:rPr>
              <w:t>Manufacture of wearing apparel</w:t>
            </w:r>
          </w:p>
        </w:tc>
        <w:tc>
          <w:tcPr>
            <w:tcW w:w="999" w:type="dxa"/>
            <w:tcBorders>
              <w:top w:val="nil"/>
              <w:left w:val="nil"/>
              <w:bottom w:val="nil"/>
              <w:right w:val="nil"/>
            </w:tcBorders>
            <w:hideMark/>
          </w:tcPr>
          <w:p w14:paraId="11E795AE" w14:textId="77777777" w:rsidR="000D4591" w:rsidRPr="00E76B02" w:rsidRDefault="000D4591" w:rsidP="00E76B02">
            <w:pPr>
              <w:jc w:val="center"/>
              <w:rPr>
                <w:rFonts w:ascii="Arial" w:hAnsi="Arial" w:cs="Arial"/>
                <w:sz w:val="20"/>
                <w:szCs w:val="20"/>
              </w:rPr>
            </w:pPr>
            <w:r w:rsidRPr="00E76B02">
              <w:rPr>
                <w:rFonts w:ascii="Arial" w:hAnsi="Arial"/>
                <w:sz w:val="20"/>
              </w:rPr>
              <w:t>6.3</w:t>
            </w:r>
          </w:p>
        </w:tc>
        <w:tc>
          <w:tcPr>
            <w:tcW w:w="986" w:type="dxa"/>
            <w:tcBorders>
              <w:top w:val="nil"/>
              <w:left w:val="nil"/>
              <w:bottom w:val="nil"/>
              <w:right w:val="nil"/>
            </w:tcBorders>
            <w:hideMark/>
          </w:tcPr>
          <w:p w14:paraId="7C6600B6" w14:textId="77777777" w:rsidR="000D4591" w:rsidRPr="00E76B02" w:rsidRDefault="000D4591" w:rsidP="00E76B02">
            <w:pPr>
              <w:jc w:val="center"/>
              <w:rPr>
                <w:rFonts w:ascii="Arial" w:hAnsi="Arial" w:cs="Arial"/>
                <w:sz w:val="20"/>
                <w:szCs w:val="20"/>
              </w:rPr>
            </w:pPr>
            <w:r w:rsidRPr="00E76B02">
              <w:rPr>
                <w:rFonts w:ascii="Arial" w:hAnsi="Arial"/>
                <w:sz w:val="20"/>
              </w:rPr>
              <w:t>16.6</w:t>
            </w:r>
          </w:p>
        </w:tc>
        <w:tc>
          <w:tcPr>
            <w:tcW w:w="1027" w:type="dxa"/>
            <w:tcBorders>
              <w:top w:val="nil"/>
              <w:left w:val="nil"/>
              <w:bottom w:val="nil"/>
              <w:right w:val="nil"/>
            </w:tcBorders>
            <w:hideMark/>
          </w:tcPr>
          <w:p w14:paraId="70363169" w14:textId="77777777" w:rsidR="000D4591" w:rsidRPr="00E76B02" w:rsidRDefault="000D4591" w:rsidP="00E76B02">
            <w:pPr>
              <w:jc w:val="center"/>
              <w:rPr>
                <w:rFonts w:ascii="Arial" w:hAnsi="Arial" w:cs="Arial"/>
                <w:sz w:val="20"/>
                <w:szCs w:val="20"/>
              </w:rPr>
            </w:pPr>
            <w:r w:rsidRPr="00E76B02">
              <w:rPr>
                <w:rFonts w:ascii="Arial" w:hAnsi="Arial"/>
                <w:sz w:val="20"/>
              </w:rPr>
              <w:t>-1.2</w:t>
            </w:r>
          </w:p>
        </w:tc>
        <w:tc>
          <w:tcPr>
            <w:tcW w:w="841" w:type="dxa"/>
            <w:tcBorders>
              <w:top w:val="nil"/>
              <w:left w:val="nil"/>
              <w:bottom w:val="nil"/>
              <w:right w:val="nil"/>
            </w:tcBorders>
            <w:hideMark/>
          </w:tcPr>
          <w:p w14:paraId="6A128D8A" w14:textId="77777777" w:rsidR="000D4591" w:rsidRPr="00E76B02" w:rsidRDefault="000D4591" w:rsidP="00E76B02">
            <w:pPr>
              <w:jc w:val="center"/>
              <w:rPr>
                <w:rFonts w:ascii="Arial" w:hAnsi="Arial" w:cs="Arial"/>
                <w:sz w:val="20"/>
                <w:szCs w:val="20"/>
              </w:rPr>
            </w:pPr>
            <w:r w:rsidRPr="00E76B02">
              <w:rPr>
                <w:rFonts w:ascii="Arial" w:hAnsi="Arial"/>
                <w:sz w:val="20"/>
              </w:rPr>
              <w:t>10.9</w:t>
            </w:r>
          </w:p>
        </w:tc>
        <w:tc>
          <w:tcPr>
            <w:tcW w:w="856" w:type="dxa"/>
            <w:tcBorders>
              <w:top w:val="nil"/>
              <w:left w:val="nil"/>
              <w:bottom w:val="nil"/>
              <w:right w:val="nil"/>
            </w:tcBorders>
            <w:hideMark/>
          </w:tcPr>
          <w:p w14:paraId="64CCE5D6" w14:textId="77777777" w:rsidR="000D4591" w:rsidRPr="00E76B02" w:rsidRDefault="000D4591" w:rsidP="00E76B02">
            <w:pPr>
              <w:jc w:val="center"/>
              <w:rPr>
                <w:rFonts w:ascii="Arial" w:hAnsi="Arial" w:cs="Arial"/>
                <w:sz w:val="20"/>
                <w:szCs w:val="20"/>
              </w:rPr>
            </w:pPr>
            <w:r w:rsidRPr="00E76B02">
              <w:rPr>
                <w:rFonts w:ascii="Arial" w:hAnsi="Arial"/>
                <w:sz w:val="20"/>
              </w:rPr>
              <w:t>13.5</w:t>
            </w:r>
          </w:p>
        </w:tc>
      </w:tr>
      <w:tr w:rsidR="000D4591" w:rsidRPr="00E76B02" w14:paraId="0249B157" w14:textId="77777777" w:rsidTr="00E76B02">
        <w:trPr>
          <w:trHeight w:val="309"/>
          <w:jc w:val="center"/>
        </w:trPr>
        <w:tc>
          <w:tcPr>
            <w:tcW w:w="4536" w:type="dxa"/>
            <w:tcBorders>
              <w:top w:val="nil"/>
              <w:left w:val="nil"/>
              <w:bottom w:val="nil"/>
              <w:right w:val="nil"/>
            </w:tcBorders>
            <w:shd w:val="clear" w:color="auto" w:fill="FFFFFF"/>
            <w:noWrap/>
            <w:hideMark/>
          </w:tcPr>
          <w:p w14:paraId="6B2A6795" w14:textId="77777777" w:rsidR="000D4591" w:rsidRPr="00E76B02" w:rsidRDefault="000D4591" w:rsidP="00E76B02">
            <w:pPr>
              <w:rPr>
                <w:rFonts w:ascii="Arial" w:hAnsi="Arial" w:cs="Arial"/>
                <w:sz w:val="20"/>
                <w:szCs w:val="20"/>
              </w:rPr>
            </w:pPr>
            <w:r w:rsidRPr="00E76B02">
              <w:rPr>
                <w:rFonts w:ascii="Arial" w:hAnsi="Arial"/>
                <w:sz w:val="20"/>
              </w:rPr>
              <w:t>Manufacture of leather and related products</w:t>
            </w:r>
          </w:p>
        </w:tc>
        <w:tc>
          <w:tcPr>
            <w:tcW w:w="999" w:type="dxa"/>
            <w:tcBorders>
              <w:top w:val="nil"/>
              <w:left w:val="nil"/>
              <w:bottom w:val="nil"/>
              <w:right w:val="nil"/>
            </w:tcBorders>
            <w:hideMark/>
          </w:tcPr>
          <w:p w14:paraId="54D4AC39" w14:textId="77777777" w:rsidR="000D4591" w:rsidRPr="00E76B02" w:rsidRDefault="000D4591" w:rsidP="00E76B02">
            <w:pPr>
              <w:jc w:val="center"/>
              <w:rPr>
                <w:rFonts w:ascii="Arial" w:hAnsi="Arial" w:cs="Arial"/>
                <w:sz w:val="20"/>
                <w:szCs w:val="20"/>
              </w:rPr>
            </w:pPr>
            <w:r w:rsidRPr="00E76B02">
              <w:rPr>
                <w:rFonts w:ascii="Arial" w:hAnsi="Arial"/>
                <w:sz w:val="20"/>
              </w:rPr>
              <w:t>4.2</w:t>
            </w:r>
          </w:p>
        </w:tc>
        <w:tc>
          <w:tcPr>
            <w:tcW w:w="986" w:type="dxa"/>
            <w:tcBorders>
              <w:top w:val="nil"/>
              <w:left w:val="nil"/>
              <w:bottom w:val="nil"/>
              <w:right w:val="nil"/>
            </w:tcBorders>
            <w:hideMark/>
          </w:tcPr>
          <w:p w14:paraId="7DDFF287" w14:textId="77777777" w:rsidR="000D4591" w:rsidRPr="00E76B02" w:rsidRDefault="000D4591" w:rsidP="00E76B02">
            <w:pPr>
              <w:jc w:val="center"/>
              <w:rPr>
                <w:rFonts w:ascii="Arial" w:hAnsi="Arial" w:cs="Arial"/>
                <w:sz w:val="20"/>
                <w:szCs w:val="20"/>
              </w:rPr>
            </w:pPr>
            <w:r w:rsidRPr="00E76B02">
              <w:rPr>
                <w:rFonts w:ascii="Arial" w:hAnsi="Arial"/>
                <w:sz w:val="20"/>
              </w:rPr>
              <w:t>16.5</w:t>
            </w:r>
          </w:p>
        </w:tc>
        <w:tc>
          <w:tcPr>
            <w:tcW w:w="1027" w:type="dxa"/>
            <w:tcBorders>
              <w:top w:val="nil"/>
              <w:left w:val="nil"/>
              <w:bottom w:val="nil"/>
              <w:right w:val="nil"/>
            </w:tcBorders>
            <w:hideMark/>
          </w:tcPr>
          <w:p w14:paraId="13680D7F" w14:textId="77777777" w:rsidR="000D4591" w:rsidRPr="00E76B02" w:rsidRDefault="000D4591" w:rsidP="00E76B02">
            <w:pPr>
              <w:jc w:val="center"/>
              <w:rPr>
                <w:rFonts w:ascii="Arial" w:hAnsi="Arial" w:cs="Arial"/>
                <w:sz w:val="20"/>
                <w:szCs w:val="20"/>
              </w:rPr>
            </w:pPr>
            <w:r w:rsidRPr="00E76B02">
              <w:rPr>
                <w:rFonts w:ascii="Arial" w:hAnsi="Arial"/>
                <w:sz w:val="20"/>
              </w:rPr>
              <w:t>-0.3</w:t>
            </w:r>
          </w:p>
        </w:tc>
        <w:tc>
          <w:tcPr>
            <w:tcW w:w="841" w:type="dxa"/>
            <w:tcBorders>
              <w:top w:val="nil"/>
              <w:left w:val="nil"/>
              <w:bottom w:val="nil"/>
              <w:right w:val="nil"/>
            </w:tcBorders>
            <w:hideMark/>
          </w:tcPr>
          <w:p w14:paraId="19DA7CB5" w14:textId="77777777" w:rsidR="000D4591" w:rsidRPr="00E76B02" w:rsidRDefault="000D4591" w:rsidP="00E76B02">
            <w:pPr>
              <w:jc w:val="center"/>
              <w:rPr>
                <w:rFonts w:ascii="Arial" w:hAnsi="Arial" w:cs="Arial"/>
                <w:sz w:val="20"/>
                <w:szCs w:val="20"/>
              </w:rPr>
            </w:pPr>
            <w:r w:rsidRPr="00E76B02">
              <w:rPr>
                <w:rFonts w:ascii="Arial" w:hAnsi="Arial"/>
                <w:sz w:val="20"/>
              </w:rPr>
              <w:t>12.7</w:t>
            </w:r>
          </w:p>
        </w:tc>
        <w:tc>
          <w:tcPr>
            <w:tcW w:w="856" w:type="dxa"/>
            <w:tcBorders>
              <w:top w:val="nil"/>
              <w:left w:val="nil"/>
              <w:bottom w:val="nil"/>
              <w:right w:val="nil"/>
            </w:tcBorders>
            <w:hideMark/>
          </w:tcPr>
          <w:p w14:paraId="6DEEEEBD" w14:textId="77777777" w:rsidR="000D4591" w:rsidRPr="00E76B02" w:rsidRDefault="000D4591" w:rsidP="00E76B02">
            <w:pPr>
              <w:jc w:val="center"/>
              <w:rPr>
                <w:rFonts w:ascii="Arial" w:hAnsi="Arial" w:cs="Arial"/>
                <w:sz w:val="20"/>
                <w:szCs w:val="20"/>
              </w:rPr>
            </w:pPr>
            <w:r w:rsidRPr="00E76B02">
              <w:rPr>
                <w:rFonts w:ascii="Arial" w:hAnsi="Arial"/>
                <w:sz w:val="20"/>
              </w:rPr>
              <w:t>11.2</w:t>
            </w:r>
          </w:p>
        </w:tc>
      </w:tr>
      <w:tr w:rsidR="000D4591" w:rsidRPr="00E76B02" w14:paraId="7F36C71D" w14:textId="77777777" w:rsidTr="00E76B02">
        <w:trPr>
          <w:trHeight w:val="309"/>
          <w:jc w:val="center"/>
        </w:trPr>
        <w:tc>
          <w:tcPr>
            <w:tcW w:w="4536" w:type="dxa"/>
            <w:tcBorders>
              <w:top w:val="nil"/>
              <w:left w:val="nil"/>
              <w:bottom w:val="nil"/>
              <w:right w:val="nil"/>
            </w:tcBorders>
            <w:shd w:val="clear" w:color="auto" w:fill="FFFFFF"/>
            <w:noWrap/>
            <w:hideMark/>
          </w:tcPr>
          <w:p w14:paraId="602500A3" w14:textId="77777777" w:rsidR="000D4591" w:rsidRPr="00E76B02" w:rsidRDefault="000D4591" w:rsidP="00E76B02">
            <w:pPr>
              <w:rPr>
                <w:rFonts w:ascii="Arial" w:hAnsi="Arial" w:cs="Arial"/>
                <w:sz w:val="20"/>
                <w:szCs w:val="20"/>
              </w:rPr>
            </w:pPr>
            <w:r w:rsidRPr="00E76B02">
              <w:rPr>
                <w:rFonts w:ascii="Arial" w:hAnsi="Arial"/>
                <w:sz w:val="20"/>
              </w:rPr>
              <w:t>Manufacture of paper and paper products</w:t>
            </w:r>
          </w:p>
        </w:tc>
        <w:tc>
          <w:tcPr>
            <w:tcW w:w="999" w:type="dxa"/>
            <w:tcBorders>
              <w:top w:val="nil"/>
              <w:left w:val="nil"/>
              <w:bottom w:val="nil"/>
              <w:right w:val="nil"/>
            </w:tcBorders>
            <w:hideMark/>
          </w:tcPr>
          <w:p w14:paraId="0696699A" w14:textId="77777777" w:rsidR="000D4591" w:rsidRPr="00E76B02" w:rsidRDefault="000D4591" w:rsidP="00E76B02">
            <w:pPr>
              <w:jc w:val="center"/>
              <w:rPr>
                <w:rFonts w:ascii="Arial" w:hAnsi="Arial" w:cs="Arial"/>
                <w:sz w:val="20"/>
                <w:szCs w:val="20"/>
              </w:rPr>
            </w:pPr>
            <w:r w:rsidRPr="00E76B02">
              <w:rPr>
                <w:rFonts w:ascii="Arial" w:hAnsi="Arial"/>
                <w:sz w:val="20"/>
              </w:rPr>
              <w:t>3.1</w:t>
            </w:r>
          </w:p>
        </w:tc>
        <w:tc>
          <w:tcPr>
            <w:tcW w:w="986" w:type="dxa"/>
            <w:tcBorders>
              <w:top w:val="nil"/>
              <w:left w:val="nil"/>
              <w:bottom w:val="nil"/>
              <w:right w:val="nil"/>
            </w:tcBorders>
            <w:hideMark/>
          </w:tcPr>
          <w:p w14:paraId="535DF124" w14:textId="77777777" w:rsidR="000D4591" w:rsidRPr="00E76B02" w:rsidRDefault="000D4591" w:rsidP="00E76B02">
            <w:pPr>
              <w:jc w:val="center"/>
              <w:rPr>
                <w:rFonts w:ascii="Arial" w:hAnsi="Arial" w:cs="Arial"/>
                <w:sz w:val="20"/>
                <w:szCs w:val="20"/>
              </w:rPr>
            </w:pPr>
            <w:r w:rsidRPr="00E76B02">
              <w:rPr>
                <w:rFonts w:ascii="Arial" w:hAnsi="Arial"/>
                <w:sz w:val="20"/>
              </w:rPr>
              <w:t>10.5</w:t>
            </w:r>
          </w:p>
        </w:tc>
        <w:tc>
          <w:tcPr>
            <w:tcW w:w="1027" w:type="dxa"/>
            <w:tcBorders>
              <w:top w:val="nil"/>
              <w:left w:val="nil"/>
              <w:bottom w:val="nil"/>
              <w:right w:val="nil"/>
            </w:tcBorders>
            <w:hideMark/>
          </w:tcPr>
          <w:p w14:paraId="55F8D4C2" w14:textId="77777777" w:rsidR="000D4591" w:rsidRPr="00E76B02" w:rsidRDefault="000D4591" w:rsidP="00E76B02">
            <w:pPr>
              <w:jc w:val="center"/>
              <w:rPr>
                <w:rFonts w:ascii="Arial" w:hAnsi="Arial" w:cs="Arial"/>
                <w:sz w:val="20"/>
                <w:szCs w:val="20"/>
              </w:rPr>
            </w:pPr>
            <w:r w:rsidRPr="00E76B02">
              <w:rPr>
                <w:rFonts w:ascii="Arial" w:hAnsi="Arial"/>
                <w:sz w:val="20"/>
              </w:rPr>
              <w:t>-0.7</w:t>
            </w:r>
          </w:p>
        </w:tc>
        <w:tc>
          <w:tcPr>
            <w:tcW w:w="841" w:type="dxa"/>
            <w:tcBorders>
              <w:top w:val="nil"/>
              <w:left w:val="nil"/>
              <w:bottom w:val="nil"/>
              <w:right w:val="nil"/>
            </w:tcBorders>
            <w:hideMark/>
          </w:tcPr>
          <w:p w14:paraId="4606F8C8" w14:textId="77777777" w:rsidR="000D4591" w:rsidRPr="00E76B02" w:rsidRDefault="000D4591" w:rsidP="00E76B02">
            <w:pPr>
              <w:jc w:val="center"/>
              <w:rPr>
                <w:rFonts w:ascii="Arial" w:hAnsi="Arial" w:cs="Arial"/>
                <w:sz w:val="20"/>
                <w:szCs w:val="20"/>
              </w:rPr>
            </w:pPr>
            <w:r w:rsidRPr="00E76B02">
              <w:rPr>
                <w:rFonts w:ascii="Arial" w:hAnsi="Arial"/>
                <w:sz w:val="20"/>
              </w:rPr>
              <w:t>9.5</w:t>
            </w:r>
          </w:p>
        </w:tc>
        <w:tc>
          <w:tcPr>
            <w:tcW w:w="856" w:type="dxa"/>
            <w:tcBorders>
              <w:top w:val="nil"/>
              <w:left w:val="nil"/>
              <w:bottom w:val="nil"/>
              <w:right w:val="nil"/>
            </w:tcBorders>
            <w:hideMark/>
          </w:tcPr>
          <w:p w14:paraId="1482F67D" w14:textId="77777777" w:rsidR="000D4591" w:rsidRPr="00E76B02" w:rsidRDefault="000D4591" w:rsidP="00E76B02">
            <w:pPr>
              <w:jc w:val="center"/>
              <w:rPr>
                <w:rFonts w:ascii="Arial" w:hAnsi="Arial" w:cs="Arial"/>
                <w:sz w:val="20"/>
                <w:szCs w:val="20"/>
              </w:rPr>
            </w:pPr>
            <w:r w:rsidRPr="00E76B02">
              <w:rPr>
                <w:rFonts w:ascii="Arial" w:hAnsi="Arial"/>
                <w:sz w:val="20"/>
              </w:rPr>
              <w:t>11.6</w:t>
            </w:r>
          </w:p>
        </w:tc>
      </w:tr>
      <w:tr w:rsidR="000D4591" w:rsidRPr="00E76B02" w14:paraId="3A792060" w14:textId="77777777" w:rsidTr="00E76B02">
        <w:trPr>
          <w:trHeight w:val="309"/>
          <w:jc w:val="center"/>
        </w:trPr>
        <w:tc>
          <w:tcPr>
            <w:tcW w:w="4536" w:type="dxa"/>
            <w:tcBorders>
              <w:top w:val="nil"/>
              <w:left w:val="nil"/>
              <w:bottom w:val="nil"/>
              <w:right w:val="nil"/>
            </w:tcBorders>
            <w:shd w:val="clear" w:color="auto" w:fill="FFFFFF"/>
            <w:noWrap/>
            <w:hideMark/>
          </w:tcPr>
          <w:p w14:paraId="73819C18" w14:textId="77777777" w:rsidR="000D4591" w:rsidRPr="00E76B02" w:rsidRDefault="000D4591" w:rsidP="00E76B02">
            <w:pPr>
              <w:rPr>
                <w:rFonts w:ascii="Arial" w:hAnsi="Arial" w:cs="Arial"/>
                <w:sz w:val="20"/>
                <w:szCs w:val="20"/>
              </w:rPr>
            </w:pPr>
            <w:r w:rsidRPr="00E76B02">
              <w:rPr>
                <w:rFonts w:ascii="Arial" w:hAnsi="Arial"/>
                <w:sz w:val="20"/>
              </w:rPr>
              <w:t>Manufacture of coke, refined petroleum products</w:t>
            </w:r>
          </w:p>
        </w:tc>
        <w:tc>
          <w:tcPr>
            <w:tcW w:w="999" w:type="dxa"/>
            <w:tcBorders>
              <w:top w:val="nil"/>
              <w:left w:val="nil"/>
              <w:bottom w:val="nil"/>
              <w:right w:val="nil"/>
            </w:tcBorders>
            <w:hideMark/>
          </w:tcPr>
          <w:p w14:paraId="4E4E2899" w14:textId="77777777" w:rsidR="000D4591" w:rsidRPr="00E76B02" w:rsidRDefault="000D4591" w:rsidP="00E76B02">
            <w:pPr>
              <w:jc w:val="center"/>
              <w:rPr>
                <w:rFonts w:ascii="Arial" w:hAnsi="Arial" w:cs="Arial"/>
                <w:sz w:val="20"/>
                <w:szCs w:val="20"/>
              </w:rPr>
            </w:pPr>
            <w:r w:rsidRPr="00E76B02">
              <w:rPr>
                <w:rFonts w:ascii="Arial" w:hAnsi="Arial"/>
                <w:sz w:val="20"/>
              </w:rPr>
              <w:t>7.5</w:t>
            </w:r>
          </w:p>
        </w:tc>
        <w:tc>
          <w:tcPr>
            <w:tcW w:w="986" w:type="dxa"/>
            <w:tcBorders>
              <w:top w:val="nil"/>
              <w:left w:val="nil"/>
              <w:bottom w:val="nil"/>
              <w:right w:val="nil"/>
            </w:tcBorders>
            <w:hideMark/>
          </w:tcPr>
          <w:p w14:paraId="2778545E" w14:textId="77777777" w:rsidR="000D4591" w:rsidRPr="00E76B02" w:rsidRDefault="000D4591" w:rsidP="00E76B02">
            <w:pPr>
              <w:jc w:val="center"/>
              <w:rPr>
                <w:rFonts w:ascii="Arial" w:hAnsi="Arial" w:cs="Arial"/>
                <w:sz w:val="20"/>
                <w:szCs w:val="20"/>
              </w:rPr>
            </w:pPr>
            <w:r w:rsidRPr="00E76B02">
              <w:rPr>
                <w:rFonts w:ascii="Arial" w:hAnsi="Arial"/>
                <w:sz w:val="20"/>
              </w:rPr>
              <w:t>8.9</w:t>
            </w:r>
          </w:p>
        </w:tc>
        <w:tc>
          <w:tcPr>
            <w:tcW w:w="1027" w:type="dxa"/>
            <w:tcBorders>
              <w:top w:val="nil"/>
              <w:left w:val="nil"/>
              <w:bottom w:val="nil"/>
              <w:right w:val="nil"/>
            </w:tcBorders>
            <w:hideMark/>
          </w:tcPr>
          <w:p w14:paraId="4E496B5F" w14:textId="77777777" w:rsidR="000D4591" w:rsidRPr="00E76B02" w:rsidRDefault="000D4591" w:rsidP="00E76B02">
            <w:pPr>
              <w:jc w:val="center"/>
              <w:rPr>
                <w:rFonts w:ascii="Arial" w:hAnsi="Arial" w:cs="Arial"/>
                <w:sz w:val="20"/>
                <w:szCs w:val="20"/>
              </w:rPr>
            </w:pPr>
            <w:r w:rsidRPr="00E76B02">
              <w:rPr>
                <w:rFonts w:ascii="Arial" w:hAnsi="Arial"/>
                <w:sz w:val="20"/>
              </w:rPr>
              <w:t>1.3</w:t>
            </w:r>
          </w:p>
        </w:tc>
        <w:tc>
          <w:tcPr>
            <w:tcW w:w="841" w:type="dxa"/>
            <w:tcBorders>
              <w:top w:val="nil"/>
              <w:left w:val="nil"/>
              <w:bottom w:val="nil"/>
              <w:right w:val="nil"/>
            </w:tcBorders>
            <w:hideMark/>
          </w:tcPr>
          <w:p w14:paraId="71A8F174" w14:textId="77777777" w:rsidR="000D4591" w:rsidRPr="00E76B02" w:rsidRDefault="000D4591" w:rsidP="00E76B02">
            <w:pPr>
              <w:jc w:val="center"/>
              <w:rPr>
                <w:rFonts w:ascii="Arial" w:hAnsi="Arial" w:cs="Arial"/>
                <w:sz w:val="20"/>
                <w:szCs w:val="20"/>
              </w:rPr>
            </w:pPr>
            <w:r w:rsidRPr="00E76B02">
              <w:rPr>
                <w:rFonts w:ascii="Arial" w:hAnsi="Arial"/>
                <w:sz w:val="20"/>
              </w:rPr>
              <w:t>14.5</w:t>
            </w:r>
          </w:p>
        </w:tc>
        <w:tc>
          <w:tcPr>
            <w:tcW w:w="856" w:type="dxa"/>
            <w:tcBorders>
              <w:top w:val="nil"/>
              <w:left w:val="nil"/>
              <w:bottom w:val="nil"/>
              <w:right w:val="nil"/>
            </w:tcBorders>
            <w:hideMark/>
          </w:tcPr>
          <w:p w14:paraId="7943D617" w14:textId="77777777" w:rsidR="000D4591" w:rsidRPr="00E76B02" w:rsidRDefault="000D4591" w:rsidP="00E76B02">
            <w:pPr>
              <w:jc w:val="center"/>
              <w:rPr>
                <w:rFonts w:ascii="Arial" w:hAnsi="Arial" w:cs="Arial"/>
                <w:sz w:val="20"/>
                <w:szCs w:val="20"/>
              </w:rPr>
            </w:pPr>
            <w:r w:rsidRPr="00E76B02">
              <w:rPr>
                <w:rFonts w:ascii="Arial" w:hAnsi="Arial"/>
                <w:sz w:val="20"/>
              </w:rPr>
              <w:t>10.6</w:t>
            </w:r>
          </w:p>
        </w:tc>
      </w:tr>
      <w:tr w:rsidR="000D4591" w:rsidRPr="00E76B02" w14:paraId="603822E6" w14:textId="77777777" w:rsidTr="00E76B02">
        <w:trPr>
          <w:trHeight w:val="309"/>
          <w:jc w:val="center"/>
        </w:trPr>
        <w:tc>
          <w:tcPr>
            <w:tcW w:w="4536" w:type="dxa"/>
            <w:tcBorders>
              <w:top w:val="nil"/>
              <w:left w:val="nil"/>
              <w:bottom w:val="nil"/>
              <w:right w:val="nil"/>
            </w:tcBorders>
            <w:shd w:val="clear" w:color="auto" w:fill="FFFFFF"/>
            <w:noWrap/>
            <w:hideMark/>
          </w:tcPr>
          <w:p w14:paraId="53DBCBA1" w14:textId="77777777" w:rsidR="000D4591" w:rsidRPr="00E76B02" w:rsidRDefault="000D4591" w:rsidP="00E76B02">
            <w:pPr>
              <w:rPr>
                <w:rFonts w:ascii="Arial" w:hAnsi="Arial" w:cs="Arial"/>
                <w:sz w:val="20"/>
                <w:szCs w:val="20"/>
              </w:rPr>
            </w:pPr>
            <w:r w:rsidRPr="00E76B02">
              <w:rPr>
                <w:rFonts w:ascii="Arial" w:hAnsi="Arial"/>
                <w:sz w:val="20"/>
              </w:rPr>
              <w:t>Manufacture of chemicals and chemical products</w:t>
            </w:r>
          </w:p>
        </w:tc>
        <w:tc>
          <w:tcPr>
            <w:tcW w:w="999" w:type="dxa"/>
            <w:tcBorders>
              <w:top w:val="nil"/>
              <w:left w:val="nil"/>
              <w:bottom w:val="nil"/>
              <w:right w:val="nil"/>
            </w:tcBorders>
            <w:hideMark/>
          </w:tcPr>
          <w:p w14:paraId="321FC7A4" w14:textId="77777777" w:rsidR="000D4591" w:rsidRPr="00E76B02" w:rsidRDefault="000D4591" w:rsidP="00E76B02">
            <w:pPr>
              <w:jc w:val="center"/>
              <w:rPr>
                <w:rFonts w:ascii="Arial" w:hAnsi="Arial" w:cs="Arial"/>
                <w:sz w:val="20"/>
                <w:szCs w:val="20"/>
              </w:rPr>
            </w:pPr>
            <w:r w:rsidRPr="00E76B02">
              <w:rPr>
                <w:rFonts w:ascii="Arial" w:hAnsi="Arial"/>
                <w:sz w:val="20"/>
              </w:rPr>
              <w:t>-0.8</w:t>
            </w:r>
          </w:p>
        </w:tc>
        <w:tc>
          <w:tcPr>
            <w:tcW w:w="986" w:type="dxa"/>
            <w:tcBorders>
              <w:top w:val="nil"/>
              <w:left w:val="nil"/>
              <w:bottom w:val="nil"/>
              <w:right w:val="nil"/>
            </w:tcBorders>
            <w:hideMark/>
          </w:tcPr>
          <w:p w14:paraId="083AA47D" w14:textId="77777777" w:rsidR="000D4591" w:rsidRPr="00E76B02" w:rsidRDefault="000D4591" w:rsidP="00E76B02">
            <w:pPr>
              <w:jc w:val="center"/>
              <w:rPr>
                <w:rFonts w:ascii="Arial" w:hAnsi="Arial" w:cs="Arial"/>
                <w:sz w:val="20"/>
                <w:szCs w:val="20"/>
              </w:rPr>
            </w:pPr>
            <w:r w:rsidRPr="00E76B02">
              <w:rPr>
                <w:rFonts w:ascii="Arial" w:hAnsi="Arial"/>
                <w:sz w:val="20"/>
              </w:rPr>
              <w:t>4.0</w:t>
            </w:r>
          </w:p>
        </w:tc>
        <w:tc>
          <w:tcPr>
            <w:tcW w:w="1027" w:type="dxa"/>
            <w:tcBorders>
              <w:top w:val="nil"/>
              <w:left w:val="nil"/>
              <w:bottom w:val="nil"/>
              <w:right w:val="nil"/>
            </w:tcBorders>
            <w:hideMark/>
          </w:tcPr>
          <w:p w14:paraId="4CC514F1" w14:textId="77777777" w:rsidR="000D4591" w:rsidRPr="00E76B02" w:rsidRDefault="000D4591" w:rsidP="00E76B02">
            <w:pPr>
              <w:jc w:val="center"/>
              <w:rPr>
                <w:rFonts w:ascii="Arial" w:hAnsi="Arial" w:cs="Arial"/>
                <w:sz w:val="20"/>
                <w:szCs w:val="20"/>
              </w:rPr>
            </w:pPr>
            <w:r w:rsidRPr="00E76B02">
              <w:rPr>
                <w:rFonts w:ascii="Arial" w:hAnsi="Arial"/>
                <w:sz w:val="20"/>
              </w:rPr>
              <w:t>8.8</w:t>
            </w:r>
          </w:p>
        </w:tc>
        <w:tc>
          <w:tcPr>
            <w:tcW w:w="841" w:type="dxa"/>
            <w:tcBorders>
              <w:top w:val="nil"/>
              <w:left w:val="nil"/>
              <w:bottom w:val="nil"/>
              <w:right w:val="nil"/>
            </w:tcBorders>
            <w:hideMark/>
          </w:tcPr>
          <w:p w14:paraId="3FC150F8" w14:textId="77777777" w:rsidR="000D4591" w:rsidRPr="00E76B02" w:rsidRDefault="000D4591" w:rsidP="00E76B02">
            <w:pPr>
              <w:jc w:val="center"/>
              <w:rPr>
                <w:rFonts w:ascii="Arial" w:hAnsi="Arial" w:cs="Arial"/>
                <w:sz w:val="20"/>
                <w:szCs w:val="20"/>
              </w:rPr>
            </w:pPr>
            <w:r w:rsidRPr="00E76B02">
              <w:rPr>
                <w:rFonts w:ascii="Arial" w:hAnsi="Arial"/>
                <w:sz w:val="20"/>
              </w:rPr>
              <w:t>13.5</w:t>
            </w:r>
          </w:p>
        </w:tc>
        <w:tc>
          <w:tcPr>
            <w:tcW w:w="856" w:type="dxa"/>
            <w:tcBorders>
              <w:top w:val="nil"/>
              <w:left w:val="nil"/>
              <w:bottom w:val="nil"/>
              <w:right w:val="nil"/>
            </w:tcBorders>
            <w:hideMark/>
          </w:tcPr>
          <w:p w14:paraId="764C17C0" w14:textId="77777777" w:rsidR="000D4591" w:rsidRPr="00E76B02" w:rsidRDefault="000D4591" w:rsidP="00E76B02">
            <w:pPr>
              <w:jc w:val="center"/>
              <w:rPr>
                <w:rFonts w:ascii="Arial" w:hAnsi="Arial" w:cs="Arial"/>
                <w:sz w:val="20"/>
                <w:szCs w:val="20"/>
              </w:rPr>
            </w:pPr>
            <w:r w:rsidRPr="00E76B02">
              <w:rPr>
                <w:rFonts w:ascii="Arial" w:hAnsi="Arial"/>
                <w:sz w:val="20"/>
              </w:rPr>
              <w:t>11.2</w:t>
            </w:r>
          </w:p>
        </w:tc>
      </w:tr>
      <w:tr w:rsidR="000D4591" w:rsidRPr="00E76B02" w14:paraId="15F2313B" w14:textId="77777777" w:rsidTr="00E76B02">
        <w:trPr>
          <w:trHeight w:val="309"/>
          <w:jc w:val="center"/>
        </w:trPr>
        <w:tc>
          <w:tcPr>
            <w:tcW w:w="4536" w:type="dxa"/>
            <w:tcBorders>
              <w:top w:val="nil"/>
              <w:left w:val="nil"/>
              <w:bottom w:val="nil"/>
              <w:right w:val="nil"/>
            </w:tcBorders>
            <w:shd w:val="clear" w:color="auto" w:fill="FFFFFF"/>
            <w:noWrap/>
            <w:hideMark/>
          </w:tcPr>
          <w:p w14:paraId="649FBF06" w14:textId="77777777" w:rsidR="000D4591" w:rsidRPr="00E76B02" w:rsidRDefault="000D4591" w:rsidP="00E76B02">
            <w:pPr>
              <w:rPr>
                <w:rFonts w:ascii="Arial" w:hAnsi="Arial" w:cs="Arial"/>
                <w:sz w:val="20"/>
                <w:szCs w:val="20"/>
              </w:rPr>
            </w:pPr>
            <w:r w:rsidRPr="00E76B02">
              <w:rPr>
                <w:rFonts w:ascii="Arial" w:hAnsi="Arial"/>
                <w:sz w:val="20"/>
              </w:rPr>
              <w:t>Manufacture of rubber and plastics products</w:t>
            </w:r>
          </w:p>
        </w:tc>
        <w:tc>
          <w:tcPr>
            <w:tcW w:w="999" w:type="dxa"/>
            <w:tcBorders>
              <w:top w:val="nil"/>
              <w:left w:val="nil"/>
              <w:bottom w:val="nil"/>
              <w:right w:val="nil"/>
            </w:tcBorders>
            <w:hideMark/>
          </w:tcPr>
          <w:p w14:paraId="5F70317A" w14:textId="77777777" w:rsidR="000D4591" w:rsidRPr="00E76B02" w:rsidRDefault="000D4591" w:rsidP="00E76B02">
            <w:pPr>
              <w:jc w:val="center"/>
              <w:rPr>
                <w:rFonts w:ascii="Arial" w:hAnsi="Arial" w:cs="Arial"/>
                <w:sz w:val="20"/>
                <w:szCs w:val="20"/>
              </w:rPr>
            </w:pPr>
            <w:r w:rsidRPr="00E76B02">
              <w:rPr>
                <w:rFonts w:ascii="Arial" w:hAnsi="Arial"/>
                <w:sz w:val="20"/>
              </w:rPr>
              <w:t>0.3</w:t>
            </w:r>
          </w:p>
        </w:tc>
        <w:tc>
          <w:tcPr>
            <w:tcW w:w="986" w:type="dxa"/>
            <w:tcBorders>
              <w:top w:val="nil"/>
              <w:left w:val="nil"/>
              <w:bottom w:val="nil"/>
              <w:right w:val="nil"/>
            </w:tcBorders>
            <w:hideMark/>
          </w:tcPr>
          <w:p w14:paraId="6E270F87" w14:textId="77777777" w:rsidR="000D4591" w:rsidRPr="00E76B02" w:rsidRDefault="000D4591" w:rsidP="00E76B02">
            <w:pPr>
              <w:jc w:val="center"/>
              <w:rPr>
                <w:rFonts w:ascii="Arial" w:hAnsi="Arial" w:cs="Arial"/>
                <w:sz w:val="20"/>
                <w:szCs w:val="20"/>
              </w:rPr>
            </w:pPr>
            <w:r w:rsidRPr="00E76B02">
              <w:rPr>
                <w:rFonts w:ascii="Arial" w:hAnsi="Arial"/>
                <w:sz w:val="20"/>
              </w:rPr>
              <w:t>-6.5</w:t>
            </w:r>
          </w:p>
        </w:tc>
        <w:tc>
          <w:tcPr>
            <w:tcW w:w="1027" w:type="dxa"/>
            <w:tcBorders>
              <w:top w:val="nil"/>
              <w:left w:val="nil"/>
              <w:bottom w:val="nil"/>
              <w:right w:val="nil"/>
            </w:tcBorders>
            <w:hideMark/>
          </w:tcPr>
          <w:p w14:paraId="6B8B91B2" w14:textId="77777777" w:rsidR="000D4591" w:rsidRPr="00E76B02" w:rsidRDefault="000D4591" w:rsidP="00E76B02">
            <w:pPr>
              <w:jc w:val="center"/>
              <w:rPr>
                <w:rFonts w:ascii="Arial" w:hAnsi="Arial" w:cs="Arial"/>
                <w:sz w:val="20"/>
                <w:szCs w:val="20"/>
              </w:rPr>
            </w:pPr>
            <w:r w:rsidRPr="00E76B02">
              <w:rPr>
                <w:rFonts w:ascii="Arial" w:hAnsi="Arial"/>
                <w:sz w:val="20"/>
              </w:rPr>
              <w:t>12.1</w:t>
            </w:r>
          </w:p>
        </w:tc>
        <w:tc>
          <w:tcPr>
            <w:tcW w:w="841" w:type="dxa"/>
            <w:tcBorders>
              <w:top w:val="nil"/>
              <w:left w:val="nil"/>
              <w:bottom w:val="nil"/>
              <w:right w:val="nil"/>
            </w:tcBorders>
            <w:hideMark/>
          </w:tcPr>
          <w:p w14:paraId="646149FB" w14:textId="77777777" w:rsidR="000D4591" w:rsidRPr="00E76B02" w:rsidRDefault="000D4591" w:rsidP="00E76B02">
            <w:pPr>
              <w:jc w:val="center"/>
              <w:rPr>
                <w:rFonts w:ascii="Arial" w:hAnsi="Arial" w:cs="Arial"/>
                <w:sz w:val="20"/>
                <w:szCs w:val="20"/>
              </w:rPr>
            </w:pPr>
            <w:r w:rsidRPr="00E76B02">
              <w:rPr>
                <w:rFonts w:ascii="Arial" w:hAnsi="Arial"/>
                <w:sz w:val="20"/>
              </w:rPr>
              <w:t>25.4</w:t>
            </w:r>
          </w:p>
        </w:tc>
        <w:tc>
          <w:tcPr>
            <w:tcW w:w="856" w:type="dxa"/>
            <w:tcBorders>
              <w:top w:val="nil"/>
              <w:left w:val="nil"/>
              <w:bottom w:val="nil"/>
              <w:right w:val="nil"/>
            </w:tcBorders>
            <w:hideMark/>
          </w:tcPr>
          <w:p w14:paraId="036006D1" w14:textId="77777777" w:rsidR="000D4591" w:rsidRPr="00E76B02" w:rsidRDefault="000D4591" w:rsidP="00E76B02">
            <w:pPr>
              <w:jc w:val="center"/>
              <w:rPr>
                <w:rFonts w:ascii="Arial" w:hAnsi="Arial" w:cs="Arial"/>
                <w:sz w:val="20"/>
                <w:szCs w:val="20"/>
              </w:rPr>
            </w:pPr>
            <w:r w:rsidRPr="00E76B02">
              <w:rPr>
                <w:rFonts w:ascii="Arial" w:hAnsi="Arial"/>
                <w:sz w:val="20"/>
              </w:rPr>
              <w:t>16.4</w:t>
            </w:r>
          </w:p>
        </w:tc>
      </w:tr>
      <w:tr w:rsidR="000D4591" w:rsidRPr="00E76B02" w14:paraId="16649717" w14:textId="77777777" w:rsidTr="00E76B02">
        <w:trPr>
          <w:trHeight w:val="309"/>
          <w:jc w:val="center"/>
        </w:trPr>
        <w:tc>
          <w:tcPr>
            <w:tcW w:w="4536" w:type="dxa"/>
            <w:tcBorders>
              <w:top w:val="nil"/>
              <w:left w:val="nil"/>
              <w:bottom w:val="nil"/>
              <w:right w:val="nil"/>
            </w:tcBorders>
            <w:shd w:val="clear" w:color="auto" w:fill="FFFFFF"/>
            <w:noWrap/>
            <w:hideMark/>
          </w:tcPr>
          <w:p w14:paraId="07576BD8" w14:textId="77777777" w:rsidR="000D4591" w:rsidRPr="00E76B02" w:rsidRDefault="000D4591" w:rsidP="00E76B02">
            <w:pPr>
              <w:rPr>
                <w:rFonts w:ascii="Arial" w:hAnsi="Arial" w:cs="Arial"/>
                <w:sz w:val="20"/>
                <w:szCs w:val="20"/>
              </w:rPr>
            </w:pPr>
            <w:r w:rsidRPr="00E76B02">
              <w:rPr>
                <w:rFonts w:ascii="Arial" w:hAnsi="Arial"/>
                <w:sz w:val="20"/>
              </w:rPr>
              <w:t>Manufacture of other non-metallic mineral products</w:t>
            </w:r>
          </w:p>
        </w:tc>
        <w:tc>
          <w:tcPr>
            <w:tcW w:w="999" w:type="dxa"/>
            <w:tcBorders>
              <w:top w:val="nil"/>
              <w:left w:val="nil"/>
              <w:bottom w:val="nil"/>
              <w:right w:val="nil"/>
            </w:tcBorders>
            <w:hideMark/>
          </w:tcPr>
          <w:p w14:paraId="3FD0F4EB" w14:textId="77777777" w:rsidR="000D4591" w:rsidRPr="00E76B02" w:rsidRDefault="000D4591" w:rsidP="00E76B02">
            <w:pPr>
              <w:jc w:val="center"/>
              <w:rPr>
                <w:rFonts w:ascii="Arial" w:hAnsi="Arial" w:cs="Arial"/>
                <w:sz w:val="20"/>
                <w:szCs w:val="20"/>
              </w:rPr>
            </w:pPr>
            <w:r w:rsidRPr="00E76B02">
              <w:rPr>
                <w:rFonts w:ascii="Arial" w:hAnsi="Arial"/>
                <w:sz w:val="20"/>
              </w:rPr>
              <w:t>1.7</w:t>
            </w:r>
          </w:p>
        </w:tc>
        <w:tc>
          <w:tcPr>
            <w:tcW w:w="986" w:type="dxa"/>
            <w:tcBorders>
              <w:top w:val="nil"/>
              <w:left w:val="nil"/>
              <w:bottom w:val="nil"/>
              <w:right w:val="nil"/>
            </w:tcBorders>
            <w:hideMark/>
          </w:tcPr>
          <w:p w14:paraId="4E509EBB" w14:textId="77777777" w:rsidR="000D4591" w:rsidRPr="00E76B02" w:rsidRDefault="000D4591" w:rsidP="00E76B02">
            <w:pPr>
              <w:jc w:val="center"/>
              <w:rPr>
                <w:rFonts w:ascii="Arial" w:hAnsi="Arial" w:cs="Arial"/>
                <w:sz w:val="20"/>
                <w:szCs w:val="20"/>
              </w:rPr>
            </w:pPr>
            <w:r w:rsidRPr="00E76B02">
              <w:rPr>
                <w:rFonts w:ascii="Arial" w:hAnsi="Arial"/>
                <w:sz w:val="20"/>
              </w:rPr>
              <w:t>6.0</w:t>
            </w:r>
          </w:p>
        </w:tc>
        <w:tc>
          <w:tcPr>
            <w:tcW w:w="1027" w:type="dxa"/>
            <w:tcBorders>
              <w:top w:val="nil"/>
              <w:left w:val="nil"/>
              <w:bottom w:val="nil"/>
              <w:right w:val="nil"/>
            </w:tcBorders>
            <w:hideMark/>
          </w:tcPr>
          <w:p w14:paraId="05E65117" w14:textId="77777777" w:rsidR="000D4591" w:rsidRPr="00E76B02" w:rsidRDefault="000D4591" w:rsidP="00E76B02">
            <w:pPr>
              <w:jc w:val="center"/>
              <w:rPr>
                <w:rFonts w:ascii="Arial" w:hAnsi="Arial" w:cs="Arial"/>
                <w:sz w:val="20"/>
                <w:szCs w:val="20"/>
              </w:rPr>
            </w:pPr>
            <w:r w:rsidRPr="00E76B02">
              <w:rPr>
                <w:rFonts w:ascii="Arial" w:hAnsi="Arial"/>
                <w:sz w:val="20"/>
              </w:rPr>
              <w:t>-4.0</w:t>
            </w:r>
          </w:p>
        </w:tc>
        <w:tc>
          <w:tcPr>
            <w:tcW w:w="841" w:type="dxa"/>
            <w:tcBorders>
              <w:top w:val="nil"/>
              <w:left w:val="nil"/>
              <w:bottom w:val="nil"/>
              <w:right w:val="nil"/>
            </w:tcBorders>
            <w:hideMark/>
          </w:tcPr>
          <w:p w14:paraId="6FC19B12" w14:textId="77777777" w:rsidR="000D4591" w:rsidRPr="00E76B02" w:rsidRDefault="000D4591" w:rsidP="00E76B02">
            <w:pPr>
              <w:jc w:val="center"/>
              <w:rPr>
                <w:rFonts w:ascii="Arial" w:hAnsi="Arial" w:cs="Arial"/>
                <w:sz w:val="20"/>
                <w:szCs w:val="20"/>
              </w:rPr>
            </w:pPr>
            <w:r w:rsidRPr="00E76B02">
              <w:rPr>
                <w:rFonts w:ascii="Arial" w:hAnsi="Arial"/>
                <w:sz w:val="20"/>
              </w:rPr>
              <w:t>0.6</w:t>
            </w:r>
          </w:p>
        </w:tc>
        <w:tc>
          <w:tcPr>
            <w:tcW w:w="856" w:type="dxa"/>
            <w:tcBorders>
              <w:top w:val="nil"/>
              <w:left w:val="nil"/>
              <w:bottom w:val="nil"/>
              <w:right w:val="nil"/>
            </w:tcBorders>
            <w:hideMark/>
          </w:tcPr>
          <w:p w14:paraId="7166F8D2" w14:textId="77777777" w:rsidR="000D4591" w:rsidRPr="00E76B02" w:rsidRDefault="000D4591" w:rsidP="00E76B02">
            <w:pPr>
              <w:jc w:val="center"/>
              <w:rPr>
                <w:rFonts w:ascii="Arial" w:hAnsi="Arial" w:cs="Arial"/>
                <w:sz w:val="20"/>
                <w:szCs w:val="20"/>
              </w:rPr>
            </w:pPr>
            <w:r w:rsidRPr="00E76B02">
              <w:rPr>
                <w:rFonts w:ascii="Arial" w:hAnsi="Arial"/>
                <w:sz w:val="20"/>
              </w:rPr>
              <w:t>16.5</w:t>
            </w:r>
          </w:p>
        </w:tc>
      </w:tr>
      <w:tr w:rsidR="000D4591" w:rsidRPr="00E76B02" w14:paraId="6E3F1B20" w14:textId="77777777" w:rsidTr="00E76B02">
        <w:trPr>
          <w:trHeight w:val="309"/>
          <w:jc w:val="center"/>
        </w:trPr>
        <w:tc>
          <w:tcPr>
            <w:tcW w:w="4536" w:type="dxa"/>
            <w:tcBorders>
              <w:top w:val="nil"/>
              <w:left w:val="nil"/>
              <w:bottom w:val="nil"/>
              <w:right w:val="nil"/>
            </w:tcBorders>
            <w:shd w:val="clear" w:color="auto" w:fill="FFFFFF"/>
            <w:noWrap/>
            <w:hideMark/>
          </w:tcPr>
          <w:p w14:paraId="2C04F824" w14:textId="77777777" w:rsidR="000D4591" w:rsidRPr="00E76B02" w:rsidRDefault="000D4591" w:rsidP="00E76B02">
            <w:pPr>
              <w:rPr>
                <w:rFonts w:ascii="Arial" w:hAnsi="Arial" w:cs="Arial"/>
                <w:sz w:val="20"/>
                <w:szCs w:val="20"/>
              </w:rPr>
            </w:pPr>
            <w:r w:rsidRPr="00E76B02">
              <w:rPr>
                <w:rFonts w:ascii="Arial" w:hAnsi="Arial"/>
                <w:sz w:val="20"/>
              </w:rPr>
              <w:t>Manufacture of basic metals</w:t>
            </w:r>
          </w:p>
        </w:tc>
        <w:tc>
          <w:tcPr>
            <w:tcW w:w="999" w:type="dxa"/>
            <w:tcBorders>
              <w:top w:val="nil"/>
              <w:left w:val="nil"/>
              <w:bottom w:val="nil"/>
              <w:right w:val="nil"/>
            </w:tcBorders>
            <w:hideMark/>
          </w:tcPr>
          <w:p w14:paraId="55B04C0D" w14:textId="77777777" w:rsidR="000D4591" w:rsidRPr="00E76B02" w:rsidRDefault="000D4591" w:rsidP="00E76B02">
            <w:pPr>
              <w:jc w:val="center"/>
              <w:rPr>
                <w:rFonts w:ascii="Arial" w:hAnsi="Arial" w:cs="Arial"/>
                <w:sz w:val="20"/>
                <w:szCs w:val="20"/>
              </w:rPr>
            </w:pPr>
            <w:r w:rsidRPr="00E76B02">
              <w:rPr>
                <w:rFonts w:ascii="Arial" w:hAnsi="Arial"/>
                <w:sz w:val="20"/>
              </w:rPr>
              <w:t>23.4</w:t>
            </w:r>
          </w:p>
        </w:tc>
        <w:tc>
          <w:tcPr>
            <w:tcW w:w="986" w:type="dxa"/>
            <w:tcBorders>
              <w:top w:val="nil"/>
              <w:left w:val="nil"/>
              <w:bottom w:val="nil"/>
              <w:right w:val="nil"/>
            </w:tcBorders>
            <w:hideMark/>
          </w:tcPr>
          <w:p w14:paraId="676279CB" w14:textId="77777777" w:rsidR="000D4591" w:rsidRPr="00E76B02" w:rsidRDefault="000D4591" w:rsidP="00E76B02">
            <w:pPr>
              <w:jc w:val="center"/>
              <w:rPr>
                <w:rFonts w:ascii="Arial" w:hAnsi="Arial" w:cs="Arial"/>
                <w:sz w:val="20"/>
                <w:szCs w:val="20"/>
              </w:rPr>
            </w:pPr>
            <w:r w:rsidRPr="00E76B02">
              <w:rPr>
                <w:rFonts w:ascii="Arial" w:hAnsi="Arial"/>
                <w:sz w:val="20"/>
              </w:rPr>
              <w:t>-2.4</w:t>
            </w:r>
          </w:p>
        </w:tc>
        <w:tc>
          <w:tcPr>
            <w:tcW w:w="1027" w:type="dxa"/>
            <w:tcBorders>
              <w:top w:val="nil"/>
              <w:left w:val="nil"/>
              <w:bottom w:val="nil"/>
              <w:right w:val="nil"/>
            </w:tcBorders>
            <w:hideMark/>
          </w:tcPr>
          <w:p w14:paraId="47E7503D" w14:textId="77777777" w:rsidR="000D4591" w:rsidRPr="00E76B02" w:rsidRDefault="000D4591" w:rsidP="00E76B02">
            <w:pPr>
              <w:jc w:val="center"/>
              <w:rPr>
                <w:rFonts w:ascii="Arial" w:hAnsi="Arial" w:cs="Arial"/>
                <w:sz w:val="20"/>
                <w:szCs w:val="20"/>
              </w:rPr>
            </w:pPr>
            <w:r w:rsidRPr="00E76B02">
              <w:rPr>
                <w:rFonts w:ascii="Arial" w:hAnsi="Arial"/>
                <w:sz w:val="20"/>
              </w:rPr>
              <w:t>4.4</w:t>
            </w:r>
          </w:p>
        </w:tc>
        <w:tc>
          <w:tcPr>
            <w:tcW w:w="841" w:type="dxa"/>
            <w:tcBorders>
              <w:top w:val="nil"/>
              <w:left w:val="nil"/>
              <w:bottom w:val="nil"/>
              <w:right w:val="nil"/>
            </w:tcBorders>
            <w:hideMark/>
          </w:tcPr>
          <w:p w14:paraId="0FFE18CB" w14:textId="77777777" w:rsidR="000D4591" w:rsidRPr="00E76B02" w:rsidRDefault="000D4591" w:rsidP="00E76B02">
            <w:pPr>
              <w:jc w:val="center"/>
              <w:rPr>
                <w:rFonts w:ascii="Arial" w:hAnsi="Arial" w:cs="Arial"/>
                <w:sz w:val="20"/>
                <w:szCs w:val="20"/>
              </w:rPr>
            </w:pPr>
            <w:r w:rsidRPr="00E76B02">
              <w:rPr>
                <w:rFonts w:ascii="Arial" w:hAnsi="Arial"/>
                <w:sz w:val="20"/>
              </w:rPr>
              <w:t>9.8</w:t>
            </w:r>
          </w:p>
        </w:tc>
        <w:tc>
          <w:tcPr>
            <w:tcW w:w="856" w:type="dxa"/>
            <w:tcBorders>
              <w:top w:val="nil"/>
              <w:left w:val="nil"/>
              <w:bottom w:val="nil"/>
              <w:right w:val="nil"/>
            </w:tcBorders>
            <w:hideMark/>
          </w:tcPr>
          <w:p w14:paraId="2209D50D" w14:textId="77777777" w:rsidR="000D4591" w:rsidRPr="00E76B02" w:rsidRDefault="000D4591" w:rsidP="00E76B02">
            <w:pPr>
              <w:jc w:val="center"/>
              <w:rPr>
                <w:rFonts w:ascii="Arial" w:hAnsi="Arial" w:cs="Arial"/>
                <w:sz w:val="20"/>
                <w:szCs w:val="20"/>
              </w:rPr>
            </w:pPr>
            <w:r w:rsidRPr="00E76B02">
              <w:rPr>
                <w:rFonts w:ascii="Arial" w:hAnsi="Arial"/>
                <w:sz w:val="20"/>
              </w:rPr>
              <w:t>15.5</w:t>
            </w:r>
          </w:p>
        </w:tc>
      </w:tr>
      <w:tr w:rsidR="000D4591" w:rsidRPr="00E76B02" w14:paraId="09649907" w14:textId="77777777" w:rsidTr="00E76B02">
        <w:trPr>
          <w:trHeight w:val="309"/>
          <w:jc w:val="center"/>
        </w:trPr>
        <w:tc>
          <w:tcPr>
            <w:tcW w:w="4536" w:type="dxa"/>
            <w:tcBorders>
              <w:top w:val="nil"/>
              <w:left w:val="nil"/>
              <w:bottom w:val="nil"/>
              <w:right w:val="nil"/>
            </w:tcBorders>
            <w:shd w:val="clear" w:color="auto" w:fill="FFFFFF"/>
            <w:noWrap/>
            <w:hideMark/>
          </w:tcPr>
          <w:p w14:paraId="06009ECD" w14:textId="77777777" w:rsidR="000D4591" w:rsidRPr="00E76B02" w:rsidRDefault="000D4591" w:rsidP="00E76B02">
            <w:pPr>
              <w:rPr>
                <w:rFonts w:ascii="Arial" w:hAnsi="Arial" w:cs="Arial"/>
                <w:sz w:val="20"/>
                <w:szCs w:val="20"/>
              </w:rPr>
            </w:pPr>
            <w:r w:rsidRPr="00E76B02">
              <w:rPr>
                <w:rFonts w:ascii="Arial" w:hAnsi="Arial"/>
                <w:sz w:val="20"/>
              </w:rPr>
              <w:t>Manufacture of fabricated metal products (except machinery and equipment)</w:t>
            </w:r>
          </w:p>
        </w:tc>
        <w:tc>
          <w:tcPr>
            <w:tcW w:w="999" w:type="dxa"/>
            <w:tcBorders>
              <w:top w:val="nil"/>
              <w:left w:val="nil"/>
              <w:bottom w:val="nil"/>
              <w:right w:val="nil"/>
            </w:tcBorders>
            <w:hideMark/>
          </w:tcPr>
          <w:p w14:paraId="60D8E1D5" w14:textId="77777777" w:rsidR="000D4591" w:rsidRPr="00E76B02" w:rsidRDefault="000D4591" w:rsidP="00E76B02">
            <w:pPr>
              <w:jc w:val="center"/>
              <w:rPr>
                <w:rFonts w:ascii="Arial" w:hAnsi="Arial" w:cs="Arial"/>
                <w:sz w:val="20"/>
                <w:szCs w:val="20"/>
              </w:rPr>
            </w:pPr>
            <w:r w:rsidRPr="00E76B02">
              <w:rPr>
                <w:rFonts w:ascii="Arial" w:hAnsi="Arial"/>
                <w:sz w:val="20"/>
              </w:rPr>
              <w:t>4.5</w:t>
            </w:r>
          </w:p>
        </w:tc>
        <w:tc>
          <w:tcPr>
            <w:tcW w:w="986" w:type="dxa"/>
            <w:tcBorders>
              <w:top w:val="nil"/>
              <w:left w:val="nil"/>
              <w:bottom w:val="nil"/>
              <w:right w:val="nil"/>
            </w:tcBorders>
            <w:hideMark/>
          </w:tcPr>
          <w:p w14:paraId="7B5C8D87" w14:textId="77777777" w:rsidR="000D4591" w:rsidRPr="00E76B02" w:rsidRDefault="000D4591" w:rsidP="00E76B02">
            <w:pPr>
              <w:jc w:val="center"/>
              <w:rPr>
                <w:rFonts w:ascii="Arial" w:hAnsi="Arial" w:cs="Arial"/>
                <w:sz w:val="20"/>
                <w:szCs w:val="20"/>
              </w:rPr>
            </w:pPr>
            <w:r w:rsidRPr="00E76B02">
              <w:rPr>
                <w:rFonts w:ascii="Arial" w:hAnsi="Arial"/>
                <w:sz w:val="20"/>
              </w:rPr>
              <w:t>7.7</w:t>
            </w:r>
          </w:p>
        </w:tc>
        <w:tc>
          <w:tcPr>
            <w:tcW w:w="1027" w:type="dxa"/>
            <w:tcBorders>
              <w:top w:val="nil"/>
              <w:left w:val="nil"/>
              <w:bottom w:val="nil"/>
              <w:right w:val="nil"/>
            </w:tcBorders>
            <w:hideMark/>
          </w:tcPr>
          <w:p w14:paraId="28AE7C7D" w14:textId="77777777" w:rsidR="000D4591" w:rsidRPr="00E76B02" w:rsidRDefault="000D4591" w:rsidP="00E76B02">
            <w:pPr>
              <w:jc w:val="center"/>
              <w:rPr>
                <w:rFonts w:ascii="Arial" w:hAnsi="Arial" w:cs="Arial"/>
                <w:sz w:val="20"/>
                <w:szCs w:val="20"/>
              </w:rPr>
            </w:pPr>
            <w:r w:rsidRPr="00E76B02">
              <w:rPr>
                <w:rFonts w:ascii="Arial" w:hAnsi="Arial"/>
                <w:sz w:val="20"/>
              </w:rPr>
              <w:t>8.3</w:t>
            </w:r>
          </w:p>
        </w:tc>
        <w:tc>
          <w:tcPr>
            <w:tcW w:w="841" w:type="dxa"/>
            <w:tcBorders>
              <w:top w:val="nil"/>
              <w:left w:val="nil"/>
              <w:bottom w:val="nil"/>
              <w:right w:val="nil"/>
            </w:tcBorders>
            <w:hideMark/>
          </w:tcPr>
          <w:p w14:paraId="48EA9868" w14:textId="77777777" w:rsidR="000D4591" w:rsidRPr="00E76B02" w:rsidRDefault="000D4591" w:rsidP="00E76B02">
            <w:pPr>
              <w:jc w:val="center"/>
              <w:rPr>
                <w:rFonts w:ascii="Arial" w:hAnsi="Arial" w:cs="Arial"/>
                <w:sz w:val="20"/>
                <w:szCs w:val="20"/>
              </w:rPr>
            </w:pPr>
            <w:r w:rsidRPr="00E76B02">
              <w:rPr>
                <w:rFonts w:ascii="Arial" w:hAnsi="Arial"/>
                <w:sz w:val="20"/>
              </w:rPr>
              <w:t>11.3</w:t>
            </w:r>
          </w:p>
        </w:tc>
        <w:tc>
          <w:tcPr>
            <w:tcW w:w="856" w:type="dxa"/>
            <w:tcBorders>
              <w:top w:val="nil"/>
              <w:left w:val="nil"/>
              <w:bottom w:val="nil"/>
              <w:right w:val="nil"/>
            </w:tcBorders>
            <w:hideMark/>
          </w:tcPr>
          <w:p w14:paraId="6AE5B52E" w14:textId="77777777" w:rsidR="000D4591" w:rsidRPr="00E76B02" w:rsidRDefault="000D4591" w:rsidP="00E76B02">
            <w:pPr>
              <w:jc w:val="center"/>
              <w:rPr>
                <w:rFonts w:ascii="Arial" w:hAnsi="Arial" w:cs="Arial"/>
                <w:sz w:val="20"/>
                <w:szCs w:val="20"/>
              </w:rPr>
            </w:pPr>
            <w:r w:rsidRPr="00E76B02">
              <w:rPr>
                <w:rFonts w:ascii="Arial" w:hAnsi="Arial"/>
                <w:sz w:val="20"/>
              </w:rPr>
              <w:t>12.6</w:t>
            </w:r>
          </w:p>
        </w:tc>
      </w:tr>
      <w:tr w:rsidR="000D4591" w:rsidRPr="00E76B02" w14:paraId="37361F97" w14:textId="77777777" w:rsidTr="00E76B02">
        <w:trPr>
          <w:trHeight w:val="309"/>
          <w:jc w:val="center"/>
        </w:trPr>
        <w:tc>
          <w:tcPr>
            <w:tcW w:w="4536" w:type="dxa"/>
            <w:tcBorders>
              <w:top w:val="nil"/>
              <w:left w:val="nil"/>
              <w:bottom w:val="nil"/>
              <w:right w:val="nil"/>
            </w:tcBorders>
            <w:shd w:val="clear" w:color="auto" w:fill="FFFFFF"/>
            <w:noWrap/>
            <w:hideMark/>
          </w:tcPr>
          <w:p w14:paraId="734F69FF" w14:textId="77777777" w:rsidR="000D4591" w:rsidRPr="00E76B02" w:rsidRDefault="000D4591" w:rsidP="00E76B02">
            <w:pPr>
              <w:rPr>
                <w:rFonts w:ascii="Arial" w:hAnsi="Arial" w:cs="Arial"/>
                <w:sz w:val="20"/>
                <w:szCs w:val="20"/>
              </w:rPr>
            </w:pPr>
            <w:r w:rsidRPr="00E76B02">
              <w:rPr>
                <w:rFonts w:ascii="Arial" w:hAnsi="Arial"/>
                <w:sz w:val="20"/>
              </w:rPr>
              <w:t>Manufacture of computer, electronic and optical products</w:t>
            </w:r>
          </w:p>
        </w:tc>
        <w:tc>
          <w:tcPr>
            <w:tcW w:w="999" w:type="dxa"/>
            <w:tcBorders>
              <w:top w:val="nil"/>
              <w:left w:val="nil"/>
              <w:bottom w:val="nil"/>
              <w:right w:val="nil"/>
            </w:tcBorders>
            <w:hideMark/>
          </w:tcPr>
          <w:p w14:paraId="48A24E47" w14:textId="77777777" w:rsidR="000D4591" w:rsidRPr="00E76B02" w:rsidRDefault="000D4591" w:rsidP="00E76B02">
            <w:pPr>
              <w:jc w:val="center"/>
              <w:rPr>
                <w:rFonts w:ascii="Arial" w:hAnsi="Arial" w:cs="Arial"/>
                <w:sz w:val="20"/>
                <w:szCs w:val="20"/>
              </w:rPr>
            </w:pPr>
            <w:r w:rsidRPr="00E76B02">
              <w:rPr>
                <w:rFonts w:ascii="Arial" w:hAnsi="Arial"/>
                <w:sz w:val="20"/>
              </w:rPr>
              <w:t>8.6</w:t>
            </w:r>
          </w:p>
        </w:tc>
        <w:tc>
          <w:tcPr>
            <w:tcW w:w="986" w:type="dxa"/>
            <w:tcBorders>
              <w:top w:val="nil"/>
              <w:left w:val="nil"/>
              <w:bottom w:val="nil"/>
              <w:right w:val="nil"/>
            </w:tcBorders>
            <w:hideMark/>
          </w:tcPr>
          <w:p w14:paraId="15A1D057" w14:textId="77777777" w:rsidR="000D4591" w:rsidRPr="00E76B02" w:rsidRDefault="000D4591" w:rsidP="00E76B02">
            <w:pPr>
              <w:jc w:val="center"/>
              <w:rPr>
                <w:rFonts w:ascii="Arial" w:hAnsi="Arial" w:cs="Arial"/>
                <w:sz w:val="20"/>
                <w:szCs w:val="20"/>
              </w:rPr>
            </w:pPr>
            <w:r w:rsidRPr="00E76B02">
              <w:rPr>
                <w:rFonts w:ascii="Arial" w:hAnsi="Arial"/>
                <w:sz w:val="20"/>
              </w:rPr>
              <w:t>8.6</w:t>
            </w:r>
          </w:p>
        </w:tc>
        <w:tc>
          <w:tcPr>
            <w:tcW w:w="1027" w:type="dxa"/>
            <w:tcBorders>
              <w:top w:val="nil"/>
              <w:left w:val="nil"/>
              <w:bottom w:val="nil"/>
              <w:right w:val="nil"/>
            </w:tcBorders>
            <w:hideMark/>
          </w:tcPr>
          <w:p w14:paraId="7BC24536" w14:textId="77777777" w:rsidR="000D4591" w:rsidRPr="00E76B02" w:rsidRDefault="000D4591" w:rsidP="00E76B02">
            <w:pPr>
              <w:jc w:val="center"/>
              <w:rPr>
                <w:rFonts w:ascii="Arial" w:hAnsi="Arial" w:cs="Arial"/>
                <w:sz w:val="20"/>
                <w:szCs w:val="20"/>
              </w:rPr>
            </w:pPr>
            <w:r w:rsidRPr="00E76B02">
              <w:rPr>
                <w:rFonts w:ascii="Arial" w:hAnsi="Arial"/>
                <w:sz w:val="20"/>
              </w:rPr>
              <w:t>-1.4</w:t>
            </w:r>
          </w:p>
        </w:tc>
        <w:tc>
          <w:tcPr>
            <w:tcW w:w="841" w:type="dxa"/>
            <w:tcBorders>
              <w:top w:val="nil"/>
              <w:left w:val="nil"/>
              <w:bottom w:val="nil"/>
              <w:right w:val="nil"/>
            </w:tcBorders>
            <w:hideMark/>
          </w:tcPr>
          <w:p w14:paraId="66E61DE1" w14:textId="77777777" w:rsidR="000D4591" w:rsidRPr="00E76B02" w:rsidRDefault="000D4591" w:rsidP="00E76B02">
            <w:pPr>
              <w:jc w:val="center"/>
              <w:rPr>
                <w:rFonts w:ascii="Arial" w:hAnsi="Arial" w:cs="Arial"/>
                <w:sz w:val="20"/>
                <w:szCs w:val="20"/>
              </w:rPr>
            </w:pPr>
            <w:r w:rsidRPr="00E76B02">
              <w:rPr>
                <w:rFonts w:ascii="Arial" w:hAnsi="Arial"/>
                <w:sz w:val="20"/>
              </w:rPr>
              <w:t>8.3</w:t>
            </w:r>
          </w:p>
        </w:tc>
        <w:tc>
          <w:tcPr>
            <w:tcW w:w="856" w:type="dxa"/>
            <w:tcBorders>
              <w:top w:val="nil"/>
              <w:left w:val="nil"/>
              <w:bottom w:val="nil"/>
              <w:right w:val="nil"/>
            </w:tcBorders>
            <w:hideMark/>
          </w:tcPr>
          <w:p w14:paraId="251524EB" w14:textId="77777777" w:rsidR="000D4591" w:rsidRPr="00E76B02" w:rsidRDefault="000D4591" w:rsidP="00E76B02">
            <w:pPr>
              <w:jc w:val="center"/>
              <w:rPr>
                <w:rFonts w:ascii="Arial" w:hAnsi="Arial" w:cs="Arial"/>
                <w:sz w:val="20"/>
                <w:szCs w:val="20"/>
              </w:rPr>
            </w:pPr>
            <w:r w:rsidRPr="00E76B02">
              <w:rPr>
                <w:rFonts w:ascii="Arial" w:hAnsi="Arial"/>
                <w:sz w:val="20"/>
              </w:rPr>
              <w:t>8.5</w:t>
            </w:r>
          </w:p>
        </w:tc>
      </w:tr>
      <w:tr w:rsidR="000D4591" w:rsidRPr="00E76B02" w14:paraId="5A453B9A" w14:textId="77777777" w:rsidTr="00E76B02">
        <w:trPr>
          <w:trHeight w:val="309"/>
          <w:jc w:val="center"/>
        </w:trPr>
        <w:tc>
          <w:tcPr>
            <w:tcW w:w="4536" w:type="dxa"/>
            <w:tcBorders>
              <w:top w:val="nil"/>
              <w:left w:val="nil"/>
              <w:bottom w:val="nil"/>
              <w:right w:val="nil"/>
            </w:tcBorders>
            <w:shd w:val="clear" w:color="auto" w:fill="FFFFFF"/>
            <w:noWrap/>
            <w:hideMark/>
          </w:tcPr>
          <w:p w14:paraId="3266C3FD" w14:textId="77777777" w:rsidR="000D4591" w:rsidRPr="00E76B02" w:rsidRDefault="000D4591" w:rsidP="00E76B02">
            <w:pPr>
              <w:rPr>
                <w:rFonts w:ascii="Arial" w:hAnsi="Arial" w:cs="Arial"/>
                <w:sz w:val="20"/>
                <w:szCs w:val="20"/>
              </w:rPr>
            </w:pPr>
            <w:r w:rsidRPr="00E76B02">
              <w:rPr>
                <w:rFonts w:ascii="Arial" w:hAnsi="Arial"/>
                <w:sz w:val="20"/>
              </w:rPr>
              <w:t>Manufacture of motor vehicles</w:t>
            </w:r>
          </w:p>
        </w:tc>
        <w:tc>
          <w:tcPr>
            <w:tcW w:w="999" w:type="dxa"/>
            <w:tcBorders>
              <w:top w:val="nil"/>
              <w:left w:val="nil"/>
              <w:bottom w:val="nil"/>
              <w:right w:val="nil"/>
            </w:tcBorders>
            <w:hideMark/>
          </w:tcPr>
          <w:p w14:paraId="2B799C79" w14:textId="77777777" w:rsidR="000D4591" w:rsidRPr="00E76B02" w:rsidRDefault="000D4591" w:rsidP="00E76B02">
            <w:pPr>
              <w:jc w:val="center"/>
              <w:rPr>
                <w:rFonts w:ascii="Arial" w:hAnsi="Arial" w:cs="Arial"/>
                <w:sz w:val="20"/>
                <w:szCs w:val="20"/>
              </w:rPr>
            </w:pPr>
            <w:r w:rsidRPr="00E76B02">
              <w:rPr>
                <w:rFonts w:ascii="Arial" w:hAnsi="Arial"/>
                <w:sz w:val="20"/>
              </w:rPr>
              <w:t>11.5</w:t>
            </w:r>
          </w:p>
        </w:tc>
        <w:tc>
          <w:tcPr>
            <w:tcW w:w="986" w:type="dxa"/>
            <w:tcBorders>
              <w:top w:val="nil"/>
              <w:left w:val="nil"/>
              <w:bottom w:val="nil"/>
              <w:right w:val="nil"/>
            </w:tcBorders>
            <w:hideMark/>
          </w:tcPr>
          <w:p w14:paraId="7374A672" w14:textId="77777777" w:rsidR="000D4591" w:rsidRPr="00E76B02" w:rsidRDefault="000D4591" w:rsidP="00E76B02">
            <w:pPr>
              <w:jc w:val="center"/>
              <w:rPr>
                <w:rFonts w:ascii="Arial" w:hAnsi="Arial" w:cs="Arial"/>
                <w:sz w:val="20"/>
                <w:szCs w:val="20"/>
              </w:rPr>
            </w:pPr>
            <w:r w:rsidRPr="00E76B02">
              <w:rPr>
                <w:rFonts w:ascii="Arial" w:hAnsi="Arial"/>
                <w:sz w:val="20"/>
              </w:rPr>
              <w:t>6.5</w:t>
            </w:r>
          </w:p>
        </w:tc>
        <w:tc>
          <w:tcPr>
            <w:tcW w:w="1027" w:type="dxa"/>
            <w:tcBorders>
              <w:top w:val="nil"/>
              <w:left w:val="nil"/>
              <w:bottom w:val="nil"/>
              <w:right w:val="nil"/>
            </w:tcBorders>
            <w:hideMark/>
          </w:tcPr>
          <w:p w14:paraId="5D22511C" w14:textId="77777777" w:rsidR="000D4591" w:rsidRPr="00E76B02" w:rsidRDefault="000D4591" w:rsidP="00E76B02">
            <w:pPr>
              <w:jc w:val="center"/>
              <w:rPr>
                <w:rFonts w:ascii="Arial" w:hAnsi="Arial" w:cs="Arial"/>
                <w:sz w:val="20"/>
                <w:szCs w:val="20"/>
              </w:rPr>
            </w:pPr>
            <w:r w:rsidRPr="00E76B02">
              <w:rPr>
                <w:rFonts w:ascii="Arial" w:hAnsi="Arial"/>
                <w:sz w:val="20"/>
              </w:rPr>
              <w:t>-3.7</w:t>
            </w:r>
          </w:p>
        </w:tc>
        <w:tc>
          <w:tcPr>
            <w:tcW w:w="841" w:type="dxa"/>
            <w:tcBorders>
              <w:top w:val="nil"/>
              <w:left w:val="nil"/>
              <w:bottom w:val="nil"/>
              <w:right w:val="nil"/>
            </w:tcBorders>
            <w:hideMark/>
          </w:tcPr>
          <w:p w14:paraId="088E7604" w14:textId="77777777" w:rsidR="000D4591" w:rsidRPr="00E76B02" w:rsidRDefault="000D4591" w:rsidP="00E76B02">
            <w:pPr>
              <w:jc w:val="center"/>
              <w:rPr>
                <w:rFonts w:ascii="Arial" w:hAnsi="Arial" w:cs="Arial"/>
                <w:sz w:val="20"/>
                <w:szCs w:val="20"/>
              </w:rPr>
            </w:pPr>
            <w:r w:rsidRPr="00E76B02">
              <w:rPr>
                <w:rFonts w:ascii="Arial" w:hAnsi="Arial"/>
                <w:sz w:val="20"/>
              </w:rPr>
              <w:t>19.7</w:t>
            </w:r>
          </w:p>
        </w:tc>
        <w:tc>
          <w:tcPr>
            <w:tcW w:w="856" w:type="dxa"/>
            <w:tcBorders>
              <w:top w:val="nil"/>
              <w:left w:val="nil"/>
              <w:bottom w:val="nil"/>
              <w:right w:val="nil"/>
            </w:tcBorders>
            <w:hideMark/>
          </w:tcPr>
          <w:p w14:paraId="5C523EEF" w14:textId="77777777" w:rsidR="000D4591" w:rsidRPr="00E76B02" w:rsidRDefault="000D4591" w:rsidP="00E76B02">
            <w:pPr>
              <w:jc w:val="center"/>
              <w:rPr>
                <w:rFonts w:ascii="Arial" w:hAnsi="Arial" w:cs="Arial"/>
                <w:sz w:val="20"/>
                <w:szCs w:val="20"/>
              </w:rPr>
            </w:pPr>
            <w:r w:rsidRPr="00E76B02">
              <w:rPr>
                <w:rFonts w:ascii="Arial" w:hAnsi="Arial"/>
                <w:sz w:val="20"/>
              </w:rPr>
              <w:t>22.0</w:t>
            </w:r>
          </w:p>
        </w:tc>
      </w:tr>
      <w:tr w:rsidR="000D4591" w:rsidRPr="00E76B02" w14:paraId="7992401F" w14:textId="77777777" w:rsidTr="00E76B02">
        <w:trPr>
          <w:trHeight w:val="309"/>
          <w:jc w:val="center"/>
        </w:trPr>
        <w:tc>
          <w:tcPr>
            <w:tcW w:w="4536" w:type="dxa"/>
            <w:tcBorders>
              <w:top w:val="nil"/>
              <w:left w:val="nil"/>
              <w:bottom w:val="single" w:sz="4" w:space="0" w:color="auto"/>
              <w:right w:val="nil"/>
            </w:tcBorders>
            <w:shd w:val="clear" w:color="auto" w:fill="FFFFFF"/>
            <w:noWrap/>
            <w:hideMark/>
          </w:tcPr>
          <w:p w14:paraId="2D0C688D" w14:textId="77777777" w:rsidR="000D4591" w:rsidRPr="00E76B02" w:rsidRDefault="000D4591" w:rsidP="00E76B02">
            <w:pPr>
              <w:rPr>
                <w:rFonts w:ascii="Arial" w:hAnsi="Arial" w:cs="Arial"/>
                <w:sz w:val="20"/>
                <w:szCs w:val="20"/>
              </w:rPr>
            </w:pPr>
            <w:r w:rsidRPr="00E76B02">
              <w:rPr>
                <w:rFonts w:ascii="Arial" w:hAnsi="Arial"/>
                <w:sz w:val="20"/>
              </w:rPr>
              <w:t>Manufacture of furniture</w:t>
            </w:r>
          </w:p>
        </w:tc>
        <w:tc>
          <w:tcPr>
            <w:tcW w:w="999" w:type="dxa"/>
            <w:tcBorders>
              <w:top w:val="nil"/>
              <w:left w:val="nil"/>
              <w:bottom w:val="single" w:sz="4" w:space="0" w:color="auto"/>
              <w:right w:val="nil"/>
            </w:tcBorders>
            <w:hideMark/>
          </w:tcPr>
          <w:p w14:paraId="5013A863" w14:textId="77777777" w:rsidR="000D4591" w:rsidRPr="00E76B02" w:rsidRDefault="000D4591" w:rsidP="00E76B02">
            <w:pPr>
              <w:jc w:val="center"/>
              <w:rPr>
                <w:rFonts w:ascii="Arial" w:hAnsi="Arial" w:cs="Arial"/>
                <w:sz w:val="20"/>
                <w:szCs w:val="20"/>
              </w:rPr>
            </w:pPr>
            <w:r w:rsidRPr="00E76B02">
              <w:rPr>
                <w:rFonts w:ascii="Arial" w:hAnsi="Arial"/>
                <w:sz w:val="20"/>
              </w:rPr>
              <w:t>0.8</w:t>
            </w:r>
          </w:p>
        </w:tc>
        <w:tc>
          <w:tcPr>
            <w:tcW w:w="986" w:type="dxa"/>
            <w:tcBorders>
              <w:top w:val="nil"/>
              <w:left w:val="nil"/>
              <w:bottom w:val="single" w:sz="4" w:space="0" w:color="auto"/>
              <w:right w:val="nil"/>
            </w:tcBorders>
            <w:hideMark/>
          </w:tcPr>
          <w:p w14:paraId="1D2FBC87" w14:textId="77777777" w:rsidR="000D4591" w:rsidRPr="00E76B02" w:rsidRDefault="000D4591" w:rsidP="00E76B02">
            <w:pPr>
              <w:jc w:val="center"/>
              <w:rPr>
                <w:rFonts w:ascii="Arial" w:hAnsi="Arial" w:cs="Arial"/>
                <w:sz w:val="20"/>
                <w:szCs w:val="20"/>
              </w:rPr>
            </w:pPr>
            <w:r w:rsidRPr="00E76B02">
              <w:rPr>
                <w:rFonts w:ascii="Arial" w:hAnsi="Arial"/>
                <w:sz w:val="20"/>
              </w:rPr>
              <w:t>1.9</w:t>
            </w:r>
          </w:p>
        </w:tc>
        <w:tc>
          <w:tcPr>
            <w:tcW w:w="1027" w:type="dxa"/>
            <w:tcBorders>
              <w:top w:val="nil"/>
              <w:left w:val="nil"/>
              <w:bottom w:val="single" w:sz="4" w:space="0" w:color="auto"/>
              <w:right w:val="nil"/>
            </w:tcBorders>
            <w:hideMark/>
          </w:tcPr>
          <w:p w14:paraId="4B60435C" w14:textId="77777777" w:rsidR="000D4591" w:rsidRPr="00E76B02" w:rsidRDefault="000D4591" w:rsidP="00E76B02">
            <w:pPr>
              <w:jc w:val="center"/>
              <w:rPr>
                <w:rFonts w:ascii="Arial" w:hAnsi="Arial" w:cs="Arial"/>
                <w:sz w:val="20"/>
                <w:szCs w:val="20"/>
              </w:rPr>
            </w:pPr>
            <w:r w:rsidRPr="00E76B02">
              <w:rPr>
                <w:rFonts w:ascii="Arial" w:hAnsi="Arial"/>
                <w:sz w:val="20"/>
              </w:rPr>
              <w:t>7.8</w:t>
            </w:r>
          </w:p>
        </w:tc>
        <w:tc>
          <w:tcPr>
            <w:tcW w:w="841" w:type="dxa"/>
            <w:tcBorders>
              <w:top w:val="nil"/>
              <w:left w:val="nil"/>
              <w:bottom w:val="single" w:sz="4" w:space="0" w:color="auto"/>
              <w:right w:val="nil"/>
            </w:tcBorders>
            <w:hideMark/>
          </w:tcPr>
          <w:p w14:paraId="470502BA" w14:textId="77777777" w:rsidR="000D4591" w:rsidRPr="00E76B02" w:rsidRDefault="000D4591" w:rsidP="00E76B02">
            <w:pPr>
              <w:jc w:val="center"/>
              <w:rPr>
                <w:rFonts w:ascii="Arial" w:hAnsi="Arial" w:cs="Arial"/>
                <w:sz w:val="20"/>
                <w:szCs w:val="20"/>
              </w:rPr>
            </w:pPr>
            <w:r w:rsidRPr="00E76B02">
              <w:rPr>
                <w:rFonts w:ascii="Arial" w:hAnsi="Arial"/>
                <w:sz w:val="20"/>
              </w:rPr>
              <w:t>25.0</w:t>
            </w:r>
          </w:p>
        </w:tc>
        <w:tc>
          <w:tcPr>
            <w:tcW w:w="856" w:type="dxa"/>
            <w:tcBorders>
              <w:top w:val="nil"/>
              <w:left w:val="nil"/>
              <w:bottom w:val="single" w:sz="4" w:space="0" w:color="auto"/>
              <w:right w:val="nil"/>
            </w:tcBorders>
            <w:hideMark/>
          </w:tcPr>
          <w:p w14:paraId="26467F66" w14:textId="77777777" w:rsidR="000D4591" w:rsidRPr="00E76B02" w:rsidRDefault="000D4591" w:rsidP="00E76B02">
            <w:pPr>
              <w:jc w:val="center"/>
              <w:rPr>
                <w:rFonts w:ascii="Arial" w:hAnsi="Arial" w:cs="Arial"/>
                <w:sz w:val="20"/>
                <w:szCs w:val="20"/>
              </w:rPr>
            </w:pPr>
            <w:r w:rsidRPr="00E76B02">
              <w:rPr>
                <w:rFonts w:ascii="Arial" w:hAnsi="Arial"/>
                <w:sz w:val="20"/>
              </w:rPr>
              <w:t>10.1</w:t>
            </w:r>
          </w:p>
        </w:tc>
      </w:tr>
    </w:tbl>
    <w:p w14:paraId="7AB2DDD1" w14:textId="311582CB" w:rsidR="000D4591" w:rsidRPr="00E76B02" w:rsidRDefault="000D4591" w:rsidP="000D4591">
      <w:pPr>
        <w:shd w:val="clear" w:color="auto" w:fill="FFFFFF"/>
        <w:spacing w:before="120" w:after="120" w:line="264" w:lineRule="auto"/>
        <w:ind w:firstLine="720"/>
        <w:jc w:val="both"/>
      </w:pPr>
      <w:r w:rsidRPr="00E76B02">
        <w:rPr>
          <w:i/>
        </w:rPr>
        <w:t>The IIP in the 11 months of 2025 experienced a year-on-year increase in all 34 provinces and municipalities</w:t>
      </w:r>
      <w:r w:rsidRPr="00E76B02">
        <w:t xml:space="preserve">. Several provinces saw a fairly high growth rate in the IIP thanks to the manufacturing and the surge in </w:t>
      </w:r>
      <w:r w:rsidR="00F661A2">
        <w:t xml:space="preserve">the </w:t>
      </w:r>
      <w:r w:rsidRPr="00E76B02">
        <w:t xml:space="preserve">electricity </w:t>
      </w:r>
      <w:r w:rsidR="00F661A2">
        <w:lastRenderedPageBreak/>
        <w:t>supply</w:t>
      </w:r>
      <w:r w:rsidRPr="00E76B02">
        <w:rPr>
          <w:rFonts w:eastAsia="DengXian Light"/>
          <w:vertAlign w:val="superscript"/>
        </w:rPr>
        <w:footnoteReference w:id="10"/>
      </w:r>
      <w:r w:rsidRPr="00E76B02">
        <w:t xml:space="preserve">. Conversely, the IIP in several provinces and municipalities nudged up due to low growth or decrease in </w:t>
      </w:r>
      <w:r w:rsidR="00F661A2">
        <w:t xml:space="preserve">the </w:t>
      </w:r>
      <w:r w:rsidRPr="00E76B02">
        <w:t>manufacturing</w:t>
      </w:r>
      <w:r w:rsidR="00914A7A">
        <w:t>,</w:t>
      </w:r>
      <w:r w:rsidR="00914A7A" w:rsidRPr="00E76B02">
        <w:t xml:space="preserve"> </w:t>
      </w:r>
      <w:r w:rsidR="00F661A2">
        <w:t xml:space="preserve">the </w:t>
      </w:r>
      <w:r w:rsidRPr="00E76B02">
        <w:t>mining and quarrying</w:t>
      </w:r>
      <w:r w:rsidR="00F661A2">
        <w:t>,</w:t>
      </w:r>
      <w:r w:rsidRPr="00E76B02">
        <w:t xml:space="preserve"> and </w:t>
      </w:r>
      <w:r w:rsidR="00F661A2">
        <w:t xml:space="preserve">the </w:t>
      </w:r>
      <w:r w:rsidRPr="00E76B02">
        <w:t xml:space="preserve">electricity </w:t>
      </w:r>
      <w:r w:rsidR="00F661A2">
        <w:t>supply</w:t>
      </w:r>
      <w:r w:rsidRPr="00E76B02">
        <w:rPr>
          <w:rFonts w:eastAsia="DengXian Light"/>
          <w:vertAlign w:val="superscript"/>
        </w:rPr>
        <w:footnoteReference w:id="11"/>
      </w:r>
      <w:r w:rsidRPr="00E76B02">
        <w:t xml:space="preserve">.  </w:t>
      </w:r>
    </w:p>
    <w:p w14:paraId="3AF4A52B" w14:textId="4EA5F2C9" w:rsidR="000D4591" w:rsidRPr="00E76B02" w:rsidRDefault="000D4591" w:rsidP="000D4591">
      <w:pPr>
        <w:shd w:val="clear" w:color="auto" w:fill="FFFFFF"/>
        <w:jc w:val="center"/>
        <w:rPr>
          <w:rFonts w:ascii="Arial" w:hAnsi="Arial" w:cs="Arial"/>
          <w:b/>
          <w:bCs/>
          <w:sz w:val="24"/>
          <w:szCs w:val="24"/>
        </w:rPr>
      </w:pPr>
      <w:r w:rsidRPr="00E76B02">
        <w:rPr>
          <w:rFonts w:ascii="Arial" w:hAnsi="Arial"/>
          <w:b/>
          <w:sz w:val="24"/>
        </w:rPr>
        <w:t xml:space="preserve">Figure 4. Year-on-year IIP growth rate for some </w:t>
      </w:r>
      <w:r w:rsidR="00914A7A" w:rsidRPr="00E76B02">
        <w:rPr>
          <w:rFonts w:ascii="Arial" w:hAnsi="Arial"/>
          <w:b/>
          <w:sz w:val="24"/>
        </w:rPr>
        <w:t xml:space="preserve">localities </w:t>
      </w:r>
      <w:r w:rsidR="00C71F18">
        <w:rPr>
          <w:rFonts w:ascii="Arial" w:hAnsi="Arial"/>
          <w:b/>
          <w:sz w:val="24"/>
        </w:rPr>
        <w:br/>
      </w:r>
      <w:r w:rsidRPr="00E76B02">
        <w:rPr>
          <w:rFonts w:ascii="Arial" w:hAnsi="Arial"/>
          <w:b/>
          <w:sz w:val="24"/>
        </w:rPr>
        <w:t>(11-month period, 2025) (%)</w:t>
      </w:r>
    </w:p>
    <w:p w14:paraId="56714168" w14:textId="77777777" w:rsidR="000D4591" w:rsidRPr="00E76B02" w:rsidRDefault="000D4591" w:rsidP="000D4591">
      <w:pPr>
        <w:shd w:val="clear" w:color="auto" w:fill="FFFFFF"/>
        <w:jc w:val="center"/>
        <w:rPr>
          <w:rFonts w:ascii="Arial" w:hAnsi="Arial" w:cs="Arial"/>
          <w:b/>
          <w:bCs/>
          <w:sz w:val="24"/>
          <w:szCs w:val="24"/>
        </w:rPr>
      </w:pPr>
    </w:p>
    <w:p w14:paraId="51E70401" w14:textId="77777777" w:rsidR="000D4591" w:rsidRPr="00E76B02" w:rsidRDefault="000D4591" w:rsidP="000D4591">
      <w:pPr>
        <w:shd w:val="clear" w:color="auto" w:fill="FFFFFF"/>
        <w:jc w:val="center"/>
        <w:rPr>
          <w:rFonts w:ascii="Arial" w:hAnsi="Arial" w:cs="Arial"/>
          <w:b/>
          <w:bCs/>
          <w:sz w:val="14"/>
          <w:szCs w:val="14"/>
        </w:rPr>
      </w:pPr>
    </w:p>
    <w:tbl>
      <w:tblPr>
        <w:tblStyle w:val="TableGrid"/>
        <w:tblW w:w="932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6"/>
        <w:gridCol w:w="5046"/>
      </w:tblGrid>
      <w:tr w:rsidR="000D4591" w:rsidRPr="00E76B02" w14:paraId="4AA959F6" w14:textId="77777777" w:rsidTr="00E76B02">
        <w:trPr>
          <w:trHeight w:val="3400"/>
          <w:jc w:val="center"/>
        </w:trPr>
        <w:tc>
          <w:tcPr>
            <w:tcW w:w="4806" w:type="dxa"/>
            <w:hideMark/>
          </w:tcPr>
          <w:p w14:paraId="2691704F" w14:textId="77777777" w:rsidR="000D4591" w:rsidRPr="00E76B02" w:rsidRDefault="000D4591" w:rsidP="00E76B02">
            <w:pPr>
              <w:jc w:val="center"/>
              <w:rPr>
                <w:rFonts w:ascii="Arial" w:hAnsi="Arial" w:cs="Arial"/>
                <w:b/>
                <w:bCs/>
                <w:sz w:val="18"/>
                <w:szCs w:val="18"/>
                <w:lang w:val="en-US"/>
              </w:rPr>
            </w:pPr>
            <w:r w:rsidRPr="00E76B02">
              <w:rPr>
                <w:rFonts w:ascii="Arial" w:hAnsi="Arial"/>
                <w:b/>
                <w:sz w:val="18"/>
                <w:lang w:val="en-US"/>
              </w:rPr>
              <w:t>Top 10 localities by IIP growth rate</w:t>
            </w:r>
          </w:p>
          <w:p w14:paraId="348E474A" w14:textId="77777777" w:rsidR="000D4591" w:rsidRPr="00E76B02" w:rsidRDefault="000D4591" w:rsidP="00E76B02">
            <w:pPr>
              <w:jc w:val="center"/>
              <w:rPr>
                <w:rFonts w:ascii="Arial" w:hAnsi="Arial" w:cs="Arial"/>
                <w:b/>
                <w:bCs/>
                <w:sz w:val="24"/>
                <w:szCs w:val="24"/>
                <w:lang w:val="en-US"/>
              </w:rPr>
            </w:pPr>
            <w:r w:rsidRPr="00E76B02">
              <w:rPr>
                <w:noProof/>
              </w:rPr>
              <w:drawing>
                <wp:inline distT="0" distB="0" distL="0" distR="0" wp14:anchorId="158BA1AC" wp14:editId="28C60BA4">
                  <wp:extent cx="2914650" cy="2114550"/>
                  <wp:effectExtent l="0" t="0" r="0" b="0"/>
                  <wp:docPr id="232459551" name="Chart 232459551">
                    <a:extLst xmlns:a="http://schemas.openxmlformats.org/drawingml/2006/main">
                      <a:ext uri="{FF2B5EF4-FFF2-40B4-BE49-F238E27FC236}">
                        <a16:creationId xmlns:a16="http://schemas.microsoft.com/office/drawing/2014/main" id="{51617DA1-4B32-0C15-49D5-AFE406FAD1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c>
          <w:tcPr>
            <w:tcW w:w="4523" w:type="dxa"/>
            <w:hideMark/>
          </w:tcPr>
          <w:p w14:paraId="5151AB63" w14:textId="77777777" w:rsidR="000D4591" w:rsidRPr="00E76B02" w:rsidRDefault="000D4591" w:rsidP="00E76B02">
            <w:pPr>
              <w:jc w:val="center"/>
              <w:rPr>
                <w:rFonts w:ascii="Arial" w:hAnsi="Arial" w:cs="Arial"/>
                <w:b/>
                <w:bCs/>
                <w:spacing w:val="-4"/>
                <w:sz w:val="18"/>
                <w:szCs w:val="18"/>
                <w:lang w:val="en-US"/>
              </w:rPr>
            </w:pPr>
            <w:r w:rsidRPr="00E76B02">
              <w:rPr>
                <w:rFonts w:ascii="Arial" w:hAnsi="Arial"/>
                <w:b/>
                <w:sz w:val="18"/>
                <w:lang w:val="en-US"/>
              </w:rPr>
              <w:t>Bottom 10 localities by IIP growth rate</w:t>
            </w:r>
          </w:p>
          <w:p w14:paraId="4528D612" w14:textId="77777777" w:rsidR="000D4591" w:rsidRPr="00E76B02" w:rsidRDefault="000D4591" w:rsidP="00E76B02">
            <w:pPr>
              <w:jc w:val="center"/>
              <w:rPr>
                <w:rFonts w:ascii="Arial" w:hAnsi="Arial" w:cs="Arial"/>
                <w:b/>
                <w:bCs/>
                <w:sz w:val="24"/>
                <w:szCs w:val="24"/>
                <w:lang w:val="en-US"/>
              </w:rPr>
            </w:pPr>
            <w:r w:rsidRPr="00E76B02">
              <w:rPr>
                <w:noProof/>
              </w:rPr>
              <w:drawing>
                <wp:inline distT="0" distB="0" distL="0" distR="0" wp14:anchorId="50B96958" wp14:editId="740B3BD8">
                  <wp:extent cx="3067050" cy="2238375"/>
                  <wp:effectExtent l="0" t="0" r="0" b="9525"/>
                  <wp:docPr id="15" name="Chart 15">
                    <a:extLst xmlns:a="http://schemas.openxmlformats.org/drawingml/2006/main">
                      <a:ext uri="{FF2B5EF4-FFF2-40B4-BE49-F238E27FC236}">
                        <a16:creationId xmlns:a16="http://schemas.microsoft.com/office/drawing/2014/main" id="{AA847784-4009-6DC7-9F59-C2B3EC333B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bl>
    <w:p w14:paraId="5DED2202" w14:textId="4F5FE2B5" w:rsidR="000D4591" w:rsidRPr="00E76B02" w:rsidRDefault="000D4591" w:rsidP="000D4591">
      <w:pPr>
        <w:shd w:val="clear" w:color="auto" w:fill="FFFFFF"/>
        <w:spacing w:after="120" w:line="259" w:lineRule="auto"/>
        <w:ind w:firstLine="720"/>
        <w:jc w:val="both"/>
        <w:rPr>
          <w:spacing w:val="-4"/>
        </w:rPr>
      </w:pPr>
      <w:r w:rsidRPr="00E76B02">
        <w:rPr>
          <w:i/>
          <w:iCs/>
        </w:rPr>
        <w:t>Several key industrial products</w:t>
      </w:r>
      <w:r w:rsidRPr="00E76B02">
        <w:t xml:space="preserve"> in the 11 months in 2025 witnessed year-on-year increases were as follows: automobiles</w:t>
      </w:r>
      <w:r w:rsidR="00FE4438">
        <w:t xml:space="preserve"> with</w:t>
      </w:r>
      <w:r w:rsidRPr="00E76B02">
        <w:t xml:space="preserve"> 37.4%; TV </w:t>
      </w:r>
      <w:r w:rsidR="00FE4438">
        <w:t xml:space="preserve">with </w:t>
      </w:r>
      <w:r w:rsidRPr="00E76B02">
        <w:t xml:space="preserve">19.0%; laminated steel </w:t>
      </w:r>
      <w:r w:rsidR="00FE4438">
        <w:t xml:space="preserve">with </w:t>
      </w:r>
      <w:r w:rsidRPr="00E76B02">
        <w:t xml:space="preserve">18.5%; aquatic feed </w:t>
      </w:r>
      <w:r w:rsidR="00FE4438">
        <w:t xml:space="preserve">with </w:t>
      </w:r>
      <w:r w:rsidRPr="00E76B02">
        <w:t xml:space="preserve">14.8%; </w:t>
      </w:r>
      <w:r w:rsidR="005666F3">
        <w:t>r</w:t>
      </w:r>
      <w:r w:rsidR="005666F3" w:rsidRPr="00E76B02">
        <w:t xml:space="preserve">egular </w:t>
      </w:r>
      <w:r w:rsidRPr="00E76B02">
        <w:t xml:space="preserve">clothes </w:t>
      </w:r>
      <w:r w:rsidR="00FE4438">
        <w:t xml:space="preserve">with </w:t>
      </w:r>
      <w:r w:rsidRPr="00E76B02">
        <w:t xml:space="preserve">14.2%; manufacture of cement </w:t>
      </w:r>
      <w:r w:rsidR="00FE4438">
        <w:t xml:space="preserve">with </w:t>
      </w:r>
      <w:r w:rsidRPr="00E76B02">
        <w:t xml:space="preserve">14.1%; leather shoes and sandals </w:t>
      </w:r>
      <w:r w:rsidR="00FE4438">
        <w:t xml:space="preserve">with </w:t>
      </w:r>
      <w:r w:rsidRPr="00E76B02">
        <w:t xml:space="preserve">12.8%; refined sugar </w:t>
      </w:r>
      <w:r w:rsidR="00FE4438">
        <w:t xml:space="preserve">with </w:t>
      </w:r>
      <w:r w:rsidRPr="00E76B02">
        <w:t>12.3%; NPK fertilizer</w:t>
      </w:r>
      <w:r w:rsidR="00FE4438">
        <w:t xml:space="preserve"> with</w:t>
      </w:r>
      <w:r w:rsidRPr="00E76B02">
        <w:t xml:space="preserve"> 11.9%; chemical paint </w:t>
      </w:r>
      <w:r w:rsidR="00FE4438">
        <w:t xml:space="preserve">with </w:t>
      </w:r>
      <w:r w:rsidRPr="00E76B02">
        <w:t>10.9%. Conversely, some industrial products experienced a year-on-year reduction, including natural gas (5.9%); fabrics from synthetic yarn (1.8%).</w:t>
      </w:r>
    </w:p>
    <w:p w14:paraId="5ED98B9D" w14:textId="12844531" w:rsidR="00550AA7" w:rsidRPr="00E76B02" w:rsidRDefault="000D4591" w:rsidP="000D4591">
      <w:pPr>
        <w:spacing w:before="120" w:after="120" w:line="264" w:lineRule="auto"/>
        <w:ind w:firstLine="720"/>
        <w:jc w:val="both"/>
      </w:pPr>
      <w:r w:rsidRPr="00E76B02">
        <w:rPr>
          <w:i/>
          <w:iCs/>
        </w:rPr>
        <w:t>The number of employees in industrial enterprises</w:t>
      </w:r>
      <w:r w:rsidRPr="00E76B02">
        <w:t xml:space="preserve"> </w:t>
      </w:r>
      <w:r w:rsidRPr="00E76B02">
        <w:rPr>
          <w:i/>
        </w:rPr>
        <w:t>as of November 1, 2025</w:t>
      </w:r>
      <w:r w:rsidRPr="00E76B02">
        <w:t xml:space="preserve"> saw a month-on-month growth of 1.0% and year-on-year increase of 3.7%. Among them, the number of employees in </w:t>
      </w:r>
      <w:r w:rsidR="00FE4438">
        <w:t xml:space="preserve">the </w:t>
      </w:r>
      <w:r w:rsidRPr="00E76B02">
        <w:t xml:space="preserve">state-owned enterprises saw a 0.1% month-on-month increase and 1.5% year-over-year increase; </w:t>
      </w:r>
      <w:r w:rsidR="00FE4438">
        <w:t xml:space="preserve">the </w:t>
      </w:r>
      <w:r w:rsidRPr="00E76B02">
        <w:t xml:space="preserve">FDI enterprises increased by 1.3% and 4.5%, respectively; while </w:t>
      </w:r>
      <w:r w:rsidR="00FE4438">
        <w:t xml:space="preserve">the </w:t>
      </w:r>
      <w:r w:rsidRPr="00E76B02">
        <w:t xml:space="preserve">non-state enterprises rose by 0.7% and 1.9%, respectively. By </w:t>
      </w:r>
      <w:r w:rsidR="005666F3" w:rsidRPr="005666F3">
        <w:t>kind of economic activity</w:t>
      </w:r>
      <w:r w:rsidRPr="00E76B02">
        <w:t xml:space="preserve">, the number of employees in the mining was unchanged over previous month and saw a year-on-year increase of 1.6%. The manufacturing saw an increase of 1.1% </w:t>
      </w:r>
      <w:r w:rsidRPr="00E76B02">
        <w:lastRenderedPageBreak/>
        <w:t xml:space="preserve">and 3.9%, respectively. The </w:t>
      </w:r>
      <w:r w:rsidR="005666F3">
        <w:t>e</w:t>
      </w:r>
      <w:r w:rsidR="005666F3" w:rsidRPr="005666F3">
        <w:t>lectricity, gas, steam and air conditioning supply</w:t>
      </w:r>
      <w:r w:rsidRPr="00E76B02">
        <w:t xml:space="preserve"> was unchanged over previous month and saw a year-on-year increase of 1.9%. Meanwhile water supply, sewerage, waste management, and remediation activities recorded a slight increase of 0.3% month-on-month and 1.9% year-on-year.</w:t>
      </w:r>
    </w:p>
    <w:p w14:paraId="1F7048CB" w14:textId="77777777" w:rsidR="007B0517" w:rsidRPr="00E76B02" w:rsidRDefault="007B0517" w:rsidP="007B0517">
      <w:pPr>
        <w:spacing w:after="120" w:line="259" w:lineRule="auto"/>
        <w:ind w:firstLine="720"/>
        <w:jc w:val="both"/>
        <w:rPr>
          <w:b/>
        </w:rPr>
      </w:pPr>
      <w:r w:rsidRPr="00E76B02">
        <w:rPr>
          <w:b/>
          <w:bCs/>
        </w:rPr>
        <w:t xml:space="preserve">3. </w:t>
      </w:r>
      <w:r w:rsidRPr="00E76B02">
        <w:rPr>
          <w:b/>
        </w:rPr>
        <w:t>Business registration status</w:t>
      </w:r>
    </w:p>
    <w:p w14:paraId="31A55708" w14:textId="4130F169" w:rsidR="007B0517" w:rsidRPr="00E76B02" w:rsidRDefault="007B0517" w:rsidP="007B0517">
      <w:pPr>
        <w:spacing w:after="120" w:line="259" w:lineRule="auto"/>
        <w:ind w:firstLine="720"/>
        <w:jc w:val="both"/>
      </w:pPr>
      <w:r w:rsidRPr="00E76B02">
        <w:t xml:space="preserve">In November, the country had 15.1 thousand newly registered enterprises with registered capital of 160.5 trillion VND and registered employees of 83.3 thousand employees, a month-on-month decrease of 16.1%, 6.9%, </w:t>
      </w:r>
      <w:r w:rsidR="00E76B02" w:rsidRPr="00E76B02">
        <w:t>and 11.0</w:t>
      </w:r>
      <w:r w:rsidRPr="00E76B02">
        <w:t xml:space="preserve">% in the number of enterprises, in the registered capital and in the number of employees, respectively. In </w:t>
      </w:r>
      <w:r w:rsidR="00E76B02" w:rsidRPr="00E76B02">
        <w:t>comparison</w:t>
      </w:r>
      <w:r w:rsidRPr="00E76B02">
        <w:t xml:space="preserve"> with the same period last year, the number of enterprises increased by 34.9%, the registered capital increased by 15.8% and the number of employees decreased by 7.6%. In November, the average registered capital of a newly registered enterprise reached 10.7 billion VND, a month-on-month increase of 10.9% and a year-on-year decrease of 14.1%. In addition, the country also had 9.7 thousand resumed operation enterprises, a month-on-month decrease of 16.4% and a year-on-year increase of 25.6%.</w:t>
      </w:r>
    </w:p>
    <w:p w14:paraId="2F08AC18" w14:textId="77777777" w:rsidR="007B0517" w:rsidRPr="00E76B02" w:rsidRDefault="007B0517" w:rsidP="007B0517">
      <w:pPr>
        <w:spacing w:after="120" w:line="259" w:lineRule="auto"/>
        <w:ind w:firstLine="720"/>
        <w:jc w:val="both"/>
      </w:pPr>
      <w:r w:rsidRPr="00E76B02">
        <w:t xml:space="preserve">In November, there were 4,859 enterprises registered to temporarily suspending for a definite time, a month-on-month decrease of 19.9% and a year-on-year growth of 14.5%; 6,668 enterprises </w:t>
      </w:r>
      <w:r w:rsidRPr="00E76B02">
        <w:rPr>
          <w:spacing w:val="-2"/>
        </w:rPr>
        <w:t>ceased and awaited for dissolution procedures</w:t>
      </w:r>
      <w:r w:rsidRPr="00E76B02">
        <w:t xml:space="preserve">, a month-on-month decrease of 1.5% and a year-on-year decrease of 11.7%; 4,022 enterprises completed procedures for dissolution, a month-on-month decrease of 11.3% and </w:t>
      </w:r>
      <w:r w:rsidRPr="00E76B02">
        <w:rPr>
          <w:spacing w:val="-2"/>
        </w:rPr>
        <w:t>a year-on-year growth of</w:t>
      </w:r>
      <w:r w:rsidRPr="00E76B02">
        <w:t xml:space="preserve"> 110.6%.</w:t>
      </w:r>
    </w:p>
    <w:p w14:paraId="7ABED48E" w14:textId="775F2125" w:rsidR="007B0517" w:rsidRPr="00E76B02" w:rsidRDefault="007B0517" w:rsidP="007B0517">
      <w:pPr>
        <w:spacing w:after="120" w:line="259" w:lineRule="auto"/>
        <w:ind w:firstLine="720"/>
        <w:jc w:val="both"/>
        <w:rPr>
          <w:spacing w:val="-4"/>
        </w:rPr>
      </w:pPr>
      <w:r w:rsidRPr="00E76B02">
        <w:rPr>
          <w:spacing w:val="-4"/>
        </w:rPr>
        <w:t>In the 11 months of 2025, the whole country had nearly 178,0 thousand newly registered enterprises with a total registered capital of 1,753.2 trillion VND and a total number of registered employees of 1,050.8 thousand employees, a year-on-year increase of 20.9%, 20.9%, 16.0% in the number of enterprises, in the registered capital and in the number of employees</w:t>
      </w:r>
      <w:r w:rsidR="002A0EBE">
        <w:rPr>
          <w:spacing w:val="-4"/>
        </w:rPr>
        <w:t>, respectively</w:t>
      </w:r>
      <w:r w:rsidRPr="00E76B02">
        <w:rPr>
          <w:spacing w:val="-4"/>
        </w:rPr>
        <w:t xml:space="preserve">. The average registered capital of a newly registered enterprise in the 11 months of 2025 reached 9.8 billion VND, </w:t>
      </w:r>
      <w:r w:rsidR="002A0EBE">
        <w:rPr>
          <w:spacing w:val="-4"/>
        </w:rPr>
        <w:t>equal to the same period last year</w:t>
      </w:r>
      <w:r w:rsidRPr="00E76B02">
        <w:rPr>
          <w:spacing w:val="-4"/>
        </w:rPr>
        <w:t>. The total registered capital added to the economy in the 11 months of 2025 was 5.6 quadrillion</w:t>
      </w:r>
      <w:r w:rsidRPr="00E76B02" w:rsidDel="002B7BF7">
        <w:rPr>
          <w:spacing w:val="-4"/>
        </w:rPr>
        <w:t xml:space="preserve"> </w:t>
      </w:r>
      <w:r w:rsidRPr="00E76B02">
        <w:rPr>
          <w:spacing w:val="-4"/>
        </w:rPr>
        <w:t>VND, a year-on-year increase of 104.3%</w:t>
      </w:r>
      <w:r w:rsidRPr="00E76B02">
        <w:rPr>
          <w:rStyle w:val="FootnoteReference"/>
          <w:spacing w:val="-4"/>
        </w:rPr>
        <w:footnoteReference w:id="12"/>
      </w:r>
      <w:r w:rsidRPr="00E76B02">
        <w:rPr>
          <w:spacing w:val="-4"/>
        </w:rPr>
        <w:t xml:space="preserve">. In addition, the whole country has 97.6 thousand </w:t>
      </w:r>
      <w:r w:rsidRPr="00E76B02">
        <w:t xml:space="preserve">resumed operation enterprises </w:t>
      </w:r>
      <w:r w:rsidRPr="00E76B02">
        <w:rPr>
          <w:spacing w:val="-4"/>
        </w:rPr>
        <w:t xml:space="preserve">(a year-on-year increase of 36.9%), bringing the total number of newly </w:t>
      </w:r>
      <w:r w:rsidRPr="00E76B02">
        <w:rPr>
          <w:spacing w:val="-2"/>
        </w:rPr>
        <w:t>registered</w:t>
      </w:r>
      <w:r w:rsidRPr="00E76B02">
        <w:rPr>
          <w:spacing w:val="-4"/>
        </w:rPr>
        <w:t xml:space="preserve"> and </w:t>
      </w:r>
      <w:r w:rsidRPr="00E76B02">
        <w:t>resumed</w:t>
      </w:r>
      <w:r w:rsidRPr="00E76B02">
        <w:rPr>
          <w:spacing w:val="-4"/>
        </w:rPr>
        <w:t xml:space="preserve"> enterprises in the 11 months of 2025 to 275.6 thousand enterprises, a year-on-year increase of 26.1%. On average, there were 25.1 thousand newly </w:t>
      </w:r>
      <w:r w:rsidRPr="00E76B02">
        <w:rPr>
          <w:spacing w:val="-2"/>
        </w:rPr>
        <w:t>registered</w:t>
      </w:r>
      <w:r w:rsidRPr="00E76B02">
        <w:rPr>
          <w:spacing w:val="-4"/>
        </w:rPr>
        <w:t xml:space="preserve"> and </w:t>
      </w:r>
      <w:r w:rsidRPr="00E76B02">
        <w:t>resumed</w:t>
      </w:r>
      <w:r w:rsidRPr="00E76B02">
        <w:rPr>
          <w:spacing w:val="-4"/>
        </w:rPr>
        <w:t xml:space="preserve"> enterprises per month.</w:t>
      </w:r>
    </w:p>
    <w:p w14:paraId="05ED4280" w14:textId="402C55B4" w:rsidR="007B0517" w:rsidRPr="00E76B02" w:rsidRDefault="007B0517" w:rsidP="007B0517">
      <w:pPr>
        <w:spacing w:after="120" w:line="259" w:lineRule="auto"/>
        <w:ind w:firstLine="720"/>
        <w:jc w:val="both"/>
      </w:pPr>
      <w:r w:rsidRPr="00E76B02">
        <w:lastRenderedPageBreak/>
        <w:t xml:space="preserve">By economic sector, in the 11 months of 2025, the number of newly </w:t>
      </w:r>
      <w:r w:rsidRPr="00E76B02">
        <w:rPr>
          <w:spacing w:val="-2"/>
        </w:rPr>
        <w:t>registered</w:t>
      </w:r>
      <w:r w:rsidRPr="00E76B02">
        <w:t xml:space="preserve"> enterprises in the agriculture, forestry and fishery sector; the industry and construction sector, the service sector reached 1,682 enterprises, (a year-on-year increase of 12.5%</w:t>
      </w:r>
      <w:r w:rsidR="0075763C" w:rsidRPr="00E76B02">
        <w:t>); 40.1</w:t>
      </w:r>
      <w:r w:rsidRPr="00E76B02">
        <w:t xml:space="preserve"> thousand </w:t>
      </w:r>
      <w:r w:rsidR="0075763C" w:rsidRPr="00E76B02">
        <w:t>enterprises (</w:t>
      </w:r>
      <w:r w:rsidRPr="00E76B02">
        <w:t>a year-on-year increase of 16.6%)</w:t>
      </w:r>
      <w:r w:rsidR="002129A8">
        <w:t>,</w:t>
      </w:r>
      <w:r w:rsidRPr="00E76B02">
        <w:t xml:space="preserve"> and 136.2 thousand enterprises (a year-on-year increase of 22.3%), respectively.</w:t>
      </w:r>
    </w:p>
    <w:p w14:paraId="7A1CE62A" w14:textId="77777777" w:rsidR="007B0517" w:rsidRPr="00E76B02" w:rsidRDefault="007B0517" w:rsidP="007B0517">
      <w:pPr>
        <w:spacing w:after="120" w:line="264" w:lineRule="auto"/>
        <w:jc w:val="center"/>
        <w:rPr>
          <w:b/>
          <w:sz w:val="24"/>
          <w:szCs w:val="24"/>
        </w:rPr>
      </w:pPr>
      <w:r w:rsidRPr="00E76B02">
        <w:rPr>
          <w:b/>
          <w:sz w:val="24"/>
          <w:szCs w:val="24"/>
        </w:rPr>
        <w:t xml:space="preserve">Figure 5. Business registration status </w:t>
      </w:r>
    </w:p>
    <w:p w14:paraId="41B6C5E7" w14:textId="77777777" w:rsidR="007B0517" w:rsidRPr="00E76B02" w:rsidRDefault="007B0517" w:rsidP="007B0517">
      <w:pPr>
        <w:spacing w:after="120" w:line="264" w:lineRule="auto"/>
        <w:jc w:val="center"/>
      </w:pPr>
      <w:r w:rsidRPr="00E76B02">
        <w:rPr>
          <w:noProof/>
          <w:sz w:val="24"/>
          <w:szCs w:val="24"/>
        </w:rPr>
        <w:drawing>
          <wp:inline distT="0" distB="0" distL="0" distR="0" wp14:anchorId="05D4E26D" wp14:editId="05B7C957">
            <wp:extent cx="4694555" cy="2459053"/>
            <wp:effectExtent l="0" t="0" r="0" b="0"/>
            <wp:docPr id="18" name="Picture 18" descr="C:\Users\hienlt\Downloads\8f1884289d4b12154b5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ienlt\Downloads\8f1884289d4b12154b5a.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14697" cy="2521985"/>
                    </a:xfrm>
                    <a:prstGeom prst="rect">
                      <a:avLst/>
                    </a:prstGeom>
                    <a:noFill/>
                    <a:ln>
                      <a:noFill/>
                    </a:ln>
                  </pic:spPr>
                </pic:pic>
              </a:graphicData>
            </a:graphic>
          </wp:inline>
        </w:drawing>
      </w:r>
    </w:p>
    <w:p w14:paraId="1BD31772" w14:textId="7FE0AAEF" w:rsidR="007B0517" w:rsidRPr="00E76B02" w:rsidRDefault="007B0517" w:rsidP="007B0517">
      <w:pPr>
        <w:spacing w:after="120" w:line="264" w:lineRule="auto"/>
        <w:ind w:firstLine="720"/>
        <w:jc w:val="both"/>
      </w:pPr>
      <w:r w:rsidRPr="00E76B02">
        <w:t xml:space="preserve">In the </w:t>
      </w:r>
      <w:r w:rsidR="002129A8" w:rsidRPr="00E76B02">
        <w:t>1</w:t>
      </w:r>
      <w:r w:rsidR="002129A8">
        <w:t>1</w:t>
      </w:r>
      <w:r w:rsidR="002129A8" w:rsidRPr="00E76B02">
        <w:t xml:space="preserve"> </w:t>
      </w:r>
      <w:r w:rsidRPr="00E76B02">
        <w:t xml:space="preserve">months of 2025, the number of enterprises temporarily suspending </w:t>
      </w:r>
      <w:r w:rsidRPr="00E76B02">
        <w:rPr>
          <w:spacing w:val="-2"/>
        </w:rPr>
        <w:t>for a definite time</w:t>
      </w:r>
      <w:r w:rsidRPr="00E76B02">
        <w:t xml:space="preserve"> was 110,1 thousand enterprises, a year-on-year increase of 14.4%; 64,5 thousand enterprises suspended operation waiting for dissolution procedures, an increase of 11.7%; 30,8 thousand enterprises completed procedures for dissolution, an in</w:t>
      </w:r>
      <w:r w:rsidR="00E76B02">
        <w:t>crease of 60.1%. On average, 18.</w:t>
      </w:r>
      <w:r w:rsidRPr="00E76B02">
        <w:t>7 thousand enterprises withdrew from the market per month.</w:t>
      </w:r>
    </w:p>
    <w:p w14:paraId="0C3732CE" w14:textId="5DB293EE" w:rsidR="007B0517" w:rsidRPr="00E76B02" w:rsidRDefault="007B0517" w:rsidP="007B0517">
      <w:pPr>
        <w:spacing w:line="276" w:lineRule="auto"/>
        <w:jc w:val="center"/>
        <w:rPr>
          <w:rFonts w:ascii="Arial" w:hAnsi="Arial" w:cs="Arial"/>
          <w:b/>
          <w:bCs/>
          <w:sz w:val="24"/>
          <w:szCs w:val="24"/>
        </w:rPr>
      </w:pPr>
      <w:r w:rsidRPr="00E76B02">
        <w:rPr>
          <w:rFonts w:ascii="Arial" w:hAnsi="Arial" w:cs="Arial"/>
          <w:b/>
          <w:bCs/>
          <w:sz w:val="24"/>
          <w:szCs w:val="24"/>
        </w:rPr>
        <w:t>Table 2. Newly registered and completely dissolved enterprises</w:t>
      </w:r>
      <w:r w:rsidR="002E77AB">
        <w:rPr>
          <w:rFonts w:ascii="Arial" w:hAnsi="Arial" w:cs="Arial"/>
          <w:b/>
          <w:bCs/>
          <w:sz w:val="24"/>
          <w:szCs w:val="24"/>
        </w:rPr>
        <w:br/>
      </w:r>
      <w:r w:rsidRPr="00E76B02">
        <w:rPr>
          <w:rFonts w:ascii="Arial" w:hAnsi="Arial" w:cs="Arial"/>
          <w:b/>
          <w:bCs/>
          <w:sz w:val="24"/>
          <w:szCs w:val="24"/>
        </w:rPr>
        <w:t xml:space="preserve">in the 11 months of 2025 by </w:t>
      </w:r>
      <w:r w:rsidR="002E77AB" w:rsidRPr="002E77AB">
        <w:rPr>
          <w:rFonts w:ascii="Arial" w:hAnsi="Arial" w:cs="Arial"/>
          <w:b/>
          <w:bCs/>
          <w:sz w:val="24"/>
          <w:szCs w:val="24"/>
        </w:rPr>
        <w:t>kind of economic activity</w:t>
      </w:r>
    </w:p>
    <w:p w14:paraId="3CA4B9C4" w14:textId="77777777" w:rsidR="007B0517" w:rsidRPr="00E76B02" w:rsidRDefault="007B0517" w:rsidP="007B0517">
      <w:pPr>
        <w:tabs>
          <w:tab w:val="left" w:pos="6810"/>
        </w:tabs>
        <w:spacing w:after="120" w:line="264" w:lineRule="auto"/>
        <w:ind w:firstLine="567"/>
        <w:jc w:val="center"/>
        <w:rPr>
          <w:b/>
          <w:sz w:val="22"/>
          <w:szCs w:val="22"/>
        </w:rPr>
      </w:pPr>
    </w:p>
    <w:tbl>
      <w:tblPr>
        <w:tblW w:w="9923" w:type="dxa"/>
        <w:jc w:val="center"/>
        <w:tblLayout w:type="fixed"/>
        <w:tblLook w:val="04A0" w:firstRow="1" w:lastRow="0" w:firstColumn="1" w:lastColumn="0" w:noHBand="0" w:noVBand="1"/>
      </w:tblPr>
      <w:tblGrid>
        <w:gridCol w:w="3996"/>
        <w:gridCol w:w="1391"/>
        <w:gridCol w:w="1417"/>
        <w:gridCol w:w="1418"/>
        <w:gridCol w:w="1701"/>
      </w:tblGrid>
      <w:tr w:rsidR="007B0517" w:rsidRPr="00E76B02" w14:paraId="3B39A19D" w14:textId="77777777" w:rsidTr="00E76B02">
        <w:trPr>
          <w:cantSplit/>
          <w:trHeight w:val="595"/>
          <w:jc w:val="center"/>
        </w:trPr>
        <w:tc>
          <w:tcPr>
            <w:tcW w:w="3996" w:type="dxa"/>
            <w:vMerge w:val="restart"/>
            <w:tcBorders>
              <w:top w:val="single" w:sz="4" w:space="0" w:color="auto"/>
            </w:tcBorders>
            <w:noWrap/>
            <w:vAlign w:val="bottom"/>
            <w:hideMark/>
          </w:tcPr>
          <w:p w14:paraId="16775F22" w14:textId="77777777" w:rsidR="007B0517" w:rsidRPr="00E76B02" w:rsidRDefault="007B0517" w:rsidP="00E76B02">
            <w:pPr>
              <w:jc w:val="center"/>
              <w:rPr>
                <w:sz w:val="20"/>
                <w:szCs w:val="20"/>
              </w:rPr>
            </w:pPr>
            <w:r w:rsidRPr="00E76B02">
              <w:rPr>
                <w:sz w:val="20"/>
                <w:szCs w:val="20"/>
              </w:rPr>
              <w:t> </w:t>
            </w:r>
          </w:p>
        </w:tc>
        <w:tc>
          <w:tcPr>
            <w:tcW w:w="2808" w:type="dxa"/>
            <w:gridSpan w:val="2"/>
            <w:tcBorders>
              <w:top w:val="single" w:sz="4" w:space="0" w:color="auto"/>
              <w:bottom w:val="single" w:sz="4" w:space="0" w:color="auto"/>
            </w:tcBorders>
            <w:vAlign w:val="center"/>
            <w:hideMark/>
          </w:tcPr>
          <w:p w14:paraId="7C896767" w14:textId="77777777" w:rsidR="007B0517" w:rsidRPr="00E76B02" w:rsidRDefault="007B0517" w:rsidP="00E76B02">
            <w:pPr>
              <w:jc w:val="center"/>
              <w:rPr>
                <w:bCs/>
                <w:sz w:val="20"/>
                <w:szCs w:val="20"/>
              </w:rPr>
            </w:pPr>
            <w:r w:rsidRPr="00E76B02">
              <w:rPr>
                <w:bCs/>
                <w:sz w:val="20"/>
                <w:szCs w:val="20"/>
              </w:rPr>
              <w:t>Number of enterprises (Enterprises)</w:t>
            </w:r>
          </w:p>
        </w:tc>
        <w:tc>
          <w:tcPr>
            <w:tcW w:w="3119" w:type="dxa"/>
            <w:gridSpan w:val="2"/>
            <w:tcBorders>
              <w:top w:val="single" w:sz="4" w:space="0" w:color="auto"/>
              <w:bottom w:val="single" w:sz="4" w:space="0" w:color="auto"/>
            </w:tcBorders>
            <w:vAlign w:val="center"/>
            <w:hideMark/>
          </w:tcPr>
          <w:p w14:paraId="3E50C245" w14:textId="77777777" w:rsidR="007B0517" w:rsidRPr="00E76B02" w:rsidRDefault="007B0517" w:rsidP="00E76B02">
            <w:pPr>
              <w:jc w:val="center"/>
              <w:rPr>
                <w:bCs/>
                <w:sz w:val="20"/>
                <w:szCs w:val="20"/>
              </w:rPr>
            </w:pPr>
            <w:r w:rsidRPr="00E76B02">
              <w:rPr>
                <w:bCs/>
                <w:sz w:val="20"/>
                <w:szCs w:val="20"/>
              </w:rPr>
              <w:t>Y-o-Y growth rate (%)</w:t>
            </w:r>
          </w:p>
        </w:tc>
      </w:tr>
      <w:tr w:rsidR="007B0517" w:rsidRPr="00E76B02" w14:paraId="5BCC25BF" w14:textId="77777777" w:rsidTr="00E76B02">
        <w:trPr>
          <w:cantSplit/>
          <w:trHeight w:val="312"/>
          <w:jc w:val="center"/>
        </w:trPr>
        <w:tc>
          <w:tcPr>
            <w:tcW w:w="3996" w:type="dxa"/>
            <w:vMerge/>
            <w:vAlign w:val="center"/>
            <w:hideMark/>
          </w:tcPr>
          <w:p w14:paraId="2CF9E7FE" w14:textId="77777777" w:rsidR="007B0517" w:rsidRPr="00E76B02" w:rsidRDefault="007B0517" w:rsidP="00E76B02">
            <w:pPr>
              <w:rPr>
                <w:sz w:val="20"/>
                <w:szCs w:val="20"/>
              </w:rPr>
            </w:pPr>
          </w:p>
        </w:tc>
        <w:tc>
          <w:tcPr>
            <w:tcW w:w="1391" w:type="dxa"/>
            <w:tcBorders>
              <w:top w:val="single" w:sz="4" w:space="0" w:color="auto"/>
              <w:bottom w:val="single" w:sz="4" w:space="0" w:color="auto"/>
            </w:tcBorders>
            <w:vAlign w:val="center"/>
            <w:hideMark/>
          </w:tcPr>
          <w:p w14:paraId="0A45BA97" w14:textId="77777777" w:rsidR="007B0517" w:rsidRPr="00E76B02" w:rsidRDefault="007B0517" w:rsidP="00E76B02">
            <w:pPr>
              <w:jc w:val="center"/>
              <w:rPr>
                <w:bCs/>
                <w:sz w:val="20"/>
                <w:szCs w:val="20"/>
              </w:rPr>
            </w:pPr>
            <w:r w:rsidRPr="00E76B02">
              <w:rPr>
                <w:bCs/>
                <w:sz w:val="20"/>
                <w:szCs w:val="20"/>
              </w:rPr>
              <w:t>Newly established</w:t>
            </w:r>
          </w:p>
        </w:tc>
        <w:tc>
          <w:tcPr>
            <w:tcW w:w="1417" w:type="dxa"/>
            <w:tcBorders>
              <w:top w:val="single" w:sz="4" w:space="0" w:color="auto"/>
              <w:bottom w:val="single" w:sz="4" w:space="0" w:color="auto"/>
            </w:tcBorders>
            <w:vAlign w:val="center"/>
            <w:hideMark/>
          </w:tcPr>
          <w:p w14:paraId="3013F8FD" w14:textId="77777777" w:rsidR="007B0517" w:rsidRPr="00E76B02" w:rsidRDefault="007B0517" w:rsidP="00E76B02">
            <w:pPr>
              <w:jc w:val="center"/>
              <w:rPr>
                <w:bCs/>
                <w:sz w:val="20"/>
                <w:szCs w:val="20"/>
              </w:rPr>
            </w:pPr>
            <w:r w:rsidRPr="00E76B02">
              <w:rPr>
                <w:bCs/>
                <w:sz w:val="20"/>
                <w:szCs w:val="20"/>
              </w:rPr>
              <w:t>Completely dissolved</w:t>
            </w:r>
          </w:p>
        </w:tc>
        <w:tc>
          <w:tcPr>
            <w:tcW w:w="1418" w:type="dxa"/>
            <w:tcBorders>
              <w:top w:val="single" w:sz="4" w:space="0" w:color="auto"/>
              <w:bottom w:val="single" w:sz="4" w:space="0" w:color="auto"/>
            </w:tcBorders>
            <w:vAlign w:val="center"/>
            <w:hideMark/>
          </w:tcPr>
          <w:p w14:paraId="0943DC5A" w14:textId="77777777" w:rsidR="007B0517" w:rsidRPr="00E76B02" w:rsidRDefault="007B0517" w:rsidP="00E76B02">
            <w:pPr>
              <w:jc w:val="center"/>
              <w:rPr>
                <w:bCs/>
                <w:sz w:val="20"/>
                <w:szCs w:val="20"/>
              </w:rPr>
            </w:pPr>
            <w:r w:rsidRPr="00E76B02">
              <w:rPr>
                <w:bCs/>
                <w:sz w:val="20"/>
                <w:szCs w:val="20"/>
              </w:rPr>
              <w:t>Newly established</w:t>
            </w:r>
          </w:p>
        </w:tc>
        <w:tc>
          <w:tcPr>
            <w:tcW w:w="1701" w:type="dxa"/>
            <w:tcBorders>
              <w:top w:val="single" w:sz="4" w:space="0" w:color="auto"/>
              <w:bottom w:val="single" w:sz="4" w:space="0" w:color="auto"/>
            </w:tcBorders>
            <w:vAlign w:val="center"/>
            <w:hideMark/>
          </w:tcPr>
          <w:p w14:paraId="0B692564" w14:textId="77777777" w:rsidR="007B0517" w:rsidRPr="00E76B02" w:rsidRDefault="007B0517" w:rsidP="00E76B02">
            <w:pPr>
              <w:jc w:val="center"/>
              <w:rPr>
                <w:bCs/>
                <w:sz w:val="20"/>
                <w:szCs w:val="20"/>
              </w:rPr>
            </w:pPr>
            <w:r w:rsidRPr="00E76B02">
              <w:rPr>
                <w:bCs/>
                <w:sz w:val="20"/>
                <w:szCs w:val="20"/>
              </w:rPr>
              <w:t>Completely dissolved</w:t>
            </w:r>
          </w:p>
        </w:tc>
      </w:tr>
      <w:tr w:rsidR="007B0517" w:rsidRPr="00E76B02" w14:paraId="6BC9268E" w14:textId="77777777" w:rsidTr="00E76B02">
        <w:trPr>
          <w:cantSplit/>
          <w:trHeight w:val="282"/>
          <w:jc w:val="center"/>
        </w:trPr>
        <w:tc>
          <w:tcPr>
            <w:tcW w:w="3996" w:type="dxa"/>
            <w:noWrap/>
            <w:vAlign w:val="bottom"/>
            <w:hideMark/>
          </w:tcPr>
          <w:p w14:paraId="41D107F9" w14:textId="77777777" w:rsidR="007B0517" w:rsidRPr="00E76B02" w:rsidRDefault="007B0517" w:rsidP="00E76B02">
            <w:pPr>
              <w:rPr>
                <w:sz w:val="20"/>
                <w:szCs w:val="20"/>
              </w:rPr>
            </w:pPr>
            <w:r w:rsidRPr="00E76B02">
              <w:rPr>
                <w:sz w:val="20"/>
                <w:szCs w:val="20"/>
              </w:rPr>
              <w:t>Wholesale and retail, repair of motor vehicle and motorcycle</w:t>
            </w:r>
          </w:p>
        </w:tc>
        <w:tc>
          <w:tcPr>
            <w:tcW w:w="1391" w:type="dxa"/>
            <w:tcBorders>
              <w:top w:val="single" w:sz="4" w:space="0" w:color="auto"/>
            </w:tcBorders>
            <w:noWrap/>
            <w:vAlign w:val="bottom"/>
          </w:tcPr>
          <w:p w14:paraId="0B2BB167" w14:textId="77777777" w:rsidR="007B0517" w:rsidRPr="00E76B02" w:rsidRDefault="007B0517" w:rsidP="00E76B02">
            <w:pPr>
              <w:ind w:right="176"/>
              <w:jc w:val="right"/>
              <w:rPr>
                <w:sz w:val="20"/>
                <w:szCs w:val="20"/>
              </w:rPr>
            </w:pPr>
            <w:r w:rsidRPr="00E76B02">
              <w:rPr>
                <w:sz w:val="20"/>
                <w:szCs w:val="20"/>
              </w:rPr>
              <w:t>75,606</w:t>
            </w:r>
          </w:p>
        </w:tc>
        <w:tc>
          <w:tcPr>
            <w:tcW w:w="1417" w:type="dxa"/>
            <w:tcBorders>
              <w:top w:val="single" w:sz="4" w:space="0" w:color="auto"/>
            </w:tcBorders>
            <w:noWrap/>
            <w:vAlign w:val="bottom"/>
          </w:tcPr>
          <w:p w14:paraId="26417D02" w14:textId="77777777" w:rsidR="007B0517" w:rsidRPr="00E76B02" w:rsidRDefault="007B0517" w:rsidP="00E76B02">
            <w:pPr>
              <w:ind w:right="176"/>
              <w:jc w:val="right"/>
              <w:rPr>
                <w:sz w:val="20"/>
                <w:szCs w:val="20"/>
              </w:rPr>
            </w:pPr>
            <w:r w:rsidRPr="00E76B02">
              <w:rPr>
                <w:sz w:val="20"/>
                <w:szCs w:val="20"/>
              </w:rPr>
              <w:t>11,296</w:t>
            </w:r>
          </w:p>
        </w:tc>
        <w:tc>
          <w:tcPr>
            <w:tcW w:w="1418" w:type="dxa"/>
            <w:tcBorders>
              <w:top w:val="single" w:sz="4" w:space="0" w:color="auto"/>
            </w:tcBorders>
            <w:noWrap/>
            <w:vAlign w:val="bottom"/>
          </w:tcPr>
          <w:p w14:paraId="39657F3B" w14:textId="77777777" w:rsidR="007B0517" w:rsidRPr="00E76B02" w:rsidRDefault="007B0517" w:rsidP="00E76B02">
            <w:pPr>
              <w:ind w:right="316"/>
              <w:jc w:val="right"/>
              <w:rPr>
                <w:sz w:val="20"/>
                <w:szCs w:val="20"/>
              </w:rPr>
            </w:pPr>
            <w:r w:rsidRPr="00E76B02">
              <w:rPr>
                <w:sz w:val="20"/>
                <w:szCs w:val="20"/>
              </w:rPr>
              <w:t>26.1</w:t>
            </w:r>
          </w:p>
        </w:tc>
        <w:tc>
          <w:tcPr>
            <w:tcW w:w="1701" w:type="dxa"/>
            <w:tcBorders>
              <w:top w:val="single" w:sz="4" w:space="0" w:color="auto"/>
            </w:tcBorders>
            <w:noWrap/>
            <w:vAlign w:val="bottom"/>
          </w:tcPr>
          <w:p w14:paraId="05CEDB8B" w14:textId="77777777" w:rsidR="007B0517" w:rsidRPr="00E76B02" w:rsidRDefault="007B0517" w:rsidP="00E76B02">
            <w:pPr>
              <w:ind w:right="176"/>
              <w:jc w:val="right"/>
              <w:rPr>
                <w:sz w:val="20"/>
                <w:szCs w:val="20"/>
              </w:rPr>
            </w:pPr>
            <w:r w:rsidRPr="00E76B02">
              <w:rPr>
                <w:sz w:val="20"/>
                <w:szCs w:val="20"/>
              </w:rPr>
              <w:t>44.3</w:t>
            </w:r>
          </w:p>
        </w:tc>
      </w:tr>
      <w:tr w:rsidR="007B0517" w:rsidRPr="00E76B02" w14:paraId="7E9B656C" w14:textId="77777777" w:rsidTr="00E76B02">
        <w:trPr>
          <w:cantSplit/>
          <w:trHeight w:val="297"/>
          <w:jc w:val="center"/>
        </w:trPr>
        <w:tc>
          <w:tcPr>
            <w:tcW w:w="3996" w:type="dxa"/>
            <w:noWrap/>
            <w:vAlign w:val="bottom"/>
            <w:hideMark/>
          </w:tcPr>
          <w:p w14:paraId="1ED9053B" w14:textId="77777777" w:rsidR="007B0517" w:rsidRPr="00E76B02" w:rsidRDefault="007B0517" w:rsidP="00E76B02">
            <w:pPr>
              <w:rPr>
                <w:sz w:val="20"/>
                <w:szCs w:val="20"/>
              </w:rPr>
            </w:pPr>
            <w:r w:rsidRPr="00E76B02">
              <w:rPr>
                <w:sz w:val="20"/>
                <w:szCs w:val="20"/>
              </w:rPr>
              <w:t xml:space="preserve">Manufacturing </w:t>
            </w:r>
          </w:p>
        </w:tc>
        <w:tc>
          <w:tcPr>
            <w:tcW w:w="1391" w:type="dxa"/>
            <w:noWrap/>
            <w:vAlign w:val="bottom"/>
          </w:tcPr>
          <w:p w14:paraId="06AA74CA" w14:textId="77777777" w:rsidR="007B0517" w:rsidRPr="00E76B02" w:rsidRDefault="007B0517" w:rsidP="00E76B02">
            <w:pPr>
              <w:ind w:right="176"/>
              <w:jc w:val="right"/>
              <w:rPr>
                <w:sz w:val="20"/>
                <w:szCs w:val="20"/>
              </w:rPr>
            </w:pPr>
            <w:r w:rsidRPr="00E76B02">
              <w:rPr>
                <w:sz w:val="20"/>
                <w:szCs w:val="20"/>
              </w:rPr>
              <w:t>23,737</w:t>
            </w:r>
          </w:p>
        </w:tc>
        <w:tc>
          <w:tcPr>
            <w:tcW w:w="1417" w:type="dxa"/>
            <w:noWrap/>
            <w:vAlign w:val="bottom"/>
          </w:tcPr>
          <w:p w14:paraId="544F2061" w14:textId="77777777" w:rsidR="007B0517" w:rsidRPr="00E76B02" w:rsidRDefault="007B0517" w:rsidP="00E76B02">
            <w:pPr>
              <w:ind w:right="176"/>
              <w:jc w:val="right"/>
              <w:rPr>
                <w:sz w:val="20"/>
                <w:szCs w:val="20"/>
              </w:rPr>
            </w:pPr>
            <w:r w:rsidRPr="00E76B02">
              <w:rPr>
                <w:sz w:val="20"/>
                <w:szCs w:val="20"/>
              </w:rPr>
              <w:t>3,390</w:t>
            </w:r>
          </w:p>
        </w:tc>
        <w:tc>
          <w:tcPr>
            <w:tcW w:w="1418" w:type="dxa"/>
            <w:noWrap/>
            <w:vAlign w:val="bottom"/>
          </w:tcPr>
          <w:p w14:paraId="7A9A0F83" w14:textId="77777777" w:rsidR="007B0517" w:rsidRPr="00E76B02" w:rsidRDefault="007B0517" w:rsidP="00E76B02">
            <w:pPr>
              <w:ind w:right="316"/>
              <w:jc w:val="right"/>
              <w:rPr>
                <w:sz w:val="20"/>
                <w:szCs w:val="20"/>
              </w:rPr>
            </w:pPr>
            <w:r w:rsidRPr="00E76B02">
              <w:rPr>
                <w:sz w:val="20"/>
                <w:szCs w:val="20"/>
              </w:rPr>
              <w:t>32.9</w:t>
            </w:r>
          </w:p>
        </w:tc>
        <w:tc>
          <w:tcPr>
            <w:tcW w:w="1701" w:type="dxa"/>
            <w:noWrap/>
            <w:vAlign w:val="bottom"/>
          </w:tcPr>
          <w:p w14:paraId="03521279" w14:textId="77777777" w:rsidR="007B0517" w:rsidRPr="00E76B02" w:rsidRDefault="007B0517" w:rsidP="00E76B02">
            <w:pPr>
              <w:ind w:right="176"/>
              <w:jc w:val="right"/>
              <w:rPr>
                <w:sz w:val="20"/>
                <w:szCs w:val="20"/>
              </w:rPr>
            </w:pPr>
            <w:r w:rsidRPr="00E76B02">
              <w:rPr>
                <w:sz w:val="20"/>
                <w:szCs w:val="20"/>
              </w:rPr>
              <w:t>64.7</w:t>
            </w:r>
          </w:p>
        </w:tc>
      </w:tr>
      <w:tr w:rsidR="007B0517" w:rsidRPr="00E76B02" w14:paraId="3F33B418" w14:textId="77777777" w:rsidTr="00E76B02">
        <w:trPr>
          <w:cantSplit/>
          <w:trHeight w:val="297"/>
          <w:jc w:val="center"/>
        </w:trPr>
        <w:tc>
          <w:tcPr>
            <w:tcW w:w="3996" w:type="dxa"/>
            <w:noWrap/>
            <w:vAlign w:val="bottom"/>
            <w:hideMark/>
          </w:tcPr>
          <w:p w14:paraId="2A8EECA7" w14:textId="77777777" w:rsidR="007B0517" w:rsidRPr="00E76B02" w:rsidRDefault="007B0517" w:rsidP="00E76B02">
            <w:pPr>
              <w:rPr>
                <w:sz w:val="20"/>
                <w:szCs w:val="20"/>
              </w:rPr>
            </w:pPr>
            <w:r w:rsidRPr="00E76B02">
              <w:rPr>
                <w:kern w:val="2"/>
                <w:sz w:val="20"/>
                <w:szCs w:val="20"/>
                <w14:ligatures w14:val="standardContextual"/>
              </w:rPr>
              <w:t>Construction</w:t>
            </w:r>
          </w:p>
        </w:tc>
        <w:tc>
          <w:tcPr>
            <w:tcW w:w="1391" w:type="dxa"/>
            <w:noWrap/>
            <w:vAlign w:val="bottom"/>
          </w:tcPr>
          <w:p w14:paraId="48199C5B" w14:textId="77777777" w:rsidR="007B0517" w:rsidRPr="00E76B02" w:rsidRDefault="007B0517" w:rsidP="00E76B02">
            <w:pPr>
              <w:ind w:right="176"/>
              <w:jc w:val="right"/>
              <w:rPr>
                <w:sz w:val="20"/>
                <w:szCs w:val="20"/>
              </w:rPr>
            </w:pPr>
            <w:r w:rsidRPr="00E76B02">
              <w:rPr>
                <w:sz w:val="20"/>
                <w:szCs w:val="20"/>
              </w:rPr>
              <w:t>14,294</w:t>
            </w:r>
          </w:p>
        </w:tc>
        <w:tc>
          <w:tcPr>
            <w:tcW w:w="1417" w:type="dxa"/>
            <w:noWrap/>
            <w:vAlign w:val="bottom"/>
          </w:tcPr>
          <w:p w14:paraId="19903929" w14:textId="77777777" w:rsidR="007B0517" w:rsidRPr="00E76B02" w:rsidRDefault="007B0517" w:rsidP="00E76B02">
            <w:pPr>
              <w:ind w:right="176"/>
              <w:jc w:val="right"/>
              <w:rPr>
                <w:sz w:val="20"/>
                <w:szCs w:val="20"/>
              </w:rPr>
            </w:pPr>
            <w:r w:rsidRPr="00E76B02">
              <w:rPr>
                <w:sz w:val="20"/>
                <w:szCs w:val="20"/>
              </w:rPr>
              <w:t>2,262</w:t>
            </w:r>
          </w:p>
        </w:tc>
        <w:tc>
          <w:tcPr>
            <w:tcW w:w="1418" w:type="dxa"/>
            <w:noWrap/>
            <w:vAlign w:val="bottom"/>
          </w:tcPr>
          <w:p w14:paraId="4CED952A" w14:textId="77777777" w:rsidR="007B0517" w:rsidRPr="00E76B02" w:rsidRDefault="007B0517" w:rsidP="00E76B02">
            <w:pPr>
              <w:ind w:right="316"/>
              <w:jc w:val="right"/>
              <w:rPr>
                <w:sz w:val="20"/>
                <w:szCs w:val="20"/>
              </w:rPr>
            </w:pPr>
            <w:r w:rsidRPr="00E76B02">
              <w:rPr>
                <w:sz w:val="20"/>
                <w:szCs w:val="20"/>
              </w:rPr>
              <w:t>-3.7</w:t>
            </w:r>
          </w:p>
        </w:tc>
        <w:tc>
          <w:tcPr>
            <w:tcW w:w="1701" w:type="dxa"/>
            <w:noWrap/>
            <w:vAlign w:val="bottom"/>
          </w:tcPr>
          <w:p w14:paraId="518039BC" w14:textId="77777777" w:rsidR="007B0517" w:rsidRPr="00E76B02" w:rsidRDefault="007B0517" w:rsidP="00E76B02">
            <w:pPr>
              <w:ind w:right="176"/>
              <w:jc w:val="right"/>
              <w:rPr>
                <w:sz w:val="20"/>
                <w:szCs w:val="20"/>
              </w:rPr>
            </w:pPr>
            <w:r w:rsidRPr="00E76B02">
              <w:rPr>
                <w:sz w:val="20"/>
                <w:szCs w:val="20"/>
              </w:rPr>
              <w:t>77.0</w:t>
            </w:r>
          </w:p>
        </w:tc>
      </w:tr>
      <w:tr w:rsidR="007B0517" w:rsidRPr="00E76B02" w14:paraId="280A03ED" w14:textId="77777777" w:rsidTr="00E76B02">
        <w:trPr>
          <w:cantSplit/>
          <w:trHeight w:val="297"/>
          <w:jc w:val="center"/>
        </w:trPr>
        <w:tc>
          <w:tcPr>
            <w:tcW w:w="3996" w:type="dxa"/>
            <w:noWrap/>
            <w:vAlign w:val="bottom"/>
            <w:hideMark/>
          </w:tcPr>
          <w:p w14:paraId="3D90CB8B" w14:textId="77777777" w:rsidR="007B0517" w:rsidRPr="00E76B02" w:rsidRDefault="007B0517" w:rsidP="00E76B02">
            <w:pPr>
              <w:rPr>
                <w:sz w:val="20"/>
                <w:szCs w:val="20"/>
              </w:rPr>
            </w:pPr>
            <w:r w:rsidRPr="00E76B02">
              <w:rPr>
                <w:sz w:val="20"/>
                <w:szCs w:val="20"/>
              </w:rPr>
              <w:t>Real estate business</w:t>
            </w:r>
          </w:p>
        </w:tc>
        <w:tc>
          <w:tcPr>
            <w:tcW w:w="1391" w:type="dxa"/>
            <w:noWrap/>
            <w:vAlign w:val="bottom"/>
          </w:tcPr>
          <w:p w14:paraId="76DD70A1" w14:textId="77777777" w:rsidR="007B0517" w:rsidRPr="00E76B02" w:rsidRDefault="007B0517" w:rsidP="00E76B02">
            <w:pPr>
              <w:ind w:right="176"/>
              <w:jc w:val="right"/>
              <w:rPr>
                <w:sz w:val="20"/>
                <w:szCs w:val="20"/>
              </w:rPr>
            </w:pPr>
            <w:r w:rsidRPr="00E76B02">
              <w:rPr>
                <w:sz w:val="20"/>
                <w:szCs w:val="20"/>
              </w:rPr>
              <w:t>5,183</w:t>
            </w:r>
          </w:p>
        </w:tc>
        <w:tc>
          <w:tcPr>
            <w:tcW w:w="1417" w:type="dxa"/>
            <w:noWrap/>
            <w:vAlign w:val="bottom"/>
          </w:tcPr>
          <w:p w14:paraId="2836C83A" w14:textId="77777777" w:rsidR="007B0517" w:rsidRPr="00E76B02" w:rsidRDefault="007B0517" w:rsidP="00E76B02">
            <w:pPr>
              <w:ind w:right="176"/>
              <w:jc w:val="right"/>
              <w:rPr>
                <w:sz w:val="20"/>
                <w:szCs w:val="20"/>
              </w:rPr>
            </w:pPr>
            <w:r w:rsidRPr="00E76B02">
              <w:rPr>
                <w:sz w:val="20"/>
                <w:szCs w:val="20"/>
              </w:rPr>
              <w:t>1,778</w:t>
            </w:r>
          </w:p>
        </w:tc>
        <w:tc>
          <w:tcPr>
            <w:tcW w:w="1418" w:type="dxa"/>
            <w:noWrap/>
            <w:vAlign w:val="bottom"/>
          </w:tcPr>
          <w:p w14:paraId="58AC16BC" w14:textId="77777777" w:rsidR="007B0517" w:rsidRPr="00E76B02" w:rsidRDefault="007B0517" w:rsidP="00E76B02">
            <w:pPr>
              <w:ind w:right="316"/>
              <w:jc w:val="right"/>
              <w:rPr>
                <w:sz w:val="20"/>
                <w:szCs w:val="20"/>
              </w:rPr>
            </w:pPr>
            <w:r w:rsidRPr="00E76B02">
              <w:rPr>
                <w:sz w:val="20"/>
                <w:szCs w:val="20"/>
              </w:rPr>
              <w:t>22.2</w:t>
            </w:r>
          </w:p>
        </w:tc>
        <w:tc>
          <w:tcPr>
            <w:tcW w:w="1701" w:type="dxa"/>
            <w:noWrap/>
            <w:vAlign w:val="bottom"/>
          </w:tcPr>
          <w:p w14:paraId="5CF116F1" w14:textId="77777777" w:rsidR="007B0517" w:rsidRPr="00E76B02" w:rsidRDefault="007B0517" w:rsidP="00E76B02">
            <w:pPr>
              <w:ind w:right="176"/>
              <w:jc w:val="right"/>
              <w:rPr>
                <w:sz w:val="20"/>
                <w:szCs w:val="20"/>
              </w:rPr>
            </w:pPr>
            <w:r w:rsidRPr="00E76B02">
              <w:rPr>
                <w:sz w:val="20"/>
                <w:szCs w:val="20"/>
              </w:rPr>
              <w:t>56.4</w:t>
            </w:r>
          </w:p>
        </w:tc>
      </w:tr>
      <w:tr w:rsidR="007B0517" w:rsidRPr="00E76B02" w14:paraId="1EDADCFA" w14:textId="77777777" w:rsidTr="00E76B02">
        <w:trPr>
          <w:cantSplit/>
          <w:trHeight w:val="297"/>
          <w:jc w:val="center"/>
        </w:trPr>
        <w:tc>
          <w:tcPr>
            <w:tcW w:w="3996" w:type="dxa"/>
            <w:noWrap/>
            <w:vAlign w:val="bottom"/>
            <w:hideMark/>
          </w:tcPr>
          <w:p w14:paraId="234575EA" w14:textId="77777777" w:rsidR="007B0517" w:rsidRPr="00E76B02" w:rsidRDefault="007B0517" w:rsidP="00E76B02">
            <w:pPr>
              <w:rPr>
                <w:sz w:val="20"/>
                <w:szCs w:val="20"/>
              </w:rPr>
            </w:pPr>
            <w:r w:rsidRPr="00E76B02">
              <w:rPr>
                <w:sz w:val="20"/>
                <w:szCs w:val="20"/>
              </w:rPr>
              <w:t>Transportation and storage</w:t>
            </w:r>
          </w:p>
        </w:tc>
        <w:tc>
          <w:tcPr>
            <w:tcW w:w="1391" w:type="dxa"/>
            <w:noWrap/>
            <w:vAlign w:val="bottom"/>
          </w:tcPr>
          <w:p w14:paraId="3AC94B2E" w14:textId="77777777" w:rsidR="007B0517" w:rsidRPr="00E76B02" w:rsidRDefault="007B0517" w:rsidP="00E76B02">
            <w:pPr>
              <w:ind w:right="176"/>
              <w:jc w:val="right"/>
              <w:rPr>
                <w:sz w:val="20"/>
                <w:szCs w:val="20"/>
              </w:rPr>
            </w:pPr>
            <w:r w:rsidRPr="00E76B02">
              <w:rPr>
                <w:sz w:val="20"/>
                <w:szCs w:val="20"/>
              </w:rPr>
              <w:t>10,269</w:t>
            </w:r>
          </w:p>
        </w:tc>
        <w:tc>
          <w:tcPr>
            <w:tcW w:w="1417" w:type="dxa"/>
            <w:noWrap/>
            <w:vAlign w:val="bottom"/>
          </w:tcPr>
          <w:p w14:paraId="5755EDE4" w14:textId="77777777" w:rsidR="007B0517" w:rsidRPr="00E76B02" w:rsidRDefault="007B0517" w:rsidP="00E76B02">
            <w:pPr>
              <w:ind w:right="176"/>
              <w:jc w:val="right"/>
              <w:rPr>
                <w:sz w:val="20"/>
                <w:szCs w:val="20"/>
              </w:rPr>
            </w:pPr>
            <w:r w:rsidRPr="00E76B02">
              <w:rPr>
                <w:sz w:val="20"/>
                <w:szCs w:val="20"/>
              </w:rPr>
              <w:t>1,182</w:t>
            </w:r>
          </w:p>
        </w:tc>
        <w:tc>
          <w:tcPr>
            <w:tcW w:w="1418" w:type="dxa"/>
            <w:noWrap/>
            <w:vAlign w:val="bottom"/>
          </w:tcPr>
          <w:p w14:paraId="169416ED" w14:textId="77777777" w:rsidR="007B0517" w:rsidRPr="00E76B02" w:rsidRDefault="007B0517" w:rsidP="00E76B02">
            <w:pPr>
              <w:ind w:right="316"/>
              <w:jc w:val="right"/>
              <w:rPr>
                <w:sz w:val="20"/>
                <w:szCs w:val="20"/>
              </w:rPr>
            </w:pPr>
            <w:r w:rsidRPr="00E76B02">
              <w:rPr>
                <w:sz w:val="20"/>
                <w:szCs w:val="20"/>
              </w:rPr>
              <w:t>29.3</w:t>
            </w:r>
          </w:p>
        </w:tc>
        <w:tc>
          <w:tcPr>
            <w:tcW w:w="1701" w:type="dxa"/>
            <w:noWrap/>
            <w:vAlign w:val="bottom"/>
          </w:tcPr>
          <w:p w14:paraId="4A40466F" w14:textId="77777777" w:rsidR="007B0517" w:rsidRPr="00E76B02" w:rsidRDefault="007B0517" w:rsidP="00E76B02">
            <w:pPr>
              <w:ind w:right="176"/>
              <w:jc w:val="right"/>
              <w:rPr>
                <w:sz w:val="20"/>
                <w:szCs w:val="20"/>
              </w:rPr>
            </w:pPr>
            <w:r w:rsidRPr="00E76B02">
              <w:rPr>
                <w:sz w:val="20"/>
                <w:szCs w:val="20"/>
              </w:rPr>
              <w:t>61.5</w:t>
            </w:r>
          </w:p>
        </w:tc>
      </w:tr>
      <w:tr w:rsidR="007B0517" w:rsidRPr="00E76B02" w14:paraId="0F03EB2A" w14:textId="77777777" w:rsidTr="00E76B02">
        <w:trPr>
          <w:cantSplit/>
          <w:trHeight w:val="297"/>
          <w:jc w:val="center"/>
        </w:trPr>
        <w:tc>
          <w:tcPr>
            <w:tcW w:w="3996" w:type="dxa"/>
            <w:noWrap/>
            <w:vAlign w:val="bottom"/>
            <w:hideMark/>
          </w:tcPr>
          <w:p w14:paraId="4D5C35B1" w14:textId="77777777" w:rsidR="007B0517" w:rsidRPr="00E76B02" w:rsidRDefault="007B0517" w:rsidP="00E76B02">
            <w:pPr>
              <w:rPr>
                <w:sz w:val="20"/>
                <w:szCs w:val="20"/>
              </w:rPr>
            </w:pPr>
            <w:r w:rsidRPr="00E76B02">
              <w:rPr>
                <w:sz w:val="20"/>
                <w:szCs w:val="20"/>
              </w:rPr>
              <w:t>Accommodation and food</w:t>
            </w:r>
            <w:r w:rsidRPr="00E76B02" w:rsidDel="001A0D32">
              <w:rPr>
                <w:sz w:val="20"/>
                <w:szCs w:val="20"/>
              </w:rPr>
              <w:t xml:space="preserve"> </w:t>
            </w:r>
            <w:r w:rsidRPr="00E76B02">
              <w:rPr>
                <w:sz w:val="20"/>
                <w:szCs w:val="20"/>
              </w:rPr>
              <w:t>services</w:t>
            </w:r>
          </w:p>
        </w:tc>
        <w:tc>
          <w:tcPr>
            <w:tcW w:w="1391" w:type="dxa"/>
            <w:noWrap/>
            <w:vAlign w:val="bottom"/>
          </w:tcPr>
          <w:p w14:paraId="65849D17" w14:textId="77777777" w:rsidR="007B0517" w:rsidRPr="00E76B02" w:rsidRDefault="007B0517" w:rsidP="00E76B02">
            <w:pPr>
              <w:ind w:right="176"/>
              <w:jc w:val="right"/>
              <w:rPr>
                <w:sz w:val="20"/>
                <w:szCs w:val="20"/>
              </w:rPr>
            </w:pPr>
            <w:r w:rsidRPr="00E76B02">
              <w:rPr>
                <w:sz w:val="20"/>
                <w:szCs w:val="20"/>
              </w:rPr>
              <w:t>7,042</w:t>
            </w:r>
          </w:p>
        </w:tc>
        <w:tc>
          <w:tcPr>
            <w:tcW w:w="1417" w:type="dxa"/>
            <w:noWrap/>
            <w:vAlign w:val="bottom"/>
          </w:tcPr>
          <w:p w14:paraId="2B8B7ABC" w14:textId="77777777" w:rsidR="007B0517" w:rsidRPr="00E76B02" w:rsidRDefault="007B0517" w:rsidP="00E76B02">
            <w:pPr>
              <w:ind w:right="176"/>
              <w:jc w:val="right"/>
              <w:rPr>
                <w:sz w:val="20"/>
                <w:szCs w:val="20"/>
              </w:rPr>
            </w:pPr>
            <w:r w:rsidRPr="00E76B02">
              <w:rPr>
                <w:sz w:val="20"/>
                <w:szCs w:val="20"/>
              </w:rPr>
              <w:t>1,569</w:t>
            </w:r>
          </w:p>
        </w:tc>
        <w:tc>
          <w:tcPr>
            <w:tcW w:w="1418" w:type="dxa"/>
            <w:noWrap/>
            <w:vAlign w:val="bottom"/>
          </w:tcPr>
          <w:p w14:paraId="20F0500C" w14:textId="77777777" w:rsidR="007B0517" w:rsidRPr="00E76B02" w:rsidRDefault="007B0517" w:rsidP="00E76B02">
            <w:pPr>
              <w:ind w:right="316"/>
              <w:jc w:val="right"/>
              <w:rPr>
                <w:sz w:val="20"/>
                <w:szCs w:val="20"/>
              </w:rPr>
            </w:pPr>
            <w:r w:rsidRPr="00E76B02">
              <w:rPr>
                <w:sz w:val="20"/>
                <w:szCs w:val="20"/>
              </w:rPr>
              <w:t>29.7</w:t>
            </w:r>
          </w:p>
        </w:tc>
        <w:tc>
          <w:tcPr>
            <w:tcW w:w="1701" w:type="dxa"/>
            <w:noWrap/>
            <w:vAlign w:val="bottom"/>
          </w:tcPr>
          <w:p w14:paraId="3E3B965B" w14:textId="77777777" w:rsidR="007B0517" w:rsidRPr="00E76B02" w:rsidRDefault="007B0517" w:rsidP="00E76B02">
            <w:pPr>
              <w:ind w:right="176"/>
              <w:jc w:val="right"/>
              <w:rPr>
                <w:sz w:val="20"/>
                <w:szCs w:val="20"/>
              </w:rPr>
            </w:pPr>
            <w:r w:rsidRPr="00E76B02">
              <w:rPr>
                <w:sz w:val="20"/>
                <w:szCs w:val="20"/>
              </w:rPr>
              <w:t>81.0</w:t>
            </w:r>
          </w:p>
        </w:tc>
      </w:tr>
      <w:tr w:rsidR="007B0517" w:rsidRPr="00E76B02" w14:paraId="0989C846" w14:textId="77777777" w:rsidTr="00E76B02">
        <w:trPr>
          <w:cantSplit/>
          <w:trHeight w:val="297"/>
          <w:jc w:val="center"/>
        </w:trPr>
        <w:tc>
          <w:tcPr>
            <w:tcW w:w="3996" w:type="dxa"/>
            <w:tcBorders>
              <w:bottom w:val="single" w:sz="4" w:space="0" w:color="auto"/>
            </w:tcBorders>
            <w:noWrap/>
            <w:vAlign w:val="bottom"/>
          </w:tcPr>
          <w:p w14:paraId="24617663" w14:textId="77777777" w:rsidR="007B0517" w:rsidRPr="00E76B02" w:rsidRDefault="007B0517" w:rsidP="00E76B02">
            <w:pPr>
              <w:rPr>
                <w:sz w:val="20"/>
                <w:szCs w:val="20"/>
              </w:rPr>
            </w:pPr>
            <w:r w:rsidRPr="00E76B02">
              <w:rPr>
                <w:sz w:val="20"/>
                <w:szCs w:val="20"/>
              </w:rPr>
              <w:t>Electricity, water and gas supply</w:t>
            </w:r>
          </w:p>
        </w:tc>
        <w:tc>
          <w:tcPr>
            <w:tcW w:w="1391" w:type="dxa"/>
            <w:tcBorders>
              <w:bottom w:val="single" w:sz="4" w:space="0" w:color="auto"/>
            </w:tcBorders>
            <w:noWrap/>
            <w:vAlign w:val="bottom"/>
          </w:tcPr>
          <w:p w14:paraId="4A077C6C" w14:textId="77777777" w:rsidR="007B0517" w:rsidRPr="00E76B02" w:rsidRDefault="007B0517" w:rsidP="00E76B02">
            <w:pPr>
              <w:ind w:right="176"/>
              <w:jc w:val="right"/>
              <w:rPr>
                <w:sz w:val="20"/>
                <w:szCs w:val="20"/>
              </w:rPr>
            </w:pPr>
            <w:r w:rsidRPr="00E76B02">
              <w:rPr>
                <w:sz w:val="20"/>
                <w:szCs w:val="20"/>
              </w:rPr>
              <w:t>1,422</w:t>
            </w:r>
          </w:p>
        </w:tc>
        <w:tc>
          <w:tcPr>
            <w:tcW w:w="1417" w:type="dxa"/>
            <w:tcBorders>
              <w:bottom w:val="single" w:sz="4" w:space="0" w:color="auto"/>
            </w:tcBorders>
            <w:noWrap/>
            <w:vAlign w:val="bottom"/>
          </w:tcPr>
          <w:p w14:paraId="1C3D0784" w14:textId="77777777" w:rsidR="007B0517" w:rsidRPr="00E76B02" w:rsidRDefault="007B0517" w:rsidP="00E76B02">
            <w:pPr>
              <w:ind w:right="176"/>
              <w:jc w:val="right"/>
              <w:rPr>
                <w:sz w:val="20"/>
                <w:szCs w:val="20"/>
              </w:rPr>
            </w:pPr>
            <w:r w:rsidRPr="00E76B02">
              <w:rPr>
                <w:sz w:val="20"/>
                <w:szCs w:val="20"/>
              </w:rPr>
              <w:t>365</w:t>
            </w:r>
          </w:p>
        </w:tc>
        <w:tc>
          <w:tcPr>
            <w:tcW w:w="1418" w:type="dxa"/>
            <w:tcBorders>
              <w:bottom w:val="single" w:sz="4" w:space="0" w:color="auto"/>
            </w:tcBorders>
            <w:noWrap/>
            <w:vAlign w:val="bottom"/>
          </w:tcPr>
          <w:p w14:paraId="6C5602FB" w14:textId="77777777" w:rsidR="007B0517" w:rsidRPr="00E76B02" w:rsidRDefault="007B0517" w:rsidP="00E76B02">
            <w:pPr>
              <w:ind w:right="316"/>
              <w:jc w:val="right"/>
              <w:rPr>
                <w:sz w:val="20"/>
                <w:szCs w:val="20"/>
              </w:rPr>
            </w:pPr>
            <w:r w:rsidRPr="00E76B02">
              <w:rPr>
                <w:sz w:val="20"/>
                <w:szCs w:val="20"/>
              </w:rPr>
              <w:t>30.2</w:t>
            </w:r>
          </w:p>
        </w:tc>
        <w:tc>
          <w:tcPr>
            <w:tcW w:w="1701" w:type="dxa"/>
            <w:tcBorders>
              <w:bottom w:val="single" w:sz="4" w:space="0" w:color="auto"/>
            </w:tcBorders>
            <w:noWrap/>
            <w:vAlign w:val="bottom"/>
          </w:tcPr>
          <w:p w14:paraId="3ABD4195" w14:textId="77777777" w:rsidR="007B0517" w:rsidRPr="00E76B02" w:rsidRDefault="007B0517" w:rsidP="00E76B02">
            <w:pPr>
              <w:ind w:right="176"/>
              <w:jc w:val="right"/>
              <w:rPr>
                <w:sz w:val="20"/>
                <w:szCs w:val="20"/>
              </w:rPr>
            </w:pPr>
            <w:r w:rsidRPr="00E76B02">
              <w:rPr>
                <w:sz w:val="20"/>
                <w:szCs w:val="20"/>
              </w:rPr>
              <w:t>60.1</w:t>
            </w:r>
          </w:p>
        </w:tc>
      </w:tr>
    </w:tbl>
    <w:p w14:paraId="386B55BE" w14:textId="77777777" w:rsidR="007B0517" w:rsidRPr="00E76B02" w:rsidRDefault="007B0517" w:rsidP="007B0517">
      <w:pPr>
        <w:spacing w:before="120" w:after="120" w:line="264" w:lineRule="auto"/>
        <w:ind w:firstLine="720"/>
        <w:jc w:val="both"/>
        <w:rPr>
          <w:b/>
          <w:bCs/>
        </w:rPr>
      </w:pPr>
      <w:r w:rsidRPr="00E76B02">
        <w:rPr>
          <w:b/>
          <w:bCs/>
        </w:rPr>
        <w:t>4. Investment</w:t>
      </w:r>
    </w:p>
    <w:p w14:paraId="08C51C7D" w14:textId="469EFD07" w:rsidR="007B0517" w:rsidRPr="00E76B02" w:rsidRDefault="007B0517" w:rsidP="007B0517">
      <w:pPr>
        <w:spacing w:after="120" w:line="264" w:lineRule="auto"/>
        <w:ind w:firstLine="720"/>
        <w:jc w:val="both"/>
        <w:rPr>
          <w:i/>
          <w:iCs/>
          <w:spacing w:val="-4"/>
        </w:rPr>
      </w:pPr>
      <w:r w:rsidRPr="00E76B02">
        <w:rPr>
          <w:i/>
          <w:spacing w:val="-4"/>
        </w:rPr>
        <w:lastRenderedPageBreak/>
        <w:t xml:space="preserve">State budget investment in November was strongly promoted by ministries, branches, and localities, reaching its highest growth rate ever, creating </w:t>
      </w:r>
      <w:r w:rsidR="00C65D0A">
        <w:rPr>
          <w:i/>
          <w:spacing w:val="-4"/>
        </w:rPr>
        <w:t xml:space="preserve">a </w:t>
      </w:r>
      <w:r w:rsidRPr="00E76B02">
        <w:rPr>
          <w:i/>
          <w:spacing w:val="-4"/>
        </w:rPr>
        <w:t xml:space="preserve">momentum to boost economic growth. In the </w:t>
      </w:r>
      <w:r w:rsidR="00C65D0A">
        <w:rPr>
          <w:i/>
          <w:spacing w:val="-4"/>
        </w:rPr>
        <w:t>11</w:t>
      </w:r>
      <w:r w:rsidRPr="00E76B02">
        <w:rPr>
          <w:i/>
          <w:spacing w:val="-4"/>
        </w:rPr>
        <w:t xml:space="preserve"> months of 2025, the State budget investment was estimated to reach 72.2% of the plan, a year-on-year increase of 26.8%. The foreign direct investment (FDI) in Viet Nam in the </w:t>
      </w:r>
      <w:r w:rsidR="00C65D0A">
        <w:rPr>
          <w:i/>
          <w:spacing w:val="-4"/>
        </w:rPr>
        <w:t>11</w:t>
      </w:r>
      <w:r w:rsidRPr="00E76B02">
        <w:rPr>
          <w:i/>
          <w:spacing w:val="-4"/>
        </w:rPr>
        <w:t xml:space="preserve"> months of 2025 was estimated at 23.6 billion USD, a year-on-year increase of 8.9</w:t>
      </w:r>
      <w:r w:rsidR="00C65D0A">
        <w:rPr>
          <w:i/>
          <w:spacing w:val="-4"/>
        </w:rPr>
        <w:t>%</w:t>
      </w:r>
      <w:r w:rsidRPr="00E76B02">
        <w:rPr>
          <w:i/>
          <w:spacing w:val="-4"/>
        </w:rPr>
        <w:t>.</w:t>
      </w:r>
    </w:p>
    <w:p w14:paraId="0CE29F4F" w14:textId="3BA27636" w:rsidR="007B0517" w:rsidRPr="00E76B02" w:rsidRDefault="007B0517" w:rsidP="007B0517">
      <w:pPr>
        <w:spacing w:after="120" w:line="264" w:lineRule="auto"/>
        <w:ind w:firstLine="720"/>
        <w:jc w:val="both"/>
      </w:pPr>
      <w:r w:rsidRPr="00E76B02">
        <w:t>The State budget investment in November was estimated at 97.5 trillion VND, up 21.5% over the s</w:t>
      </w:r>
      <w:r w:rsidR="00E76B02">
        <w:t xml:space="preserve">ame period last year, </w:t>
      </w:r>
      <w:r w:rsidR="00C65D0A">
        <w:t>of which the</w:t>
      </w:r>
      <w:r w:rsidRPr="00E76B02">
        <w:t xml:space="preserve"> Centrally</w:t>
      </w:r>
      <w:r w:rsidR="00C65D0A">
        <w:t>-</w:t>
      </w:r>
      <w:r w:rsidRPr="00E76B02">
        <w:t xml:space="preserve"> managed investment reached 13.2 trillion VND</w:t>
      </w:r>
      <w:r w:rsidR="00F4436C">
        <w:t xml:space="preserve"> (</w:t>
      </w:r>
      <w:r w:rsidRPr="00E76B02">
        <w:t>up 8.1%</w:t>
      </w:r>
      <w:r w:rsidR="00F4436C">
        <w:t>)</w:t>
      </w:r>
      <w:r w:rsidRPr="00E76B02">
        <w:t>; locally</w:t>
      </w:r>
      <w:r w:rsidR="00C65D0A">
        <w:t>-</w:t>
      </w:r>
      <w:r w:rsidRPr="00E76B02">
        <w:t xml:space="preserve"> managed </w:t>
      </w:r>
      <w:r w:rsidR="00E76B02" w:rsidRPr="00E76B02">
        <w:t>investment was</w:t>
      </w:r>
      <w:r w:rsidRPr="00E76B02">
        <w:t xml:space="preserve"> 84.3 trillion </w:t>
      </w:r>
      <w:r w:rsidR="00F4436C">
        <w:t>(</w:t>
      </w:r>
      <w:r w:rsidRPr="00E76B02">
        <w:t>up 23.9%</w:t>
      </w:r>
      <w:r w:rsidR="00F4436C">
        <w:t>)</w:t>
      </w:r>
      <w:r w:rsidRPr="00E76B02">
        <w:t>. In</w:t>
      </w:r>
      <w:r w:rsidR="00C65D0A">
        <w:t xml:space="preserve"> the 11</w:t>
      </w:r>
      <w:r w:rsidRPr="00E76B02">
        <w:t xml:space="preserve"> months of 2025, the total State budget investment was estimated at 736.4 trillion VND, </w:t>
      </w:r>
      <w:r w:rsidR="00F4436C">
        <w:t>equal to</w:t>
      </w:r>
      <w:r w:rsidR="00F4436C" w:rsidRPr="00E76B02">
        <w:t xml:space="preserve"> </w:t>
      </w:r>
      <w:r w:rsidRPr="00E76B02">
        <w:t>72.2% of the annual plan and increasing by 26.8% over that in the same period last year (the same rates in 2024 were 74.3% and up 3.9%, respectively). Specifically:</w:t>
      </w:r>
    </w:p>
    <w:p w14:paraId="6D066081" w14:textId="7418FC2C" w:rsidR="007B0517" w:rsidRPr="00E76B02" w:rsidRDefault="007B0517" w:rsidP="007B0517">
      <w:pPr>
        <w:spacing w:after="120" w:line="264" w:lineRule="auto"/>
        <w:ind w:firstLine="720"/>
        <w:jc w:val="both"/>
        <w:rPr>
          <w:spacing w:val="-4"/>
        </w:rPr>
      </w:pPr>
      <w:r w:rsidRPr="00E76B02">
        <w:rPr>
          <w:bCs/>
          <w:iCs/>
          <w:spacing w:val="-4"/>
        </w:rPr>
        <w:t xml:space="preserve">- The </w:t>
      </w:r>
      <w:r w:rsidR="00F4436C">
        <w:rPr>
          <w:bCs/>
          <w:iCs/>
          <w:spacing w:val="-4"/>
        </w:rPr>
        <w:t>C</w:t>
      </w:r>
      <w:r w:rsidR="00F4436C" w:rsidRPr="00E76B02">
        <w:rPr>
          <w:spacing w:val="-4"/>
        </w:rPr>
        <w:t>entrally</w:t>
      </w:r>
      <w:r w:rsidR="00C65D0A">
        <w:rPr>
          <w:spacing w:val="-4"/>
        </w:rPr>
        <w:t>-</w:t>
      </w:r>
      <w:r w:rsidR="00F4436C" w:rsidRPr="00E76B02">
        <w:rPr>
          <w:spacing w:val="-4"/>
        </w:rPr>
        <w:t xml:space="preserve"> </w:t>
      </w:r>
      <w:r w:rsidRPr="00E76B02">
        <w:rPr>
          <w:spacing w:val="-4"/>
        </w:rPr>
        <w:t xml:space="preserve">managed investment was estimated at 102.6 trillion VND, equal to 69.7% </w:t>
      </w:r>
      <w:r w:rsidR="002F7BA6">
        <w:rPr>
          <w:spacing w:val="-4"/>
        </w:rPr>
        <w:t>of</w:t>
      </w:r>
      <w:r w:rsidR="002F7BA6" w:rsidRPr="00E76B02">
        <w:rPr>
          <w:spacing w:val="-4"/>
        </w:rPr>
        <w:t xml:space="preserve"> </w:t>
      </w:r>
      <w:r w:rsidRPr="00E76B02">
        <w:rPr>
          <w:spacing w:val="-4"/>
        </w:rPr>
        <w:t xml:space="preserve">the annual plan and </w:t>
      </w:r>
      <w:r w:rsidR="00F4436C">
        <w:rPr>
          <w:spacing w:val="-4"/>
        </w:rPr>
        <w:t>increasing by</w:t>
      </w:r>
      <w:r w:rsidR="00F4436C" w:rsidRPr="00E76B02">
        <w:rPr>
          <w:spacing w:val="-4"/>
        </w:rPr>
        <w:t xml:space="preserve"> </w:t>
      </w:r>
      <w:r w:rsidRPr="00E76B02">
        <w:rPr>
          <w:spacing w:val="-4"/>
        </w:rPr>
        <w:t xml:space="preserve">5.1% </w:t>
      </w:r>
      <w:r w:rsidR="002F7BA6">
        <w:rPr>
          <w:spacing w:val="-4"/>
        </w:rPr>
        <w:t>year-on-year</w:t>
      </w:r>
      <w:r w:rsidRPr="00E76B02">
        <w:rPr>
          <w:spacing w:val="-4"/>
        </w:rPr>
        <w:t>. Of which, Ministry of Construction reached nearly 62.0 trillion VND</w:t>
      </w:r>
      <w:r w:rsidR="00F4436C">
        <w:rPr>
          <w:spacing w:val="-4"/>
        </w:rPr>
        <w:t xml:space="preserve"> (</w:t>
      </w:r>
      <w:r w:rsidRPr="00E76B02">
        <w:rPr>
          <w:spacing w:val="-4"/>
        </w:rPr>
        <w:t>down  0.5%</w:t>
      </w:r>
      <w:r w:rsidR="00F4436C">
        <w:rPr>
          <w:spacing w:val="-4"/>
        </w:rPr>
        <w:t>)</w:t>
      </w:r>
      <w:r w:rsidRPr="00E76B02">
        <w:rPr>
          <w:spacing w:val="-4"/>
        </w:rPr>
        <w:t xml:space="preserve">; Ministry of Agriculture and Environment was nearly 15 trillion VND, </w:t>
      </w:r>
      <w:r w:rsidR="00F4436C">
        <w:rPr>
          <w:spacing w:val="-4"/>
        </w:rPr>
        <w:t>(</w:t>
      </w:r>
      <w:r w:rsidRPr="00E76B02">
        <w:rPr>
          <w:spacing w:val="-4"/>
        </w:rPr>
        <w:t>up 58.9%</w:t>
      </w:r>
      <w:r w:rsidR="00F4436C">
        <w:rPr>
          <w:spacing w:val="-4"/>
        </w:rPr>
        <w:t>)</w:t>
      </w:r>
      <w:r w:rsidRPr="00E76B02">
        <w:rPr>
          <w:spacing w:val="-4"/>
        </w:rPr>
        <w:t xml:space="preserve">; Ministry of Health reached 3.1 trillion VND, </w:t>
      </w:r>
      <w:r w:rsidR="00F4436C">
        <w:rPr>
          <w:spacing w:val="-4"/>
        </w:rPr>
        <w:t>(</w:t>
      </w:r>
      <w:r w:rsidRPr="00E76B02">
        <w:rPr>
          <w:spacing w:val="-4"/>
        </w:rPr>
        <w:t>2.9 times</w:t>
      </w:r>
      <w:r w:rsidR="00F4436C">
        <w:rPr>
          <w:spacing w:val="-4"/>
        </w:rPr>
        <w:t xml:space="preserve"> higher)</w:t>
      </w:r>
      <w:r w:rsidRPr="00E76B02">
        <w:rPr>
          <w:spacing w:val="-4"/>
        </w:rPr>
        <w:t xml:space="preserve">; Ministry of Education and Training 1.7 trillion VND </w:t>
      </w:r>
      <w:r w:rsidR="00F4436C">
        <w:rPr>
          <w:spacing w:val="-4"/>
        </w:rPr>
        <w:t>(</w:t>
      </w:r>
      <w:r w:rsidRPr="00E76B02">
        <w:rPr>
          <w:spacing w:val="-4"/>
        </w:rPr>
        <w:t>up 73.3%</w:t>
      </w:r>
      <w:r w:rsidR="00F4436C">
        <w:rPr>
          <w:spacing w:val="-4"/>
        </w:rPr>
        <w:t>)</w:t>
      </w:r>
      <w:r w:rsidRPr="00E76B02">
        <w:rPr>
          <w:spacing w:val="-4"/>
        </w:rPr>
        <w:t xml:space="preserve">; Ministry of Culture, Sports and Tourism reached 1.0 trillion VND </w:t>
      </w:r>
      <w:r w:rsidR="00F4436C">
        <w:rPr>
          <w:spacing w:val="-4"/>
        </w:rPr>
        <w:t>(</w:t>
      </w:r>
      <w:r w:rsidRPr="00E76B02">
        <w:rPr>
          <w:spacing w:val="-4"/>
        </w:rPr>
        <w:t>up 64.5%</w:t>
      </w:r>
      <w:r w:rsidR="00F4436C">
        <w:rPr>
          <w:spacing w:val="-4"/>
        </w:rPr>
        <w:t>)</w:t>
      </w:r>
      <w:r w:rsidRPr="00E76B02">
        <w:rPr>
          <w:spacing w:val="-4"/>
        </w:rPr>
        <w:t xml:space="preserve">; Ministry of Science and Technology reached 390.9 billion VND </w:t>
      </w:r>
      <w:r w:rsidR="00F4436C">
        <w:rPr>
          <w:spacing w:val="-4"/>
        </w:rPr>
        <w:t>(</w:t>
      </w:r>
      <w:r w:rsidRPr="00E76B02">
        <w:rPr>
          <w:spacing w:val="-4"/>
        </w:rPr>
        <w:t>down 24.0%</w:t>
      </w:r>
      <w:r w:rsidR="00F4436C">
        <w:rPr>
          <w:spacing w:val="-4"/>
        </w:rPr>
        <w:t>)</w:t>
      </w:r>
      <w:r w:rsidRPr="00E76B02">
        <w:rPr>
          <w:spacing w:val="-4"/>
        </w:rPr>
        <w:t xml:space="preserve">; and Ministry of Industry and Trade reached 229.4 billion VND </w:t>
      </w:r>
      <w:r w:rsidR="00F4436C">
        <w:rPr>
          <w:spacing w:val="-4"/>
        </w:rPr>
        <w:t>(</w:t>
      </w:r>
      <w:r w:rsidRPr="00E76B02">
        <w:rPr>
          <w:spacing w:val="-4"/>
        </w:rPr>
        <w:t>down 55.8%</w:t>
      </w:r>
      <w:r w:rsidR="00F4436C">
        <w:rPr>
          <w:spacing w:val="-4"/>
        </w:rPr>
        <w:t>)</w:t>
      </w:r>
      <w:r w:rsidRPr="00E76B02">
        <w:rPr>
          <w:spacing w:val="-4"/>
        </w:rPr>
        <w:t xml:space="preserve">. </w:t>
      </w:r>
    </w:p>
    <w:p w14:paraId="28B127A8" w14:textId="774F5879" w:rsidR="007B0517" w:rsidRPr="00E76B02" w:rsidRDefault="007B0517" w:rsidP="007B0517">
      <w:pPr>
        <w:spacing w:after="120" w:line="252" w:lineRule="auto"/>
        <w:ind w:firstLine="720"/>
        <w:jc w:val="both"/>
        <w:rPr>
          <w:bCs/>
          <w:iCs/>
        </w:rPr>
      </w:pPr>
      <w:r w:rsidRPr="00E76B02">
        <w:rPr>
          <w:bCs/>
          <w:iCs/>
        </w:rPr>
        <w:t>- The locally</w:t>
      </w:r>
      <w:r w:rsidR="00C65D0A">
        <w:rPr>
          <w:bCs/>
          <w:iCs/>
        </w:rPr>
        <w:t>-</w:t>
      </w:r>
      <w:r w:rsidRPr="00E76B02">
        <w:rPr>
          <w:bCs/>
          <w:iCs/>
        </w:rPr>
        <w:t xml:space="preserve"> managed investment was estimated at 633.8 trillion VND, equal to 72.6% of the annual plan and </w:t>
      </w:r>
      <w:r w:rsidR="00096516">
        <w:rPr>
          <w:bCs/>
          <w:iCs/>
        </w:rPr>
        <w:t>rising by</w:t>
      </w:r>
      <w:r w:rsidR="00096516" w:rsidRPr="00E76B02">
        <w:rPr>
          <w:bCs/>
          <w:iCs/>
        </w:rPr>
        <w:t xml:space="preserve"> </w:t>
      </w:r>
      <w:r w:rsidRPr="00E76B02">
        <w:rPr>
          <w:bCs/>
          <w:iCs/>
        </w:rPr>
        <w:t xml:space="preserve">31.1% </w:t>
      </w:r>
      <w:r w:rsidR="00096516">
        <w:rPr>
          <w:bCs/>
          <w:iCs/>
        </w:rPr>
        <w:t>year-on-year</w:t>
      </w:r>
      <w:r w:rsidRPr="00E76B02">
        <w:rPr>
          <w:bCs/>
          <w:iCs/>
        </w:rPr>
        <w:t>, of which:</w:t>
      </w:r>
    </w:p>
    <w:p w14:paraId="2F4B1600" w14:textId="7F1C9858" w:rsidR="007B0517" w:rsidRPr="00E76B02" w:rsidRDefault="007B0517" w:rsidP="007B0517">
      <w:pPr>
        <w:spacing w:after="120" w:line="252" w:lineRule="auto"/>
        <w:ind w:firstLine="720"/>
        <w:jc w:val="both"/>
        <w:rPr>
          <w:bCs/>
          <w:iCs/>
        </w:rPr>
      </w:pPr>
      <w:r w:rsidRPr="00E76B02">
        <w:rPr>
          <w:bCs/>
          <w:iCs/>
        </w:rPr>
        <w:t xml:space="preserve">519.1 trillion VND was disbursed at the provincial level, equal to 72.0% </w:t>
      </w:r>
      <w:r w:rsidR="00096516">
        <w:rPr>
          <w:bCs/>
          <w:iCs/>
        </w:rPr>
        <w:t>of</w:t>
      </w:r>
      <w:r w:rsidR="00096516" w:rsidRPr="00E76B02">
        <w:rPr>
          <w:bCs/>
          <w:iCs/>
        </w:rPr>
        <w:t xml:space="preserve"> </w:t>
      </w:r>
      <w:r w:rsidRPr="00E76B02">
        <w:rPr>
          <w:bCs/>
          <w:iCs/>
        </w:rPr>
        <w:t xml:space="preserve">the annual plan and </w:t>
      </w:r>
      <w:r w:rsidR="00096516">
        <w:rPr>
          <w:bCs/>
          <w:iCs/>
        </w:rPr>
        <w:t>growing by</w:t>
      </w:r>
      <w:r w:rsidR="00096516" w:rsidRPr="00E76B02">
        <w:rPr>
          <w:bCs/>
          <w:iCs/>
        </w:rPr>
        <w:t xml:space="preserve"> </w:t>
      </w:r>
      <w:r w:rsidRPr="00E76B02">
        <w:rPr>
          <w:bCs/>
          <w:iCs/>
        </w:rPr>
        <w:t xml:space="preserve">36.9% over </w:t>
      </w:r>
      <w:r w:rsidR="000920DD">
        <w:rPr>
          <w:bCs/>
          <w:iCs/>
        </w:rPr>
        <w:t>that in the same period in 2024.</w:t>
      </w:r>
    </w:p>
    <w:p w14:paraId="6E97B9CA" w14:textId="070D5A2A" w:rsidR="007B0517" w:rsidRPr="00E76B02" w:rsidRDefault="007B0517" w:rsidP="007B0517">
      <w:pPr>
        <w:spacing w:after="120" w:line="252" w:lineRule="auto"/>
        <w:ind w:firstLine="720"/>
        <w:jc w:val="both"/>
        <w:rPr>
          <w:bCs/>
          <w:iCs/>
        </w:rPr>
      </w:pPr>
      <w:r w:rsidRPr="00E76B02">
        <w:rPr>
          <w:bCs/>
          <w:iCs/>
        </w:rPr>
        <w:t xml:space="preserve">Nearly 114.7 trillion VND was disbursed at the commune level, equal to 75.5% </w:t>
      </w:r>
      <w:r w:rsidR="00096516">
        <w:rPr>
          <w:bCs/>
          <w:iCs/>
        </w:rPr>
        <w:t>of</w:t>
      </w:r>
      <w:r w:rsidR="00096516" w:rsidRPr="00E76B02">
        <w:rPr>
          <w:bCs/>
          <w:iCs/>
        </w:rPr>
        <w:t xml:space="preserve"> </w:t>
      </w:r>
      <w:r w:rsidRPr="00E76B02">
        <w:rPr>
          <w:bCs/>
          <w:iCs/>
        </w:rPr>
        <w:t xml:space="preserve">the annual </w:t>
      </w:r>
      <w:r w:rsidR="00096516">
        <w:rPr>
          <w:bCs/>
          <w:iCs/>
        </w:rPr>
        <w:t xml:space="preserve">plan </w:t>
      </w:r>
      <w:r w:rsidRPr="00E76B02">
        <w:rPr>
          <w:bCs/>
          <w:iCs/>
        </w:rPr>
        <w:t xml:space="preserve">and </w:t>
      </w:r>
      <w:r w:rsidR="00096516">
        <w:rPr>
          <w:bCs/>
          <w:iCs/>
        </w:rPr>
        <w:t xml:space="preserve">going </w:t>
      </w:r>
      <w:r w:rsidRPr="00E76B02">
        <w:rPr>
          <w:bCs/>
          <w:iCs/>
        </w:rPr>
        <w:t>up 10.3% over that in the same period of 2024.</w:t>
      </w:r>
    </w:p>
    <w:p w14:paraId="4DBF78A3" w14:textId="77777777" w:rsidR="007B0517" w:rsidRPr="00E76B02" w:rsidRDefault="007B0517" w:rsidP="007B0517">
      <w:pPr>
        <w:spacing w:after="120" w:line="252" w:lineRule="auto"/>
        <w:ind w:firstLine="720"/>
        <w:jc w:val="both"/>
        <w:rPr>
          <w:rFonts w:ascii="Arial" w:hAnsi="Arial" w:cs="Arial"/>
          <w:b/>
          <w:bCs/>
          <w:sz w:val="24"/>
          <w:szCs w:val="24"/>
        </w:rPr>
      </w:pPr>
      <w:r w:rsidRPr="00E76B02">
        <w:rPr>
          <w:bCs/>
          <w:iCs/>
        </w:rPr>
        <w:t>The State budget investment in eleven months of 2025 of some provinces and municipalities was as follows:</w:t>
      </w:r>
    </w:p>
    <w:p w14:paraId="4583E19A" w14:textId="2648A9D8" w:rsidR="007B0517" w:rsidRPr="00E76B02" w:rsidRDefault="007B0517" w:rsidP="007B0517">
      <w:pPr>
        <w:spacing w:line="276" w:lineRule="auto"/>
        <w:jc w:val="center"/>
        <w:rPr>
          <w:rFonts w:ascii="Arial" w:hAnsi="Arial" w:cs="Arial"/>
          <w:b/>
          <w:bCs/>
          <w:sz w:val="24"/>
          <w:szCs w:val="24"/>
        </w:rPr>
      </w:pPr>
      <w:r w:rsidRPr="00E76B02">
        <w:rPr>
          <w:rFonts w:ascii="Arial" w:hAnsi="Arial" w:cs="Arial"/>
          <w:b/>
          <w:bCs/>
          <w:sz w:val="24"/>
          <w:szCs w:val="24"/>
        </w:rPr>
        <w:t xml:space="preserve">Figure 6. State budget investment in </w:t>
      </w:r>
      <w:r w:rsidR="00096516">
        <w:rPr>
          <w:rFonts w:ascii="Arial" w:hAnsi="Arial" w:cs="Arial"/>
          <w:b/>
          <w:bCs/>
          <w:sz w:val="24"/>
          <w:szCs w:val="24"/>
        </w:rPr>
        <w:t xml:space="preserve">the </w:t>
      </w:r>
      <w:r w:rsidRPr="00E76B02">
        <w:rPr>
          <w:rFonts w:ascii="Arial" w:hAnsi="Arial" w:cs="Arial"/>
          <w:b/>
          <w:bCs/>
          <w:sz w:val="24"/>
          <w:szCs w:val="24"/>
        </w:rPr>
        <w:t>11 months of 2024</w:t>
      </w:r>
      <w:r w:rsidR="00096516">
        <w:rPr>
          <w:rFonts w:ascii="Arial" w:hAnsi="Arial" w:cs="Arial"/>
          <w:b/>
          <w:bCs/>
          <w:sz w:val="24"/>
          <w:szCs w:val="24"/>
        </w:rPr>
        <w:t>-</w:t>
      </w:r>
      <w:r w:rsidRPr="00E76B02">
        <w:rPr>
          <w:rFonts w:ascii="Arial" w:hAnsi="Arial" w:cs="Arial"/>
          <w:b/>
          <w:bCs/>
          <w:sz w:val="24"/>
          <w:szCs w:val="24"/>
        </w:rPr>
        <w:t>2025</w:t>
      </w:r>
    </w:p>
    <w:p w14:paraId="6F72A95C" w14:textId="77777777" w:rsidR="007B0517" w:rsidRPr="00E76B02" w:rsidRDefault="007B0517" w:rsidP="007B0517">
      <w:pPr>
        <w:spacing w:line="276" w:lineRule="auto"/>
        <w:jc w:val="center"/>
        <w:rPr>
          <w:rFonts w:ascii="Arial" w:hAnsi="Arial" w:cs="Arial"/>
          <w:b/>
          <w:bCs/>
          <w:sz w:val="24"/>
          <w:szCs w:val="24"/>
        </w:rPr>
      </w:pPr>
      <w:r w:rsidRPr="00E76B02">
        <w:rPr>
          <w:rFonts w:ascii="Arial" w:hAnsi="Arial" w:cs="Arial"/>
          <w:b/>
          <w:bCs/>
          <w:sz w:val="24"/>
          <w:szCs w:val="24"/>
        </w:rPr>
        <w:t>in selected localities</w:t>
      </w:r>
    </w:p>
    <w:p w14:paraId="1CD81527" w14:textId="77777777" w:rsidR="007B0517" w:rsidRPr="00E76B02" w:rsidRDefault="007B0517" w:rsidP="007B0517">
      <w:pPr>
        <w:spacing w:line="276" w:lineRule="auto"/>
        <w:jc w:val="center"/>
        <w:rPr>
          <w:rFonts w:ascii="Arial" w:hAnsi="Arial" w:cs="Arial"/>
          <w:b/>
          <w:bCs/>
          <w:sz w:val="24"/>
          <w:szCs w:val="24"/>
        </w:rPr>
      </w:pPr>
      <w:r w:rsidRPr="00E76B02">
        <w:rPr>
          <w:noProof/>
        </w:rPr>
        <w:lastRenderedPageBreak/>
        <w:drawing>
          <wp:inline distT="0" distB="0" distL="0" distR="0" wp14:anchorId="0E42EEB2" wp14:editId="38CBE7AC">
            <wp:extent cx="5838825" cy="2895600"/>
            <wp:effectExtent l="0" t="0" r="9525" b="0"/>
            <wp:docPr id="393999972" name="Chart 1">
              <a:extLst xmlns:a="http://schemas.openxmlformats.org/drawingml/2006/main">
                <a:ext uri="{FF2B5EF4-FFF2-40B4-BE49-F238E27FC236}">
                  <a16:creationId xmlns:a16="http://schemas.microsoft.com/office/drawing/2014/main" id="{EE42F345-6161-4C82-9435-1CFA3A5BC0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8B02DD8" w14:textId="76580E8A" w:rsidR="007B0517" w:rsidRPr="00E76B02" w:rsidRDefault="007B0517" w:rsidP="007B0517">
      <w:pPr>
        <w:spacing w:after="120" w:line="252" w:lineRule="auto"/>
        <w:ind w:firstLine="720"/>
        <w:jc w:val="both"/>
        <w:rPr>
          <w:iCs/>
        </w:rPr>
      </w:pPr>
      <w:r w:rsidRPr="00E76B02">
        <w:rPr>
          <w:i/>
          <w:iCs/>
        </w:rPr>
        <w:t>Total inward foreign investment in Viet</w:t>
      </w:r>
      <w:r w:rsidR="006A7170">
        <w:rPr>
          <w:i/>
          <w:iCs/>
        </w:rPr>
        <w:t xml:space="preserve"> N</w:t>
      </w:r>
      <w:r w:rsidRPr="00E76B02">
        <w:rPr>
          <w:i/>
          <w:iCs/>
        </w:rPr>
        <w:t>am</w:t>
      </w:r>
      <w:r w:rsidRPr="00E76B02">
        <w:rPr>
          <w:i/>
          <w:iCs/>
          <w:vertAlign w:val="superscript"/>
        </w:rPr>
        <w:footnoteReference w:id="13"/>
      </w:r>
      <w:r w:rsidRPr="00E76B02">
        <w:rPr>
          <w:i/>
          <w:iCs/>
        </w:rPr>
        <w:t xml:space="preserve"> a</w:t>
      </w:r>
      <w:r w:rsidRPr="00E76B02">
        <w:rPr>
          <w:iCs/>
        </w:rPr>
        <w:t>s of November 30, 2025, including</w:t>
      </w:r>
      <w:r w:rsidR="00BA0C6E">
        <w:rPr>
          <w:iCs/>
        </w:rPr>
        <w:t xml:space="preserve"> </w:t>
      </w:r>
      <w:r w:rsidRPr="00E76B02">
        <w:rPr>
          <w:iCs/>
        </w:rPr>
        <w:t>newly registered capital, adjusting registered capital, and capital contribution and purchasing shares by foreign investors, reached 33.69 billion USD, year-on-year increase of 7.4%.</w:t>
      </w:r>
    </w:p>
    <w:p w14:paraId="3460CCDA" w14:textId="077997AA" w:rsidR="007B0517" w:rsidRPr="00E76B02" w:rsidRDefault="007B0517" w:rsidP="007B0517">
      <w:pPr>
        <w:jc w:val="center"/>
      </w:pPr>
      <w:r w:rsidRPr="00E76B02">
        <w:rPr>
          <w:rFonts w:ascii="Arial" w:hAnsi="Arial" w:cs="Arial"/>
          <w:b/>
          <w:bCs/>
          <w:sz w:val="24"/>
          <w:szCs w:val="24"/>
        </w:rPr>
        <w:t>Figure 7. Inward foreign investment in Viet Nam</w:t>
      </w:r>
      <w:r w:rsidR="004A67E5">
        <w:rPr>
          <w:rFonts w:ascii="Arial" w:hAnsi="Arial" w:cs="Arial"/>
          <w:b/>
          <w:bCs/>
          <w:sz w:val="24"/>
          <w:szCs w:val="24"/>
        </w:rPr>
        <w:br/>
      </w:r>
      <w:r w:rsidRPr="00E76B02">
        <w:rPr>
          <w:rFonts w:ascii="Arial" w:hAnsi="Arial" w:cs="Arial"/>
          <w:b/>
          <w:bCs/>
          <w:sz w:val="24"/>
          <w:szCs w:val="24"/>
        </w:rPr>
        <w:t xml:space="preserve">in </w:t>
      </w:r>
      <w:r w:rsidR="00BA0C6E">
        <w:rPr>
          <w:rFonts w:ascii="Arial" w:hAnsi="Arial" w:cs="Arial"/>
          <w:b/>
          <w:bCs/>
          <w:sz w:val="24"/>
          <w:szCs w:val="24"/>
        </w:rPr>
        <w:t xml:space="preserve">the </w:t>
      </w:r>
      <w:r w:rsidRPr="00E76B02">
        <w:rPr>
          <w:rFonts w:ascii="Arial" w:hAnsi="Arial" w:cs="Arial"/>
          <w:b/>
          <w:bCs/>
          <w:sz w:val="24"/>
          <w:szCs w:val="24"/>
        </w:rPr>
        <w:t>11 months of 2021-2025 (Billion USD)</w:t>
      </w:r>
      <w:r w:rsidRPr="00E76B02">
        <w:t xml:space="preserve"> </w:t>
      </w:r>
    </w:p>
    <w:p w14:paraId="009F9A5F" w14:textId="77777777" w:rsidR="007B0517" w:rsidRPr="00E76B02" w:rsidRDefault="007B0517" w:rsidP="007B0517">
      <w:pPr>
        <w:jc w:val="center"/>
      </w:pPr>
      <w:r w:rsidRPr="00E76B02">
        <w:rPr>
          <w:noProof/>
        </w:rPr>
        <w:drawing>
          <wp:inline distT="0" distB="0" distL="0" distR="0" wp14:anchorId="0183967E" wp14:editId="30310D8E">
            <wp:extent cx="5676900" cy="2533650"/>
            <wp:effectExtent l="0" t="0" r="0" b="0"/>
            <wp:docPr id="1274360170" name="Chart 1">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5F1D375" w14:textId="77777777" w:rsidR="007B0517" w:rsidRPr="00E76B02" w:rsidRDefault="007B0517" w:rsidP="007B0517">
      <w:pPr>
        <w:spacing w:after="120" w:line="264" w:lineRule="auto"/>
        <w:ind w:firstLine="720"/>
        <w:jc w:val="both"/>
        <w:rPr>
          <w:iCs/>
          <w:spacing w:val="-2"/>
        </w:rPr>
      </w:pPr>
      <w:r w:rsidRPr="00E76B02">
        <w:rPr>
          <w:iCs/>
          <w:spacing w:val="-2"/>
        </w:rPr>
        <w:t>- In terms of newly registered capital: 3,695 projects were licensed with a registered capital of 15.96 billion USD, a year-on-year increase of 21.7% in the number of projects and a decrease of 8.2% in registered capital. Of which, the largest newly licensed FDI was the manufacturing with a registered capital of 9.17 billion USD, accounting for 57.5% of the total newly registered capital; the real estate activities reached 3.14 billion USD, accounting for 19.7%; and other economic activities accounted for 3.65 billion USD, accounting for 22.8%.</w:t>
      </w:r>
    </w:p>
    <w:p w14:paraId="2949D1AD" w14:textId="77777777" w:rsidR="007B0517" w:rsidRPr="00E76B02" w:rsidRDefault="007B0517" w:rsidP="007B0517">
      <w:pPr>
        <w:spacing w:after="120" w:line="264" w:lineRule="auto"/>
        <w:ind w:firstLine="720"/>
        <w:jc w:val="both"/>
        <w:rPr>
          <w:iCs/>
        </w:rPr>
      </w:pPr>
      <w:r w:rsidRPr="00E76B02">
        <w:rPr>
          <w:iCs/>
        </w:rPr>
        <w:lastRenderedPageBreak/>
        <w:t>Among the 88 countries and territories with newly licensed projects in Viet Nam during eleven months of 2025, Singapore was the largest investor with 4.29 billion USD, accounting for 26.9% of the total newly registered capital; followed by China with 3.40 billion USD, accounting for 21.3%; Hong Kong Special Administrative Region (China) with 1.66 billion USD, accounting for 10.4%; Japan with 1.56 billion USD, accounting for 9.8%; Sweden with 1.0 billion USD, accounting for 6.3%; Taiwan with 951.1 million USD, accounting for 6.0%; and South Korea with 659.6 million USD, accounting for 4.1%.</w:t>
      </w:r>
    </w:p>
    <w:p w14:paraId="0FFD923B" w14:textId="26A2C4D0" w:rsidR="007B0517" w:rsidRPr="00E76B02" w:rsidRDefault="007B0517" w:rsidP="007B0517">
      <w:pPr>
        <w:spacing w:after="120" w:line="264" w:lineRule="auto"/>
        <w:ind w:firstLine="720"/>
        <w:jc w:val="both"/>
        <w:rPr>
          <w:iCs/>
        </w:rPr>
      </w:pPr>
      <w:r w:rsidRPr="00E76B02">
        <w:rPr>
          <w:iCs/>
        </w:rPr>
        <w:t xml:space="preserve">- Adjusted registered capital: 1,318 turns of projects licensed from the previous years registered to adjust investment capital </w:t>
      </w:r>
      <w:r w:rsidR="00AA768A" w:rsidRPr="00AA768A">
        <w:rPr>
          <w:iCs/>
        </w:rPr>
        <w:t xml:space="preserve">upwards by an additional </w:t>
      </w:r>
      <w:r w:rsidRPr="00E76B02">
        <w:rPr>
          <w:iCs/>
        </w:rPr>
        <w:t xml:space="preserve">11.62 billion USD, </w:t>
      </w:r>
      <w:r w:rsidR="00474771">
        <w:rPr>
          <w:iCs/>
        </w:rPr>
        <w:t>increasing by</w:t>
      </w:r>
      <w:r w:rsidR="00474771" w:rsidRPr="00E76B02">
        <w:rPr>
          <w:iCs/>
        </w:rPr>
        <w:t xml:space="preserve"> </w:t>
      </w:r>
      <w:r w:rsidRPr="00E76B02">
        <w:rPr>
          <w:iCs/>
        </w:rPr>
        <w:t>17.0% over that in the same period last year.</w:t>
      </w:r>
    </w:p>
    <w:p w14:paraId="0DDF945A" w14:textId="395E5113" w:rsidR="007B0517" w:rsidRPr="00E76B02" w:rsidRDefault="007B0517" w:rsidP="007B0517">
      <w:pPr>
        <w:spacing w:after="120" w:line="264" w:lineRule="auto"/>
        <w:ind w:firstLine="720"/>
        <w:jc w:val="both"/>
      </w:pPr>
      <w:r w:rsidRPr="00E76B02">
        <w:rPr>
          <w:iCs/>
        </w:rPr>
        <w:t xml:space="preserve">If including newly registered capital and adjusted registered capital of licensed projects in the previous years, the registered FDI in the manufacturing reached 16.52 billion USD, accounting for 59.9% of the total newly registered and increased capital; the real estate activities reached 5.72 billion USD, accounting for 20.7%; and other economic </w:t>
      </w:r>
      <w:r w:rsidR="000920DD" w:rsidRPr="00E76B02">
        <w:rPr>
          <w:iCs/>
        </w:rPr>
        <w:t>activities</w:t>
      </w:r>
      <w:r w:rsidRPr="00E76B02">
        <w:rPr>
          <w:iCs/>
        </w:rPr>
        <w:t xml:space="preserve"> reached 5.34 billion USD, accounting for 19.4%.</w:t>
      </w:r>
    </w:p>
    <w:p w14:paraId="554AF149" w14:textId="4D651F40" w:rsidR="007B0517" w:rsidRPr="00E76B02" w:rsidRDefault="007B0517" w:rsidP="007B0517">
      <w:pPr>
        <w:spacing w:after="120" w:line="264" w:lineRule="auto"/>
        <w:ind w:firstLine="720"/>
        <w:jc w:val="both"/>
        <w:rPr>
          <w:iCs/>
        </w:rPr>
      </w:pPr>
      <w:r w:rsidRPr="00E76B02">
        <w:rPr>
          <w:iCs/>
        </w:rPr>
        <w:t>- There were 3,225 turns of registered capital contributions and purchasing shares by foreign investors with a total value of 6.11 billion USD, a year-on-year increase of 50.7%. Of which, 1,238 turns of capital contributions and purchasing shares increased the charter capital of enterprises with a value of 2.37 billion USD and 1,987 turns of foreign investors rebought domestic shares without increasing the charter capital with a value of 3.74 billion USD. Regarding the form of capital contribution and purchasing shares by foreign investors, the manufacturing reached 2.0 billion USD, accounting for 32.7% of the capital contribution value; the professional, scientific and technical activities reached 1.13 billion USD, accounting for 18.5%; the other economic activities reached 2.99 billion USD, accounting for 48.8%.</w:t>
      </w:r>
    </w:p>
    <w:p w14:paraId="371762A3" w14:textId="77777777" w:rsidR="007B0517" w:rsidRPr="00E76B02" w:rsidRDefault="007B0517" w:rsidP="007B0517">
      <w:pPr>
        <w:spacing w:after="120" w:line="264" w:lineRule="auto"/>
        <w:ind w:firstLine="720"/>
        <w:jc w:val="both"/>
        <w:rPr>
          <w:b/>
          <w:bCs/>
          <w:iCs/>
        </w:rPr>
      </w:pPr>
      <w:bookmarkStart w:id="0" w:name="_Hlk216520175"/>
      <w:r w:rsidRPr="00E76B02">
        <w:rPr>
          <w:i/>
          <w:iCs/>
        </w:rPr>
        <w:t xml:space="preserve">The FDI in Viet Nam </w:t>
      </w:r>
      <w:r w:rsidRPr="00E76B02">
        <w:rPr>
          <w:iCs/>
        </w:rPr>
        <w:t>in eleven months of 2025 was estimated at 23.6 billion USD, a year-on-year increase of 8.9%</w:t>
      </w:r>
      <w:bookmarkEnd w:id="0"/>
      <w:r w:rsidRPr="00E76B02">
        <w:rPr>
          <w:iCs/>
        </w:rPr>
        <w:t>. This was the highest figure in the FDI in eleven months in the past-5-year period. Of which: the manufacturing reached 19.56 billion USD, accounting for 82.9% of total disbursed FDI; the real estate activities reached 1.67 billion USD, accounting for 7.1%; the electricity, gas, steam and air conditioning supply reached 754.9 million USD, accounting for 3.2%.</w:t>
      </w:r>
    </w:p>
    <w:p w14:paraId="172FD298" w14:textId="77777777" w:rsidR="007B0517" w:rsidRPr="00E76B02" w:rsidRDefault="007B0517" w:rsidP="007B0517">
      <w:pPr>
        <w:spacing w:after="120" w:line="252" w:lineRule="auto"/>
        <w:jc w:val="center"/>
        <w:rPr>
          <w:rFonts w:ascii="Arial" w:hAnsi="Arial" w:cs="Arial"/>
          <w:b/>
          <w:bCs/>
          <w:iCs/>
          <w:sz w:val="24"/>
          <w:szCs w:val="24"/>
        </w:rPr>
      </w:pPr>
      <w:r w:rsidRPr="00E76B02">
        <w:rPr>
          <w:rFonts w:ascii="Arial" w:hAnsi="Arial" w:cs="Arial"/>
          <w:b/>
          <w:bCs/>
          <w:iCs/>
          <w:sz w:val="24"/>
          <w:szCs w:val="24"/>
        </w:rPr>
        <w:t>Figure 8. Foreign direct investment</w:t>
      </w:r>
    </w:p>
    <w:p w14:paraId="20AEE0B8" w14:textId="449600BE" w:rsidR="007B0517" w:rsidRPr="00E76B02" w:rsidRDefault="008A335C" w:rsidP="007B0517">
      <w:pPr>
        <w:spacing w:after="120" w:line="252" w:lineRule="auto"/>
        <w:jc w:val="center"/>
        <w:rPr>
          <w:rFonts w:ascii="Arial" w:hAnsi="Arial" w:cs="Arial"/>
          <w:b/>
          <w:bCs/>
          <w:iCs/>
          <w:sz w:val="24"/>
          <w:szCs w:val="24"/>
        </w:rPr>
      </w:pPr>
      <w:r w:rsidRPr="00E76B02">
        <w:rPr>
          <w:rFonts w:ascii="Arial" w:hAnsi="Arial" w:cs="Arial"/>
          <w:b/>
          <w:bCs/>
          <w:iCs/>
          <w:sz w:val="24"/>
          <w:szCs w:val="24"/>
        </w:rPr>
        <w:t>I</w:t>
      </w:r>
      <w:r w:rsidR="007B0517" w:rsidRPr="00E76B02">
        <w:rPr>
          <w:rFonts w:ascii="Arial" w:hAnsi="Arial" w:cs="Arial"/>
          <w:b/>
          <w:bCs/>
          <w:iCs/>
          <w:sz w:val="24"/>
          <w:szCs w:val="24"/>
        </w:rPr>
        <w:t>n</w:t>
      </w:r>
      <w:r>
        <w:rPr>
          <w:rFonts w:ascii="Arial" w:hAnsi="Arial" w:cs="Arial"/>
          <w:b/>
          <w:bCs/>
          <w:iCs/>
          <w:sz w:val="24"/>
          <w:szCs w:val="24"/>
        </w:rPr>
        <w:t xml:space="preserve"> the</w:t>
      </w:r>
      <w:r w:rsidR="007B0517" w:rsidRPr="00E76B02">
        <w:rPr>
          <w:rFonts w:ascii="Arial" w:hAnsi="Arial" w:cs="Arial"/>
          <w:b/>
          <w:bCs/>
          <w:iCs/>
          <w:sz w:val="24"/>
          <w:szCs w:val="24"/>
        </w:rPr>
        <w:t xml:space="preserve"> eleven months of 2021-2025 (billion USD)</w:t>
      </w:r>
    </w:p>
    <w:p w14:paraId="6FEFC1F7" w14:textId="77777777" w:rsidR="007B0517" w:rsidRPr="00E76B02" w:rsidRDefault="007B0517" w:rsidP="007B0517">
      <w:pPr>
        <w:spacing w:after="120" w:line="252" w:lineRule="auto"/>
        <w:jc w:val="center"/>
        <w:rPr>
          <w:rFonts w:ascii="Arial" w:hAnsi="Arial" w:cs="Arial"/>
          <w:b/>
          <w:bCs/>
          <w:iCs/>
          <w:sz w:val="24"/>
          <w:szCs w:val="24"/>
        </w:rPr>
      </w:pPr>
      <w:r w:rsidRPr="00E76B02">
        <w:rPr>
          <w:noProof/>
          <w14:ligatures w14:val="standardContextual"/>
        </w:rPr>
        <w:lastRenderedPageBreak/>
        <w:drawing>
          <wp:inline distT="0" distB="0" distL="0" distR="0" wp14:anchorId="64E1D9C0" wp14:editId="476B85EF">
            <wp:extent cx="4572000" cy="1491401"/>
            <wp:effectExtent l="0" t="0" r="9525" b="0"/>
            <wp:docPr id="934715564" name="Chart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BF119BD" w14:textId="034D8D7E" w:rsidR="007B0517" w:rsidRPr="00E76B02" w:rsidRDefault="007B0517" w:rsidP="007B0517">
      <w:pPr>
        <w:spacing w:after="120" w:line="252" w:lineRule="auto"/>
        <w:ind w:firstLine="720"/>
        <w:jc w:val="both"/>
        <w:rPr>
          <w:i/>
          <w:iCs/>
        </w:rPr>
      </w:pPr>
      <w:bookmarkStart w:id="1" w:name="_Hlk216520203"/>
      <w:r w:rsidRPr="00E76B02">
        <w:rPr>
          <w:i/>
          <w:iCs/>
        </w:rPr>
        <w:t xml:space="preserve">Viet Nam's outward investment </w:t>
      </w:r>
      <w:r w:rsidRPr="00E76B02">
        <w:t xml:space="preserve">in </w:t>
      </w:r>
      <w:r w:rsidR="008A335C">
        <w:t xml:space="preserve">the </w:t>
      </w:r>
      <w:r w:rsidRPr="00E76B02">
        <w:t>eleven months of 2025 witnessed 148 projects granted with new investment certificates with a total capital of 742.8 million USD, an increase of 33.8% over that in the same period last year; 28 turns of projects adjusted their capital with an additional of 358.2 million USD, 8.2 times higher</w:t>
      </w:r>
      <w:bookmarkEnd w:id="1"/>
      <w:r w:rsidRPr="00E76B02">
        <w:rPr>
          <w:iCs/>
        </w:rPr>
        <w:t>.</w:t>
      </w:r>
    </w:p>
    <w:p w14:paraId="4B754EFC" w14:textId="12F7B7F6" w:rsidR="007B0517" w:rsidRPr="00E76B02" w:rsidRDefault="007B0517" w:rsidP="007B0517">
      <w:pPr>
        <w:spacing w:after="120" w:line="252" w:lineRule="auto"/>
        <w:ind w:firstLine="720"/>
        <w:jc w:val="both"/>
        <w:rPr>
          <w:iCs/>
        </w:rPr>
      </w:pPr>
      <w:bookmarkStart w:id="2" w:name="_Hlk216520216"/>
      <w:r w:rsidRPr="00E76B02">
        <w:rPr>
          <w:iCs/>
        </w:rPr>
        <w:t>Generally, the total Viet Nam's outward FDI (newly granted and adjusted capital) reached 1.1 billion USD, a year-on-year increase of 83.9%</w:t>
      </w:r>
      <w:bookmarkEnd w:id="2"/>
      <w:r w:rsidRPr="00E76B02">
        <w:rPr>
          <w:iCs/>
        </w:rPr>
        <w:t>. Of which</w:t>
      </w:r>
      <w:r w:rsidR="000D4F84">
        <w:rPr>
          <w:iCs/>
        </w:rPr>
        <w:t>,</w:t>
      </w:r>
      <w:r w:rsidRPr="00E76B02">
        <w:rPr>
          <w:iCs/>
        </w:rPr>
        <w:t xml:space="preserve"> the electricity, gas, steam and air conditioning supply reached 342.5 million USD, accounting for 31.1% of total investment; the manufacturing reached 277.6 million USD, accounting for 25.2%; the wholesale and retail trade, repair of motor vehicles and motorcycles reached 129.6 million USD; accounting for 11.8%. </w:t>
      </w:r>
    </w:p>
    <w:p w14:paraId="277141C8" w14:textId="445904CD" w:rsidR="00550AA7" w:rsidRPr="00E76B02" w:rsidRDefault="007B0517" w:rsidP="007B0517">
      <w:pPr>
        <w:spacing w:before="120" w:after="120" w:line="264" w:lineRule="auto"/>
        <w:ind w:firstLine="720"/>
        <w:jc w:val="both"/>
      </w:pPr>
      <w:r w:rsidRPr="00E76B02">
        <w:rPr>
          <w:iCs/>
          <w:spacing w:val="-2"/>
        </w:rPr>
        <w:t xml:space="preserve">In </w:t>
      </w:r>
      <w:r w:rsidR="008A335C">
        <w:rPr>
          <w:iCs/>
          <w:spacing w:val="-2"/>
        </w:rPr>
        <w:t xml:space="preserve">the </w:t>
      </w:r>
      <w:r w:rsidRPr="00E76B02">
        <w:rPr>
          <w:iCs/>
          <w:spacing w:val="-2"/>
        </w:rPr>
        <w:t>eleven months of 2025, Viet Nam invested in 36 countries and territories, of which</w:t>
      </w:r>
      <w:r w:rsidR="000D4F84">
        <w:rPr>
          <w:iCs/>
          <w:spacing w:val="-2"/>
        </w:rPr>
        <w:t>,</w:t>
      </w:r>
      <w:r w:rsidRPr="00E76B02">
        <w:rPr>
          <w:iCs/>
          <w:spacing w:val="-2"/>
        </w:rPr>
        <w:t xml:space="preserve"> Laos was the top with 590.3 million USD</w:t>
      </w:r>
      <w:r w:rsidR="008A335C">
        <w:rPr>
          <w:iCs/>
          <w:spacing w:val="-2"/>
        </w:rPr>
        <w:t xml:space="preserve"> of investment capital</w:t>
      </w:r>
      <w:r w:rsidRPr="00E76B02">
        <w:rPr>
          <w:iCs/>
          <w:spacing w:val="-2"/>
        </w:rPr>
        <w:t>, accounting for 53.6% of total investment; following countries were Philippines with 92.0 million USD, accounting for 8.4%; Germany with 78.1 million USD, accounting for 7.1%; Indonesia with 69.6 million USD, accounting for 6.3%; the United States with 33.9 million USD, accounting for 3.1%.</w:t>
      </w:r>
    </w:p>
    <w:p w14:paraId="76CF5AF6" w14:textId="77777777" w:rsidR="000D4591" w:rsidRPr="00E76B02" w:rsidRDefault="000D4591" w:rsidP="000D4591">
      <w:pPr>
        <w:spacing w:after="120" w:line="252" w:lineRule="auto"/>
        <w:ind w:firstLine="720"/>
        <w:jc w:val="both"/>
        <w:rPr>
          <w:b/>
          <w:bCs/>
        </w:rPr>
      </w:pPr>
      <w:r w:rsidRPr="00E76B02">
        <w:rPr>
          <w:b/>
        </w:rPr>
        <w:t>5. State budget revenue and expenditure</w:t>
      </w:r>
      <w:r w:rsidRPr="00E76B02">
        <w:rPr>
          <w:rStyle w:val="FootnoteReference"/>
          <w:b/>
        </w:rPr>
        <w:footnoteReference w:id="14"/>
      </w:r>
    </w:p>
    <w:p w14:paraId="0BE17C77" w14:textId="11A6EAEC" w:rsidR="000D4591" w:rsidRPr="00E76B02" w:rsidRDefault="000D4591" w:rsidP="000D4591">
      <w:pPr>
        <w:spacing w:after="120" w:line="252" w:lineRule="auto"/>
        <w:ind w:firstLine="720"/>
        <w:jc w:val="both"/>
        <w:rPr>
          <w:rFonts w:ascii="Times New Roman Italic" w:hAnsi="Times New Roman Italic"/>
          <w:i/>
          <w:spacing w:val="-2"/>
        </w:rPr>
      </w:pPr>
      <w:r w:rsidRPr="00E76B02">
        <w:rPr>
          <w:i/>
        </w:rPr>
        <w:t xml:space="preserve">State budget revenue in the 11 months of 2025 recorded a year-on-year increase of 30.9%. </w:t>
      </w:r>
      <w:r w:rsidR="008A335C">
        <w:rPr>
          <w:i/>
        </w:rPr>
        <w:t xml:space="preserve">The </w:t>
      </w:r>
      <w:r w:rsidRPr="00E76B02">
        <w:rPr>
          <w:i/>
        </w:rPr>
        <w:t>State budget expenditure increased by 32.5%, effectively meeting the needs for socio-economic development, national defense, security, state management, payment of due debts, and timely payment to beneficiaries according to regulations.</w:t>
      </w:r>
    </w:p>
    <w:p w14:paraId="6470A6B0" w14:textId="77777777" w:rsidR="000D4591" w:rsidRPr="00E76B02" w:rsidRDefault="000D4591" w:rsidP="000D4591">
      <w:pPr>
        <w:spacing w:before="120" w:after="40" w:line="254" w:lineRule="auto"/>
        <w:ind w:firstLine="567"/>
        <w:jc w:val="center"/>
        <w:rPr>
          <w:rFonts w:ascii="Arial" w:hAnsi="Arial" w:cs="Arial"/>
          <w:b/>
          <w:sz w:val="24"/>
          <w:szCs w:val="24"/>
        </w:rPr>
      </w:pPr>
      <w:r w:rsidRPr="00E76B02">
        <w:rPr>
          <w:rFonts w:ascii="Arial" w:hAnsi="Arial"/>
          <w:b/>
          <w:sz w:val="24"/>
        </w:rPr>
        <w:t>Figure 9. State budget revenue and expenditure in the 11 months of 2025</w:t>
      </w:r>
    </w:p>
    <w:p w14:paraId="50B79663" w14:textId="77777777" w:rsidR="000D4591" w:rsidRPr="00E76B02" w:rsidRDefault="000D4591" w:rsidP="000D4591">
      <w:pPr>
        <w:spacing w:before="40" w:after="40" w:line="254" w:lineRule="auto"/>
        <w:jc w:val="center"/>
        <w:rPr>
          <w:rFonts w:ascii="Arial" w:hAnsi="Arial" w:cs="Arial"/>
          <w:i/>
          <w:sz w:val="24"/>
          <w:szCs w:val="24"/>
        </w:rPr>
      </w:pPr>
      <w:r w:rsidRPr="00E76B02">
        <w:rPr>
          <w:rFonts w:ascii="Arial" w:hAnsi="Arial"/>
          <w:i/>
          <w:noProof/>
          <w:sz w:val="24"/>
        </w:rPr>
        <w:lastRenderedPageBreak/>
        <w:drawing>
          <wp:inline distT="0" distB="0" distL="0" distR="0" wp14:anchorId="563F850B" wp14:editId="5DDFD9C0">
            <wp:extent cx="5699760" cy="2379104"/>
            <wp:effectExtent l="0" t="0" r="0" b="2540"/>
            <wp:docPr id="16" name="Picture 16" descr="C:\Users\ntrungkien\Desktop\Dich Bao cao Thang 11\di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trungkien\Desktop\Dich Bao cao Thang 11\dich.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99760" cy="2379104"/>
                    </a:xfrm>
                    <a:prstGeom prst="rect">
                      <a:avLst/>
                    </a:prstGeom>
                    <a:noFill/>
                    <a:ln>
                      <a:noFill/>
                    </a:ln>
                  </pic:spPr>
                </pic:pic>
              </a:graphicData>
            </a:graphic>
          </wp:inline>
        </w:drawing>
      </w:r>
    </w:p>
    <w:p w14:paraId="2E1135BF" w14:textId="77777777" w:rsidR="000D4591" w:rsidRPr="00E76B02" w:rsidRDefault="000D4591" w:rsidP="000D4591">
      <w:pPr>
        <w:spacing w:after="120" w:line="276" w:lineRule="auto"/>
        <w:ind w:firstLine="720"/>
        <w:jc w:val="both"/>
        <w:rPr>
          <w:b/>
          <w:i/>
        </w:rPr>
      </w:pPr>
      <w:r w:rsidRPr="00E76B02">
        <w:rPr>
          <w:b/>
          <w:i/>
        </w:rPr>
        <w:t>State budget revenue</w:t>
      </w:r>
    </w:p>
    <w:p w14:paraId="6547BBCC" w14:textId="57C1FAC4" w:rsidR="000D4591" w:rsidRPr="00E76B02" w:rsidRDefault="000D4F84" w:rsidP="000D4591">
      <w:pPr>
        <w:spacing w:after="120" w:line="276" w:lineRule="auto"/>
        <w:ind w:firstLine="720"/>
        <w:jc w:val="both"/>
      </w:pPr>
      <w:r>
        <w:t>Total State budget</w:t>
      </w:r>
      <w:r w:rsidRPr="00E76B02">
        <w:t xml:space="preserve"> </w:t>
      </w:r>
      <w:r w:rsidR="000D4591" w:rsidRPr="00E76B02">
        <w:t xml:space="preserve">revenue in November 2025 was 201.5 trillion VND. The accrued revenue in the 11 months of 2025 reached 2,397.7 trillion VND, </w:t>
      </w:r>
      <w:r>
        <w:t>equal to</w:t>
      </w:r>
      <w:r w:rsidRPr="00E76B02">
        <w:t xml:space="preserve"> </w:t>
      </w:r>
      <w:r w:rsidR="000D4591" w:rsidRPr="00E76B02">
        <w:t>121.9% of the annual estimate and increas</w:t>
      </w:r>
      <w:r>
        <w:t>ing by</w:t>
      </w:r>
      <w:r w:rsidR="000D4591" w:rsidRPr="00E76B02">
        <w:t xml:space="preserve"> 30.9% over the same period last year.</w:t>
      </w:r>
      <w:r w:rsidR="000D4591" w:rsidRPr="00E76B02">
        <w:rPr>
          <w:rStyle w:val="FootnoteReference"/>
        </w:rPr>
        <w:footnoteReference w:id="15"/>
      </w:r>
      <w:r w:rsidR="000D4591" w:rsidRPr="00E76B02">
        <w:t>. Specifically, some main revenue items were as follows:</w:t>
      </w:r>
    </w:p>
    <w:p w14:paraId="0BFC7208" w14:textId="43BB7AA9" w:rsidR="000D4591" w:rsidRPr="00E76B02" w:rsidRDefault="000D4591" w:rsidP="000D4591">
      <w:pPr>
        <w:spacing w:after="120" w:line="276" w:lineRule="auto"/>
        <w:ind w:firstLine="720"/>
        <w:jc w:val="both"/>
      </w:pPr>
      <w:r w:rsidRPr="00E76B02">
        <w:t xml:space="preserve">- </w:t>
      </w:r>
      <w:r w:rsidRPr="00E76B02">
        <w:rPr>
          <w:i/>
          <w:iCs/>
        </w:rPr>
        <w:t>Domestic revenue</w:t>
      </w:r>
      <w:r w:rsidRPr="00E76B02">
        <w:t xml:space="preserve"> in November 2025 was 171.6 trillion VND. The accrued revenue in </w:t>
      </w:r>
      <w:r w:rsidR="008A335C">
        <w:t xml:space="preserve">the </w:t>
      </w:r>
      <w:r w:rsidRPr="00E76B02">
        <w:t>11 months of 2025 was 2,059.5 trillion VND, reaching 123.4% of the annual estimate and going up by 35.2% over the same period last year</w:t>
      </w:r>
      <w:r w:rsidRPr="00E76B02">
        <w:rPr>
          <w:rStyle w:val="FootnoteReference"/>
        </w:rPr>
        <w:footnoteReference w:id="16"/>
      </w:r>
      <w:r w:rsidR="00E76B02">
        <w:t>.</w:t>
      </w:r>
    </w:p>
    <w:p w14:paraId="6EAF461D" w14:textId="77777777" w:rsidR="000D4591" w:rsidRPr="00E76B02" w:rsidRDefault="000D4591" w:rsidP="000D4591">
      <w:pPr>
        <w:spacing w:after="120" w:line="276" w:lineRule="auto"/>
        <w:ind w:firstLine="720"/>
        <w:jc w:val="both"/>
        <w:rPr>
          <w:spacing w:val="-4"/>
        </w:rPr>
      </w:pPr>
      <w:r w:rsidRPr="00E76B02">
        <w:t xml:space="preserve">- </w:t>
      </w:r>
      <w:r w:rsidRPr="00E76B02">
        <w:rPr>
          <w:i/>
          <w:iCs/>
        </w:rPr>
        <w:t>Revenue from crude oil</w:t>
      </w:r>
      <w:r w:rsidRPr="00E76B02">
        <w:t xml:space="preserve"> in November 2025 was 3.0 trillion VND; the accrued revenue in the 11 months of 2025 reached nearly 43.7 trillion VND, reaching 82.2% of the annual estimate and down 16.7% over the same period last year. </w:t>
      </w:r>
    </w:p>
    <w:p w14:paraId="5521C2FD" w14:textId="77777777" w:rsidR="000D4591" w:rsidRPr="00E76B02" w:rsidRDefault="000D4591" w:rsidP="000D4591">
      <w:pPr>
        <w:spacing w:after="120" w:line="276" w:lineRule="auto"/>
        <w:ind w:firstLine="720"/>
        <w:jc w:val="both"/>
      </w:pPr>
      <w:r w:rsidRPr="00E76B02">
        <w:t xml:space="preserve">- </w:t>
      </w:r>
      <w:r w:rsidRPr="00E76B02">
        <w:rPr>
          <w:i/>
          <w:iCs/>
        </w:rPr>
        <w:t>Budget revenue balancing from import and export</w:t>
      </w:r>
      <w:r w:rsidRPr="00E76B02">
        <w:t xml:space="preserve"> in November 2025 was 26.7 trillion VND; the accrued revenue in the 11 months of 2025 was nearly 293.0 trillion VND, reaching 124.7% of the annual estimate and an increase of 15.1% over the same period last year. </w:t>
      </w:r>
    </w:p>
    <w:p w14:paraId="0B4258E0" w14:textId="77777777" w:rsidR="000D4591" w:rsidRPr="00E76B02" w:rsidRDefault="000D4591" w:rsidP="000D4591">
      <w:pPr>
        <w:spacing w:after="120" w:line="276" w:lineRule="auto"/>
        <w:ind w:firstLine="720"/>
        <w:jc w:val="both"/>
        <w:rPr>
          <w:b/>
          <w:i/>
        </w:rPr>
      </w:pPr>
      <w:r w:rsidRPr="00E76B02">
        <w:rPr>
          <w:b/>
          <w:i/>
        </w:rPr>
        <w:t>State budget expenditure</w:t>
      </w:r>
    </w:p>
    <w:p w14:paraId="5E36F7C0" w14:textId="64244F5A" w:rsidR="00550AA7" w:rsidRPr="00E76B02" w:rsidRDefault="000D4591" w:rsidP="000D4591">
      <w:pPr>
        <w:spacing w:before="120" w:after="120" w:line="264" w:lineRule="auto"/>
        <w:ind w:firstLine="720"/>
        <w:jc w:val="both"/>
      </w:pPr>
      <w:r w:rsidRPr="00E76B02">
        <w:lastRenderedPageBreak/>
        <w:t xml:space="preserve">Total </w:t>
      </w:r>
      <w:r w:rsidR="001C6EAD">
        <w:t>S</w:t>
      </w:r>
      <w:r w:rsidR="001C6EAD" w:rsidRPr="00E76B02">
        <w:t xml:space="preserve">tate </w:t>
      </w:r>
      <w:r w:rsidRPr="00E76B02">
        <w:t xml:space="preserve">budget expenditure in November 2025 was estimated at 213.3 trillion VND. The accrued expenditure in </w:t>
      </w:r>
      <w:r w:rsidR="008A335C">
        <w:t xml:space="preserve">the </w:t>
      </w:r>
      <w:r w:rsidRPr="00E76B02">
        <w:t>11 months of 2025 was 2.049,7 trillion VND, reaching 79.5% of the annual estimate and an increase of 32.5% over the same period last year.</w:t>
      </w:r>
      <w:r w:rsidRPr="00E76B02">
        <w:rPr>
          <w:rStyle w:val="FootnoteReference"/>
          <w:spacing w:val="-2"/>
        </w:rPr>
        <w:footnoteReference w:id="17"/>
      </w:r>
      <w:r w:rsidRPr="00E76B02">
        <w:t>. Specifically</w:t>
      </w:r>
      <w:r w:rsidR="001C6EAD">
        <w:t>,</w:t>
      </w:r>
      <w:r w:rsidRPr="00E76B02">
        <w:t xml:space="preserve"> recurrent expenditure was 1,398.0 trillion VND, reaching 87.5% of the annual estimate and an increase of 32.4% over the same period last year; development investment expenditure was 553.3 trillion VND, reaching 70.0% and increase of 39.2%</w:t>
      </w:r>
      <w:r w:rsidRPr="00E76B02">
        <w:rPr>
          <w:rStyle w:val="FootnoteReference"/>
          <w:spacing w:val="-2"/>
        </w:rPr>
        <w:footnoteReference w:id="18"/>
      </w:r>
      <w:r w:rsidRPr="00E76B02">
        <w:t>; interest payment was 92.2 trillion VND, reaching 83.4% and up 0.8%.</w:t>
      </w:r>
    </w:p>
    <w:p w14:paraId="0F03C7C9" w14:textId="77777777" w:rsidR="00A06B07" w:rsidRPr="00E76B02" w:rsidRDefault="00A06B07" w:rsidP="00A06B07">
      <w:pPr>
        <w:spacing w:after="120" w:line="264" w:lineRule="auto"/>
        <w:ind w:firstLine="720"/>
        <w:jc w:val="both"/>
        <w:rPr>
          <w:b/>
          <w:bCs/>
        </w:rPr>
      </w:pPr>
      <w:r w:rsidRPr="00E76B02">
        <w:rPr>
          <w:b/>
          <w:bCs/>
        </w:rPr>
        <w:t>6. Trade, prices, transport and tourism</w:t>
      </w:r>
    </w:p>
    <w:p w14:paraId="1F142FA1" w14:textId="77777777" w:rsidR="00A06B07" w:rsidRPr="00E76B02" w:rsidRDefault="00A06B07" w:rsidP="00A06B07">
      <w:pPr>
        <w:spacing w:after="120" w:line="264" w:lineRule="auto"/>
        <w:ind w:firstLine="720"/>
        <w:rPr>
          <w:b/>
          <w:i/>
        </w:rPr>
      </w:pPr>
      <w:r w:rsidRPr="00E76B02">
        <w:rPr>
          <w:b/>
          <w:i/>
        </w:rPr>
        <w:t>a) Retail sales of consumer goods and services</w:t>
      </w:r>
    </w:p>
    <w:p w14:paraId="64740383" w14:textId="60051645" w:rsidR="00A06B07" w:rsidRPr="00E76B02" w:rsidRDefault="00A06B07" w:rsidP="00A06B07">
      <w:pPr>
        <w:spacing w:after="120" w:line="264" w:lineRule="auto"/>
        <w:ind w:firstLine="720"/>
        <w:jc w:val="both"/>
        <w:rPr>
          <w:i/>
        </w:rPr>
      </w:pPr>
      <w:bookmarkStart w:id="3" w:name="_Hlk213088934"/>
      <w:r w:rsidRPr="00E76B02">
        <w:rPr>
          <w:i/>
        </w:rPr>
        <w:t>Trade and service activities in November remained stable, with gross retail sales of consumer goods and services estimated to be equivalent to the previous month and going up by 7.1% year-on-year. For eleven months of 2025, gross retail sales of consumer goods and services increased by 9.1% over that in the same period last year, of which</w:t>
      </w:r>
      <w:r w:rsidR="00BE7484">
        <w:rPr>
          <w:i/>
        </w:rPr>
        <w:t>,</w:t>
      </w:r>
      <w:r w:rsidRPr="00E76B02">
        <w:rPr>
          <w:i/>
        </w:rPr>
        <w:t xml:space="preserve"> turnover from accommodation and food services rose by 14.6%, and turnover from travel and tourism services increased by 19.9%, reflecting the effectiveness of consumption-stimulus measures and strengthened tourism promotion and marketing programs.</w:t>
      </w:r>
    </w:p>
    <w:p w14:paraId="51B79221" w14:textId="77777777" w:rsidR="00A06B07" w:rsidRPr="00E76B02" w:rsidRDefault="00A06B07" w:rsidP="00A06B07">
      <w:pPr>
        <w:spacing w:after="120" w:line="264" w:lineRule="auto"/>
        <w:ind w:firstLine="720"/>
        <w:jc w:val="both"/>
        <w:rPr>
          <w:iCs/>
          <w:spacing w:val="-2"/>
        </w:rPr>
      </w:pPr>
      <w:r w:rsidRPr="00E76B02">
        <w:rPr>
          <w:iCs/>
          <w:spacing w:val="-2"/>
        </w:rPr>
        <w:t xml:space="preserve">The gross retail sales of consumer goods and services at current prices in November were estimated at 601.2 trillion VND, a year-on-year increase of 7.1%. Of which, </w:t>
      </w:r>
      <w:r w:rsidRPr="00E76B02">
        <w:rPr>
          <w:iCs/>
        </w:rPr>
        <w:t>turnover</w:t>
      </w:r>
      <w:r w:rsidRPr="00E76B02">
        <w:rPr>
          <w:iCs/>
          <w:spacing w:val="-2"/>
        </w:rPr>
        <w:t xml:space="preserve"> from household appliances, tools, and equipment rose by 13.6% year-on-year due to increased shopping demand as the weather shifted seasons and the need to replenish or replace items damaged by floods; </w:t>
      </w:r>
      <w:r w:rsidRPr="00E76B02">
        <w:rPr>
          <w:iCs/>
        </w:rPr>
        <w:t>turnover from</w:t>
      </w:r>
      <w:r w:rsidRPr="00E76B02">
        <w:rPr>
          <w:iCs/>
          <w:spacing w:val="-2"/>
        </w:rPr>
        <w:t xml:space="preserve"> garment products increased by 9.2%; food and foodstuff </w:t>
      </w:r>
      <w:r w:rsidRPr="00E76B02">
        <w:rPr>
          <w:iCs/>
        </w:rPr>
        <w:t>went up</w:t>
      </w:r>
      <w:r w:rsidRPr="00E76B02">
        <w:rPr>
          <w:iCs/>
          <w:spacing w:val="-2"/>
        </w:rPr>
        <w:t xml:space="preserve"> 7.0%; accommodation and food services </w:t>
      </w:r>
      <w:r w:rsidRPr="00E76B02">
        <w:rPr>
          <w:iCs/>
        </w:rPr>
        <w:t>grew</w:t>
      </w:r>
      <w:r w:rsidRPr="00E76B02">
        <w:rPr>
          <w:iCs/>
          <w:spacing w:val="-2"/>
        </w:rPr>
        <w:t xml:space="preserve"> by 13.6%; and travel and tourism services </w:t>
      </w:r>
      <w:r w:rsidRPr="00E76B02">
        <w:rPr>
          <w:iCs/>
        </w:rPr>
        <w:t>rose</w:t>
      </w:r>
      <w:r w:rsidRPr="00E76B02">
        <w:rPr>
          <w:iCs/>
          <w:spacing w:val="-2"/>
        </w:rPr>
        <w:t xml:space="preserve"> by 19.1%.</w:t>
      </w:r>
    </w:p>
    <w:p w14:paraId="0A6DD827" w14:textId="77777777" w:rsidR="00A06B07" w:rsidRPr="00E76B02" w:rsidRDefault="00A06B07" w:rsidP="00A06B07">
      <w:pPr>
        <w:spacing w:after="120" w:line="254" w:lineRule="auto"/>
        <w:jc w:val="center"/>
        <w:rPr>
          <w:rFonts w:ascii="Arial" w:hAnsi="Arial" w:cs="Arial"/>
          <w:b/>
          <w:bCs/>
          <w:spacing w:val="-6"/>
          <w:sz w:val="24"/>
          <w:szCs w:val="26"/>
        </w:rPr>
      </w:pPr>
      <w:r w:rsidRPr="00E76B02">
        <w:rPr>
          <w:rFonts w:ascii="Arial" w:hAnsi="Arial" w:cs="Arial"/>
          <w:b/>
          <w:spacing w:val="-2"/>
          <w:sz w:val="24"/>
          <w:szCs w:val="26"/>
        </w:rPr>
        <w:t xml:space="preserve">Table 3. </w:t>
      </w:r>
      <w:r w:rsidRPr="00E76B02">
        <w:rPr>
          <w:rFonts w:ascii="Arial" w:hAnsi="Arial" w:cs="Arial"/>
          <w:b/>
          <w:bCs/>
          <w:spacing w:val="-6"/>
          <w:sz w:val="24"/>
          <w:szCs w:val="26"/>
        </w:rPr>
        <w:t>Gross retail sales of consumer goods and services at current prices</w:t>
      </w:r>
    </w:p>
    <w:p w14:paraId="330A13AE" w14:textId="77777777" w:rsidR="00A06B07" w:rsidRPr="00E76B02" w:rsidRDefault="00A06B07" w:rsidP="00A06B07">
      <w:pPr>
        <w:tabs>
          <w:tab w:val="left" w:pos="2835"/>
        </w:tabs>
        <w:ind w:firstLine="561"/>
        <w:jc w:val="right"/>
        <w:rPr>
          <w:rFonts w:ascii="Arial" w:hAnsi="Arial" w:cs="Arial"/>
          <w:b/>
          <w:i/>
          <w:spacing w:val="-6"/>
          <w:sz w:val="20"/>
          <w:szCs w:val="20"/>
        </w:rPr>
      </w:pPr>
      <w:r w:rsidRPr="00E76B02">
        <w:rPr>
          <w:rFonts w:ascii="Arial" w:hAnsi="Arial" w:cs="Arial"/>
          <w:b/>
          <w:i/>
          <w:spacing w:val="-6"/>
          <w:sz w:val="20"/>
          <w:szCs w:val="20"/>
        </w:rPr>
        <w:t>Trillion VND</w:t>
      </w:r>
    </w:p>
    <w:tbl>
      <w:tblPr>
        <w:tblW w:w="9060" w:type="dxa"/>
        <w:jc w:val="center"/>
        <w:tblLayout w:type="fixed"/>
        <w:tblLook w:val="04A0" w:firstRow="1" w:lastRow="0" w:firstColumn="1" w:lastColumn="0" w:noHBand="0" w:noVBand="1"/>
      </w:tblPr>
      <w:tblGrid>
        <w:gridCol w:w="3021"/>
        <w:gridCol w:w="1437"/>
        <w:gridCol w:w="1592"/>
        <w:gridCol w:w="1690"/>
        <w:gridCol w:w="1320"/>
      </w:tblGrid>
      <w:tr w:rsidR="00A06B07" w:rsidRPr="00E76B02" w14:paraId="25425023" w14:textId="77777777" w:rsidTr="00E76B02">
        <w:trPr>
          <w:cantSplit/>
          <w:trHeight w:val="613"/>
          <w:jc w:val="center"/>
        </w:trPr>
        <w:tc>
          <w:tcPr>
            <w:tcW w:w="3021" w:type="dxa"/>
            <w:vMerge w:val="restart"/>
            <w:tcBorders>
              <w:top w:val="single" w:sz="4" w:space="0" w:color="auto"/>
              <w:left w:val="nil"/>
              <w:bottom w:val="single" w:sz="4" w:space="0" w:color="auto"/>
              <w:right w:val="nil"/>
            </w:tcBorders>
            <w:vAlign w:val="center"/>
            <w:hideMark/>
          </w:tcPr>
          <w:p w14:paraId="24A1C6F1" w14:textId="77777777" w:rsidR="00A06B07" w:rsidRPr="00E76B02" w:rsidRDefault="00A06B07" w:rsidP="00E76B02">
            <w:pPr>
              <w:spacing w:line="256" w:lineRule="auto"/>
              <w:jc w:val="both"/>
              <w:rPr>
                <w:rFonts w:ascii="Arial" w:hAnsi="Arial" w:cs="Arial"/>
                <w:sz w:val="20"/>
                <w:szCs w:val="20"/>
              </w:rPr>
            </w:pPr>
            <w:r w:rsidRPr="00E76B02">
              <w:rPr>
                <w:rFonts w:ascii="Arial" w:hAnsi="Arial" w:cs="Arial"/>
                <w:bCs/>
                <w:sz w:val="20"/>
                <w:szCs w:val="20"/>
              </w:rPr>
              <w:t> </w:t>
            </w:r>
          </w:p>
        </w:tc>
        <w:tc>
          <w:tcPr>
            <w:tcW w:w="1437" w:type="dxa"/>
            <w:vMerge w:val="restart"/>
            <w:tcBorders>
              <w:top w:val="single" w:sz="4" w:space="0" w:color="auto"/>
              <w:left w:val="nil"/>
              <w:bottom w:val="single" w:sz="4" w:space="0" w:color="auto"/>
              <w:right w:val="nil"/>
            </w:tcBorders>
            <w:vAlign w:val="center"/>
            <w:hideMark/>
          </w:tcPr>
          <w:p w14:paraId="6D59BF06" w14:textId="77777777" w:rsidR="00A06B07" w:rsidRPr="00E76B02" w:rsidRDefault="00A06B07" w:rsidP="00E76B02">
            <w:pPr>
              <w:spacing w:line="256" w:lineRule="auto"/>
              <w:jc w:val="center"/>
              <w:rPr>
                <w:rFonts w:ascii="Arial" w:hAnsi="Arial" w:cs="Arial"/>
                <w:sz w:val="20"/>
                <w:szCs w:val="20"/>
              </w:rPr>
            </w:pPr>
            <w:r w:rsidRPr="00E76B02">
              <w:rPr>
                <w:rFonts w:ascii="Arial" w:hAnsi="Arial" w:cs="Arial"/>
                <w:sz w:val="20"/>
                <w:szCs w:val="20"/>
              </w:rPr>
              <w:t xml:space="preserve">Estimate </w:t>
            </w:r>
          </w:p>
          <w:p w14:paraId="27024137" w14:textId="77777777" w:rsidR="00A06B07" w:rsidRPr="00E76B02" w:rsidRDefault="00A06B07" w:rsidP="00E76B02">
            <w:pPr>
              <w:spacing w:line="256" w:lineRule="auto"/>
              <w:jc w:val="center"/>
              <w:rPr>
                <w:rFonts w:ascii="Arial" w:hAnsi="Arial" w:cs="Arial"/>
                <w:sz w:val="20"/>
                <w:szCs w:val="20"/>
              </w:rPr>
            </w:pPr>
            <w:r w:rsidRPr="00E76B02">
              <w:rPr>
                <w:rFonts w:ascii="Arial" w:hAnsi="Arial" w:cs="Arial"/>
                <w:sz w:val="20"/>
                <w:szCs w:val="20"/>
              </w:rPr>
              <w:t>for November</w:t>
            </w:r>
          </w:p>
          <w:p w14:paraId="1C8CB486" w14:textId="77777777" w:rsidR="00A06B07" w:rsidRPr="00E76B02" w:rsidRDefault="00A06B07" w:rsidP="00E76B02">
            <w:pPr>
              <w:spacing w:line="256" w:lineRule="auto"/>
              <w:jc w:val="center"/>
              <w:rPr>
                <w:rFonts w:ascii="Arial" w:hAnsi="Arial" w:cs="Arial"/>
                <w:sz w:val="20"/>
                <w:szCs w:val="20"/>
              </w:rPr>
            </w:pPr>
            <w:r w:rsidRPr="00E76B02">
              <w:rPr>
                <w:rFonts w:ascii="Arial" w:hAnsi="Arial" w:cs="Arial"/>
                <w:sz w:val="20"/>
                <w:szCs w:val="20"/>
              </w:rPr>
              <w:t>2025</w:t>
            </w:r>
          </w:p>
        </w:tc>
        <w:tc>
          <w:tcPr>
            <w:tcW w:w="1592" w:type="dxa"/>
            <w:vMerge w:val="restart"/>
            <w:tcBorders>
              <w:top w:val="single" w:sz="4" w:space="0" w:color="auto"/>
              <w:left w:val="nil"/>
              <w:bottom w:val="single" w:sz="4" w:space="0" w:color="auto"/>
              <w:right w:val="nil"/>
            </w:tcBorders>
            <w:vAlign w:val="center"/>
            <w:hideMark/>
          </w:tcPr>
          <w:p w14:paraId="5CF62E7A" w14:textId="77777777" w:rsidR="00A06B07" w:rsidRPr="00E76B02" w:rsidRDefault="00A06B07" w:rsidP="00E76B02">
            <w:pPr>
              <w:jc w:val="center"/>
              <w:rPr>
                <w:sz w:val="20"/>
                <w:szCs w:val="20"/>
              </w:rPr>
            </w:pPr>
            <w:r w:rsidRPr="00E76B02">
              <w:rPr>
                <w:sz w:val="20"/>
                <w:szCs w:val="20"/>
              </w:rPr>
              <w:t>Estimate for</w:t>
            </w:r>
          </w:p>
          <w:p w14:paraId="6B61E831" w14:textId="77777777" w:rsidR="00A06B07" w:rsidRPr="00E76B02" w:rsidRDefault="00A06B07" w:rsidP="00E76B02">
            <w:pPr>
              <w:jc w:val="center"/>
              <w:rPr>
                <w:sz w:val="20"/>
                <w:szCs w:val="20"/>
              </w:rPr>
            </w:pPr>
            <w:r w:rsidRPr="00E76B02">
              <w:rPr>
                <w:sz w:val="20"/>
                <w:szCs w:val="20"/>
              </w:rPr>
              <w:t xml:space="preserve">11 months </w:t>
            </w:r>
          </w:p>
          <w:p w14:paraId="261592E4" w14:textId="77777777" w:rsidR="00A06B07" w:rsidRPr="00E76B02" w:rsidRDefault="00A06B07" w:rsidP="00E76B02">
            <w:pPr>
              <w:spacing w:line="256" w:lineRule="auto"/>
              <w:jc w:val="center"/>
              <w:rPr>
                <w:rFonts w:ascii="Arial" w:hAnsi="Arial" w:cs="Arial"/>
                <w:sz w:val="20"/>
                <w:szCs w:val="20"/>
              </w:rPr>
            </w:pPr>
            <w:r w:rsidRPr="00E76B02">
              <w:rPr>
                <w:sz w:val="20"/>
                <w:szCs w:val="20"/>
              </w:rPr>
              <w:t>of 2025</w:t>
            </w:r>
          </w:p>
        </w:tc>
        <w:tc>
          <w:tcPr>
            <w:tcW w:w="3010" w:type="dxa"/>
            <w:gridSpan w:val="2"/>
            <w:tcBorders>
              <w:top w:val="single" w:sz="4" w:space="0" w:color="auto"/>
              <w:left w:val="nil"/>
              <w:bottom w:val="single" w:sz="4" w:space="0" w:color="auto"/>
              <w:right w:val="nil"/>
            </w:tcBorders>
            <w:vAlign w:val="center"/>
            <w:hideMark/>
          </w:tcPr>
          <w:p w14:paraId="24B10EAB" w14:textId="77777777" w:rsidR="00A06B07" w:rsidRPr="00E76B02" w:rsidRDefault="00A06B07" w:rsidP="00E76B02">
            <w:pPr>
              <w:spacing w:line="256" w:lineRule="auto"/>
              <w:jc w:val="center"/>
              <w:rPr>
                <w:rFonts w:ascii="Arial" w:hAnsi="Arial" w:cs="Arial"/>
                <w:sz w:val="20"/>
                <w:szCs w:val="20"/>
              </w:rPr>
            </w:pPr>
            <w:r w:rsidRPr="00E76B02">
              <w:rPr>
                <w:rFonts w:ascii="Arial" w:hAnsi="Arial" w:cs="Arial"/>
                <w:sz w:val="20"/>
                <w:szCs w:val="20"/>
              </w:rPr>
              <w:t xml:space="preserve">Year-on-Year </w:t>
            </w:r>
          </w:p>
          <w:p w14:paraId="378C87CB" w14:textId="77777777" w:rsidR="00A06B07" w:rsidRPr="00E76B02" w:rsidRDefault="00A06B07" w:rsidP="00E76B02">
            <w:pPr>
              <w:spacing w:line="256" w:lineRule="auto"/>
              <w:jc w:val="center"/>
              <w:rPr>
                <w:rFonts w:ascii="Arial" w:hAnsi="Arial" w:cs="Arial"/>
                <w:sz w:val="20"/>
                <w:szCs w:val="20"/>
              </w:rPr>
            </w:pPr>
            <w:r w:rsidRPr="00E76B02">
              <w:rPr>
                <w:rFonts w:ascii="Arial" w:hAnsi="Arial" w:cs="Arial"/>
                <w:sz w:val="20"/>
                <w:szCs w:val="20"/>
              </w:rPr>
              <w:t>Growth rate (%)</w:t>
            </w:r>
          </w:p>
        </w:tc>
      </w:tr>
      <w:tr w:rsidR="00A06B07" w:rsidRPr="00E76B02" w14:paraId="7484BD69" w14:textId="77777777" w:rsidTr="00E76B02">
        <w:trPr>
          <w:cantSplit/>
          <w:trHeight w:val="513"/>
          <w:jc w:val="center"/>
        </w:trPr>
        <w:tc>
          <w:tcPr>
            <w:tcW w:w="3021" w:type="dxa"/>
            <w:vMerge/>
            <w:tcBorders>
              <w:top w:val="single" w:sz="4" w:space="0" w:color="auto"/>
              <w:left w:val="nil"/>
              <w:bottom w:val="single" w:sz="4" w:space="0" w:color="auto"/>
              <w:right w:val="nil"/>
            </w:tcBorders>
            <w:vAlign w:val="center"/>
            <w:hideMark/>
          </w:tcPr>
          <w:p w14:paraId="7C091CF0" w14:textId="77777777" w:rsidR="00A06B07" w:rsidRPr="00E76B02" w:rsidRDefault="00A06B07" w:rsidP="00E76B02">
            <w:pPr>
              <w:spacing w:line="256" w:lineRule="auto"/>
              <w:rPr>
                <w:rFonts w:ascii="Arial" w:hAnsi="Arial" w:cs="Arial"/>
                <w:sz w:val="20"/>
                <w:szCs w:val="20"/>
              </w:rPr>
            </w:pPr>
          </w:p>
        </w:tc>
        <w:tc>
          <w:tcPr>
            <w:tcW w:w="1437" w:type="dxa"/>
            <w:vMerge/>
            <w:tcBorders>
              <w:top w:val="single" w:sz="4" w:space="0" w:color="auto"/>
              <w:left w:val="nil"/>
              <w:bottom w:val="single" w:sz="4" w:space="0" w:color="auto"/>
              <w:right w:val="nil"/>
            </w:tcBorders>
            <w:vAlign w:val="center"/>
            <w:hideMark/>
          </w:tcPr>
          <w:p w14:paraId="04A8154F" w14:textId="77777777" w:rsidR="00A06B07" w:rsidRPr="00E76B02" w:rsidRDefault="00A06B07" w:rsidP="00E76B02">
            <w:pPr>
              <w:spacing w:line="256" w:lineRule="auto"/>
              <w:rPr>
                <w:rFonts w:ascii="Arial" w:hAnsi="Arial" w:cs="Arial"/>
                <w:sz w:val="20"/>
                <w:szCs w:val="20"/>
              </w:rPr>
            </w:pPr>
          </w:p>
        </w:tc>
        <w:tc>
          <w:tcPr>
            <w:tcW w:w="1592" w:type="dxa"/>
            <w:vMerge/>
            <w:tcBorders>
              <w:top w:val="single" w:sz="4" w:space="0" w:color="auto"/>
              <w:left w:val="nil"/>
              <w:bottom w:val="single" w:sz="4" w:space="0" w:color="auto"/>
              <w:right w:val="nil"/>
            </w:tcBorders>
            <w:vAlign w:val="center"/>
            <w:hideMark/>
          </w:tcPr>
          <w:p w14:paraId="3F461D63" w14:textId="77777777" w:rsidR="00A06B07" w:rsidRPr="00E76B02" w:rsidRDefault="00A06B07" w:rsidP="00E76B02">
            <w:pPr>
              <w:spacing w:line="256" w:lineRule="auto"/>
              <w:rPr>
                <w:rFonts w:ascii="Arial" w:hAnsi="Arial" w:cs="Arial"/>
                <w:sz w:val="20"/>
                <w:szCs w:val="20"/>
              </w:rPr>
            </w:pPr>
          </w:p>
        </w:tc>
        <w:tc>
          <w:tcPr>
            <w:tcW w:w="1690" w:type="dxa"/>
            <w:tcBorders>
              <w:top w:val="single" w:sz="4" w:space="0" w:color="auto"/>
              <w:left w:val="nil"/>
              <w:bottom w:val="single" w:sz="4" w:space="0" w:color="auto"/>
              <w:right w:val="nil"/>
            </w:tcBorders>
            <w:vAlign w:val="center"/>
            <w:hideMark/>
          </w:tcPr>
          <w:p w14:paraId="7FE246D0" w14:textId="77777777" w:rsidR="00A06B07" w:rsidRPr="00E76B02" w:rsidRDefault="00A06B07" w:rsidP="00E76B02">
            <w:pPr>
              <w:spacing w:line="256" w:lineRule="auto"/>
              <w:jc w:val="center"/>
              <w:rPr>
                <w:rFonts w:ascii="Arial" w:hAnsi="Arial" w:cs="Arial"/>
                <w:sz w:val="20"/>
                <w:szCs w:val="20"/>
              </w:rPr>
            </w:pPr>
            <w:r w:rsidRPr="00E76B02">
              <w:rPr>
                <w:rFonts w:ascii="Arial" w:hAnsi="Arial" w:cs="Arial"/>
                <w:sz w:val="20"/>
                <w:szCs w:val="20"/>
              </w:rPr>
              <w:t>November 2025</w:t>
            </w:r>
          </w:p>
        </w:tc>
        <w:tc>
          <w:tcPr>
            <w:tcW w:w="1320" w:type="dxa"/>
            <w:tcBorders>
              <w:top w:val="single" w:sz="4" w:space="0" w:color="auto"/>
              <w:left w:val="nil"/>
              <w:bottom w:val="single" w:sz="4" w:space="0" w:color="auto"/>
              <w:right w:val="nil"/>
            </w:tcBorders>
            <w:vAlign w:val="center"/>
            <w:hideMark/>
          </w:tcPr>
          <w:p w14:paraId="26C39053" w14:textId="77777777" w:rsidR="00A06B07" w:rsidRPr="00E76B02" w:rsidRDefault="00A06B07" w:rsidP="00E76B02">
            <w:pPr>
              <w:jc w:val="center"/>
              <w:rPr>
                <w:sz w:val="20"/>
                <w:szCs w:val="20"/>
              </w:rPr>
            </w:pPr>
            <w:r w:rsidRPr="00E76B02">
              <w:rPr>
                <w:sz w:val="20"/>
                <w:szCs w:val="20"/>
              </w:rPr>
              <w:t>11 months</w:t>
            </w:r>
          </w:p>
          <w:p w14:paraId="3784963F" w14:textId="77777777" w:rsidR="00A06B07" w:rsidRPr="00E76B02" w:rsidRDefault="00A06B07" w:rsidP="00E76B02">
            <w:pPr>
              <w:spacing w:line="256" w:lineRule="auto"/>
              <w:jc w:val="center"/>
              <w:rPr>
                <w:rFonts w:ascii="Arial" w:hAnsi="Arial" w:cs="Arial"/>
                <w:sz w:val="20"/>
                <w:szCs w:val="20"/>
              </w:rPr>
            </w:pPr>
            <w:r w:rsidRPr="00E76B02">
              <w:rPr>
                <w:sz w:val="20"/>
                <w:szCs w:val="20"/>
              </w:rPr>
              <w:t>of 2025</w:t>
            </w:r>
          </w:p>
        </w:tc>
      </w:tr>
      <w:tr w:rsidR="00A06B07" w:rsidRPr="00E76B02" w14:paraId="5DE74274" w14:textId="77777777" w:rsidTr="00E76B02">
        <w:trPr>
          <w:cantSplit/>
          <w:trHeight w:val="313"/>
          <w:jc w:val="center"/>
        </w:trPr>
        <w:tc>
          <w:tcPr>
            <w:tcW w:w="3021" w:type="dxa"/>
            <w:tcBorders>
              <w:top w:val="single" w:sz="4" w:space="0" w:color="auto"/>
              <w:left w:val="nil"/>
              <w:bottom w:val="nil"/>
              <w:right w:val="nil"/>
            </w:tcBorders>
            <w:vAlign w:val="center"/>
            <w:hideMark/>
          </w:tcPr>
          <w:p w14:paraId="23634CC6" w14:textId="77777777" w:rsidR="00A06B07" w:rsidRPr="00E76B02" w:rsidRDefault="00A06B07" w:rsidP="00E76B02">
            <w:pPr>
              <w:spacing w:before="60" w:after="60" w:line="256" w:lineRule="auto"/>
              <w:rPr>
                <w:rFonts w:ascii="Arial" w:hAnsi="Arial" w:cs="Arial"/>
                <w:b/>
                <w:bCs/>
                <w:sz w:val="20"/>
                <w:szCs w:val="20"/>
              </w:rPr>
            </w:pPr>
            <w:r w:rsidRPr="00E76B02">
              <w:rPr>
                <w:rFonts w:ascii="Arial" w:hAnsi="Arial" w:cs="Arial"/>
                <w:b/>
                <w:bCs/>
                <w:sz w:val="20"/>
                <w:szCs w:val="20"/>
              </w:rPr>
              <w:t>Total</w:t>
            </w:r>
          </w:p>
        </w:tc>
        <w:tc>
          <w:tcPr>
            <w:tcW w:w="1437" w:type="dxa"/>
            <w:tcBorders>
              <w:top w:val="single" w:sz="4" w:space="0" w:color="auto"/>
              <w:left w:val="nil"/>
              <w:bottom w:val="nil"/>
              <w:right w:val="nil"/>
            </w:tcBorders>
            <w:vAlign w:val="center"/>
            <w:hideMark/>
          </w:tcPr>
          <w:p w14:paraId="33850380" w14:textId="77777777" w:rsidR="00A06B07" w:rsidRPr="00E76B02" w:rsidRDefault="00A06B07" w:rsidP="00E76B02">
            <w:pPr>
              <w:spacing w:before="60" w:after="60" w:line="256" w:lineRule="auto"/>
              <w:ind w:right="281"/>
              <w:jc w:val="right"/>
              <w:rPr>
                <w:rFonts w:ascii="Arial" w:hAnsi="Arial" w:cs="Arial"/>
                <w:b/>
                <w:bCs/>
                <w:sz w:val="20"/>
                <w:szCs w:val="20"/>
              </w:rPr>
            </w:pPr>
            <w:r w:rsidRPr="00E76B02">
              <w:rPr>
                <w:rFonts w:ascii="Arial" w:hAnsi="Arial" w:cs="Arial"/>
                <w:b/>
                <w:bCs/>
                <w:sz w:val="20"/>
                <w:szCs w:val="20"/>
              </w:rPr>
              <w:t>601.2</w:t>
            </w:r>
          </w:p>
        </w:tc>
        <w:tc>
          <w:tcPr>
            <w:tcW w:w="1592" w:type="dxa"/>
            <w:tcBorders>
              <w:top w:val="single" w:sz="4" w:space="0" w:color="auto"/>
              <w:left w:val="nil"/>
              <w:bottom w:val="nil"/>
              <w:right w:val="nil"/>
            </w:tcBorders>
            <w:vAlign w:val="center"/>
            <w:hideMark/>
          </w:tcPr>
          <w:p w14:paraId="10E4087D" w14:textId="77777777" w:rsidR="00A06B07" w:rsidRPr="00E76B02" w:rsidRDefault="00A06B07" w:rsidP="00E76B02">
            <w:pPr>
              <w:spacing w:before="60" w:after="60" w:line="256" w:lineRule="auto"/>
              <w:ind w:right="330"/>
              <w:jc w:val="right"/>
              <w:rPr>
                <w:rFonts w:ascii="Arial" w:hAnsi="Arial" w:cs="Arial"/>
                <w:b/>
                <w:bCs/>
                <w:sz w:val="20"/>
                <w:szCs w:val="20"/>
              </w:rPr>
            </w:pPr>
            <w:r w:rsidRPr="00E76B02">
              <w:rPr>
                <w:rFonts w:ascii="Arial" w:hAnsi="Arial" w:cs="Arial"/>
                <w:b/>
                <w:bCs/>
                <w:sz w:val="20"/>
                <w:szCs w:val="20"/>
              </w:rPr>
              <w:t>6,377.7</w:t>
            </w:r>
          </w:p>
        </w:tc>
        <w:tc>
          <w:tcPr>
            <w:tcW w:w="1690" w:type="dxa"/>
            <w:tcBorders>
              <w:top w:val="single" w:sz="4" w:space="0" w:color="auto"/>
              <w:left w:val="nil"/>
              <w:bottom w:val="nil"/>
              <w:right w:val="nil"/>
            </w:tcBorders>
            <w:vAlign w:val="center"/>
            <w:hideMark/>
          </w:tcPr>
          <w:p w14:paraId="172665B9" w14:textId="2C93F2A9" w:rsidR="00A06B07" w:rsidRPr="00E76B02" w:rsidRDefault="00A06B07" w:rsidP="002157EA">
            <w:pPr>
              <w:spacing w:before="60" w:after="60" w:line="256" w:lineRule="auto"/>
              <w:ind w:right="486"/>
              <w:jc w:val="right"/>
              <w:rPr>
                <w:rFonts w:ascii="Arial" w:hAnsi="Arial" w:cs="Arial"/>
                <w:b/>
                <w:bCs/>
                <w:sz w:val="20"/>
                <w:szCs w:val="20"/>
              </w:rPr>
            </w:pPr>
            <w:r w:rsidRPr="00E76B02">
              <w:rPr>
                <w:rFonts w:ascii="Arial" w:hAnsi="Arial" w:cs="Arial"/>
                <w:b/>
                <w:bCs/>
                <w:sz w:val="20"/>
                <w:szCs w:val="20"/>
              </w:rPr>
              <w:t>7</w:t>
            </w:r>
            <w:r w:rsidR="002157EA" w:rsidRPr="00E76B02">
              <w:rPr>
                <w:rFonts w:ascii="Arial" w:hAnsi="Arial" w:cs="Arial"/>
                <w:b/>
                <w:bCs/>
                <w:sz w:val="20"/>
                <w:szCs w:val="20"/>
              </w:rPr>
              <w:t>.1</w:t>
            </w:r>
          </w:p>
        </w:tc>
        <w:tc>
          <w:tcPr>
            <w:tcW w:w="1320" w:type="dxa"/>
            <w:tcBorders>
              <w:top w:val="single" w:sz="4" w:space="0" w:color="auto"/>
              <w:left w:val="nil"/>
              <w:bottom w:val="nil"/>
              <w:right w:val="nil"/>
            </w:tcBorders>
            <w:vAlign w:val="center"/>
            <w:hideMark/>
          </w:tcPr>
          <w:p w14:paraId="37193A88" w14:textId="77777777" w:rsidR="00A06B07" w:rsidRPr="00E76B02" w:rsidRDefault="00A06B07" w:rsidP="00E76B02">
            <w:pPr>
              <w:spacing w:before="60" w:after="60" w:line="256" w:lineRule="auto"/>
              <w:ind w:right="410"/>
              <w:jc w:val="right"/>
              <w:rPr>
                <w:rFonts w:ascii="Arial" w:hAnsi="Arial" w:cs="Arial"/>
                <w:b/>
                <w:bCs/>
                <w:sz w:val="20"/>
                <w:szCs w:val="20"/>
              </w:rPr>
            </w:pPr>
            <w:r w:rsidRPr="00E76B02">
              <w:rPr>
                <w:rFonts w:ascii="Arial" w:hAnsi="Arial" w:cs="Arial"/>
                <w:b/>
                <w:bCs/>
                <w:sz w:val="20"/>
                <w:szCs w:val="20"/>
              </w:rPr>
              <w:t>9.1</w:t>
            </w:r>
          </w:p>
        </w:tc>
      </w:tr>
      <w:tr w:rsidR="00A06B07" w:rsidRPr="00E76B02" w14:paraId="603BAD28" w14:textId="77777777" w:rsidTr="00E76B02">
        <w:trPr>
          <w:cantSplit/>
          <w:trHeight w:val="326"/>
          <w:jc w:val="center"/>
        </w:trPr>
        <w:tc>
          <w:tcPr>
            <w:tcW w:w="3021" w:type="dxa"/>
            <w:vAlign w:val="center"/>
            <w:hideMark/>
          </w:tcPr>
          <w:p w14:paraId="0BED4E2F" w14:textId="77777777" w:rsidR="00A06B07" w:rsidRPr="00E76B02" w:rsidRDefault="00A06B07" w:rsidP="00E76B02">
            <w:pPr>
              <w:spacing w:before="60" w:after="60" w:line="256" w:lineRule="auto"/>
              <w:ind w:firstLine="317"/>
              <w:rPr>
                <w:rFonts w:ascii="Arial" w:hAnsi="Arial" w:cs="Arial"/>
                <w:sz w:val="20"/>
                <w:szCs w:val="20"/>
              </w:rPr>
            </w:pPr>
            <w:r w:rsidRPr="00E76B02">
              <w:rPr>
                <w:rFonts w:ascii="Arial" w:hAnsi="Arial" w:cs="Arial"/>
                <w:bCs/>
                <w:sz w:val="20"/>
                <w:szCs w:val="20"/>
              </w:rPr>
              <w:t>Retail sales of goods</w:t>
            </w:r>
          </w:p>
        </w:tc>
        <w:tc>
          <w:tcPr>
            <w:tcW w:w="1437" w:type="dxa"/>
            <w:vAlign w:val="center"/>
            <w:hideMark/>
          </w:tcPr>
          <w:p w14:paraId="29DD2616" w14:textId="77777777" w:rsidR="00A06B07" w:rsidRPr="00E76B02" w:rsidRDefault="00A06B07" w:rsidP="00E76B02">
            <w:pPr>
              <w:spacing w:before="60" w:after="60" w:line="256" w:lineRule="auto"/>
              <w:ind w:right="281"/>
              <w:jc w:val="right"/>
              <w:rPr>
                <w:rFonts w:ascii="Arial" w:hAnsi="Arial" w:cs="Arial"/>
                <w:bCs/>
                <w:sz w:val="20"/>
                <w:szCs w:val="20"/>
              </w:rPr>
            </w:pPr>
            <w:r w:rsidRPr="00E76B02">
              <w:rPr>
                <w:rFonts w:ascii="Arial" w:hAnsi="Arial" w:cs="Arial"/>
                <w:sz w:val="20"/>
                <w:szCs w:val="20"/>
              </w:rPr>
              <w:t>455.3</w:t>
            </w:r>
          </w:p>
        </w:tc>
        <w:tc>
          <w:tcPr>
            <w:tcW w:w="1592" w:type="dxa"/>
            <w:vAlign w:val="center"/>
            <w:hideMark/>
          </w:tcPr>
          <w:p w14:paraId="240AD8A2" w14:textId="77777777" w:rsidR="00A06B07" w:rsidRPr="00E76B02" w:rsidRDefault="00A06B07" w:rsidP="00E76B02">
            <w:pPr>
              <w:spacing w:before="60" w:after="60" w:line="256" w:lineRule="auto"/>
              <w:ind w:right="330"/>
              <w:jc w:val="right"/>
              <w:rPr>
                <w:rFonts w:ascii="Arial" w:hAnsi="Arial" w:cs="Arial"/>
                <w:bCs/>
                <w:sz w:val="20"/>
                <w:szCs w:val="20"/>
              </w:rPr>
            </w:pPr>
            <w:r w:rsidRPr="00E76B02">
              <w:rPr>
                <w:rFonts w:ascii="Arial" w:hAnsi="Arial" w:cs="Arial"/>
                <w:sz w:val="20"/>
                <w:szCs w:val="20"/>
              </w:rPr>
              <w:t>4,859.0</w:t>
            </w:r>
          </w:p>
        </w:tc>
        <w:tc>
          <w:tcPr>
            <w:tcW w:w="1690" w:type="dxa"/>
            <w:vAlign w:val="center"/>
            <w:hideMark/>
          </w:tcPr>
          <w:p w14:paraId="4F2592FF" w14:textId="77777777" w:rsidR="00A06B07" w:rsidRPr="00E76B02" w:rsidRDefault="00A06B07" w:rsidP="00E76B02">
            <w:pPr>
              <w:spacing w:before="60" w:after="60" w:line="256" w:lineRule="auto"/>
              <w:ind w:right="486"/>
              <w:jc w:val="right"/>
              <w:rPr>
                <w:rFonts w:ascii="Arial" w:hAnsi="Arial" w:cs="Arial"/>
                <w:bCs/>
                <w:sz w:val="20"/>
                <w:szCs w:val="20"/>
              </w:rPr>
            </w:pPr>
            <w:r w:rsidRPr="00E76B02">
              <w:rPr>
                <w:rFonts w:ascii="Arial" w:hAnsi="Arial" w:cs="Arial"/>
                <w:sz w:val="20"/>
                <w:szCs w:val="20"/>
              </w:rPr>
              <w:t>6.0</w:t>
            </w:r>
          </w:p>
        </w:tc>
        <w:tc>
          <w:tcPr>
            <w:tcW w:w="1320" w:type="dxa"/>
            <w:vAlign w:val="center"/>
            <w:hideMark/>
          </w:tcPr>
          <w:p w14:paraId="6F8519CC" w14:textId="77777777" w:rsidR="00A06B07" w:rsidRPr="00E76B02" w:rsidRDefault="00A06B07" w:rsidP="00E76B02">
            <w:pPr>
              <w:spacing w:before="60" w:after="60" w:line="256" w:lineRule="auto"/>
              <w:ind w:right="410"/>
              <w:jc w:val="right"/>
              <w:rPr>
                <w:rFonts w:ascii="Arial" w:hAnsi="Arial" w:cs="Arial"/>
                <w:bCs/>
                <w:sz w:val="20"/>
                <w:szCs w:val="20"/>
              </w:rPr>
            </w:pPr>
            <w:r w:rsidRPr="00E76B02">
              <w:rPr>
                <w:rFonts w:ascii="Arial" w:hAnsi="Arial" w:cs="Arial"/>
                <w:sz w:val="20"/>
                <w:szCs w:val="20"/>
              </w:rPr>
              <w:t>7.9</w:t>
            </w:r>
          </w:p>
        </w:tc>
      </w:tr>
      <w:tr w:rsidR="00A06B07" w:rsidRPr="00E76B02" w14:paraId="6D2697E6" w14:textId="77777777" w:rsidTr="00E76B02">
        <w:trPr>
          <w:cantSplit/>
          <w:trHeight w:val="326"/>
          <w:jc w:val="center"/>
        </w:trPr>
        <w:tc>
          <w:tcPr>
            <w:tcW w:w="3021" w:type="dxa"/>
            <w:vAlign w:val="center"/>
            <w:hideMark/>
          </w:tcPr>
          <w:p w14:paraId="6C6EAFB8" w14:textId="77777777" w:rsidR="00A06B07" w:rsidRPr="00E76B02" w:rsidRDefault="00A06B07" w:rsidP="00E76B02">
            <w:pPr>
              <w:spacing w:before="60" w:after="60" w:line="256" w:lineRule="auto"/>
              <w:ind w:firstLine="317"/>
              <w:rPr>
                <w:rFonts w:ascii="Arial" w:hAnsi="Arial" w:cs="Arial"/>
                <w:sz w:val="20"/>
                <w:szCs w:val="20"/>
              </w:rPr>
            </w:pPr>
            <w:r w:rsidRPr="00E76B02">
              <w:rPr>
                <w:rFonts w:ascii="Arial" w:hAnsi="Arial" w:cs="Arial"/>
                <w:bCs/>
                <w:sz w:val="20"/>
                <w:szCs w:val="20"/>
              </w:rPr>
              <w:lastRenderedPageBreak/>
              <w:t>Accommodation and food services</w:t>
            </w:r>
          </w:p>
        </w:tc>
        <w:tc>
          <w:tcPr>
            <w:tcW w:w="1437" w:type="dxa"/>
            <w:vAlign w:val="center"/>
            <w:hideMark/>
          </w:tcPr>
          <w:p w14:paraId="6D581E07" w14:textId="77777777" w:rsidR="00A06B07" w:rsidRPr="00E76B02" w:rsidRDefault="00A06B07" w:rsidP="00E76B02">
            <w:pPr>
              <w:spacing w:before="60" w:after="60" w:line="256" w:lineRule="auto"/>
              <w:ind w:right="281"/>
              <w:jc w:val="right"/>
              <w:rPr>
                <w:rFonts w:ascii="Arial" w:hAnsi="Arial" w:cs="Arial"/>
                <w:bCs/>
                <w:sz w:val="20"/>
                <w:szCs w:val="20"/>
              </w:rPr>
            </w:pPr>
            <w:r w:rsidRPr="00E76B02">
              <w:rPr>
                <w:rFonts w:ascii="Arial" w:hAnsi="Arial" w:cs="Arial"/>
                <w:sz w:val="20"/>
                <w:szCs w:val="20"/>
              </w:rPr>
              <w:t>72.2</w:t>
            </w:r>
          </w:p>
        </w:tc>
        <w:tc>
          <w:tcPr>
            <w:tcW w:w="1592" w:type="dxa"/>
            <w:vAlign w:val="center"/>
            <w:hideMark/>
          </w:tcPr>
          <w:p w14:paraId="6884D9DE" w14:textId="77777777" w:rsidR="00A06B07" w:rsidRPr="00E76B02" w:rsidRDefault="00A06B07" w:rsidP="00E76B02">
            <w:pPr>
              <w:spacing w:before="60" w:after="60" w:line="256" w:lineRule="auto"/>
              <w:ind w:right="330"/>
              <w:jc w:val="right"/>
              <w:rPr>
                <w:rFonts w:ascii="Arial" w:hAnsi="Arial" w:cs="Arial"/>
                <w:bCs/>
                <w:sz w:val="20"/>
                <w:szCs w:val="20"/>
              </w:rPr>
            </w:pPr>
            <w:r w:rsidRPr="00E76B02">
              <w:rPr>
                <w:rFonts w:ascii="Arial" w:hAnsi="Arial" w:cs="Arial"/>
                <w:sz w:val="20"/>
                <w:szCs w:val="20"/>
              </w:rPr>
              <w:t>767.8</w:t>
            </w:r>
          </w:p>
        </w:tc>
        <w:tc>
          <w:tcPr>
            <w:tcW w:w="1690" w:type="dxa"/>
            <w:vAlign w:val="center"/>
            <w:hideMark/>
          </w:tcPr>
          <w:p w14:paraId="4BA70612" w14:textId="77777777" w:rsidR="00A06B07" w:rsidRPr="00E76B02" w:rsidRDefault="00A06B07" w:rsidP="00E76B02">
            <w:pPr>
              <w:spacing w:before="60" w:after="60" w:line="256" w:lineRule="auto"/>
              <w:ind w:right="486"/>
              <w:jc w:val="right"/>
              <w:rPr>
                <w:rFonts w:ascii="Arial" w:hAnsi="Arial" w:cs="Arial"/>
                <w:bCs/>
                <w:sz w:val="20"/>
                <w:szCs w:val="20"/>
              </w:rPr>
            </w:pPr>
            <w:r w:rsidRPr="00E76B02">
              <w:rPr>
                <w:rFonts w:ascii="Arial" w:hAnsi="Arial" w:cs="Arial"/>
                <w:sz w:val="20"/>
                <w:szCs w:val="20"/>
              </w:rPr>
              <w:t>13.6</w:t>
            </w:r>
          </w:p>
        </w:tc>
        <w:tc>
          <w:tcPr>
            <w:tcW w:w="1320" w:type="dxa"/>
            <w:vAlign w:val="center"/>
            <w:hideMark/>
          </w:tcPr>
          <w:p w14:paraId="61A0B402" w14:textId="77777777" w:rsidR="00A06B07" w:rsidRPr="00E76B02" w:rsidRDefault="00A06B07" w:rsidP="00E76B02">
            <w:pPr>
              <w:spacing w:before="60" w:after="60" w:line="256" w:lineRule="auto"/>
              <w:ind w:right="410"/>
              <w:jc w:val="right"/>
              <w:rPr>
                <w:rFonts w:ascii="Arial" w:hAnsi="Arial" w:cs="Arial"/>
                <w:bCs/>
                <w:sz w:val="20"/>
                <w:szCs w:val="20"/>
              </w:rPr>
            </w:pPr>
            <w:r w:rsidRPr="00E76B02">
              <w:rPr>
                <w:rFonts w:ascii="Arial" w:hAnsi="Arial" w:cs="Arial"/>
                <w:sz w:val="20"/>
                <w:szCs w:val="20"/>
              </w:rPr>
              <w:t>14.6</w:t>
            </w:r>
          </w:p>
        </w:tc>
      </w:tr>
      <w:tr w:rsidR="00A06B07" w:rsidRPr="00E76B02" w14:paraId="463B4C1A" w14:textId="77777777" w:rsidTr="00E76B02">
        <w:trPr>
          <w:cantSplit/>
          <w:trHeight w:val="326"/>
          <w:jc w:val="center"/>
        </w:trPr>
        <w:tc>
          <w:tcPr>
            <w:tcW w:w="3021" w:type="dxa"/>
            <w:vAlign w:val="center"/>
            <w:hideMark/>
          </w:tcPr>
          <w:p w14:paraId="7C9E5753" w14:textId="77777777" w:rsidR="00A06B07" w:rsidRPr="00E76B02" w:rsidRDefault="00A06B07" w:rsidP="00E76B02">
            <w:pPr>
              <w:spacing w:before="60" w:after="60" w:line="256" w:lineRule="auto"/>
              <w:ind w:firstLine="317"/>
              <w:rPr>
                <w:rFonts w:ascii="Arial" w:hAnsi="Arial" w:cs="Arial"/>
                <w:sz w:val="20"/>
                <w:szCs w:val="20"/>
              </w:rPr>
            </w:pPr>
            <w:r w:rsidRPr="00E76B02">
              <w:rPr>
                <w:rFonts w:ascii="Arial" w:hAnsi="Arial" w:cs="Arial"/>
                <w:bCs/>
                <w:sz w:val="20"/>
                <w:szCs w:val="20"/>
              </w:rPr>
              <w:t>Travelling and tourism</w:t>
            </w:r>
          </w:p>
        </w:tc>
        <w:tc>
          <w:tcPr>
            <w:tcW w:w="1437" w:type="dxa"/>
            <w:vAlign w:val="center"/>
            <w:hideMark/>
          </w:tcPr>
          <w:p w14:paraId="61890642" w14:textId="77777777" w:rsidR="00A06B07" w:rsidRPr="00E76B02" w:rsidRDefault="00A06B07" w:rsidP="00E76B02">
            <w:pPr>
              <w:spacing w:before="60" w:after="60" w:line="256" w:lineRule="auto"/>
              <w:ind w:right="281"/>
              <w:jc w:val="right"/>
              <w:rPr>
                <w:rFonts w:ascii="Arial" w:hAnsi="Arial" w:cs="Arial"/>
                <w:bCs/>
                <w:sz w:val="20"/>
                <w:szCs w:val="20"/>
              </w:rPr>
            </w:pPr>
            <w:r w:rsidRPr="00E76B02">
              <w:rPr>
                <w:rFonts w:ascii="Arial" w:hAnsi="Arial" w:cs="Arial"/>
                <w:sz w:val="20"/>
                <w:szCs w:val="20"/>
              </w:rPr>
              <w:t>7.9</w:t>
            </w:r>
          </w:p>
        </w:tc>
        <w:tc>
          <w:tcPr>
            <w:tcW w:w="1592" w:type="dxa"/>
            <w:vAlign w:val="center"/>
            <w:hideMark/>
          </w:tcPr>
          <w:p w14:paraId="60C1FC99" w14:textId="77777777" w:rsidR="00A06B07" w:rsidRPr="00E76B02" w:rsidRDefault="00A06B07" w:rsidP="00E76B02">
            <w:pPr>
              <w:spacing w:before="60" w:after="60" w:line="256" w:lineRule="auto"/>
              <w:ind w:right="330"/>
              <w:jc w:val="right"/>
              <w:rPr>
                <w:rFonts w:ascii="Arial" w:hAnsi="Arial" w:cs="Arial"/>
                <w:bCs/>
                <w:sz w:val="20"/>
                <w:szCs w:val="20"/>
              </w:rPr>
            </w:pPr>
            <w:r w:rsidRPr="00E76B02">
              <w:rPr>
                <w:rFonts w:ascii="Arial" w:hAnsi="Arial" w:cs="Arial"/>
                <w:sz w:val="20"/>
                <w:szCs w:val="20"/>
              </w:rPr>
              <w:t>85.4</w:t>
            </w:r>
          </w:p>
        </w:tc>
        <w:tc>
          <w:tcPr>
            <w:tcW w:w="1690" w:type="dxa"/>
            <w:vAlign w:val="center"/>
            <w:hideMark/>
          </w:tcPr>
          <w:p w14:paraId="0D0465A2" w14:textId="77777777" w:rsidR="00A06B07" w:rsidRPr="00E76B02" w:rsidRDefault="00A06B07" w:rsidP="00E76B02">
            <w:pPr>
              <w:spacing w:before="60" w:after="60" w:line="256" w:lineRule="auto"/>
              <w:ind w:right="486"/>
              <w:jc w:val="right"/>
              <w:rPr>
                <w:rFonts w:ascii="Arial" w:hAnsi="Arial" w:cs="Arial"/>
                <w:bCs/>
                <w:sz w:val="20"/>
                <w:szCs w:val="20"/>
              </w:rPr>
            </w:pPr>
            <w:r w:rsidRPr="00E76B02">
              <w:rPr>
                <w:rFonts w:ascii="Arial" w:hAnsi="Arial" w:cs="Arial"/>
                <w:sz w:val="20"/>
                <w:szCs w:val="20"/>
              </w:rPr>
              <w:t>19.1</w:t>
            </w:r>
          </w:p>
        </w:tc>
        <w:tc>
          <w:tcPr>
            <w:tcW w:w="1320" w:type="dxa"/>
            <w:vAlign w:val="center"/>
            <w:hideMark/>
          </w:tcPr>
          <w:p w14:paraId="7CBBA87A" w14:textId="77777777" w:rsidR="00A06B07" w:rsidRPr="00E76B02" w:rsidRDefault="00A06B07" w:rsidP="00E76B02">
            <w:pPr>
              <w:spacing w:before="60" w:after="60" w:line="256" w:lineRule="auto"/>
              <w:ind w:right="410"/>
              <w:jc w:val="right"/>
              <w:rPr>
                <w:rFonts w:ascii="Arial" w:hAnsi="Arial" w:cs="Arial"/>
                <w:bCs/>
                <w:sz w:val="20"/>
                <w:szCs w:val="20"/>
              </w:rPr>
            </w:pPr>
            <w:r w:rsidRPr="00E76B02">
              <w:rPr>
                <w:rFonts w:ascii="Arial" w:hAnsi="Arial" w:cs="Arial"/>
                <w:sz w:val="20"/>
                <w:szCs w:val="20"/>
              </w:rPr>
              <w:t>19.9</w:t>
            </w:r>
          </w:p>
        </w:tc>
      </w:tr>
      <w:tr w:rsidR="00A06B07" w:rsidRPr="00E76B02" w14:paraId="7F7EDC5D" w14:textId="77777777" w:rsidTr="00E76B02">
        <w:trPr>
          <w:cantSplit/>
          <w:trHeight w:val="326"/>
          <w:jc w:val="center"/>
        </w:trPr>
        <w:tc>
          <w:tcPr>
            <w:tcW w:w="3021" w:type="dxa"/>
            <w:tcBorders>
              <w:top w:val="nil"/>
              <w:left w:val="nil"/>
              <w:bottom w:val="single" w:sz="4" w:space="0" w:color="auto"/>
              <w:right w:val="nil"/>
            </w:tcBorders>
            <w:vAlign w:val="center"/>
            <w:hideMark/>
          </w:tcPr>
          <w:p w14:paraId="6BE35DFB" w14:textId="77777777" w:rsidR="00A06B07" w:rsidRPr="00E76B02" w:rsidRDefault="00A06B07" w:rsidP="00E76B02">
            <w:pPr>
              <w:spacing w:before="60" w:after="60" w:line="256" w:lineRule="auto"/>
              <w:ind w:firstLine="317"/>
              <w:rPr>
                <w:rFonts w:ascii="Arial" w:hAnsi="Arial" w:cs="Arial"/>
                <w:sz w:val="20"/>
                <w:szCs w:val="20"/>
              </w:rPr>
            </w:pPr>
            <w:r w:rsidRPr="00E76B02">
              <w:rPr>
                <w:rFonts w:ascii="Arial" w:hAnsi="Arial" w:cs="Arial"/>
                <w:bCs/>
                <w:sz w:val="20"/>
                <w:szCs w:val="20"/>
              </w:rPr>
              <w:t>Other services</w:t>
            </w:r>
          </w:p>
        </w:tc>
        <w:tc>
          <w:tcPr>
            <w:tcW w:w="1437" w:type="dxa"/>
            <w:tcBorders>
              <w:top w:val="nil"/>
              <w:left w:val="nil"/>
              <w:bottom w:val="single" w:sz="4" w:space="0" w:color="auto"/>
              <w:right w:val="nil"/>
            </w:tcBorders>
            <w:vAlign w:val="center"/>
            <w:hideMark/>
          </w:tcPr>
          <w:p w14:paraId="0C994C8A" w14:textId="77777777" w:rsidR="00A06B07" w:rsidRPr="00E76B02" w:rsidRDefault="00A06B07" w:rsidP="00E76B02">
            <w:pPr>
              <w:spacing w:before="60" w:after="60" w:line="256" w:lineRule="auto"/>
              <w:ind w:right="281"/>
              <w:jc w:val="right"/>
              <w:rPr>
                <w:rFonts w:ascii="Arial" w:hAnsi="Arial" w:cs="Arial"/>
                <w:bCs/>
                <w:sz w:val="20"/>
                <w:szCs w:val="20"/>
              </w:rPr>
            </w:pPr>
            <w:r w:rsidRPr="00E76B02">
              <w:rPr>
                <w:rFonts w:ascii="Arial" w:hAnsi="Arial" w:cs="Arial"/>
                <w:sz w:val="20"/>
                <w:szCs w:val="20"/>
              </w:rPr>
              <w:t>65.8</w:t>
            </w:r>
          </w:p>
        </w:tc>
        <w:tc>
          <w:tcPr>
            <w:tcW w:w="1592" w:type="dxa"/>
            <w:tcBorders>
              <w:top w:val="nil"/>
              <w:left w:val="nil"/>
              <w:bottom w:val="single" w:sz="4" w:space="0" w:color="auto"/>
              <w:right w:val="nil"/>
            </w:tcBorders>
            <w:vAlign w:val="center"/>
            <w:hideMark/>
          </w:tcPr>
          <w:p w14:paraId="701A0267" w14:textId="77777777" w:rsidR="00A06B07" w:rsidRPr="00E76B02" w:rsidRDefault="00A06B07" w:rsidP="00E76B02">
            <w:pPr>
              <w:spacing w:before="60" w:after="60" w:line="256" w:lineRule="auto"/>
              <w:ind w:right="330"/>
              <w:jc w:val="right"/>
              <w:rPr>
                <w:rFonts w:ascii="Arial" w:hAnsi="Arial" w:cs="Arial"/>
                <w:bCs/>
                <w:sz w:val="20"/>
                <w:szCs w:val="20"/>
              </w:rPr>
            </w:pPr>
            <w:r w:rsidRPr="00E76B02">
              <w:rPr>
                <w:rFonts w:ascii="Arial" w:hAnsi="Arial" w:cs="Arial"/>
                <w:sz w:val="20"/>
                <w:szCs w:val="20"/>
              </w:rPr>
              <w:t>665.5</w:t>
            </w:r>
          </w:p>
        </w:tc>
        <w:tc>
          <w:tcPr>
            <w:tcW w:w="1690" w:type="dxa"/>
            <w:tcBorders>
              <w:top w:val="nil"/>
              <w:left w:val="nil"/>
              <w:bottom w:val="single" w:sz="4" w:space="0" w:color="auto"/>
              <w:right w:val="nil"/>
            </w:tcBorders>
            <w:vAlign w:val="center"/>
            <w:hideMark/>
          </w:tcPr>
          <w:p w14:paraId="30DB1311" w14:textId="77777777" w:rsidR="00A06B07" w:rsidRPr="00E76B02" w:rsidRDefault="00A06B07" w:rsidP="00E76B02">
            <w:pPr>
              <w:spacing w:before="60" w:after="60" w:line="256" w:lineRule="auto"/>
              <w:ind w:right="486"/>
              <w:jc w:val="right"/>
              <w:rPr>
                <w:rFonts w:ascii="Arial" w:hAnsi="Arial" w:cs="Arial"/>
                <w:bCs/>
                <w:sz w:val="20"/>
                <w:szCs w:val="20"/>
              </w:rPr>
            </w:pPr>
            <w:r w:rsidRPr="00E76B02">
              <w:rPr>
                <w:rFonts w:ascii="Arial" w:hAnsi="Arial" w:cs="Arial"/>
                <w:sz w:val="20"/>
                <w:szCs w:val="20"/>
              </w:rPr>
              <w:t>7.2</w:t>
            </w:r>
          </w:p>
        </w:tc>
        <w:tc>
          <w:tcPr>
            <w:tcW w:w="1320" w:type="dxa"/>
            <w:tcBorders>
              <w:top w:val="nil"/>
              <w:left w:val="nil"/>
              <w:bottom w:val="single" w:sz="4" w:space="0" w:color="auto"/>
              <w:right w:val="nil"/>
            </w:tcBorders>
            <w:vAlign w:val="center"/>
            <w:hideMark/>
          </w:tcPr>
          <w:p w14:paraId="5F775182" w14:textId="77777777" w:rsidR="00A06B07" w:rsidRPr="00E76B02" w:rsidRDefault="00A06B07" w:rsidP="00E76B02">
            <w:pPr>
              <w:spacing w:before="60" w:after="60" w:line="256" w:lineRule="auto"/>
              <w:ind w:right="410"/>
              <w:jc w:val="right"/>
              <w:rPr>
                <w:rFonts w:ascii="Arial" w:hAnsi="Arial" w:cs="Arial"/>
                <w:bCs/>
                <w:sz w:val="20"/>
                <w:szCs w:val="20"/>
              </w:rPr>
            </w:pPr>
            <w:r w:rsidRPr="00E76B02">
              <w:rPr>
                <w:rFonts w:ascii="Arial" w:hAnsi="Arial" w:cs="Arial"/>
                <w:sz w:val="20"/>
                <w:szCs w:val="20"/>
              </w:rPr>
              <w:t>11.2</w:t>
            </w:r>
          </w:p>
        </w:tc>
      </w:tr>
    </w:tbl>
    <w:p w14:paraId="40D8CA74" w14:textId="5A7B5CB4" w:rsidR="00A06B07" w:rsidRPr="00E76B02" w:rsidRDefault="00A06B07" w:rsidP="00A06B07">
      <w:pPr>
        <w:spacing w:before="120" w:after="120" w:line="264" w:lineRule="auto"/>
        <w:ind w:firstLine="720"/>
        <w:jc w:val="both"/>
        <w:rPr>
          <w:rFonts w:ascii="Arial" w:hAnsi="Arial" w:cs="Arial"/>
          <w:b/>
          <w:bCs/>
          <w:sz w:val="24"/>
          <w:szCs w:val="24"/>
        </w:rPr>
      </w:pPr>
      <w:r w:rsidRPr="00E76B02">
        <w:rPr>
          <w:rFonts w:eastAsia="Calibri"/>
          <w:bCs/>
          <w:spacing w:val="2"/>
        </w:rPr>
        <w:t xml:space="preserve">Generally, for </w:t>
      </w:r>
      <w:r w:rsidR="008A335C">
        <w:rPr>
          <w:rFonts w:eastAsia="Calibri"/>
          <w:bCs/>
          <w:spacing w:val="2"/>
        </w:rPr>
        <w:t xml:space="preserve">the </w:t>
      </w:r>
      <w:r w:rsidRPr="00E76B02">
        <w:rPr>
          <w:rFonts w:eastAsia="Calibri"/>
          <w:bCs/>
          <w:spacing w:val="2"/>
        </w:rPr>
        <w:t>eleven months of 2025, the gross retail sales of consumer goods and services at current prices were estimated at 6,377.7 trillion VND, a year-on-year increase of 9.1% (the corresponding increase in 2024 was 8.9%). Excluding the price factors, the growth rate was 6.8% (compared to 5.8% in the same period of 2024).</w:t>
      </w:r>
    </w:p>
    <w:p w14:paraId="57DBA8EB" w14:textId="77777777" w:rsidR="00A06B07" w:rsidRPr="00E76B02" w:rsidRDefault="00A06B07" w:rsidP="00A06B07">
      <w:pPr>
        <w:spacing w:before="120" w:after="120"/>
        <w:jc w:val="center"/>
        <w:rPr>
          <w:rFonts w:ascii="Arial" w:hAnsi="Arial" w:cs="Arial"/>
          <w:b/>
          <w:bCs/>
          <w:sz w:val="24"/>
          <w:szCs w:val="24"/>
        </w:rPr>
      </w:pPr>
      <w:r w:rsidRPr="00E76B02">
        <w:rPr>
          <w:rFonts w:ascii="Arial" w:hAnsi="Arial" w:cs="Arial"/>
          <w:b/>
          <w:bCs/>
          <w:sz w:val="24"/>
          <w:szCs w:val="24"/>
        </w:rPr>
        <w:t>Figure 10. Gross retail sales of consumer goods and services at current prices</w:t>
      </w:r>
    </w:p>
    <w:p w14:paraId="20EC24FA" w14:textId="3E344875" w:rsidR="00A06B07" w:rsidRPr="00E76B02" w:rsidRDefault="00A06B07" w:rsidP="00A06B07">
      <w:pPr>
        <w:spacing w:before="120" w:after="120"/>
        <w:jc w:val="center"/>
        <w:rPr>
          <w:rFonts w:ascii="Arial" w:hAnsi="Arial" w:cs="Arial"/>
          <w:b/>
          <w:bCs/>
          <w:sz w:val="24"/>
          <w:szCs w:val="24"/>
        </w:rPr>
      </w:pPr>
      <w:r w:rsidRPr="00E76B02">
        <w:rPr>
          <w:rFonts w:ascii="Arial" w:hAnsi="Arial" w:cs="Arial"/>
          <w:b/>
          <w:bCs/>
          <w:sz w:val="24"/>
          <w:szCs w:val="24"/>
        </w:rPr>
        <w:t xml:space="preserve">in the eleven months </w:t>
      </w:r>
      <w:r w:rsidR="00BE7484">
        <w:rPr>
          <w:rFonts w:ascii="Arial" w:hAnsi="Arial" w:cs="Arial"/>
          <w:b/>
          <w:bCs/>
          <w:sz w:val="24"/>
          <w:szCs w:val="24"/>
        </w:rPr>
        <w:t>of</w:t>
      </w:r>
      <w:r w:rsidRPr="00E76B02">
        <w:rPr>
          <w:rFonts w:ascii="Arial" w:hAnsi="Arial" w:cs="Arial"/>
          <w:b/>
          <w:bCs/>
          <w:sz w:val="24"/>
          <w:szCs w:val="24"/>
        </w:rPr>
        <w:t xml:space="preserve"> 2021-2025</w:t>
      </w:r>
    </w:p>
    <w:p w14:paraId="1E5349FD" w14:textId="77777777" w:rsidR="00A06B07" w:rsidRPr="00E76B02" w:rsidRDefault="00A06B07" w:rsidP="00A06B07">
      <w:pPr>
        <w:spacing w:before="120" w:after="120"/>
        <w:jc w:val="center"/>
        <w:rPr>
          <w:rFonts w:ascii="Arial" w:hAnsi="Arial" w:cs="Arial"/>
          <w:b/>
          <w:bCs/>
          <w:sz w:val="24"/>
          <w:szCs w:val="24"/>
        </w:rPr>
      </w:pPr>
      <w:r w:rsidRPr="00E76B02">
        <w:rPr>
          <w:noProof/>
        </w:rPr>
        <w:drawing>
          <wp:inline distT="0" distB="0" distL="0" distR="0" wp14:anchorId="2E1F2B1A" wp14:editId="7CC5548A">
            <wp:extent cx="4766310" cy="2857500"/>
            <wp:effectExtent l="0" t="0" r="15240" b="0"/>
            <wp:docPr id="6" name="Chart 6">
              <a:extLst xmlns:a="http://schemas.openxmlformats.org/drawingml/2006/main">
                <a:ext uri="{FF2B5EF4-FFF2-40B4-BE49-F238E27FC236}">
                  <a16:creationId xmlns:a16="http://schemas.microsoft.com/office/drawing/2014/main" id="{B8142EC0-66EC-2096-770A-3EBDDEE6B1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C4A271A" w14:textId="31983B36" w:rsidR="00A06B07" w:rsidRPr="00E76B02" w:rsidRDefault="00A06B07" w:rsidP="00A06B07">
      <w:pPr>
        <w:spacing w:after="120" w:line="264" w:lineRule="auto"/>
        <w:ind w:firstLine="720"/>
        <w:jc w:val="both"/>
        <w:rPr>
          <w:bCs/>
          <w:shd w:val="clear" w:color="auto" w:fill="FFFFFF"/>
        </w:rPr>
      </w:pPr>
      <w:r w:rsidRPr="00E76B02">
        <w:rPr>
          <w:i/>
        </w:rPr>
        <w:t>The retail sales of goods</w:t>
      </w:r>
      <w:r w:rsidRPr="00E76B02">
        <w:t xml:space="preserve"> for</w:t>
      </w:r>
      <w:r w:rsidR="008A335C">
        <w:t xml:space="preserve"> the</w:t>
      </w:r>
      <w:r w:rsidRPr="00E76B02">
        <w:t xml:space="preserve"> eleven months of 2025 were estimated at 4,859.0 trillion VND, accounting for 76.2% of the gross and increasing by 7.9% over that in the same period last year. </w:t>
      </w:r>
      <w:r w:rsidRPr="00E76B02">
        <w:rPr>
          <w:rFonts w:eastAsia="Calibri"/>
          <w:bCs/>
        </w:rPr>
        <w:t>Of which</w:t>
      </w:r>
      <w:r w:rsidRPr="00E76B02">
        <w:t>, food and foodstuffs increased by 9.6% year-on-year; garments increased by 8.5%; household appliances, tools, and equipment increased by 7.8%; cultural and educational products increased by 5.1%. The retail sales of goods for eleven months of 2025 compared to the same period last year in some localities saw an increase as follows: An Giang increased by 9.9%; Dong Nai increased by 7.9%; Ninh Binh increased by 7.7%; Nghe An increased by 7.4%; Thanh Hoa increased by 7.1%.</w:t>
      </w:r>
    </w:p>
    <w:p w14:paraId="43CB197D" w14:textId="76CC7FDA" w:rsidR="00A06B07" w:rsidRPr="00E76B02" w:rsidRDefault="00A06B07" w:rsidP="00A06B07">
      <w:pPr>
        <w:spacing w:after="120" w:line="264" w:lineRule="auto"/>
        <w:ind w:firstLine="720"/>
        <w:jc w:val="both"/>
        <w:rPr>
          <w:rFonts w:eastAsia="Calibri"/>
          <w:iCs/>
        </w:rPr>
      </w:pPr>
      <w:r w:rsidRPr="00E76B02">
        <w:rPr>
          <w:bCs/>
          <w:i/>
          <w:iCs/>
          <w:spacing w:val="-4"/>
          <w:shd w:val="clear" w:color="auto" w:fill="FFFFFF"/>
        </w:rPr>
        <w:t>The turnover from</w:t>
      </w:r>
      <w:r w:rsidRPr="00E76B02">
        <w:rPr>
          <w:i/>
        </w:rPr>
        <w:t xml:space="preserve"> accommodation and </w:t>
      </w:r>
      <w:r w:rsidR="00BE7484" w:rsidRPr="00BE7484">
        <w:rPr>
          <w:i/>
        </w:rPr>
        <w:t xml:space="preserve">food </w:t>
      </w:r>
      <w:r w:rsidRPr="00E76B02">
        <w:rPr>
          <w:i/>
        </w:rPr>
        <w:t xml:space="preserve">services </w:t>
      </w:r>
      <w:r w:rsidRPr="00E76B02">
        <w:t xml:space="preserve">for </w:t>
      </w:r>
      <w:r w:rsidR="008A335C">
        <w:t xml:space="preserve">the </w:t>
      </w:r>
      <w:r w:rsidRPr="00E76B02">
        <w:t xml:space="preserve">eleven months of 2025 was estimated at 767.8 trillion VND, accounting for 12.0% of the gross and increasing by 14.6% year-on-year. In comparison to the same period last year, the turnover in the eleven months of 2025 in some localities experienced an expansion as follows: Ho Chi Minh City increased by 17.3%; Da Nang </w:t>
      </w:r>
      <w:r w:rsidRPr="00E76B02">
        <w:lastRenderedPageBreak/>
        <w:t>increased by 15.8%; Ha Noi increased by 13.4%; Can Tho increased by 12.2%; Hai Phong increased by 11.6%.</w:t>
      </w:r>
    </w:p>
    <w:p w14:paraId="619DB2CA" w14:textId="1D5BDA62" w:rsidR="00A06B07" w:rsidRPr="00E76B02" w:rsidRDefault="00A06B07" w:rsidP="00A06B07">
      <w:pPr>
        <w:spacing w:after="120" w:line="264" w:lineRule="auto"/>
        <w:ind w:firstLine="720"/>
        <w:jc w:val="both"/>
        <w:rPr>
          <w:spacing w:val="-2"/>
        </w:rPr>
      </w:pPr>
      <w:r w:rsidRPr="00E76B02">
        <w:rPr>
          <w:bCs/>
          <w:i/>
          <w:spacing w:val="-2"/>
          <w:shd w:val="clear" w:color="auto" w:fill="FFFFFF"/>
        </w:rPr>
        <w:t xml:space="preserve">The turnover from travel and tourism services </w:t>
      </w:r>
      <w:r w:rsidRPr="00E76B02">
        <w:rPr>
          <w:bCs/>
          <w:spacing w:val="-2"/>
          <w:shd w:val="clear" w:color="auto" w:fill="FFFFFF"/>
        </w:rPr>
        <w:t xml:space="preserve">for </w:t>
      </w:r>
      <w:r w:rsidR="008A335C">
        <w:rPr>
          <w:bCs/>
          <w:spacing w:val="-2"/>
          <w:shd w:val="clear" w:color="auto" w:fill="FFFFFF"/>
        </w:rPr>
        <w:t xml:space="preserve">the </w:t>
      </w:r>
      <w:r w:rsidRPr="00E76B02">
        <w:rPr>
          <w:bCs/>
          <w:spacing w:val="-2"/>
          <w:shd w:val="clear" w:color="auto" w:fill="FFFFFF"/>
        </w:rPr>
        <w:t>eleven months of 2025</w:t>
      </w:r>
      <w:r w:rsidRPr="00E76B02">
        <w:rPr>
          <w:spacing w:val="-2"/>
        </w:rPr>
        <w:t xml:space="preserve"> was estimated at 85.4 trillion VND, accounting for 1.4% of the gross and increasing by 19.9% over that in the same period last year, as localities effectively implemented various tourism stimulation programs and diversified tourism products to meet consumer demand from the beginning of the year. The turnover </w:t>
      </w:r>
      <w:r w:rsidRPr="00E76B02">
        <w:rPr>
          <w:bCs/>
          <w:iCs/>
          <w:spacing w:val="-2"/>
          <w:shd w:val="clear" w:color="auto" w:fill="FFFFFF"/>
        </w:rPr>
        <w:t>of some localities in the eleven months of 2025</w:t>
      </w:r>
      <w:r w:rsidRPr="00E76B02">
        <w:rPr>
          <w:spacing w:val="-2"/>
        </w:rPr>
        <w:t xml:space="preserve"> witnessed a rise as follows: Ha Noi </w:t>
      </w:r>
      <w:r w:rsidR="008A335C">
        <w:rPr>
          <w:spacing w:val="-2"/>
        </w:rPr>
        <w:t>up</w:t>
      </w:r>
      <w:r w:rsidRPr="00E76B02">
        <w:rPr>
          <w:spacing w:val="-2"/>
        </w:rPr>
        <w:t xml:space="preserve"> 23.4%; Ho Chi Minh City </w:t>
      </w:r>
      <w:r w:rsidR="008A335C">
        <w:rPr>
          <w:spacing w:val="-2"/>
        </w:rPr>
        <w:t>up</w:t>
      </w:r>
      <w:r w:rsidRPr="00E76B02">
        <w:rPr>
          <w:spacing w:val="-2"/>
        </w:rPr>
        <w:t xml:space="preserve"> 22.3%; Quang Ninh </w:t>
      </w:r>
      <w:r w:rsidR="008A335C">
        <w:rPr>
          <w:spacing w:val="-2"/>
        </w:rPr>
        <w:t>up</w:t>
      </w:r>
      <w:r w:rsidRPr="00E76B02">
        <w:rPr>
          <w:spacing w:val="-2"/>
        </w:rPr>
        <w:t xml:space="preserve"> 18.2%; Vinh Long </w:t>
      </w:r>
      <w:r w:rsidR="008A335C">
        <w:rPr>
          <w:spacing w:val="-2"/>
        </w:rPr>
        <w:t>up</w:t>
      </w:r>
      <w:r w:rsidRPr="00E76B02">
        <w:rPr>
          <w:spacing w:val="-2"/>
        </w:rPr>
        <w:t xml:space="preserve"> 14.1%; Da Nang </w:t>
      </w:r>
      <w:r w:rsidR="008A335C">
        <w:rPr>
          <w:spacing w:val="-2"/>
        </w:rPr>
        <w:t>up</w:t>
      </w:r>
      <w:r w:rsidRPr="00E76B02">
        <w:rPr>
          <w:spacing w:val="-2"/>
        </w:rPr>
        <w:t xml:space="preserve"> 13.2%.</w:t>
      </w:r>
    </w:p>
    <w:p w14:paraId="79E0DC2D" w14:textId="1FC56028" w:rsidR="00A06B07" w:rsidRPr="00E76B02" w:rsidRDefault="00A06B07" w:rsidP="00A06B07">
      <w:pPr>
        <w:spacing w:after="120" w:line="264" w:lineRule="auto"/>
        <w:ind w:firstLine="720"/>
        <w:jc w:val="both"/>
      </w:pPr>
      <w:r w:rsidRPr="00E76B02">
        <w:rPr>
          <w:rFonts w:eastAsia="Calibri"/>
          <w:i/>
        </w:rPr>
        <w:t xml:space="preserve">The </w:t>
      </w:r>
      <w:r w:rsidRPr="00E76B02">
        <w:rPr>
          <w:bCs/>
          <w:i/>
          <w:iCs/>
          <w:spacing w:val="-4"/>
          <w:shd w:val="clear" w:color="auto" w:fill="FFFFFF"/>
        </w:rPr>
        <w:t>other services turnover</w:t>
      </w:r>
      <w:r w:rsidRPr="00E76B02">
        <w:rPr>
          <w:rFonts w:eastAsia="Calibri"/>
          <w:i/>
        </w:rPr>
        <w:t xml:space="preserve"> </w:t>
      </w:r>
      <w:r w:rsidRPr="00E76B02">
        <w:rPr>
          <w:rFonts w:eastAsia="Calibri"/>
        </w:rPr>
        <w:t xml:space="preserve">in </w:t>
      </w:r>
      <w:r w:rsidR="008A335C">
        <w:rPr>
          <w:rFonts w:eastAsia="Calibri"/>
        </w:rPr>
        <w:t xml:space="preserve">the </w:t>
      </w:r>
      <w:r w:rsidRPr="00E76B02">
        <w:rPr>
          <w:rFonts w:eastAsia="Calibri"/>
        </w:rPr>
        <w:t xml:space="preserve">eleven months of 2025 was estimated at 665.5 trillion VND, accounting for 10.4% of the gross and increasing by 11.2% compared to the same period last year. </w:t>
      </w:r>
      <w:r w:rsidRPr="00E76B02">
        <w:rPr>
          <w:bCs/>
          <w:iCs/>
          <w:spacing w:val="-4"/>
          <w:shd w:val="clear" w:color="auto" w:fill="FFFFFF"/>
        </w:rPr>
        <w:t>Specifically, the turnover increase in the eleven months of 2025 of some localities was as follows</w:t>
      </w:r>
      <w:r w:rsidRPr="00E76B02">
        <w:rPr>
          <w:rFonts w:eastAsia="Calibri"/>
        </w:rPr>
        <w:t xml:space="preserve">: Hai Phong </w:t>
      </w:r>
      <w:r w:rsidR="0003748B">
        <w:rPr>
          <w:rFonts w:eastAsia="Calibri"/>
        </w:rPr>
        <w:t xml:space="preserve">up </w:t>
      </w:r>
      <w:r w:rsidRPr="00E76B02">
        <w:rPr>
          <w:rFonts w:eastAsia="Calibri"/>
        </w:rPr>
        <w:t xml:space="preserve">16.2%; Vinh Long </w:t>
      </w:r>
      <w:r w:rsidR="0003748B">
        <w:rPr>
          <w:rFonts w:eastAsia="Calibri"/>
        </w:rPr>
        <w:t xml:space="preserve">up </w:t>
      </w:r>
      <w:r w:rsidRPr="00E76B02">
        <w:rPr>
          <w:rFonts w:eastAsia="Calibri"/>
        </w:rPr>
        <w:t xml:space="preserve">14.6%; Quang Ninh </w:t>
      </w:r>
      <w:r w:rsidR="0003748B">
        <w:rPr>
          <w:rFonts w:eastAsia="Calibri"/>
        </w:rPr>
        <w:t xml:space="preserve">up </w:t>
      </w:r>
      <w:r w:rsidRPr="00E76B02">
        <w:rPr>
          <w:rFonts w:eastAsia="Calibri"/>
        </w:rPr>
        <w:t xml:space="preserve">11.9%; Ca Mau </w:t>
      </w:r>
      <w:r w:rsidR="0003748B">
        <w:rPr>
          <w:rFonts w:eastAsia="Calibri"/>
        </w:rPr>
        <w:t xml:space="preserve">up </w:t>
      </w:r>
      <w:r w:rsidRPr="00E76B02">
        <w:rPr>
          <w:rFonts w:eastAsia="Calibri"/>
        </w:rPr>
        <w:t xml:space="preserve">11.5%; Ha Tinh </w:t>
      </w:r>
      <w:r w:rsidR="0003748B">
        <w:rPr>
          <w:rFonts w:eastAsia="Calibri"/>
        </w:rPr>
        <w:t xml:space="preserve">up </w:t>
      </w:r>
      <w:r w:rsidRPr="00E76B02">
        <w:rPr>
          <w:rFonts w:eastAsia="Calibri"/>
        </w:rPr>
        <w:t xml:space="preserve">10.9%; Ho Chi Minh City </w:t>
      </w:r>
      <w:r w:rsidR="0003748B">
        <w:rPr>
          <w:rFonts w:eastAsia="Calibri"/>
        </w:rPr>
        <w:t xml:space="preserve">up </w:t>
      </w:r>
      <w:r w:rsidRPr="00E76B02">
        <w:rPr>
          <w:rFonts w:eastAsia="Calibri"/>
        </w:rPr>
        <w:t xml:space="preserve">10.7%; Ha Noi </w:t>
      </w:r>
      <w:r w:rsidR="0003748B">
        <w:rPr>
          <w:rFonts w:eastAsia="Calibri"/>
        </w:rPr>
        <w:t xml:space="preserve">up </w:t>
      </w:r>
      <w:r w:rsidRPr="00E76B02">
        <w:rPr>
          <w:rFonts w:eastAsia="Calibri"/>
        </w:rPr>
        <w:t>8.2%.</w:t>
      </w:r>
    </w:p>
    <w:bookmarkEnd w:id="3"/>
    <w:p w14:paraId="426BA0A9" w14:textId="77777777" w:rsidR="00A06B07" w:rsidRPr="00E76B02" w:rsidRDefault="00A06B07" w:rsidP="00A06B07">
      <w:pPr>
        <w:tabs>
          <w:tab w:val="num" w:pos="0"/>
          <w:tab w:val="left" w:pos="9475"/>
        </w:tabs>
        <w:spacing w:after="120" w:line="264" w:lineRule="auto"/>
        <w:ind w:firstLine="720"/>
        <w:jc w:val="both"/>
        <w:rPr>
          <w:rStyle w:val="Strong"/>
          <w:rFonts w:eastAsia="Calibri"/>
          <w:i/>
          <w:iCs/>
        </w:rPr>
      </w:pPr>
      <w:r w:rsidRPr="00E76B02">
        <w:rPr>
          <w:rStyle w:val="Strong"/>
          <w:rFonts w:eastAsia="Calibri"/>
          <w:i/>
          <w:iCs/>
        </w:rPr>
        <w:t>b) Export and import of goods</w:t>
      </w:r>
      <w:r w:rsidRPr="00E76B02">
        <w:rPr>
          <w:b/>
          <w:bCs/>
          <w:i/>
          <w:iCs/>
          <w:vertAlign w:val="superscript"/>
        </w:rPr>
        <w:footnoteReference w:id="19"/>
      </w:r>
      <w:r w:rsidRPr="00E76B02">
        <w:rPr>
          <w:rStyle w:val="Strong"/>
          <w:rFonts w:eastAsia="Calibri"/>
          <w:i/>
          <w:iCs/>
        </w:rPr>
        <w:t xml:space="preserve"> </w:t>
      </w:r>
    </w:p>
    <w:p w14:paraId="35FF460B" w14:textId="77777777" w:rsidR="00A06B07" w:rsidRPr="00E76B02" w:rsidRDefault="00A06B07" w:rsidP="00A06B07">
      <w:pPr>
        <w:tabs>
          <w:tab w:val="num" w:pos="0"/>
          <w:tab w:val="left" w:pos="9475"/>
        </w:tabs>
        <w:spacing w:after="120" w:line="264" w:lineRule="auto"/>
        <w:ind w:firstLine="720"/>
        <w:jc w:val="both"/>
        <w:rPr>
          <w:rFonts w:ascii="Times New Roman Italic" w:hAnsi="Times New Roman Italic"/>
          <w:i/>
        </w:rPr>
      </w:pPr>
      <w:bookmarkStart w:id="4" w:name="_Hlk213089801"/>
      <w:r w:rsidRPr="00E76B02">
        <w:rPr>
          <w:i/>
        </w:rPr>
        <w:t>In November,</w:t>
      </w:r>
      <w:r w:rsidRPr="00E76B02">
        <w:rPr>
          <w:i/>
          <w:spacing w:val="-4"/>
        </w:rPr>
        <w:t xml:space="preserve"> the total export and import turnover of goods</w:t>
      </w:r>
      <w:r w:rsidRPr="00E76B02">
        <w:rPr>
          <w:b/>
          <w:bCs/>
          <w:i/>
          <w:iCs/>
          <w:vertAlign w:val="superscript"/>
        </w:rPr>
        <w:footnoteReference w:id="20"/>
      </w:r>
      <w:bookmarkEnd w:id="4"/>
      <w:r w:rsidRPr="00E76B02">
        <w:rPr>
          <w:i/>
        </w:rPr>
        <w:t xml:space="preserve"> </w:t>
      </w:r>
      <w:bookmarkStart w:id="5" w:name="_Hlk213089840"/>
      <w:r w:rsidRPr="00E76B02">
        <w:rPr>
          <w:i/>
        </w:rPr>
        <w:t xml:space="preserve">reached 77.06 billion USD, going down 5.4% from the previous month but going up 15.6% compared to the same period last year. </w:t>
      </w:r>
      <w:r w:rsidRPr="00E76B02">
        <w:rPr>
          <w:i/>
          <w:spacing w:val="-4"/>
        </w:rPr>
        <w:t>Generally, for the eleven months of 2025, the total export and import turnover of goods reached</w:t>
      </w:r>
      <w:r w:rsidRPr="00E76B02">
        <w:rPr>
          <w:i/>
        </w:rPr>
        <w:t xml:space="preserve"> 839.75 billion USD, an increase of 17.2% year-on-year, of which exports rose by 16.1% and imports increased by 18.4%</w:t>
      </w:r>
      <w:r w:rsidRPr="00E76B02">
        <w:rPr>
          <w:i/>
          <w:vertAlign w:val="superscript"/>
        </w:rPr>
        <w:footnoteReference w:id="21"/>
      </w:r>
      <w:bookmarkEnd w:id="5"/>
      <w:r w:rsidRPr="00E76B02">
        <w:rPr>
          <w:i/>
        </w:rPr>
        <w:t>. The trade balance of goods recorded a surplus of 20.53 billion USD.</w:t>
      </w:r>
    </w:p>
    <w:p w14:paraId="1D2ED4E3" w14:textId="77777777" w:rsidR="00A06B07" w:rsidRPr="00E76B02" w:rsidRDefault="00A06B07" w:rsidP="00A06B07">
      <w:pPr>
        <w:tabs>
          <w:tab w:val="num" w:pos="0"/>
          <w:tab w:val="left" w:pos="9475"/>
        </w:tabs>
        <w:spacing w:before="40" w:after="40" w:line="288" w:lineRule="auto"/>
        <w:ind w:right="119"/>
        <w:jc w:val="center"/>
        <w:rPr>
          <w:rFonts w:ascii="Arial" w:hAnsi="Arial" w:cs="Arial"/>
          <w:b/>
          <w:bCs/>
          <w:sz w:val="24"/>
          <w:szCs w:val="24"/>
        </w:rPr>
      </w:pPr>
      <w:r w:rsidRPr="00E76B02">
        <w:rPr>
          <w:rFonts w:ascii="Arial" w:hAnsi="Arial" w:cs="Arial"/>
          <w:b/>
          <w:bCs/>
          <w:sz w:val="24"/>
          <w:szCs w:val="24"/>
        </w:rPr>
        <w:t>Figure 11. Export and import of goods in the 11 months of 2025</w:t>
      </w:r>
    </w:p>
    <w:p w14:paraId="28A9C77B" w14:textId="77777777" w:rsidR="00A06B07" w:rsidRPr="00E76B02" w:rsidRDefault="00A06B07" w:rsidP="00A06B07">
      <w:pPr>
        <w:tabs>
          <w:tab w:val="num" w:pos="0"/>
          <w:tab w:val="left" w:pos="9475"/>
        </w:tabs>
        <w:spacing w:before="40" w:after="40" w:line="288" w:lineRule="auto"/>
        <w:ind w:right="119"/>
        <w:jc w:val="center"/>
        <w:rPr>
          <w:rFonts w:ascii="Arial" w:hAnsi="Arial" w:cs="Arial"/>
          <w:b/>
          <w:bCs/>
          <w:sz w:val="24"/>
          <w:szCs w:val="24"/>
        </w:rPr>
      </w:pPr>
      <w:r w:rsidRPr="00E76B02">
        <w:rPr>
          <w:rFonts w:ascii="Arial" w:hAnsi="Arial" w:cs="Arial"/>
          <w:b/>
          <w:bCs/>
          <w:noProof/>
          <w:sz w:val="24"/>
          <w:szCs w:val="24"/>
        </w:rPr>
        <w:lastRenderedPageBreak/>
        <w:drawing>
          <wp:inline distT="0" distB="0" distL="0" distR="0" wp14:anchorId="39493901" wp14:editId="491CB367">
            <wp:extent cx="5699760" cy="195008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en-n-XNK.jpg"/>
                    <pic:cNvPicPr/>
                  </pic:nvPicPr>
                  <pic:blipFill>
                    <a:blip r:embed="rId19">
                      <a:extLst>
                        <a:ext uri="{28A0092B-C50C-407E-A947-70E740481C1C}">
                          <a14:useLocalDpi xmlns:a14="http://schemas.microsoft.com/office/drawing/2010/main" val="0"/>
                        </a:ext>
                      </a:extLst>
                    </a:blip>
                    <a:stretch>
                      <a:fillRect/>
                    </a:stretch>
                  </pic:blipFill>
                  <pic:spPr>
                    <a:xfrm>
                      <a:off x="0" y="0"/>
                      <a:ext cx="5699760" cy="1950085"/>
                    </a:xfrm>
                    <a:prstGeom prst="rect">
                      <a:avLst/>
                    </a:prstGeom>
                  </pic:spPr>
                </pic:pic>
              </a:graphicData>
            </a:graphic>
          </wp:inline>
        </w:drawing>
      </w:r>
    </w:p>
    <w:p w14:paraId="14568A4F" w14:textId="77777777" w:rsidR="00A06B07" w:rsidRPr="00E76B02" w:rsidRDefault="00A06B07" w:rsidP="00A06B07">
      <w:pPr>
        <w:tabs>
          <w:tab w:val="num" w:pos="0"/>
          <w:tab w:val="left" w:pos="9475"/>
        </w:tabs>
        <w:spacing w:after="120" w:line="264" w:lineRule="auto"/>
        <w:ind w:firstLine="720"/>
        <w:jc w:val="both"/>
        <w:rPr>
          <w:rStyle w:val="Strong"/>
          <w:rFonts w:eastAsia="Calibri"/>
          <w:i/>
          <w:iCs/>
        </w:rPr>
      </w:pPr>
      <w:r w:rsidRPr="00E76B02">
        <w:rPr>
          <w:rStyle w:val="Strong"/>
          <w:rFonts w:eastAsia="Calibri"/>
          <w:i/>
          <w:iCs/>
        </w:rPr>
        <w:t xml:space="preserve">Export of goods </w:t>
      </w:r>
      <w:bookmarkStart w:id="6" w:name="_Hlk210660579"/>
    </w:p>
    <w:p w14:paraId="5704BD42" w14:textId="6CC837C0" w:rsidR="00A06B07" w:rsidRPr="00E76B02" w:rsidRDefault="00EA2A5B" w:rsidP="00A06B07">
      <w:pPr>
        <w:tabs>
          <w:tab w:val="num" w:pos="0"/>
          <w:tab w:val="left" w:pos="9475"/>
        </w:tabs>
        <w:spacing w:after="120" w:line="264" w:lineRule="auto"/>
        <w:ind w:firstLine="720"/>
        <w:jc w:val="both"/>
        <w:rPr>
          <w:bCs/>
        </w:rPr>
      </w:pPr>
      <w:bookmarkStart w:id="7" w:name="_Hlk213089853"/>
      <w:bookmarkEnd w:id="6"/>
      <w:r>
        <w:rPr>
          <w:bCs/>
        </w:rPr>
        <w:t>The e</w:t>
      </w:r>
      <w:r w:rsidRPr="00E76B02">
        <w:rPr>
          <w:bCs/>
        </w:rPr>
        <w:t xml:space="preserve">xport </w:t>
      </w:r>
      <w:r w:rsidR="00A06B07" w:rsidRPr="00E76B02">
        <w:rPr>
          <w:bCs/>
        </w:rPr>
        <w:t xml:space="preserve">turnover of goods in October 2025 </w:t>
      </w:r>
      <w:r w:rsidR="00A06B07" w:rsidRPr="00E76B02">
        <w:rPr>
          <w:bCs/>
          <w:spacing w:val="-2"/>
        </w:rPr>
        <w:t>preliminarily reached</w:t>
      </w:r>
      <w:r w:rsidR="00A06B07" w:rsidRPr="00E76B02">
        <w:rPr>
          <w:bCs/>
        </w:rPr>
        <w:t xml:space="preserve"> 42.05 billion USD</w:t>
      </w:r>
      <w:r w:rsidR="00A06B07" w:rsidRPr="00E76B02">
        <w:rPr>
          <w:rStyle w:val="FootnoteReference"/>
          <w:bCs/>
        </w:rPr>
        <w:footnoteReference w:id="22"/>
      </w:r>
      <w:bookmarkEnd w:id="7"/>
      <w:r w:rsidR="00A06B07" w:rsidRPr="00E76B02">
        <w:rPr>
          <w:bCs/>
        </w:rPr>
        <w:t>.</w:t>
      </w:r>
    </w:p>
    <w:p w14:paraId="6BDD6E88" w14:textId="31BD4D99" w:rsidR="00A06B07" w:rsidRPr="00E76B02" w:rsidRDefault="00A06B07" w:rsidP="00A06B07">
      <w:pPr>
        <w:tabs>
          <w:tab w:val="num" w:pos="0"/>
          <w:tab w:val="left" w:pos="9475"/>
        </w:tabs>
        <w:spacing w:after="120" w:line="264" w:lineRule="auto"/>
        <w:ind w:firstLine="720"/>
        <w:jc w:val="both"/>
        <w:rPr>
          <w:bCs/>
        </w:rPr>
      </w:pPr>
      <w:r w:rsidRPr="00E76B02">
        <w:rPr>
          <w:bCs/>
        </w:rPr>
        <w:t xml:space="preserve">The export turnover of goods in November 2025 was estimated at 39.07 billion USD, went down 7.1% from the previous month. Of which, the domestic economic sector contributed 8.23 billion USD, going down 4.2%; and the FDI sector (including crude oil) reached 30.84 billion USD, declining by 7.8%. Compared to the same period last year, the export turnover of goods in November increased by 15.1%, </w:t>
      </w:r>
      <w:r w:rsidR="00EA2A5B">
        <w:rPr>
          <w:bCs/>
        </w:rPr>
        <w:t xml:space="preserve">of </w:t>
      </w:r>
      <w:r w:rsidR="00EA2A5B" w:rsidRPr="00E76B02">
        <w:rPr>
          <w:bCs/>
        </w:rPr>
        <w:t>w</w:t>
      </w:r>
      <w:r w:rsidR="00EA2A5B">
        <w:rPr>
          <w:bCs/>
        </w:rPr>
        <w:t>h</w:t>
      </w:r>
      <w:r w:rsidR="00EA2A5B" w:rsidRPr="00E76B02">
        <w:rPr>
          <w:bCs/>
        </w:rPr>
        <w:t>i</w:t>
      </w:r>
      <w:r w:rsidR="00EA2A5B">
        <w:rPr>
          <w:bCs/>
        </w:rPr>
        <w:t>c</w:t>
      </w:r>
      <w:r w:rsidR="00EA2A5B" w:rsidRPr="00E76B02">
        <w:rPr>
          <w:bCs/>
        </w:rPr>
        <w:t>h</w:t>
      </w:r>
      <w:r w:rsidR="00EA2A5B">
        <w:rPr>
          <w:bCs/>
        </w:rPr>
        <w:t>,</w:t>
      </w:r>
      <w:r w:rsidR="00EA2A5B" w:rsidRPr="00E76B02">
        <w:rPr>
          <w:bCs/>
        </w:rPr>
        <w:t xml:space="preserve"> </w:t>
      </w:r>
      <w:r w:rsidRPr="00E76B02">
        <w:rPr>
          <w:bCs/>
        </w:rPr>
        <w:t xml:space="preserve">the domestic economic sector </w:t>
      </w:r>
      <w:r w:rsidR="00EA2A5B" w:rsidRPr="00E76B02">
        <w:rPr>
          <w:bCs/>
        </w:rPr>
        <w:t>decreas</w:t>
      </w:r>
      <w:r w:rsidR="00EA2A5B">
        <w:rPr>
          <w:bCs/>
        </w:rPr>
        <w:t>ed</w:t>
      </w:r>
      <w:r w:rsidR="00EA2A5B" w:rsidRPr="00E76B02">
        <w:rPr>
          <w:bCs/>
        </w:rPr>
        <w:t xml:space="preserve"> </w:t>
      </w:r>
      <w:r w:rsidRPr="00E76B02">
        <w:rPr>
          <w:bCs/>
        </w:rPr>
        <w:t xml:space="preserve">by 17.5% and the FDI sector (including crude oil) </w:t>
      </w:r>
      <w:r w:rsidR="00EA2A5B" w:rsidRPr="00E76B02">
        <w:rPr>
          <w:bCs/>
        </w:rPr>
        <w:t>increas</w:t>
      </w:r>
      <w:r w:rsidR="00EA2A5B">
        <w:rPr>
          <w:bCs/>
        </w:rPr>
        <w:t>ed</w:t>
      </w:r>
      <w:r w:rsidR="00EA2A5B" w:rsidRPr="00E76B02">
        <w:rPr>
          <w:bCs/>
        </w:rPr>
        <w:t xml:space="preserve"> </w:t>
      </w:r>
      <w:r w:rsidRPr="00E76B02">
        <w:rPr>
          <w:bCs/>
        </w:rPr>
        <w:t>by 28.8%.</w:t>
      </w:r>
    </w:p>
    <w:p w14:paraId="28E64447" w14:textId="77777777" w:rsidR="00A06B07" w:rsidRPr="00E76B02" w:rsidRDefault="00A06B07" w:rsidP="00A06B07">
      <w:pPr>
        <w:tabs>
          <w:tab w:val="num" w:pos="0"/>
          <w:tab w:val="left" w:pos="9475"/>
        </w:tabs>
        <w:spacing w:after="120" w:line="264" w:lineRule="auto"/>
        <w:ind w:firstLine="720"/>
        <w:jc w:val="both"/>
        <w:rPr>
          <w:bCs/>
        </w:rPr>
      </w:pPr>
      <w:r w:rsidRPr="00E76B02">
        <w:rPr>
          <w:bCs/>
        </w:rPr>
        <w:t xml:space="preserve">For the eleven months of 2025, the export </w:t>
      </w:r>
      <w:r w:rsidRPr="00E76B02">
        <w:rPr>
          <w:bCs/>
          <w:spacing w:val="-2"/>
        </w:rPr>
        <w:t xml:space="preserve">turnover </w:t>
      </w:r>
      <w:r w:rsidRPr="00E76B02">
        <w:rPr>
          <w:bCs/>
        </w:rPr>
        <w:t>of goods was estimated at 430.14 billion USD, an increase of 16.1% compared to the same period last year. Of which, the domestic economic sector reached 102.41 billion USD, going down 1.7% and accounting for 23.8% of total export turnover; while the FDI sector (including crude oil) reached 327.73 billion USD, increasing by 23.1% and accounting for 76.2%.</w:t>
      </w:r>
    </w:p>
    <w:p w14:paraId="24D62EC9" w14:textId="4656C6F1" w:rsidR="00A06B07" w:rsidRPr="00E76B02" w:rsidRDefault="00A06B07" w:rsidP="00A06B07">
      <w:pPr>
        <w:tabs>
          <w:tab w:val="num" w:pos="0"/>
          <w:tab w:val="left" w:pos="9475"/>
        </w:tabs>
        <w:spacing w:after="120" w:line="264" w:lineRule="auto"/>
        <w:ind w:firstLine="720"/>
        <w:jc w:val="both"/>
        <w:rPr>
          <w:spacing w:val="-4"/>
        </w:rPr>
      </w:pPr>
      <w:r w:rsidRPr="00E76B02">
        <w:rPr>
          <w:bCs/>
        </w:rPr>
        <w:t>In</w:t>
      </w:r>
      <w:r w:rsidR="0003748B">
        <w:rPr>
          <w:bCs/>
        </w:rPr>
        <w:t xml:space="preserve"> the</w:t>
      </w:r>
      <w:r w:rsidRPr="00E76B02">
        <w:rPr>
          <w:bCs/>
        </w:rPr>
        <w:t xml:space="preserve"> eleven months of 2025, there were 36 commodities with export turnover exceeding 1 billion USD, accounting for 94.1% of </w:t>
      </w:r>
      <w:r w:rsidR="0003748B">
        <w:rPr>
          <w:bCs/>
        </w:rPr>
        <w:t xml:space="preserve">the </w:t>
      </w:r>
      <w:r w:rsidRPr="00E76B02">
        <w:rPr>
          <w:bCs/>
        </w:rPr>
        <w:t>total export turnover (</w:t>
      </w:r>
      <w:r w:rsidR="00EA2A5B" w:rsidRPr="00E76B02">
        <w:rPr>
          <w:bCs/>
        </w:rPr>
        <w:t xml:space="preserve">there were </w:t>
      </w:r>
      <w:r w:rsidRPr="00E76B02">
        <w:rPr>
          <w:bCs/>
        </w:rPr>
        <w:t>8 commodities with export turnover over 10 billion USD, accounting for 70.3%).</w:t>
      </w:r>
    </w:p>
    <w:p w14:paraId="47CDAA70" w14:textId="0A1AD5A9" w:rsidR="00A06B07" w:rsidRPr="00E76B02" w:rsidRDefault="00A06B07" w:rsidP="00A06B07">
      <w:pPr>
        <w:tabs>
          <w:tab w:val="num" w:pos="0"/>
          <w:tab w:val="left" w:pos="9475"/>
        </w:tabs>
        <w:spacing w:before="40" w:after="40" w:line="288" w:lineRule="auto"/>
        <w:ind w:right="119"/>
        <w:jc w:val="center"/>
        <w:rPr>
          <w:rFonts w:ascii="Arial" w:hAnsi="Arial" w:cs="Arial"/>
          <w:b/>
          <w:bCs/>
          <w:sz w:val="24"/>
          <w:szCs w:val="24"/>
        </w:rPr>
      </w:pPr>
      <w:r w:rsidRPr="00E76B02">
        <w:rPr>
          <w:rFonts w:ascii="Arial" w:hAnsi="Arial" w:cs="Arial"/>
          <w:b/>
          <w:spacing w:val="-2"/>
          <w:sz w:val="24"/>
          <w:szCs w:val="20"/>
        </w:rPr>
        <w:t xml:space="preserve">Table 4. </w:t>
      </w:r>
      <w:r w:rsidR="00C03D74">
        <w:rPr>
          <w:rFonts w:ascii="Arial" w:hAnsi="Arial" w:cs="Arial"/>
          <w:b/>
          <w:spacing w:val="-2"/>
          <w:sz w:val="24"/>
          <w:szCs w:val="20"/>
        </w:rPr>
        <w:t>V</w:t>
      </w:r>
      <w:r w:rsidRPr="00E76B02">
        <w:rPr>
          <w:rFonts w:ascii="Arial" w:hAnsi="Arial" w:cs="Arial"/>
          <w:b/>
          <w:spacing w:val="-2"/>
          <w:sz w:val="24"/>
          <w:szCs w:val="20"/>
        </w:rPr>
        <w:t xml:space="preserve">alue of some </w:t>
      </w:r>
      <w:r w:rsidR="00C03D74">
        <w:rPr>
          <w:rFonts w:ascii="Arial" w:hAnsi="Arial" w:cs="Arial"/>
          <w:b/>
          <w:spacing w:val="-2"/>
          <w:sz w:val="24"/>
          <w:szCs w:val="20"/>
        </w:rPr>
        <w:t>e</w:t>
      </w:r>
      <w:r w:rsidR="00C03D74" w:rsidRPr="00E76B02">
        <w:rPr>
          <w:rFonts w:ascii="Arial" w:hAnsi="Arial" w:cs="Arial"/>
          <w:b/>
          <w:spacing w:val="-2"/>
          <w:sz w:val="24"/>
          <w:szCs w:val="20"/>
        </w:rPr>
        <w:t xml:space="preserve">xport </w:t>
      </w:r>
      <w:r w:rsidRPr="00E76B02">
        <w:rPr>
          <w:rFonts w:ascii="Arial" w:hAnsi="Arial" w:cs="Arial"/>
          <w:b/>
          <w:spacing w:val="-2"/>
          <w:sz w:val="24"/>
          <w:szCs w:val="20"/>
        </w:rPr>
        <w:t>commodities in the 11 months of 2025</w:t>
      </w:r>
    </w:p>
    <w:tbl>
      <w:tblPr>
        <w:tblStyle w:val="TableGrid"/>
        <w:tblW w:w="0" w:type="auto"/>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5"/>
        <w:gridCol w:w="1984"/>
        <w:gridCol w:w="2551"/>
      </w:tblGrid>
      <w:tr w:rsidR="00A06B07" w:rsidRPr="00E76B02" w14:paraId="6926FB32" w14:textId="77777777" w:rsidTr="00E76B02">
        <w:trPr>
          <w:jc w:val="center"/>
        </w:trPr>
        <w:tc>
          <w:tcPr>
            <w:tcW w:w="4395" w:type="dxa"/>
          </w:tcPr>
          <w:p w14:paraId="3810673A" w14:textId="77777777" w:rsidR="00A06B07" w:rsidRPr="00E76B02" w:rsidRDefault="00A06B07" w:rsidP="00E76B02">
            <w:pPr>
              <w:tabs>
                <w:tab w:val="num" w:pos="0"/>
                <w:tab w:val="left" w:pos="9475"/>
              </w:tabs>
              <w:spacing w:before="40" w:after="40"/>
              <w:ind w:right="119" w:firstLine="567"/>
              <w:jc w:val="both"/>
              <w:rPr>
                <w:rFonts w:ascii="Arial" w:hAnsi="Arial" w:cs="Arial"/>
                <w:b/>
                <w:bCs/>
                <w:i/>
                <w:iCs/>
                <w:sz w:val="20"/>
                <w:szCs w:val="20"/>
                <w:lang w:val="en-US"/>
              </w:rPr>
            </w:pPr>
            <w:r w:rsidRPr="00E76B02">
              <w:rPr>
                <w:rFonts w:ascii="Arial" w:hAnsi="Arial" w:cs="Arial"/>
                <w:b/>
                <w:bCs/>
                <w:i/>
                <w:iCs/>
                <w:sz w:val="20"/>
                <w:szCs w:val="20"/>
                <w:lang w:val="en-US"/>
              </w:rPr>
              <w:t xml:space="preserve"> </w:t>
            </w:r>
          </w:p>
        </w:tc>
        <w:tc>
          <w:tcPr>
            <w:tcW w:w="1984" w:type="dxa"/>
            <w:tcBorders>
              <w:top w:val="single" w:sz="4" w:space="0" w:color="auto"/>
              <w:bottom w:val="single" w:sz="4" w:space="0" w:color="auto"/>
            </w:tcBorders>
          </w:tcPr>
          <w:p w14:paraId="6854DC0F" w14:textId="77777777" w:rsidR="00A06B07" w:rsidRPr="00E76B02" w:rsidRDefault="00A06B07" w:rsidP="00E76B02">
            <w:pPr>
              <w:spacing w:before="40" w:after="40"/>
              <w:jc w:val="center"/>
              <w:rPr>
                <w:rFonts w:ascii="Arial" w:hAnsi="Arial" w:cs="Arial"/>
                <w:sz w:val="20"/>
                <w:szCs w:val="20"/>
                <w:lang w:val="en-US"/>
              </w:rPr>
            </w:pPr>
            <w:r w:rsidRPr="00E76B02">
              <w:rPr>
                <w:rFonts w:ascii="Arial" w:hAnsi="Arial" w:cs="Arial"/>
                <w:sz w:val="20"/>
                <w:szCs w:val="20"/>
                <w:lang w:val="en-US"/>
              </w:rPr>
              <w:t>Value</w:t>
            </w:r>
          </w:p>
          <w:p w14:paraId="1A8B09F0" w14:textId="77777777" w:rsidR="00A06B07" w:rsidRPr="00E76B02" w:rsidRDefault="00A06B07" w:rsidP="00E76B02">
            <w:pPr>
              <w:spacing w:before="40" w:after="40"/>
              <w:jc w:val="center"/>
              <w:rPr>
                <w:rFonts w:ascii="Arial" w:hAnsi="Arial" w:cs="Arial"/>
                <w:b/>
                <w:bCs/>
                <w:i/>
                <w:iCs/>
                <w:sz w:val="20"/>
                <w:szCs w:val="20"/>
                <w:lang w:val="en-US"/>
              </w:rPr>
            </w:pPr>
            <w:r w:rsidRPr="00E76B02">
              <w:rPr>
                <w:rFonts w:ascii="Arial" w:hAnsi="Arial" w:cs="Arial"/>
                <w:sz w:val="20"/>
                <w:szCs w:val="20"/>
                <w:lang w:val="en-US"/>
              </w:rPr>
              <w:t>(Mill. USD)</w:t>
            </w:r>
          </w:p>
        </w:tc>
        <w:tc>
          <w:tcPr>
            <w:tcW w:w="2551" w:type="dxa"/>
            <w:tcBorders>
              <w:top w:val="single" w:sz="4" w:space="0" w:color="auto"/>
              <w:bottom w:val="single" w:sz="4" w:space="0" w:color="auto"/>
            </w:tcBorders>
          </w:tcPr>
          <w:p w14:paraId="6308F189" w14:textId="77777777" w:rsidR="00A06B07" w:rsidRPr="00E76B02" w:rsidRDefault="00A06B07" w:rsidP="00E76B02">
            <w:pPr>
              <w:spacing w:before="40" w:after="40"/>
              <w:jc w:val="center"/>
              <w:rPr>
                <w:rFonts w:ascii="Arial" w:hAnsi="Arial" w:cs="Arial"/>
                <w:b/>
                <w:bCs/>
                <w:i/>
                <w:iCs/>
                <w:sz w:val="20"/>
                <w:szCs w:val="20"/>
                <w:lang w:val="en-US"/>
              </w:rPr>
            </w:pPr>
            <w:r w:rsidRPr="00E76B02">
              <w:rPr>
                <w:rFonts w:ascii="Arial" w:hAnsi="Arial" w:cs="Arial"/>
                <w:sz w:val="20"/>
                <w:szCs w:val="20"/>
                <w:lang w:val="en-US"/>
              </w:rPr>
              <w:t>Year-on-year growth rate (%)</w:t>
            </w:r>
          </w:p>
        </w:tc>
      </w:tr>
      <w:tr w:rsidR="00A06B07" w:rsidRPr="00E76B02" w14:paraId="3E2B360D" w14:textId="77777777" w:rsidTr="00E76B02">
        <w:trPr>
          <w:jc w:val="center"/>
        </w:trPr>
        <w:tc>
          <w:tcPr>
            <w:tcW w:w="4395" w:type="dxa"/>
            <w:vAlign w:val="bottom"/>
          </w:tcPr>
          <w:p w14:paraId="177F929F" w14:textId="77777777" w:rsidR="00A06B07" w:rsidRPr="00E76B02" w:rsidRDefault="00A06B07" w:rsidP="00E76B02">
            <w:pPr>
              <w:spacing w:before="40" w:after="40"/>
              <w:jc w:val="both"/>
              <w:rPr>
                <w:rFonts w:ascii="Arial" w:hAnsi="Arial" w:cs="Arial"/>
                <w:b/>
                <w:bCs/>
                <w:sz w:val="20"/>
                <w:szCs w:val="20"/>
                <w:lang w:val="en-US"/>
              </w:rPr>
            </w:pPr>
            <w:r w:rsidRPr="00E76B02">
              <w:rPr>
                <w:rFonts w:ascii="Arial" w:hAnsi="Arial" w:cs="Arial"/>
                <w:b/>
                <w:bCs/>
                <w:sz w:val="20"/>
                <w:szCs w:val="20"/>
                <w:lang w:val="en-US"/>
              </w:rPr>
              <w:t>Commodities with export value of over 10 billion USD</w:t>
            </w:r>
          </w:p>
        </w:tc>
        <w:tc>
          <w:tcPr>
            <w:tcW w:w="1984" w:type="dxa"/>
            <w:tcBorders>
              <w:top w:val="single" w:sz="4" w:space="0" w:color="auto"/>
            </w:tcBorders>
          </w:tcPr>
          <w:p w14:paraId="14288EFE" w14:textId="77777777" w:rsidR="00A06B07" w:rsidRPr="00E76B02" w:rsidRDefault="00A06B07" w:rsidP="00E76B02">
            <w:pPr>
              <w:tabs>
                <w:tab w:val="num" w:pos="0"/>
                <w:tab w:val="left" w:pos="9475"/>
              </w:tabs>
              <w:spacing w:before="40" w:after="40"/>
              <w:ind w:right="119" w:firstLine="567"/>
              <w:jc w:val="both"/>
              <w:rPr>
                <w:rFonts w:ascii="Arial" w:hAnsi="Arial" w:cs="Arial"/>
                <w:b/>
                <w:bCs/>
                <w:i/>
                <w:iCs/>
                <w:sz w:val="20"/>
                <w:szCs w:val="20"/>
                <w:lang w:val="en-US"/>
              </w:rPr>
            </w:pPr>
          </w:p>
        </w:tc>
        <w:tc>
          <w:tcPr>
            <w:tcW w:w="2551" w:type="dxa"/>
            <w:tcBorders>
              <w:top w:val="single" w:sz="4" w:space="0" w:color="auto"/>
            </w:tcBorders>
          </w:tcPr>
          <w:p w14:paraId="730266B5" w14:textId="77777777" w:rsidR="00A06B07" w:rsidRPr="00E76B02" w:rsidRDefault="00A06B07" w:rsidP="00E76B02">
            <w:pPr>
              <w:tabs>
                <w:tab w:val="num" w:pos="0"/>
                <w:tab w:val="left" w:pos="9475"/>
              </w:tabs>
              <w:spacing w:before="40" w:after="40"/>
              <w:ind w:right="119" w:firstLine="567"/>
              <w:jc w:val="both"/>
              <w:rPr>
                <w:rFonts w:ascii="Arial" w:hAnsi="Arial" w:cs="Arial"/>
                <w:b/>
                <w:bCs/>
                <w:i/>
                <w:iCs/>
                <w:sz w:val="20"/>
                <w:szCs w:val="20"/>
                <w:lang w:val="en-US"/>
              </w:rPr>
            </w:pPr>
          </w:p>
        </w:tc>
      </w:tr>
      <w:tr w:rsidR="00A06B07" w:rsidRPr="00E76B02" w14:paraId="415992C6" w14:textId="77777777" w:rsidTr="00E76B02">
        <w:trPr>
          <w:jc w:val="center"/>
        </w:trPr>
        <w:tc>
          <w:tcPr>
            <w:tcW w:w="4395" w:type="dxa"/>
            <w:vAlign w:val="bottom"/>
          </w:tcPr>
          <w:p w14:paraId="1AC553C9" w14:textId="77777777" w:rsidR="00A06B07" w:rsidRPr="00E76B02" w:rsidRDefault="00A06B07" w:rsidP="00E76B02">
            <w:pPr>
              <w:spacing w:before="40" w:after="40"/>
              <w:jc w:val="both"/>
              <w:rPr>
                <w:rFonts w:ascii="Arial" w:hAnsi="Arial" w:cs="Arial"/>
                <w:sz w:val="20"/>
                <w:szCs w:val="20"/>
                <w:lang w:val="en-US"/>
              </w:rPr>
            </w:pPr>
            <w:r w:rsidRPr="00E76B02">
              <w:rPr>
                <w:rFonts w:ascii="Arial" w:hAnsi="Arial" w:cs="Arial"/>
                <w:sz w:val="20"/>
                <w:szCs w:val="20"/>
                <w:lang w:val="en-US"/>
              </w:rPr>
              <w:t>Electronic goods, computers and their parts</w:t>
            </w:r>
          </w:p>
        </w:tc>
        <w:tc>
          <w:tcPr>
            <w:tcW w:w="1984" w:type="dxa"/>
            <w:vAlign w:val="bottom"/>
          </w:tcPr>
          <w:p w14:paraId="1F2C0F4D" w14:textId="77777777" w:rsidR="00A06B07" w:rsidRPr="00E76B02" w:rsidRDefault="00A06B07" w:rsidP="00E76B02">
            <w:pPr>
              <w:spacing w:before="40" w:after="40"/>
              <w:ind w:right="456" w:firstLine="567"/>
              <w:jc w:val="right"/>
              <w:rPr>
                <w:rFonts w:ascii="Arial" w:hAnsi="Arial" w:cs="Arial"/>
                <w:sz w:val="20"/>
                <w:szCs w:val="20"/>
                <w:lang w:val="en-US"/>
              </w:rPr>
            </w:pPr>
            <w:r w:rsidRPr="00E76B02">
              <w:rPr>
                <w:rFonts w:ascii="Arial" w:hAnsi="Arial" w:cs="Arial"/>
                <w:sz w:val="20"/>
                <w:szCs w:val="20"/>
                <w:lang w:val="en-US"/>
              </w:rPr>
              <w:t>96,917</w:t>
            </w:r>
          </w:p>
        </w:tc>
        <w:tc>
          <w:tcPr>
            <w:tcW w:w="2551" w:type="dxa"/>
            <w:vAlign w:val="bottom"/>
          </w:tcPr>
          <w:p w14:paraId="7853C92C" w14:textId="77777777" w:rsidR="00A06B07" w:rsidRPr="00E76B02" w:rsidRDefault="00A06B07" w:rsidP="00E76B02">
            <w:pPr>
              <w:spacing w:before="40" w:after="40"/>
              <w:ind w:right="880" w:firstLine="567"/>
              <w:jc w:val="right"/>
              <w:rPr>
                <w:rFonts w:ascii="Arial" w:hAnsi="Arial" w:cs="Arial"/>
                <w:sz w:val="20"/>
                <w:szCs w:val="20"/>
                <w:lang w:val="en-US"/>
              </w:rPr>
            </w:pPr>
            <w:r w:rsidRPr="00E76B02">
              <w:rPr>
                <w:rFonts w:ascii="Arial" w:hAnsi="Arial" w:cs="Arial"/>
                <w:sz w:val="20"/>
                <w:szCs w:val="20"/>
                <w:lang w:val="en-US"/>
              </w:rPr>
              <w:t>48.5</w:t>
            </w:r>
          </w:p>
        </w:tc>
      </w:tr>
      <w:tr w:rsidR="00A06B07" w:rsidRPr="00E76B02" w14:paraId="2D670299" w14:textId="77777777" w:rsidTr="00E76B02">
        <w:trPr>
          <w:jc w:val="center"/>
        </w:trPr>
        <w:tc>
          <w:tcPr>
            <w:tcW w:w="4395" w:type="dxa"/>
            <w:vAlign w:val="bottom"/>
          </w:tcPr>
          <w:p w14:paraId="24607E16" w14:textId="77777777" w:rsidR="00A06B07" w:rsidRPr="00E76B02" w:rsidRDefault="00A06B07" w:rsidP="00E76B02">
            <w:pPr>
              <w:spacing w:before="40" w:after="40"/>
              <w:jc w:val="both"/>
              <w:rPr>
                <w:rFonts w:ascii="Arial" w:hAnsi="Arial" w:cs="Arial"/>
                <w:sz w:val="20"/>
                <w:szCs w:val="20"/>
                <w:lang w:val="en-US"/>
              </w:rPr>
            </w:pPr>
            <w:r w:rsidRPr="00E76B02">
              <w:rPr>
                <w:rFonts w:ascii="Arial" w:hAnsi="Arial" w:cs="Arial"/>
                <w:sz w:val="20"/>
                <w:szCs w:val="20"/>
                <w:lang w:val="en-US"/>
              </w:rPr>
              <w:t>Machinery, instrument, accessory</w:t>
            </w:r>
          </w:p>
        </w:tc>
        <w:tc>
          <w:tcPr>
            <w:tcW w:w="1984" w:type="dxa"/>
            <w:vAlign w:val="bottom"/>
          </w:tcPr>
          <w:p w14:paraId="24D1E8C3" w14:textId="77777777" w:rsidR="00A06B07" w:rsidRPr="00E76B02" w:rsidRDefault="00A06B07" w:rsidP="00E76B02">
            <w:pPr>
              <w:spacing w:before="40" w:after="40"/>
              <w:ind w:right="456" w:firstLine="567"/>
              <w:jc w:val="right"/>
              <w:rPr>
                <w:rFonts w:ascii="Arial" w:hAnsi="Arial" w:cs="Arial"/>
                <w:sz w:val="20"/>
                <w:szCs w:val="20"/>
                <w:lang w:val="en-US"/>
              </w:rPr>
            </w:pPr>
            <w:r w:rsidRPr="00E76B02">
              <w:rPr>
                <w:rFonts w:ascii="Arial" w:hAnsi="Arial" w:cs="Arial"/>
                <w:sz w:val="20"/>
                <w:szCs w:val="20"/>
                <w:lang w:val="en-US"/>
              </w:rPr>
              <w:t>53,358</w:t>
            </w:r>
          </w:p>
        </w:tc>
        <w:tc>
          <w:tcPr>
            <w:tcW w:w="2551" w:type="dxa"/>
            <w:vAlign w:val="bottom"/>
          </w:tcPr>
          <w:p w14:paraId="23DB415B" w14:textId="77777777" w:rsidR="00A06B07" w:rsidRPr="00E76B02" w:rsidRDefault="00A06B07" w:rsidP="00E76B02">
            <w:pPr>
              <w:spacing w:before="40" w:after="40"/>
              <w:ind w:right="880" w:firstLine="567"/>
              <w:jc w:val="right"/>
              <w:rPr>
                <w:rFonts w:ascii="Arial" w:hAnsi="Arial" w:cs="Arial"/>
                <w:sz w:val="20"/>
                <w:szCs w:val="20"/>
                <w:lang w:val="en-US"/>
              </w:rPr>
            </w:pPr>
            <w:r w:rsidRPr="00E76B02">
              <w:rPr>
                <w:rFonts w:ascii="Arial" w:hAnsi="Arial" w:cs="Arial"/>
                <w:sz w:val="20"/>
                <w:szCs w:val="20"/>
                <w:lang w:val="en-US"/>
              </w:rPr>
              <w:t>11.6</w:t>
            </w:r>
          </w:p>
        </w:tc>
      </w:tr>
      <w:tr w:rsidR="00A06B07" w:rsidRPr="00E76B02" w14:paraId="5F4659C9" w14:textId="77777777" w:rsidTr="00E76B02">
        <w:trPr>
          <w:jc w:val="center"/>
        </w:trPr>
        <w:tc>
          <w:tcPr>
            <w:tcW w:w="4395" w:type="dxa"/>
            <w:vAlign w:val="bottom"/>
          </w:tcPr>
          <w:p w14:paraId="63DB6672" w14:textId="77777777" w:rsidR="00A06B07" w:rsidRPr="00E76B02" w:rsidRDefault="00A06B07" w:rsidP="00E76B02">
            <w:pPr>
              <w:spacing w:before="40" w:after="40"/>
              <w:jc w:val="both"/>
              <w:rPr>
                <w:rFonts w:ascii="Arial" w:hAnsi="Arial" w:cs="Arial"/>
                <w:sz w:val="20"/>
                <w:szCs w:val="20"/>
                <w:lang w:val="en-US"/>
              </w:rPr>
            </w:pPr>
            <w:r w:rsidRPr="00E76B02">
              <w:rPr>
                <w:rFonts w:ascii="Arial" w:hAnsi="Arial" w:cs="Arial"/>
                <w:sz w:val="20"/>
                <w:szCs w:val="20"/>
                <w:lang w:val="en-US"/>
              </w:rPr>
              <w:t>Phones all of kinds and their parts</w:t>
            </w:r>
          </w:p>
        </w:tc>
        <w:tc>
          <w:tcPr>
            <w:tcW w:w="1984" w:type="dxa"/>
            <w:vAlign w:val="bottom"/>
          </w:tcPr>
          <w:p w14:paraId="72F60C76" w14:textId="77777777" w:rsidR="00A06B07" w:rsidRPr="00E76B02" w:rsidRDefault="00A06B07" w:rsidP="00E76B02">
            <w:pPr>
              <w:spacing w:before="40" w:after="40"/>
              <w:ind w:right="456" w:firstLine="567"/>
              <w:jc w:val="right"/>
              <w:rPr>
                <w:rFonts w:ascii="Arial" w:hAnsi="Arial" w:cs="Arial"/>
                <w:sz w:val="20"/>
                <w:szCs w:val="20"/>
                <w:lang w:val="en-US"/>
              </w:rPr>
            </w:pPr>
            <w:r w:rsidRPr="00E76B02">
              <w:rPr>
                <w:rFonts w:ascii="Arial" w:hAnsi="Arial" w:cs="Arial"/>
                <w:sz w:val="20"/>
                <w:szCs w:val="20"/>
                <w:lang w:val="en-US"/>
              </w:rPr>
              <w:t>52,658</w:t>
            </w:r>
          </w:p>
        </w:tc>
        <w:tc>
          <w:tcPr>
            <w:tcW w:w="2551" w:type="dxa"/>
            <w:vAlign w:val="bottom"/>
          </w:tcPr>
          <w:p w14:paraId="6448FE08" w14:textId="77777777" w:rsidR="00A06B07" w:rsidRPr="00E76B02" w:rsidRDefault="00A06B07" w:rsidP="00E76B02">
            <w:pPr>
              <w:spacing w:before="40" w:after="40"/>
              <w:ind w:right="880" w:firstLine="567"/>
              <w:jc w:val="right"/>
              <w:rPr>
                <w:rFonts w:ascii="Arial" w:hAnsi="Arial" w:cs="Arial"/>
                <w:sz w:val="20"/>
                <w:szCs w:val="20"/>
                <w:lang w:val="en-US"/>
              </w:rPr>
            </w:pPr>
            <w:r w:rsidRPr="00E76B02">
              <w:rPr>
                <w:rFonts w:ascii="Arial" w:hAnsi="Arial" w:cs="Arial"/>
                <w:sz w:val="20"/>
                <w:szCs w:val="20"/>
                <w:lang w:val="en-US"/>
              </w:rPr>
              <w:t>4.8</w:t>
            </w:r>
          </w:p>
        </w:tc>
      </w:tr>
      <w:tr w:rsidR="00A06B07" w:rsidRPr="00E76B02" w14:paraId="4277CA51" w14:textId="77777777" w:rsidTr="00E76B02">
        <w:trPr>
          <w:jc w:val="center"/>
        </w:trPr>
        <w:tc>
          <w:tcPr>
            <w:tcW w:w="4395" w:type="dxa"/>
            <w:vAlign w:val="bottom"/>
          </w:tcPr>
          <w:p w14:paraId="28EF6EE7" w14:textId="77777777" w:rsidR="00A06B07" w:rsidRPr="00E76B02" w:rsidRDefault="00A06B07" w:rsidP="00E76B02">
            <w:pPr>
              <w:spacing w:before="40" w:after="40"/>
              <w:jc w:val="both"/>
              <w:rPr>
                <w:rFonts w:ascii="Arial" w:hAnsi="Arial" w:cs="Arial"/>
                <w:sz w:val="20"/>
                <w:szCs w:val="20"/>
                <w:lang w:val="en-US"/>
              </w:rPr>
            </w:pPr>
            <w:r w:rsidRPr="00E76B02">
              <w:rPr>
                <w:rFonts w:ascii="Arial" w:hAnsi="Arial" w:cs="Arial"/>
                <w:sz w:val="20"/>
                <w:szCs w:val="20"/>
                <w:lang w:val="en-US"/>
              </w:rPr>
              <w:t>Textiles and sewing products</w:t>
            </w:r>
          </w:p>
        </w:tc>
        <w:tc>
          <w:tcPr>
            <w:tcW w:w="1984" w:type="dxa"/>
            <w:vAlign w:val="bottom"/>
          </w:tcPr>
          <w:p w14:paraId="047E6991" w14:textId="77777777" w:rsidR="00A06B07" w:rsidRPr="00E76B02" w:rsidRDefault="00A06B07" w:rsidP="00E76B02">
            <w:pPr>
              <w:spacing w:before="40" w:after="40"/>
              <w:ind w:right="456" w:firstLine="567"/>
              <w:jc w:val="right"/>
              <w:rPr>
                <w:rFonts w:ascii="Arial" w:hAnsi="Arial" w:cs="Arial"/>
                <w:sz w:val="20"/>
                <w:szCs w:val="20"/>
                <w:lang w:val="en-US"/>
              </w:rPr>
            </w:pPr>
            <w:r w:rsidRPr="00E76B02">
              <w:rPr>
                <w:rFonts w:ascii="Arial" w:hAnsi="Arial" w:cs="Arial"/>
                <w:sz w:val="20"/>
                <w:szCs w:val="20"/>
                <w:lang w:val="en-US"/>
              </w:rPr>
              <w:t>35,913</w:t>
            </w:r>
          </w:p>
        </w:tc>
        <w:tc>
          <w:tcPr>
            <w:tcW w:w="2551" w:type="dxa"/>
            <w:vAlign w:val="bottom"/>
          </w:tcPr>
          <w:p w14:paraId="00A48465" w14:textId="77777777" w:rsidR="00A06B07" w:rsidRPr="00E76B02" w:rsidRDefault="00A06B07" w:rsidP="00E76B02">
            <w:pPr>
              <w:spacing w:before="40" w:after="40"/>
              <w:ind w:right="880" w:firstLine="567"/>
              <w:jc w:val="right"/>
              <w:rPr>
                <w:rFonts w:ascii="Arial" w:hAnsi="Arial" w:cs="Arial"/>
                <w:sz w:val="20"/>
                <w:szCs w:val="20"/>
                <w:lang w:val="en-US"/>
              </w:rPr>
            </w:pPr>
            <w:r w:rsidRPr="00E76B02">
              <w:rPr>
                <w:rFonts w:ascii="Arial" w:hAnsi="Arial" w:cs="Arial"/>
                <w:sz w:val="20"/>
                <w:szCs w:val="20"/>
                <w:lang w:val="en-US"/>
              </w:rPr>
              <w:t>6.7</w:t>
            </w:r>
          </w:p>
        </w:tc>
      </w:tr>
      <w:tr w:rsidR="00A06B07" w:rsidRPr="00E76B02" w14:paraId="6EAEA0E3" w14:textId="77777777" w:rsidTr="00E76B02">
        <w:trPr>
          <w:jc w:val="center"/>
        </w:trPr>
        <w:tc>
          <w:tcPr>
            <w:tcW w:w="4395" w:type="dxa"/>
            <w:vAlign w:val="bottom"/>
          </w:tcPr>
          <w:p w14:paraId="0899650A" w14:textId="77777777" w:rsidR="00A06B07" w:rsidRPr="00E76B02" w:rsidRDefault="00A06B07" w:rsidP="00E76B02">
            <w:pPr>
              <w:spacing w:before="40" w:after="40"/>
              <w:jc w:val="both"/>
              <w:rPr>
                <w:rFonts w:ascii="Arial" w:hAnsi="Arial" w:cs="Arial"/>
                <w:sz w:val="20"/>
                <w:szCs w:val="20"/>
                <w:lang w:val="en-US"/>
              </w:rPr>
            </w:pPr>
            <w:r w:rsidRPr="00E76B02">
              <w:rPr>
                <w:rFonts w:ascii="Arial" w:hAnsi="Arial" w:cs="Arial"/>
                <w:sz w:val="20"/>
                <w:szCs w:val="20"/>
                <w:lang w:val="en-US"/>
              </w:rPr>
              <w:lastRenderedPageBreak/>
              <w:t>Footwear</w:t>
            </w:r>
          </w:p>
        </w:tc>
        <w:tc>
          <w:tcPr>
            <w:tcW w:w="1984" w:type="dxa"/>
            <w:vAlign w:val="bottom"/>
          </w:tcPr>
          <w:p w14:paraId="7FC5E6E1" w14:textId="77777777" w:rsidR="00A06B07" w:rsidRPr="00E76B02" w:rsidRDefault="00A06B07" w:rsidP="00E76B02">
            <w:pPr>
              <w:spacing w:before="40" w:after="40"/>
              <w:ind w:right="456" w:firstLine="567"/>
              <w:jc w:val="right"/>
              <w:rPr>
                <w:rFonts w:ascii="Arial" w:hAnsi="Arial" w:cs="Arial"/>
                <w:sz w:val="20"/>
                <w:szCs w:val="20"/>
                <w:lang w:val="en-US"/>
              </w:rPr>
            </w:pPr>
            <w:r w:rsidRPr="00E76B02">
              <w:rPr>
                <w:rFonts w:ascii="Arial" w:hAnsi="Arial" w:cs="Arial"/>
                <w:sz w:val="20"/>
                <w:szCs w:val="20"/>
                <w:lang w:val="en-US"/>
              </w:rPr>
              <w:t>21,909</w:t>
            </w:r>
          </w:p>
        </w:tc>
        <w:tc>
          <w:tcPr>
            <w:tcW w:w="2551" w:type="dxa"/>
            <w:vAlign w:val="bottom"/>
          </w:tcPr>
          <w:p w14:paraId="6637330F" w14:textId="77777777" w:rsidR="00A06B07" w:rsidRPr="00E76B02" w:rsidRDefault="00A06B07" w:rsidP="00E76B02">
            <w:pPr>
              <w:spacing w:before="40" w:after="40"/>
              <w:ind w:right="880" w:firstLine="567"/>
              <w:jc w:val="right"/>
              <w:rPr>
                <w:rFonts w:ascii="Arial" w:hAnsi="Arial" w:cs="Arial"/>
                <w:sz w:val="20"/>
                <w:szCs w:val="20"/>
                <w:lang w:val="en-US"/>
              </w:rPr>
            </w:pPr>
            <w:r w:rsidRPr="00E76B02">
              <w:rPr>
                <w:rFonts w:ascii="Arial" w:hAnsi="Arial" w:cs="Arial"/>
                <w:sz w:val="20"/>
                <w:szCs w:val="20"/>
                <w:lang w:val="en-US"/>
              </w:rPr>
              <w:t>5.5</w:t>
            </w:r>
          </w:p>
        </w:tc>
      </w:tr>
      <w:tr w:rsidR="00A06B07" w:rsidRPr="00E76B02" w14:paraId="6F367FD8" w14:textId="77777777" w:rsidTr="00E76B02">
        <w:trPr>
          <w:jc w:val="center"/>
        </w:trPr>
        <w:tc>
          <w:tcPr>
            <w:tcW w:w="4395" w:type="dxa"/>
            <w:vAlign w:val="bottom"/>
          </w:tcPr>
          <w:p w14:paraId="3C5F0785" w14:textId="77777777" w:rsidR="00A06B07" w:rsidRPr="00E76B02" w:rsidRDefault="00A06B07" w:rsidP="00E76B02">
            <w:pPr>
              <w:spacing w:before="40" w:after="40"/>
              <w:jc w:val="both"/>
              <w:rPr>
                <w:rFonts w:ascii="Arial" w:hAnsi="Arial" w:cs="Arial"/>
                <w:sz w:val="20"/>
                <w:szCs w:val="20"/>
                <w:lang w:val="en-US"/>
              </w:rPr>
            </w:pPr>
            <w:r w:rsidRPr="00E76B02">
              <w:rPr>
                <w:rFonts w:ascii="Arial" w:hAnsi="Arial" w:cs="Arial"/>
                <w:sz w:val="20"/>
                <w:szCs w:val="20"/>
                <w:lang w:val="en-US"/>
              </w:rPr>
              <w:t>Transport and equipment</w:t>
            </w:r>
          </w:p>
        </w:tc>
        <w:tc>
          <w:tcPr>
            <w:tcW w:w="1984" w:type="dxa"/>
            <w:vAlign w:val="bottom"/>
          </w:tcPr>
          <w:p w14:paraId="24B05841" w14:textId="77777777" w:rsidR="00A06B07" w:rsidRPr="00E76B02" w:rsidRDefault="00A06B07" w:rsidP="00E76B02">
            <w:pPr>
              <w:spacing w:before="40" w:after="40"/>
              <w:ind w:right="456" w:firstLine="567"/>
              <w:jc w:val="right"/>
              <w:rPr>
                <w:rFonts w:ascii="Arial" w:hAnsi="Arial" w:cs="Arial"/>
                <w:sz w:val="20"/>
                <w:szCs w:val="20"/>
                <w:lang w:val="en-US"/>
              </w:rPr>
            </w:pPr>
            <w:r w:rsidRPr="00E76B02">
              <w:rPr>
                <w:rFonts w:ascii="Arial" w:hAnsi="Arial" w:cs="Arial"/>
                <w:sz w:val="20"/>
                <w:szCs w:val="20"/>
                <w:lang w:val="en-US"/>
              </w:rPr>
              <w:t>15,811</w:t>
            </w:r>
          </w:p>
        </w:tc>
        <w:tc>
          <w:tcPr>
            <w:tcW w:w="2551" w:type="dxa"/>
            <w:vAlign w:val="bottom"/>
          </w:tcPr>
          <w:p w14:paraId="1C366E69" w14:textId="77777777" w:rsidR="00A06B07" w:rsidRPr="00E76B02" w:rsidRDefault="00A06B07" w:rsidP="00E76B02">
            <w:pPr>
              <w:spacing w:before="40" w:after="40"/>
              <w:ind w:right="880" w:firstLine="567"/>
              <w:jc w:val="right"/>
              <w:rPr>
                <w:rFonts w:ascii="Arial" w:hAnsi="Arial" w:cs="Arial"/>
                <w:sz w:val="20"/>
                <w:szCs w:val="20"/>
                <w:lang w:val="en-US"/>
              </w:rPr>
            </w:pPr>
            <w:r w:rsidRPr="00E76B02">
              <w:rPr>
                <w:rFonts w:ascii="Arial" w:hAnsi="Arial" w:cs="Arial"/>
                <w:sz w:val="20"/>
                <w:szCs w:val="20"/>
                <w:lang w:val="en-US"/>
              </w:rPr>
              <w:t>13.4</w:t>
            </w:r>
          </w:p>
        </w:tc>
      </w:tr>
      <w:tr w:rsidR="00A06B07" w:rsidRPr="00E76B02" w14:paraId="49E6B1A8" w14:textId="77777777" w:rsidTr="00E76B02">
        <w:trPr>
          <w:jc w:val="center"/>
        </w:trPr>
        <w:tc>
          <w:tcPr>
            <w:tcW w:w="4395" w:type="dxa"/>
            <w:vAlign w:val="bottom"/>
          </w:tcPr>
          <w:p w14:paraId="18D3692C" w14:textId="77777777" w:rsidR="00A06B07" w:rsidRPr="00E76B02" w:rsidRDefault="00A06B07" w:rsidP="00E76B02">
            <w:pPr>
              <w:spacing w:before="40" w:after="40"/>
              <w:jc w:val="both"/>
              <w:rPr>
                <w:rFonts w:ascii="Arial" w:hAnsi="Arial" w:cs="Arial"/>
                <w:sz w:val="20"/>
                <w:szCs w:val="20"/>
                <w:lang w:val="en-US"/>
              </w:rPr>
            </w:pPr>
            <w:r w:rsidRPr="00E76B02">
              <w:rPr>
                <w:rFonts w:ascii="Arial" w:hAnsi="Arial" w:cs="Arial"/>
                <w:sz w:val="20"/>
                <w:szCs w:val="20"/>
                <w:lang w:val="en-US"/>
              </w:rPr>
              <w:t>Wood and wooden products</w:t>
            </w:r>
          </w:p>
        </w:tc>
        <w:tc>
          <w:tcPr>
            <w:tcW w:w="1984" w:type="dxa"/>
            <w:vAlign w:val="bottom"/>
          </w:tcPr>
          <w:p w14:paraId="01767F73" w14:textId="77777777" w:rsidR="00A06B07" w:rsidRPr="00E76B02" w:rsidRDefault="00A06B07" w:rsidP="00E76B02">
            <w:pPr>
              <w:spacing w:before="40" w:after="40"/>
              <w:ind w:right="456" w:firstLine="567"/>
              <w:jc w:val="right"/>
              <w:rPr>
                <w:rFonts w:ascii="Arial" w:hAnsi="Arial" w:cs="Arial"/>
                <w:sz w:val="20"/>
                <w:szCs w:val="20"/>
                <w:lang w:val="en-US"/>
              </w:rPr>
            </w:pPr>
            <w:r w:rsidRPr="00E76B02">
              <w:rPr>
                <w:rFonts w:ascii="Arial" w:hAnsi="Arial" w:cs="Arial"/>
                <w:sz w:val="20"/>
                <w:szCs w:val="20"/>
                <w:lang w:val="en-US"/>
              </w:rPr>
              <w:t>15,519</w:t>
            </w:r>
          </w:p>
        </w:tc>
        <w:tc>
          <w:tcPr>
            <w:tcW w:w="2551" w:type="dxa"/>
            <w:vAlign w:val="bottom"/>
          </w:tcPr>
          <w:p w14:paraId="3A0416AD" w14:textId="77777777" w:rsidR="00A06B07" w:rsidRPr="00E76B02" w:rsidRDefault="00A06B07" w:rsidP="00E76B02">
            <w:pPr>
              <w:spacing w:before="40" w:after="40"/>
              <w:ind w:right="880" w:firstLine="567"/>
              <w:jc w:val="right"/>
              <w:rPr>
                <w:rFonts w:ascii="Arial" w:hAnsi="Arial" w:cs="Arial"/>
                <w:sz w:val="20"/>
                <w:szCs w:val="20"/>
                <w:lang w:val="en-US"/>
              </w:rPr>
            </w:pPr>
            <w:r w:rsidRPr="00E76B02">
              <w:rPr>
                <w:rFonts w:ascii="Arial" w:hAnsi="Arial" w:cs="Arial"/>
                <w:sz w:val="20"/>
                <w:szCs w:val="20"/>
                <w:lang w:val="en-US"/>
              </w:rPr>
              <w:t>5.4</w:t>
            </w:r>
          </w:p>
        </w:tc>
      </w:tr>
      <w:tr w:rsidR="00A06B07" w:rsidRPr="00E76B02" w14:paraId="21E3F1B0" w14:textId="77777777" w:rsidTr="00E76B02">
        <w:trPr>
          <w:jc w:val="center"/>
        </w:trPr>
        <w:tc>
          <w:tcPr>
            <w:tcW w:w="4395" w:type="dxa"/>
            <w:vAlign w:val="bottom"/>
          </w:tcPr>
          <w:p w14:paraId="323A51EC" w14:textId="77777777" w:rsidR="00A06B07" w:rsidRPr="00E76B02" w:rsidRDefault="00A06B07" w:rsidP="00E76B02">
            <w:pPr>
              <w:spacing w:before="40" w:after="40"/>
              <w:jc w:val="both"/>
              <w:rPr>
                <w:rFonts w:ascii="Arial" w:hAnsi="Arial" w:cs="Arial"/>
                <w:sz w:val="20"/>
                <w:szCs w:val="20"/>
                <w:lang w:val="en-US"/>
              </w:rPr>
            </w:pPr>
            <w:r w:rsidRPr="00E76B02">
              <w:rPr>
                <w:rFonts w:ascii="Arial" w:hAnsi="Arial" w:cs="Arial"/>
                <w:sz w:val="20"/>
                <w:szCs w:val="20"/>
                <w:lang w:val="en-US"/>
              </w:rPr>
              <w:t xml:space="preserve">Fishing </w:t>
            </w:r>
          </w:p>
        </w:tc>
        <w:tc>
          <w:tcPr>
            <w:tcW w:w="1984" w:type="dxa"/>
            <w:vAlign w:val="bottom"/>
          </w:tcPr>
          <w:p w14:paraId="0265A70D" w14:textId="77777777" w:rsidR="00A06B07" w:rsidRPr="00E76B02" w:rsidRDefault="00A06B07" w:rsidP="00E76B02">
            <w:pPr>
              <w:spacing w:before="40" w:after="40"/>
              <w:ind w:right="456" w:firstLine="567"/>
              <w:jc w:val="right"/>
              <w:rPr>
                <w:rFonts w:ascii="Arial" w:hAnsi="Arial" w:cs="Arial"/>
                <w:sz w:val="20"/>
                <w:szCs w:val="20"/>
                <w:lang w:val="en-US"/>
              </w:rPr>
            </w:pPr>
            <w:r w:rsidRPr="00E76B02">
              <w:rPr>
                <w:rFonts w:ascii="Arial" w:hAnsi="Arial" w:cs="Arial"/>
                <w:sz w:val="20"/>
                <w:szCs w:val="20"/>
                <w:lang w:val="en-US"/>
              </w:rPr>
              <w:t>10,317</w:t>
            </w:r>
          </w:p>
        </w:tc>
        <w:tc>
          <w:tcPr>
            <w:tcW w:w="2551" w:type="dxa"/>
            <w:vAlign w:val="bottom"/>
          </w:tcPr>
          <w:p w14:paraId="10C648CF" w14:textId="77777777" w:rsidR="00A06B07" w:rsidRPr="00E76B02" w:rsidRDefault="00A06B07" w:rsidP="00E76B02">
            <w:pPr>
              <w:spacing w:before="40" w:after="40"/>
              <w:ind w:right="880" w:firstLine="567"/>
              <w:jc w:val="right"/>
              <w:rPr>
                <w:rFonts w:ascii="Arial" w:hAnsi="Arial" w:cs="Arial"/>
                <w:sz w:val="20"/>
                <w:szCs w:val="20"/>
                <w:lang w:val="en-US"/>
              </w:rPr>
            </w:pPr>
            <w:r w:rsidRPr="00E76B02">
              <w:rPr>
                <w:rFonts w:ascii="Arial" w:hAnsi="Arial" w:cs="Arial"/>
                <w:sz w:val="20"/>
                <w:szCs w:val="20"/>
                <w:lang w:val="en-US"/>
              </w:rPr>
              <w:t>12.6</w:t>
            </w:r>
          </w:p>
        </w:tc>
      </w:tr>
    </w:tbl>
    <w:p w14:paraId="40BBB82A" w14:textId="42CFB1E4" w:rsidR="00A06B07" w:rsidRPr="00E76B02" w:rsidRDefault="00A06B07" w:rsidP="00A06B07">
      <w:pPr>
        <w:tabs>
          <w:tab w:val="left" w:pos="9475"/>
        </w:tabs>
        <w:spacing w:before="40" w:after="40" w:line="288" w:lineRule="auto"/>
        <w:ind w:right="6"/>
        <w:jc w:val="both"/>
        <w:rPr>
          <w:rStyle w:val="Strong"/>
          <w:rFonts w:eastAsia="Calibri"/>
          <w:i/>
          <w:iCs/>
        </w:rPr>
      </w:pPr>
      <w:r w:rsidRPr="00E76B02">
        <w:rPr>
          <w:noProof/>
          <w:spacing w:val="-2"/>
        </w:rPr>
        <mc:AlternateContent>
          <mc:Choice Requires="wps">
            <w:drawing>
              <wp:anchor distT="0" distB="0" distL="114300" distR="114300" simplePos="0" relativeHeight="251666432" behindDoc="0" locked="0" layoutInCell="1" allowOverlap="1" wp14:anchorId="6D1B60AA" wp14:editId="4E584953">
                <wp:simplePos x="0" y="0"/>
                <wp:positionH relativeFrom="column">
                  <wp:posOffset>191770</wp:posOffset>
                </wp:positionH>
                <wp:positionV relativeFrom="paragraph">
                  <wp:posOffset>46355</wp:posOffset>
                </wp:positionV>
                <wp:extent cx="3170555" cy="2451735"/>
                <wp:effectExtent l="0" t="0" r="0" b="571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0555" cy="2451735"/>
                        </a:xfrm>
                        <a:prstGeom prst="rect">
                          <a:avLst/>
                        </a:prstGeom>
                        <a:solidFill>
                          <a:srgbClr val="FFFFFF"/>
                        </a:solidFill>
                        <a:ln w="9525">
                          <a:noFill/>
                          <a:miter lim="800000"/>
                          <a:headEnd/>
                          <a:tailEnd/>
                        </a:ln>
                      </wps:spPr>
                      <wps:txbx>
                        <w:txbxContent>
                          <w:p w14:paraId="10B10A15" w14:textId="77777777" w:rsidR="00EA2A5B" w:rsidRPr="00FF25D5" w:rsidRDefault="00EA2A5B" w:rsidP="00A06B07">
                            <w:pPr>
                              <w:spacing w:after="120"/>
                              <w:jc w:val="center"/>
                              <w:rPr>
                                <w:rFonts w:asciiTheme="minorHAnsi" w:eastAsiaTheme="minorHAnsi" w:hAnsiTheme="minorHAnsi" w:cstheme="minorBidi"/>
                                <w:sz w:val="22"/>
                                <w:szCs w:val="22"/>
                              </w:rPr>
                            </w:pPr>
                            <w:r>
                              <w:rPr>
                                <w:rFonts w:ascii="Arial" w:hAnsi="Arial" w:cs="Arial"/>
                                <w:b/>
                                <w:bCs/>
                                <w:sz w:val="24"/>
                                <w:szCs w:val="24"/>
                              </w:rPr>
                              <w:t>Figure</w:t>
                            </w:r>
                            <w:r w:rsidRPr="006822A2">
                              <w:rPr>
                                <w:rFonts w:ascii="Arial" w:hAnsi="Arial" w:cs="Arial"/>
                                <w:b/>
                                <w:bCs/>
                                <w:sz w:val="24"/>
                                <w:szCs w:val="24"/>
                              </w:rPr>
                              <w:t xml:space="preserve"> 1</w:t>
                            </w:r>
                            <w:r>
                              <w:rPr>
                                <w:rFonts w:ascii="Arial" w:hAnsi="Arial" w:cs="Arial"/>
                                <w:b/>
                                <w:bCs/>
                                <w:sz w:val="24"/>
                                <w:szCs w:val="24"/>
                              </w:rPr>
                              <w:t>2</w:t>
                            </w:r>
                            <w:r w:rsidRPr="006822A2">
                              <w:rPr>
                                <w:rFonts w:ascii="Arial" w:hAnsi="Arial" w:cs="Arial"/>
                                <w:b/>
                                <w:bCs/>
                                <w:sz w:val="24"/>
                                <w:szCs w:val="24"/>
                              </w:rPr>
                              <w:t xml:space="preserve">. </w:t>
                            </w:r>
                            <w:r w:rsidRPr="000C1162">
                              <w:rPr>
                                <w:rFonts w:ascii="Arial" w:hAnsi="Arial" w:cs="Arial"/>
                                <w:b/>
                                <w:bCs/>
                                <w:sz w:val="24"/>
                                <w:szCs w:val="24"/>
                              </w:rPr>
                              <w:t xml:space="preserve">Structure of exported </w:t>
                            </w:r>
                            <w:r>
                              <w:rPr>
                                <w:rFonts w:ascii="Arial" w:hAnsi="Arial" w:cs="Arial"/>
                                <w:b/>
                                <w:bCs/>
                                <w:sz w:val="24"/>
                                <w:szCs w:val="24"/>
                              </w:rPr>
                              <w:t xml:space="preserve">commodities </w:t>
                            </w:r>
                            <w:r w:rsidRPr="000C1162">
                              <w:rPr>
                                <w:rFonts w:ascii="Arial" w:hAnsi="Arial" w:cs="Arial"/>
                                <w:b/>
                                <w:bCs/>
                                <w:sz w:val="24"/>
                                <w:szCs w:val="24"/>
                              </w:rPr>
                              <w:t xml:space="preserve">in </w:t>
                            </w:r>
                            <w:r>
                              <w:rPr>
                                <w:rFonts w:ascii="Arial" w:hAnsi="Arial" w:cs="Arial"/>
                                <w:b/>
                                <w:bCs/>
                                <w:sz w:val="24"/>
                                <w:szCs w:val="24"/>
                              </w:rPr>
                              <w:t>the 11 months</w:t>
                            </w:r>
                            <w:r w:rsidRPr="000C1162">
                              <w:rPr>
                                <w:rFonts w:ascii="Arial" w:hAnsi="Arial" w:cs="Arial"/>
                                <w:b/>
                                <w:bCs/>
                                <w:sz w:val="24"/>
                                <w:szCs w:val="24"/>
                              </w:rPr>
                              <w:t xml:space="preserve"> of 2025</w:t>
                            </w:r>
                          </w:p>
                          <w:p w14:paraId="72DC7628" w14:textId="77777777" w:rsidR="00EA2A5B" w:rsidRPr="00271B83" w:rsidRDefault="00EA2A5B" w:rsidP="00A06B07">
                            <w:pPr>
                              <w:spacing w:before="120" w:after="120"/>
                              <w:ind w:left="-142"/>
                              <w:jc w:val="center"/>
                              <w:rPr>
                                <w:rFonts w:ascii="Arial" w:hAnsi="Arial" w:cs="Arial"/>
                                <w:sz w:val="24"/>
                                <w:szCs w:val="24"/>
                              </w:rPr>
                            </w:pPr>
                            <w:r>
                              <w:rPr>
                                <w:noProof/>
                              </w:rPr>
                              <w:drawing>
                                <wp:inline distT="0" distB="0" distL="0" distR="0" wp14:anchorId="3DD1D74A" wp14:editId="363D0DBF">
                                  <wp:extent cx="3209925" cy="20002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22960" cy="2008373"/>
                                          </a:xfrm>
                                          <a:prstGeom prst="rect">
                                            <a:avLst/>
                                          </a:prstGeom>
                                          <a:noFill/>
                                        </pic:spPr>
                                      </pic:pic>
                                    </a:graphicData>
                                  </a:graphic>
                                </wp:inline>
                              </w:drawing>
                            </w:r>
                          </w:p>
                        </w:txbxContent>
                      </wps:txbx>
                      <wps:bodyPr rot="0" vert="horz" wrap="square" lIns="36000" tIns="36000" rIns="36000" bIns="36000" anchor="t" anchorCtr="0">
                        <a:noAutofit/>
                      </wps:bodyPr>
                    </wps:wsp>
                  </a:graphicData>
                </a:graphic>
                <wp14:sizeRelH relativeFrom="page">
                  <wp14:pctWidth>0</wp14:pctWidth>
                </wp14:sizeRelH>
                <wp14:sizeRelV relativeFrom="margin">
                  <wp14:pctHeight>0</wp14:pctHeight>
                </wp14:sizeRelV>
              </wp:anchor>
            </w:drawing>
          </mc:Choice>
          <mc:Fallback>
            <w:pict>
              <v:shapetype w14:anchorId="6D1B60AA" id="_x0000_t202" coordsize="21600,21600" o:spt="202" path="m,l,21600r21600,l21600,xe">
                <v:stroke joinstyle="miter"/>
                <v:path gradientshapeok="t" o:connecttype="rect"/>
              </v:shapetype>
              <v:shape id="Text Box 2" o:spid="_x0000_s1026" type="#_x0000_t202" style="position:absolute;left:0;text-align:left;margin-left:15.1pt;margin-top:3.65pt;width:249.65pt;height:193.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01CQIAAPcDAAAOAAAAZHJzL2Uyb0RvYy54bWysU9uO0zAQfUfiHyy/06Qt2V2ipqulSxHS&#10;cpEWPsB1nMbC8Zix26R8PWMn2y3whvCDNWOPz8ycOV7dDp1hR4Veg634fJZzpqyEWtt9xb993b66&#10;4cwHYWthwKqKn5Tnt+uXL1a9K9UCWjC1QkYg1pe9q3gbgiuzzMtWdcLPwClLlw1gJwK5uM9qFD2h&#10;dyZb5PlV1gPWDkEq7+n0frzk64TfNEqGz03jVWCm4lRbSDumfRf3bL0S5R6Fa7WcyhD/UEUntKWk&#10;Z6h7EQQ7oP4LqtMSwUMTZhK6DJpGS5V6oG7m+R/dPLbCqdQLkePdmSb//2Dlp+Oj+4IsDG9hoAGm&#10;Jrx7APndMwubVti9ukOEvlWipsTzSFnWO19OTyPVvvQRZNd/hJqGLA4BEtDQYBdZoT4ZodMATmfS&#10;1RCYpMPl/DovioIzSXeL18X8elmkHKJ8eu7Qh/cKOhaNiiNNNcGL44MPsRxRPoXEbB6MrrfamOTg&#10;frcxyI6CFLBNa0L/LcxY1lf8TbEoErKF+D6Jo9OBFGp0V/GbPK5RM5GOd7ZOIUFoM9pUibETP5GS&#10;kZww7AYKjDztoD4RUwijEunnkNEC/uSsJxVW3P84CFScmQ+W2F5exYQsXDp46ewuHWElQVU8cDaa&#10;m5CkHnmwcEdTaXTi67mSqVZSV6Jx+glRvpd+inr+r+tfAAAA//8DAFBLAwQUAAYACAAAACEAKhc6&#10;mt8AAAAIAQAADwAAAGRycy9kb3ducmV2LnhtbEyPwU7DMBBE70j8g7VIXCrqkLSUhjgVQvQEB9oi&#10;uLrxEkeN11HsNuHvu5zKcXZGM2+L1ehaccI+NJ4U3E8TEEiVNw3VCj5367tHECFqMrr1hAp+McCq&#10;vL4qdG78QBs8bWMtuIRCrhXYGLtcylBZdDpMfYfE3o/vnY4s+1qaXg9c7lqZJsmDdLohXrC6wxeL&#10;1WF7dAom9vA12QX9vX593wzDW1zMPlyv1O3N+PwEIuIYL2H4w2d0KJlp749kgmgVZEnKSQWLDATb&#10;83Q5B7Hn+zKbgSwL+f+B8gwAAP//AwBQSwECLQAUAAYACAAAACEAtoM4kv4AAADhAQAAEwAAAAAA&#10;AAAAAAAAAAAAAAAAW0NvbnRlbnRfVHlwZXNdLnhtbFBLAQItABQABgAIAAAAIQA4/SH/1gAAAJQB&#10;AAALAAAAAAAAAAAAAAAAAC8BAABfcmVscy8ucmVsc1BLAQItABQABgAIAAAAIQBAT+01CQIAAPcD&#10;AAAOAAAAAAAAAAAAAAAAAC4CAABkcnMvZTJvRG9jLnhtbFBLAQItABQABgAIAAAAIQAqFzqa3wAA&#10;AAgBAAAPAAAAAAAAAAAAAAAAAGMEAABkcnMvZG93bnJldi54bWxQSwUGAAAAAAQABADzAAAAbwUA&#10;AAAA&#10;" stroked="f">
                <v:textbox inset="1mm,1mm,1mm,1mm">
                  <w:txbxContent>
                    <w:p w14:paraId="10B10A15" w14:textId="77777777" w:rsidR="00EA2A5B" w:rsidRPr="00FF25D5" w:rsidRDefault="00EA2A5B" w:rsidP="00A06B07">
                      <w:pPr>
                        <w:spacing w:after="120"/>
                        <w:jc w:val="center"/>
                        <w:rPr>
                          <w:rFonts w:asciiTheme="minorHAnsi" w:eastAsiaTheme="minorHAnsi" w:hAnsiTheme="minorHAnsi" w:cstheme="minorBidi"/>
                          <w:sz w:val="22"/>
                          <w:szCs w:val="22"/>
                        </w:rPr>
                      </w:pPr>
                      <w:r>
                        <w:rPr>
                          <w:rFonts w:ascii="Arial" w:hAnsi="Arial" w:cs="Arial"/>
                          <w:b/>
                          <w:bCs/>
                          <w:sz w:val="24"/>
                          <w:szCs w:val="24"/>
                        </w:rPr>
                        <w:t>Figure</w:t>
                      </w:r>
                      <w:r w:rsidRPr="006822A2">
                        <w:rPr>
                          <w:rFonts w:ascii="Arial" w:hAnsi="Arial" w:cs="Arial"/>
                          <w:b/>
                          <w:bCs/>
                          <w:sz w:val="24"/>
                          <w:szCs w:val="24"/>
                        </w:rPr>
                        <w:t xml:space="preserve"> 1</w:t>
                      </w:r>
                      <w:r>
                        <w:rPr>
                          <w:rFonts w:ascii="Arial" w:hAnsi="Arial" w:cs="Arial"/>
                          <w:b/>
                          <w:bCs/>
                          <w:sz w:val="24"/>
                          <w:szCs w:val="24"/>
                        </w:rPr>
                        <w:t>2</w:t>
                      </w:r>
                      <w:r w:rsidRPr="006822A2">
                        <w:rPr>
                          <w:rFonts w:ascii="Arial" w:hAnsi="Arial" w:cs="Arial"/>
                          <w:b/>
                          <w:bCs/>
                          <w:sz w:val="24"/>
                          <w:szCs w:val="24"/>
                        </w:rPr>
                        <w:t xml:space="preserve">. </w:t>
                      </w:r>
                      <w:r w:rsidRPr="000C1162">
                        <w:rPr>
                          <w:rFonts w:ascii="Arial" w:hAnsi="Arial" w:cs="Arial"/>
                          <w:b/>
                          <w:bCs/>
                          <w:sz w:val="24"/>
                          <w:szCs w:val="24"/>
                        </w:rPr>
                        <w:t xml:space="preserve">Structure of exported </w:t>
                      </w:r>
                      <w:r>
                        <w:rPr>
                          <w:rFonts w:ascii="Arial" w:hAnsi="Arial" w:cs="Arial"/>
                          <w:b/>
                          <w:bCs/>
                          <w:sz w:val="24"/>
                          <w:szCs w:val="24"/>
                        </w:rPr>
                        <w:t xml:space="preserve">commodities </w:t>
                      </w:r>
                      <w:r w:rsidRPr="000C1162">
                        <w:rPr>
                          <w:rFonts w:ascii="Arial" w:hAnsi="Arial" w:cs="Arial"/>
                          <w:b/>
                          <w:bCs/>
                          <w:sz w:val="24"/>
                          <w:szCs w:val="24"/>
                        </w:rPr>
                        <w:t xml:space="preserve">in </w:t>
                      </w:r>
                      <w:r>
                        <w:rPr>
                          <w:rFonts w:ascii="Arial" w:hAnsi="Arial" w:cs="Arial"/>
                          <w:b/>
                          <w:bCs/>
                          <w:sz w:val="24"/>
                          <w:szCs w:val="24"/>
                        </w:rPr>
                        <w:t>the 11 months</w:t>
                      </w:r>
                      <w:r w:rsidRPr="000C1162">
                        <w:rPr>
                          <w:rFonts w:ascii="Arial" w:hAnsi="Arial" w:cs="Arial"/>
                          <w:b/>
                          <w:bCs/>
                          <w:sz w:val="24"/>
                          <w:szCs w:val="24"/>
                        </w:rPr>
                        <w:t xml:space="preserve"> of 2025</w:t>
                      </w:r>
                    </w:p>
                    <w:p w14:paraId="72DC7628" w14:textId="77777777" w:rsidR="00EA2A5B" w:rsidRPr="00271B83" w:rsidRDefault="00EA2A5B" w:rsidP="00A06B07">
                      <w:pPr>
                        <w:spacing w:before="120" w:after="120"/>
                        <w:ind w:left="-142"/>
                        <w:jc w:val="center"/>
                        <w:rPr>
                          <w:rFonts w:ascii="Arial" w:hAnsi="Arial" w:cs="Arial"/>
                          <w:sz w:val="24"/>
                          <w:szCs w:val="24"/>
                        </w:rPr>
                      </w:pPr>
                      <w:r>
                        <w:rPr>
                          <w:noProof/>
                        </w:rPr>
                        <w:drawing>
                          <wp:inline distT="0" distB="0" distL="0" distR="0" wp14:anchorId="3DD1D74A" wp14:editId="363D0DBF">
                            <wp:extent cx="3209925" cy="20002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22960" cy="2008373"/>
                                    </a:xfrm>
                                    <a:prstGeom prst="rect">
                                      <a:avLst/>
                                    </a:prstGeom>
                                    <a:noFill/>
                                  </pic:spPr>
                                </pic:pic>
                              </a:graphicData>
                            </a:graphic>
                          </wp:inline>
                        </w:drawing>
                      </w:r>
                    </w:p>
                  </w:txbxContent>
                </v:textbox>
                <w10:wrap type="square"/>
              </v:shape>
            </w:pict>
          </mc:Fallback>
        </mc:AlternateContent>
      </w:r>
      <w:r w:rsidRPr="00E76B02">
        <w:t xml:space="preserve"> </w:t>
      </w:r>
      <w:r w:rsidRPr="00E76B02">
        <w:rPr>
          <w:i/>
          <w:spacing w:val="-2"/>
        </w:rPr>
        <w:t xml:space="preserve">Regarding the structure of exported commodities </w:t>
      </w:r>
      <w:r w:rsidR="0003748B">
        <w:rPr>
          <w:i/>
          <w:spacing w:val="-2"/>
        </w:rPr>
        <w:t xml:space="preserve">in </w:t>
      </w:r>
      <w:r w:rsidR="0075763C">
        <w:rPr>
          <w:i/>
          <w:spacing w:val="-2"/>
        </w:rPr>
        <w:t xml:space="preserve">the </w:t>
      </w:r>
      <w:r w:rsidR="0075763C" w:rsidRPr="00E76B02">
        <w:rPr>
          <w:i/>
          <w:spacing w:val="-2"/>
        </w:rPr>
        <w:t>eleven</w:t>
      </w:r>
      <w:r w:rsidRPr="00E76B02">
        <w:rPr>
          <w:i/>
          <w:spacing w:val="-2"/>
        </w:rPr>
        <w:t xml:space="preserve"> months of 2025</w:t>
      </w:r>
      <w:r w:rsidRPr="00E76B02">
        <w:rPr>
          <w:spacing w:val="-2"/>
        </w:rPr>
        <w:t>,</w:t>
      </w:r>
      <w:r w:rsidRPr="00E76B02">
        <w:rPr>
          <w:rFonts w:eastAsia="Batang"/>
          <w:bCs/>
          <w:spacing w:val="-2"/>
        </w:rPr>
        <w:t xml:space="preserve"> the group of manufactured products reached</w:t>
      </w:r>
      <w:r w:rsidRPr="00E76B02">
        <w:rPr>
          <w:spacing w:val="-2"/>
        </w:rPr>
        <w:t xml:space="preserve"> 381.72 billion USD, accounting for 88.7%; </w:t>
      </w:r>
      <w:r w:rsidRPr="00E76B02">
        <w:rPr>
          <w:rFonts w:eastAsia="Batang"/>
          <w:bCs/>
          <w:spacing w:val="-2"/>
        </w:rPr>
        <w:t>the group of agricultural and forestry products reached</w:t>
      </w:r>
      <w:r w:rsidRPr="00E76B02">
        <w:rPr>
          <w:spacing w:val="-2"/>
        </w:rPr>
        <w:t xml:space="preserve"> 35.58 billion USD, accounting for 8.3%; </w:t>
      </w:r>
      <w:r w:rsidRPr="00E76B02">
        <w:rPr>
          <w:rFonts w:eastAsia="Batang"/>
          <w:bCs/>
          <w:spacing w:val="-2"/>
        </w:rPr>
        <w:t>the group of fishing products recorded</w:t>
      </w:r>
      <w:r w:rsidRPr="00E76B02">
        <w:rPr>
          <w:spacing w:val="-2"/>
        </w:rPr>
        <w:t xml:space="preserve"> 10.32 billion USD, accounting for 2.4%; and </w:t>
      </w:r>
      <w:r w:rsidRPr="00E76B02">
        <w:rPr>
          <w:rFonts w:eastAsia="Batang"/>
          <w:bCs/>
          <w:spacing w:val="-2"/>
        </w:rPr>
        <w:t>the group of</w:t>
      </w:r>
      <w:r w:rsidRPr="00E76B02">
        <w:rPr>
          <w:spacing w:val="-2"/>
        </w:rPr>
        <w:t xml:space="preserve"> fuel and mineral products reached 2.52 billion USD, accounting for 0.6%.</w:t>
      </w:r>
    </w:p>
    <w:p w14:paraId="7C950B2E" w14:textId="77777777" w:rsidR="00A06B07" w:rsidRPr="00E76B02" w:rsidRDefault="00A06B07" w:rsidP="00A06B07">
      <w:pPr>
        <w:tabs>
          <w:tab w:val="left" w:pos="9475"/>
        </w:tabs>
        <w:spacing w:after="120" w:line="264" w:lineRule="auto"/>
        <w:ind w:right="6" w:firstLine="720"/>
        <w:jc w:val="both"/>
        <w:rPr>
          <w:rStyle w:val="Strong"/>
          <w:rFonts w:eastAsia="Calibri"/>
          <w:i/>
          <w:iCs/>
        </w:rPr>
      </w:pPr>
      <w:r w:rsidRPr="00E76B02">
        <w:rPr>
          <w:rStyle w:val="Strong"/>
          <w:rFonts w:eastAsia="Calibri"/>
          <w:i/>
          <w:iCs/>
        </w:rPr>
        <w:t>Import of goods</w:t>
      </w:r>
    </w:p>
    <w:p w14:paraId="7CDAE170" w14:textId="18BC0BFA" w:rsidR="00A06B07" w:rsidRPr="00E76B02" w:rsidRDefault="00EA2A5B" w:rsidP="00A06B07">
      <w:pPr>
        <w:tabs>
          <w:tab w:val="left" w:pos="9475"/>
        </w:tabs>
        <w:spacing w:after="120" w:line="264" w:lineRule="auto"/>
        <w:ind w:right="6" w:firstLine="720"/>
        <w:jc w:val="both"/>
        <w:rPr>
          <w:bCs/>
        </w:rPr>
      </w:pPr>
      <w:bookmarkStart w:id="8" w:name="_Hlk213089943"/>
      <w:r>
        <w:rPr>
          <w:bCs/>
        </w:rPr>
        <w:t>The i</w:t>
      </w:r>
      <w:r w:rsidRPr="00E76B02">
        <w:rPr>
          <w:bCs/>
        </w:rPr>
        <w:t xml:space="preserve">mport </w:t>
      </w:r>
      <w:r w:rsidR="00A06B07" w:rsidRPr="00E76B02">
        <w:rPr>
          <w:bCs/>
        </w:rPr>
        <w:t>turnover of goods in October 2025 preliminarily reached 39.45 billion USD</w:t>
      </w:r>
      <w:r w:rsidR="00A06B07" w:rsidRPr="00E76B02">
        <w:rPr>
          <w:rStyle w:val="FootnoteReference"/>
          <w:bCs/>
        </w:rPr>
        <w:footnoteReference w:id="23"/>
      </w:r>
      <w:bookmarkEnd w:id="8"/>
      <w:r w:rsidR="00A06B07" w:rsidRPr="00E76B02">
        <w:rPr>
          <w:bCs/>
        </w:rPr>
        <w:t xml:space="preserve">. </w:t>
      </w:r>
    </w:p>
    <w:p w14:paraId="74077E18" w14:textId="2F34C2D8" w:rsidR="00A06B07" w:rsidRPr="00E76B02" w:rsidRDefault="00A06B07" w:rsidP="00A06B07">
      <w:pPr>
        <w:tabs>
          <w:tab w:val="left" w:pos="9475"/>
        </w:tabs>
        <w:spacing w:after="120" w:line="264" w:lineRule="auto"/>
        <w:ind w:right="6" w:firstLine="720"/>
        <w:jc w:val="both"/>
        <w:rPr>
          <w:bCs/>
        </w:rPr>
      </w:pPr>
      <w:r w:rsidRPr="00E76B02">
        <w:rPr>
          <w:bCs/>
        </w:rPr>
        <w:t xml:space="preserve">The import turnover of goods in November 2025 reached 37.98 billion USD, </w:t>
      </w:r>
      <w:r w:rsidRPr="00E76B02">
        <w:rPr>
          <w:bCs/>
          <w:spacing w:val="-2"/>
        </w:rPr>
        <w:t>decreasing by</w:t>
      </w:r>
      <w:r w:rsidRPr="00E76B02">
        <w:rPr>
          <w:bCs/>
        </w:rPr>
        <w:t xml:space="preserve"> 3.7% compared to the previous month. Of which, the domestic economic sector </w:t>
      </w:r>
      <w:r w:rsidRPr="00E76B02">
        <w:rPr>
          <w:bCs/>
          <w:spacing w:val="-2"/>
        </w:rPr>
        <w:t>gained</w:t>
      </w:r>
      <w:r w:rsidRPr="00E76B02">
        <w:rPr>
          <w:bCs/>
        </w:rPr>
        <w:t xml:space="preserve"> 11.34 billion USD, </w:t>
      </w:r>
      <w:r w:rsidR="00EA2A5B">
        <w:rPr>
          <w:bCs/>
        </w:rPr>
        <w:t>decreasing by</w:t>
      </w:r>
      <w:r w:rsidRPr="00E76B02">
        <w:rPr>
          <w:bCs/>
        </w:rPr>
        <w:t xml:space="preserve"> 0.4%; while the FDI sector reached 26.64 billion USD, </w:t>
      </w:r>
      <w:r w:rsidRPr="00E76B02">
        <w:t>falling by</w:t>
      </w:r>
      <w:r w:rsidRPr="00E76B02">
        <w:rPr>
          <w:bCs/>
        </w:rPr>
        <w:t xml:space="preserve"> 5.1%. Compared to the same period last year, the import turnover of goods in November increased by 16.0%, </w:t>
      </w:r>
      <w:r w:rsidR="00CC62E3">
        <w:rPr>
          <w:bCs/>
        </w:rPr>
        <w:t xml:space="preserve">of </w:t>
      </w:r>
      <w:r w:rsidR="00CC62E3" w:rsidRPr="00E76B02">
        <w:rPr>
          <w:bCs/>
        </w:rPr>
        <w:t>w</w:t>
      </w:r>
      <w:r w:rsidR="00CC62E3">
        <w:rPr>
          <w:bCs/>
        </w:rPr>
        <w:t>h</w:t>
      </w:r>
      <w:r w:rsidR="00CC62E3" w:rsidRPr="00E76B02">
        <w:rPr>
          <w:bCs/>
        </w:rPr>
        <w:t>i</w:t>
      </w:r>
      <w:r w:rsidR="00CC62E3">
        <w:rPr>
          <w:bCs/>
        </w:rPr>
        <w:t>c</w:t>
      </w:r>
      <w:r w:rsidR="00CC62E3" w:rsidRPr="00E76B02">
        <w:rPr>
          <w:bCs/>
        </w:rPr>
        <w:t xml:space="preserve">h </w:t>
      </w:r>
      <w:r w:rsidRPr="00E76B02">
        <w:rPr>
          <w:bCs/>
        </w:rPr>
        <w:t xml:space="preserve">the domestic economic sector </w:t>
      </w:r>
      <w:r w:rsidR="00CC62E3" w:rsidRPr="00E76B02">
        <w:rPr>
          <w:bCs/>
        </w:rPr>
        <w:t>decreas</w:t>
      </w:r>
      <w:r w:rsidR="00CC62E3">
        <w:rPr>
          <w:bCs/>
        </w:rPr>
        <w:t>ed</w:t>
      </w:r>
      <w:r w:rsidR="00CC62E3" w:rsidRPr="00E76B02">
        <w:rPr>
          <w:bCs/>
        </w:rPr>
        <w:t xml:space="preserve"> </w:t>
      </w:r>
      <w:r w:rsidRPr="00E76B02">
        <w:rPr>
          <w:bCs/>
        </w:rPr>
        <w:t xml:space="preserve">by 8.8% and the FDI sector </w:t>
      </w:r>
      <w:r w:rsidR="00CC62E3" w:rsidRPr="00E76B02">
        <w:rPr>
          <w:bCs/>
        </w:rPr>
        <w:t>increas</w:t>
      </w:r>
      <w:r w:rsidR="00CC62E3">
        <w:rPr>
          <w:bCs/>
        </w:rPr>
        <w:t>ed</w:t>
      </w:r>
      <w:r w:rsidR="00CC62E3" w:rsidRPr="00E76B02">
        <w:rPr>
          <w:bCs/>
        </w:rPr>
        <w:t xml:space="preserve"> </w:t>
      </w:r>
      <w:r w:rsidRPr="00E76B02">
        <w:rPr>
          <w:bCs/>
        </w:rPr>
        <w:t>by 31.2%.</w:t>
      </w:r>
    </w:p>
    <w:p w14:paraId="5E7D5B06" w14:textId="16239311" w:rsidR="00A06B07" w:rsidRPr="00E76B02" w:rsidRDefault="00A06B07" w:rsidP="00A06B07">
      <w:pPr>
        <w:tabs>
          <w:tab w:val="left" w:pos="9475"/>
        </w:tabs>
        <w:spacing w:after="120" w:line="264" w:lineRule="auto"/>
        <w:ind w:right="6" w:firstLine="720"/>
        <w:jc w:val="both"/>
        <w:rPr>
          <w:bCs/>
        </w:rPr>
      </w:pPr>
      <w:r w:rsidRPr="00E76B02">
        <w:rPr>
          <w:bCs/>
        </w:rPr>
        <w:t xml:space="preserve">Generally, </w:t>
      </w:r>
      <w:r w:rsidR="0003748B">
        <w:rPr>
          <w:bCs/>
        </w:rPr>
        <w:t>for the</w:t>
      </w:r>
      <w:r w:rsidRPr="00E76B02">
        <w:rPr>
          <w:bCs/>
        </w:rPr>
        <w:t xml:space="preserve"> eleven months of 2025, the import turnover of goods was estimated at 409.61 billion USD, an increase of 18.4% year-on-year, of which the domestic economic sector reached 128.40 billion USD, going up 1.7%; and the FDI sector reached 281.21 billion USD, </w:t>
      </w:r>
      <w:r w:rsidRPr="00E76B02">
        <w:t>rising by</w:t>
      </w:r>
      <w:r w:rsidRPr="00E76B02">
        <w:rPr>
          <w:bCs/>
        </w:rPr>
        <w:t xml:space="preserve"> 28.0%.</w:t>
      </w:r>
    </w:p>
    <w:p w14:paraId="0A19DC36" w14:textId="6DCDA84C" w:rsidR="00A06B07" w:rsidRPr="00E76B02" w:rsidRDefault="00A06B07" w:rsidP="00A06B07">
      <w:pPr>
        <w:tabs>
          <w:tab w:val="left" w:pos="9475"/>
        </w:tabs>
        <w:spacing w:after="120" w:line="264" w:lineRule="auto"/>
        <w:ind w:right="6" w:firstLine="720"/>
        <w:jc w:val="both"/>
        <w:rPr>
          <w:rStyle w:val="Strong"/>
          <w:rFonts w:asciiTheme="minorHAnsi" w:eastAsiaTheme="minorHAnsi" w:hAnsiTheme="minorHAnsi" w:cstheme="minorBidi"/>
          <w:b w:val="0"/>
          <w:bCs w:val="0"/>
          <w:spacing w:val="-2"/>
          <w:sz w:val="22"/>
          <w:szCs w:val="22"/>
        </w:rPr>
      </w:pPr>
      <w:r w:rsidRPr="00E76B02">
        <w:rPr>
          <w:bCs/>
          <w:spacing w:val="-2"/>
        </w:rPr>
        <w:t xml:space="preserve">In </w:t>
      </w:r>
      <w:r w:rsidR="0003748B">
        <w:rPr>
          <w:bCs/>
          <w:spacing w:val="-2"/>
        </w:rPr>
        <w:t xml:space="preserve">the </w:t>
      </w:r>
      <w:r w:rsidRPr="00E76B02">
        <w:rPr>
          <w:bCs/>
          <w:spacing w:val="-2"/>
        </w:rPr>
        <w:t>eleven months of 2025, there were 47 imported commodities with a value exceeding 1 billion USD, accounting for 93.9% of total import turnover (</w:t>
      </w:r>
      <w:r w:rsidR="00C03D74" w:rsidRPr="00E76B02">
        <w:rPr>
          <w:bCs/>
          <w:spacing w:val="-2"/>
        </w:rPr>
        <w:t xml:space="preserve">there were </w:t>
      </w:r>
      <w:r w:rsidRPr="00E76B02">
        <w:rPr>
          <w:bCs/>
          <w:spacing w:val="-2"/>
        </w:rPr>
        <w:t>6 commodities with import value over 10 billion USD, accounting for 57.7%).</w:t>
      </w:r>
    </w:p>
    <w:p w14:paraId="1D21ADBB" w14:textId="05BE6380" w:rsidR="00A06B07" w:rsidRPr="00E76B02" w:rsidRDefault="00A06B07" w:rsidP="00A06B07">
      <w:pPr>
        <w:tabs>
          <w:tab w:val="left" w:pos="9475"/>
        </w:tabs>
        <w:spacing w:before="40" w:after="40" w:line="288" w:lineRule="auto"/>
        <w:ind w:right="6"/>
        <w:jc w:val="center"/>
        <w:rPr>
          <w:rFonts w:ascii="Arial" w:hAnsi="Arial" w:cs="Arial"/>
          <w:b/>
          <w:bCs/>
          <w:sz w:val="8"/>
          <w:szCs w:val="24"/>
        </w:rPr>
      </w:pPr>
      <w:r w:rsidRPr="00E76B02">
        <w:rPr>
          <w:rFonts w:ascii="Arial" w:hAnsi="Arial" w:cs="Arial"/>
          <w:b/>
          <w:spacing w:val="-2"/>
          <w:sz w:val="24"/>
          <w:szCs w:val="20"/>
        </w:rPr>
        <w:t xml:space="preserve">Table 5. </w:t>
      </w:r>
      <w:r w:rsidR="00C03D74">
        <w:rPr>
          <w:rFonts w:ascii="Arial" w:hAnsi="Arial" w:cs="Arial"/>
          <w:b/>
          <w:spacing w:val="-2"/>
          <w:sz w:val="24"/>
          <w:szCs w:val="20"/>
        </w:rPr>
        <w:t>V</w:t>
      </w:r>
      <w:r w:rsidR="00C03D74" w:rsidRPr="00E76B02">
        <w:rPr>
          <w:rFonts w:ascii="Arial" w:hAnsi="Arial" w:cs="Arial"/>
          <w:b/>
          <w:spacing w:val="-2"/>
          <w:sz w:val="24"/>
          <w:szCs w:val="20"/>
        </w:rPr>
        <w:t xml:space="preserve">alue </w:t>
      </w:r>
      <w:r w:rsidRPr="00E76B02">
        <w:rPr>
          <w:rFonts w:ascii="Arial" w:hAnsi="Arial" w:cs="Arial"/>
          <w:b/>
          <w:spacing w:val="-2"/>
          <w:sz w:val="24"/>
          <w:szCs w:val="20"/>
        </w:rPr>
        <w:t xml:space="preserve">of some </w:t>
      </w:r>
      <w:r w:rsidR="00C03D74">
        <w:rPr>
          <w:rFonts w:ascii="Arial" w:hAnsi="Arial" w:cs="Arial"/>
          <w:b/>
          <w:spacing w:val="-2"/>
          <w:sz w:val="24"/>
          <w:szCs w:val="20"/>
        </w:rPr>
        <w:t>i</w:t>
      </w:r>
      <w:r w:rsidR="00C03D74" w:rsidRPr="00E76B02">
        <w:rPr>
          <w:rFonts w:ascii="Arial" w:hAnsi="Arial" w:cs="Arial"/>
          <w:b/>
          <w:spacing w:val="-2"/>
          <w:sz w:val="24"/>
          <w:szCs w:val="20"/>
        </w:rPr>
        <w:t xml:space="preserve">mport </w:t>
      </w:r>
      <w:r w:rsidRPr="00E76B02">
        <w:rPr>
          <w:rFonts w:ascii="Arial" w:hAnsi="Arial" w:cs="Arial"/>
          <w:b/>
          <w:spacing w:val="-2"/>
          <w:sz w:val="24"/>
          <w:szCs w:val="20"/>
        </w:rPr>
        <w:t xml:space="preserve">commodities in </w:t>
      </w:r>
      <w:r w:rsidR="0003748B">
        <w:rPr>
          <w:rFonts w:ascii="Arial" w:hAnsi="Arial" w:cs="Arial"/>
          <w:b/>
          <w:spacing w:val="-2"/>
          <w:sz w:val="24"/>
          <w:szCs w:val="20"/>
        </w:rPr>
        <w:t xml:space="preserve">the </w:t>
      </w:r>
      <w:r w:rsidRPr="00E76B02">
        <w:rPr>
          <w:rFonts w:ascii="Arial" w:hAnsi="Arial" w:cs="Arial"/>
          <w:b/>
          <w:spacing w:val="-2"/>
          <w:sz w:val="24"/>
          <w:szCs w:val="20"/>
        </w:rPr>
        <w:t>11 months of 2025</w:t>
      </w:r>
    </w:p>
    <w:tbl>
      <w:tblPr>
        <w:tblStyle w:val="TableGrid"/>
        <w:tblW w:w="0" w:type="auto"/>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5"/>
        <w:gridCol w:w="1842"/>
        <w:gridCol w:w="2552"/>
      </w:tblGrid>
      <w:tr w:rsidR="00A06B07" w:rsidRPr="00E76B02" w14:paraId="48696AEB" w14:textId="77777777" w:rsidTr="00E76B02">
        <w:trPr>
          <w:jc w:val="center"/>
        </w:trPr>
        <w:tc>
          <w:tcPr>
            <w:tcW w:w="4395" w:type="dxa"/>
          </w:tcPr>
          <w:p w14:paraId="3012958F" w14:textId="77777777" w:rsidR="00A06B07" w:rsidRPr="00E76B02" w:rsidRDefault="00A06B07" w:rsidP="00E76B02">
            <w:pPr>
              <w:tabs>
                <w:tab w:val="num" w:pos="0"/>
                <w:tab w:val="left" w:pos="9475"/>
              </w:tabs>
              <w:spacing w:before="40" w:after="40"/>
              <w:ind w:right="119" w:firstLine="567"/>
              <w:jc w:val="both"/>
              <w:rPr>
                <w:rFonts w:ascii="Arial" w:hAnsi="Arial" w:cs="Arial"/>
                <w:b/>
                <w:bCs/>
                <w:i/>
                <w:iCs/>
                <w:sz w:val="20"/>
                <w:szCs w:val="20"/>
                <w:lang w:val="en-US"/>
              </w:rPr>
            </w:pPr>
            <w:r w:rsidRPr="00E76B02">
              <w:rPr>
                <w:rFonts w:ascii="Arial" w:hAnsi="Arial" w:cs="Arial"/>
                <w:b/>
                <w:bCs/>
                <w:i/>
                <w:iCs/>
                <w:sz w:val="20"/>
                <w:szCs w:val="20"/>
                <w:lang w:val="en-US"/>
              </w:rPr>
              <w:lastRenderedPageBreak/>
              <w:t xml:space="preserve"> </w:t>
            </w:r>
          </w:p>
        </w:tc>
        <w:tc>
          <w:tcPr>
            <w:tcW w:w="1842" w:type="dxa"/>
            <w:tcBorders>
              <w:top w:val="single" w:sz="4" w:space="0" w:color="auto"/>
              <w:bottom w:val="single" w:sz="4" w:space="0" w:color="auto"/>
            </w:tcBorders>
          </w:tcPr>
          <w:p w14:paraId="54005262" w14:textId="77777777" w:rsidR="00A06B07" w:rsidRPr="00E76B02" w:rsidRDefault="00A06B07" w:rsidP="00E76B02">
            <w:pPr>
              <w:spacing w:before="40" w:after="40"/>
              <w:ind w:firstLine="31"/>
              <w:jc w:val="center"/>
              <w:rPr>
                <w:rFonts w:ascii="Arial" w:hAnsi="Arial" w:cs="Arial"/>
                <w:sz w:val="20"/>
                <w:szCs w:val="20"/>
                <w:lang w:val="en-US"/>
              </w:rPr>
            </w:pPr>
            <w:r w:rsidRPr="00E76B02">
              <w:rPr>
                <w:rFonts w:ascii="Arial" w:hAnsi="Arial" w:cs="Arial"/>
                <w:sz w:val="20"/>
                <w:szCs w:val="20"/>
                <w:lang w:val="en-US"/>
              </w:rPr>
              <w:t>Value</w:t>
            </w:r>
          </w:p>
          <w:p w14:paraId="2B6565BA" w14:textId="77777777" w:rsidR="00A06B07" w:rsidRPr="00E76B02" w:rsidRDefault="00A06B07" w:rsidP="00E76B02">
            <w:pPr>
              <w:spacing w:before="40" w:after="40"/>
              <w:ind w:firstLine="31"/>
              <w:jc w:val="center"/>
              <w:rPr>
                <w:rFonts w:ascii="Arial" w:hAnsi="Arial" w:cs="Arial"/>
                <w:b/>
                <w:bCs/>
                <w:i/>
                <w:iCs/>
                <w:sz w:val="20"/>
                <w:szCs w:val="20"/>
                <w:lang w:val="en-US"/>
              </w:rPr>
            </w:pPr>
            <w:r w:rsidRPr="00E76B02">
              <w:rPr>
                <w:rFonts w:ascii="Arial" w:hAnsi="Arial" w:cs="Arial"/>
                <w:sz w:val="20"/>
                <w:szCs w:val="20"/>
                <w:lang w:val="en-US"/>
              </w:rPr>
              <w:t>(Mill. USD)</w:t>
            </w:r>
          </w:p>
        </w:tc>
        <w:tc>
          <w:tcPr>
            <w:tcW w:w="2552" w:type="dxa"/>
            <w:tcBorders>
              <w:top w:val="single" w:sz="4" w:space="0" w:color="auto"/>
              <w:bottom w:val="single" w:sz="4" w:space="0" w:color="auto"/>
            </w:tcBorders>
          </w:tcPr>
          <w:p w14:paraId="6BFC482A" w14:textId="77777777" w:rsidR="00A06B07" w:rsidRPr="00E76B02" w:rsidRDefault="00A06B07" w:rsidP="00E76B02">
            <w:pPr>
              <w:spacing w:before="40" w:after="40"/>
              <w:jc w:val="center"/>
              <w:rPr>
                <w:rFonts w:ascii="Arial" w:hAnsi="Arial" w:cs="Arial"/>
                <w:b/>
                <w:bCs/>
                <w:i/>
                <w:iCs/>
                <w:sz w:val="20"/>
                <w:szCs w:val="20"/>
                <w:lang w:val="en-US"/>
              </w:rPr>
            </w:pPr>
            <w:r w:rsidRPr="00E76B02">
              <w:rPr>
                <w:rFonts w:ascii="Arial" w:hAnsi="Arial" w:cs="Arial"/>
                <w:sz w:val="20"/>
                <w:szCs w:val="20"/>
                <w:lang w:val="en-US"/>
              </w:rPr>
              <w:t>Year-on-year growth rate (%)</w:t>
            </w:r>
          </w:p>
        </w:tc>
      </w:tr>
      <w:tr w:rsidR="00A06B07" w:rsidRPr="00E76B02" w14:paraId="754C742B" w14:textId="77777777" w:rsidTr="00E76B02">
        <w:tblPrEx>
          <w:tblBorders>
            <w:bottom w:val="none" w:sz="0" w:space="0" w:color="auto"/>
          </w:tblBorders>
        </w:tblPrEx>
        <w:trPr>
          <w:trHeight w:val="394"/>
          <w:jc w:val="center"/>
        </w:trPr>
        <w:tc>
          <w:tcPr>
            <w:tcW w:w="4395" w:type="dxa"/>
            <w:vAlign w:val="bottom"/>
          </w:tcPr>
          <w:p w14:paraId="0F37965C" w14:textId="77777777" w:rsidR="00A06B07" w:rsidRPr="00E76B02" w:rsidRDefault="00A06B07" w:rsidP="00E76B02">
            <w:pPr>
              <w:spacing w:before="40" w:after="40"/>
              <w:jc w:val="both"/>
              <w:rPr>
                <w:rFonts w:ascii="Arial" w:hAnsi="Arial" w:cs="Arial"/>
                <w:b/>
                <w:bCs/>
                <w:sz w:val="20"/>
                <w:szCs w:val="20"/>
                <w:lang w:val="en-US"/>
              </w:rPr>
            </w:pPr>
            <w:r w:rsidRPr="00E76B02">
              <w:rPr>
                <w:rFonts w:ascii="Arial" w:hAnsi="Arial" w:cs="Arial"/>
                <w:b/>
                <w:bCs/>
                <w:sz w:val="20"/>
                <w:szCs w:val="20"/>
                <w:lang w:val="en-US"/>
              </w:rPr>
              <w:t>Commodities with import value of over 10 billion USD</w:t>
            </w:r>
          </w:p>
        </w:tc>
        <w:tc>
          <w:tcPr>
            <w:tcW w:w="1842" w:type="dxa"/>
            <w:tcBorders>
              <w:top w:val="single" w:sz="4" w:space="0" w:color="auto"/>
            </w:tcBorders>
          </w:tcPr>
          <w:p w14:paraId="62900ADB" w14:textId="77777777" w:rsidR="00A06B07" w:rsidRPr="00E76B02" w:rsidRDefault="00A06B07" w:rsidP="00E76B02">
            <w:pPr>
              <w:tabs>
                <w:tab w:val="num" w:pos="0"/>
                <w:tab w:val="left" w:pos="9475"/>
              </w:tabs>
              <w:spacing w:before="40" w:after="40"/>
              <w:ind w:right="119" w:firstLine="567"/>
              <w:jc w:val="both"/>
              <w:rPr>
                <w:rFonts w:ascii="Arial" w:hAnsi="Arial" w:cs="Arial"/>
                <w:b/>
                <w:bCs/>
                <w:i/>
                <w:iCs/>
                <w:sz w:val="20"/>
                <w:szCs w:val="20"/>
                <w:lang w:val="en-US"/>
              </w:rPr>
            </w:pPr>
          </w:p>
        </w:tc>
        <w:tc>
          <w:tcPr>
            <w:tcW w:w="2552" w:type="dxa"/>
            <w:tcBorders>
              <w:top w:val="single" w:sz="4" w:space="0" w:color="auto"/>
            </w:tcBorders>
          </w:tcPr>
          <w:p w14:paraId="4AFD5FAE" w14:textId="77777777" w:rsidR="00A06B07" w:rsidRPr="00E76B02" w:rsidRDefault="00A06B07" w:rsidP="00E76B02">
            <w:pPr>
              <w:tabs>
                <w:tab w:val="num" w:pos="0"/>
                <w:tab w:val="left" w:pos="9475"/>
              </w:tabs>
              <w:spacing w:before="40" w:after="40"/>
              <w:ind w:right="119" w:firstLine="567"/>
              <w:jc w:val="both"/>
              <w:rPr>
                <w:rFonts w:ascii="Arial" w:hAnsi="Arial" w:cs="Arial"/>
                <w:b/>
                <w:bCs/>
                <w:i/>
                <w:iCs/>
                <w:sz w:val="20"/>
                <w:szCs w:val="20"/>
                <w:lang w:val="en-US"/>
              </w:rPr>
            </w:pPr>
          </w:p>
        </w:tc>
      </w:tr>
      <w:tr w:rsidR="00A06B07" w:rsidRPr="00E76B02" w14:paraId="3FC5B37F" w14:textId="77777777" w:rsidTr="00E76B02">
        <w:trPr>
          <w:jc w:val="center"/>
        </w:trPr>
        <w:tc>
          <w:tcPr>
            <w:tcW w:w="4395" w:type="dxa"/>
            <w:vAlign w:val="bottom"/>
          </w:tcPr>
          <w:p w14:paraId="11118D49" w14:textId="77777777" w:rsidR="00A06B07" w:rsidRPr="00E76B02" w:rsidRDefault="00A06B07" w:rsidP="00E76B02">
            <w:pPr>
              <w:spacing w:before="40" w:after="40"/>
              <w:jc w:val="both"/>
              <w:rPr>
                <w:rFonts w:ascii="Arial" w:hAnsi="Arial" w:cs="Arial"/>
                <w:sz w:val="20"/>
                <w:szCs w:val="20"/>
                <w:lang w:val="en-US"/>
              </w:rPr>
            </w:pPr>
            <w:r w:rsidRPr="00E76B02">
              <w:rPr>
                <w:rFonts w:ascii="Arial" w:hAnsi="Arial" w:cs="Arial"/>
                <w:sz w:val="20"/>
                <w:szCs w:val="20"/>
                <w:lang w:val="en-US"/>
              </w:rPr>
              <w:t>Electronic goods, computers and their parts</w:t>
            </w:r>
          </w:p>
        </w:tc>
        <w:tc>
          <w:tcPr>
            <w:tcW w:w="1842" w:type="dxa"/>
            <w:vAlign w:val="bottom"/>
          </w:tcPr>
          <w:p w14:paraId="6965E024" w14:textId="77777777" w:rsidR="00A06B07" w:rsidRPr="00E76B02" w:rsidRDefault="00A06B07" w:rsidP="00E76B02">
            <w:pPr>
              <w:spacing w:before="40" w:after="40"/>
              <w:ind w:right="319" w:firstLine="567"/>
              <w:jc w:val="right"/>
              <w:rPr>
                <w:rFonts w:ascii="Arial" w:hAnsi="Arial" w:cs="Arial"/>
                <w:sz w:val="20"/>
                <w:szCs w:val="20"/>
                <w:lang w:val="en-US"/>
              </w:rPr>
            </w:pPr>
            <w:r w:rsidRPr="00E76B02">
              <w:rPr>
                <w:rFonts w:ascii="Arial" w:hAnsi="Arial" w:cs="Arial"/>
                <w:sz w:val="20"/>
                <w:szCs w:val="20"/>
                <w:lang w:val="en-US"/>
              </w:rPr>
              <w:t>136,167</w:t>
            </w:r>
          </w:p>
        </w:tc>
        <w:tc>
          <w:tcPr>
            <w:tcW w:w="2552" w:type="dxa"/>
            <w:vAlign w:val="bottom"/>
          </w:tcPr>
          <w:p w14:paraId="0454AEE1" w14:textId="77777777" w:rsidR="00A06B07" w:rsidRPr="00E76B02" w:rsidRDefault="00A06B07" w:rsidP="00E76B02">
            <w:pPr>
              <w:spacing w:before="40" w:after="40"/>
              <w:ind w:right="880" w:firstLine="567"/>
              <w:jc w:val="right"/>
              <w:rPr>
                <w:rFonts w:ascii="Arial" w:hAnsi="Arial" w:cs="Arial"/>
                <w:sz w:val="20"/>
                <w:szCs w:val="20"/>
                <w:lang w:val="en-US"/>
              </w:rPr>
            </w:pPr>
            <w:r w:rsidRPr="00E76B02">
              <w:rPr>
                <w:rFonts w:ascii="Arial" w:hAnsi="Arial" w:cs="Arial"/>
                <w:sz w:val="20"/>
                <w:szCs w:val="20"/>
                <w:lang w:val="en-US"/>
              </w:rPr>
              <w:t>39.2</w:t>
            </w:r>
          </w:p>
        </w:tc>
      </w:tr>
      <w:tr w:rsidR="00A06B07" w:rsidRPr="00E76B02" w14:paraId="703753A2" w14:textId="77777777" w:rsidTr="00E76B02">
        <w:trPr>
          <w:jc w:val="center"/>
        </w:trPr>
        <w:tc>
          <w:tcPr>
            <w:tcW w:w="4395" w:type="dxa"/>
            <w:vAlign w:val="bottom"/>
          </w:tcPr>
          <w:p w14:paraId="1E83ED19" w14:textId="77777777" w:rsidR="00A06B07" w:rsidRPr="00E76B02" w:rsidRDefault="00A06B07" w:rsidP="00E76B02">
            <w:pPr>
              <w:spacing w:before="40" w:after="40"/>
              <w:jc w:val="both"/>
              <w:rPr>
                <w:rFonts w:ascii="Arial" w:hAnsi="Arial" w:cs="Arial"/>
                <w:sz w:val="20"/>
                <w:szCs w:val="20"/>
                <w:lang w:val="en-US"/>
              </w:rPr>
            </w:pPr>
            <w:r w:rsidRPr="00E76B02">
              <w:rPr>
                <w:rFonts w:ascii="Arial" w:hAnsi="Arial" w:cs="Arial"/>
                <w:sz w:val="20"/>
                <w:szCs w:val="20"/>
                <w:lang w:val="en-US"/>
              </w:rPr>
              <w:t>Machinery, instruments and accessories</w:t>
            </w:r>
          </w:p>
        </w:tc>
        <w:tc>
          <w:tcPr>
            <w:tcW w:w="1842" w:type="dxa"/>
            <w:vAlign w:val="bottom"/>
          </w:tcPr>
          <w:p w14:paraId="462BA961" w14:textId="77777777" w:rsidR="00A06B07" w:rsidRPr="00E76B02" w:rsidRDefault="00A06B07" w:rsidP="00E76B02">
            <w:pPr>
              <w:spacing w:before="40" w:after="40"/>
              <w:ind w:right="319" w:firstLine="567"/>
              <w:jc w:val="right"/>
              <w:rPr>
                <w:rFonts w:ascii="Arial" w:hAnsi="Arial" w:cs="Arial"/>
                <w:sz w:val="20"/>
                <w:szCs w:val="20"/>
                <w:lang w:val="en-US"/>
              </w:rPr>
            </w:pPr>
            <w:r w:rsidRPr="00E76B02">
              <w:rPr>
                <w:rFonts w:ascii="Arial" w:hAnsi="Arial" w:cs="Arial"/>
                <w:sz w:val="20"/>
                <w:szCs w:val="20"/>
                <w:lang w:val="en-US"/>
              </w:rPr>
              <w:t>54,752</w:t>
            </w:r>
          </w:p>
        </w:tc>
        <w:tc>
          <w:tcPr>
            <w:tcW w:w="2552" w:type="dxa"/>
            <w:vAlign w:val="bottom"/>
          </w:tcPr>
          <w:p w14:paraId="140DCB27" w14:textId="77777777" w:rsidR="00A06B07" w:rsidRPr="00E76B02" w:rsidRDefault="00A06B07" w:rsidP="00E76B02">
            <w:pPr>
              <w:spacing w:before="40" w:after="40"/>
              <w:ind w:right="880" w:firstLine="567"/>
              <w:jc w:val="right"/>
              <w:rPr>
                <w:rFonts w:ascii="Arial" w:hAnsi="Arial" w:cs="Arial"/>
                <w:sz w:val="20"/>
                <w:szCs w:val="20"/>
                <w:lang w:val="en-US"/>
              </w:rPr>
            </w:pPr>
            <w:r w:rsidRPr="00E76B02">
              <w:rPr>
                <w:rFonts w:ascii="Arial" w:hAnsi="Arial" w:cs="Arial"/>
                <w:sz w:val="20"/>
                <w:szCs w:val="20"/>
                <w:lang w:val="en-US"/>
              </w:rPr>
              <w:t>23.8</w:t>
            </w:r>
          </w:p>
        </w:tc>
      </w:tr>
      <w:tr w:rsidR="00A06B07" w:rsidRPr="00E76B02" w14:paraId="13926A78" w14:textId="77777777" w:rsidTr="00E76B02">
        <w:trPr>
          <w:jc w:val="center"/>
        </w:trPr>
        <w:tc>
          <w:tcPr>
            <w:tcW w:w="4395" w:type="dxa"/>
            <w:vAlign w:val="bottom"/>
          </w:tcPr>
          <w:p w14:paraId="15905E19" w14:textId="77777777" w:rsidR="00A06B07" w:rsidRPr="00E76B02" w:rsidRDefault="00A06B07" w:rsidP="00E76B02">
            <w:pPr>
              <w:spacing w:before="40" w:after="40"/>
              <w:jc w:val="both"/>
              <w:rPr>
                <w:rFonts w:ascii="Arial" w:hAnsi="Arial" w:cs="Arial"/>
                <w:sz w:val="20"/>
                <w:szCs w:val="20"/>
                <w:lang w:val="en-US"/>
              </w:rPr>
            </w:pPr>
            <w:r w:rsidRPr="00E76B02">
              <w:rPr>
                <w:rFonts w:ascii="Arial" w:hAnsi="Arial" w:cs="Arial"/>
                <w:sz w:val="20"/>
                <w:szCs w:val="20"/>
                <w:lang w:val="en-US"/>
              </w:rPr>
              <w:t>Fabrics</w:t>
            </w:r>
          </w:p>
        </w:tc>
        <w:tc>
          <w:tcPr>
            <w:tcW w:w="1842" w:type="dxa"/>
            <w:vAlign w:val="bottom"/>
          </w:tcPr>
          <w:p w14:paraId="5E769C74" w14:textId="77777777" w:rsidR="00A06B07" w:rsidRPr="00E76B02" w:rsidRDefault="00A06B07" w:rsidP="00E76B02">
            <w:pPr>
              <w:spacing w:before="40" w:after="40"/>
              <w:ind w:right="319" w:firstLine="567"/>
              <w:jc w:val="right"/>
              <w:rPr>
                <w:rFonts w:ascii="Arial" w:hAnsi="Arial" w:cs="Arial"/>
                <w:sz w:val="20"/>
                <w:szCs w:val="20"/>
                <w:lang w:val="en-US"/>
              </w:rPr>
            </w:pPr>
            <w:r w:rsidRPr="00E76B02">
              <w:rPr>
                <w:rFonts w:ascii="Arial" w:hAnsi="Arial" w:cs="Arial"/>
                <w:sz w:val="20"/>
                <w:szCs w:val="20"/>
                <w:lang w:val="en-US"/>
              </w:rPr>
              <w:t>13,763</w:t>
            </w:r>
          </w:p>
        </w:tc>
        <w:tc>
          <w:tcPr>
            <w:tcW w:w="2552" w:type="dxa"/>
            <w:vAlign w:val="bottom"/>
          </w:tcPr>
          <w:p w14:paraId="075CF0E6" w14:textId="77777777" w:rsidR="00A06B07" w:rsidRPr="00E76B02" w:rsidRDefault="00A06B07" w:rsidP="00E76B02">
            <w:pPr>
              <w:spacing w:before="40" w:after="40"/>
              <w:ind w:right="880" w:firstLine="567"/>
              <w:jc w:val="right"/>
              <w:rPr>
                <w:rFonts w:ascii="Arial" w:hAnsi="Arial" w:cs="Arial"/>
                <w:sz w:val="20"/>
                <w:szCs w:val="20"/>
                <w:lang w:val="en-US"/>
              </w:rPr>
            </w:pPr>
            <w:r w:rsidRPr="00E76B02">
              <w:rPr>
                <w:rFonts w:ascii="Arial" w:hAnsi="Arial" w:cs="Arial"/>
                <w:sz w:val="20"/>
                <w:szCs w:val="20"/>
                <w:lang w:val="en-US"/>
              </w:rPr>
              <w:t>1.3</w:t>
            </w:r>
          </w:p>
        </w:tc>
      </w:tr>
      <w:tr w:rsidR="00A06B07" w:rsidRPr="00E76B02" w14:paraId="77E1061C" w14:textId="77777777" w:rsidTr="00E76B02">
        <w:trPr>
          <w:jc w:val="center"/>
        </w:trPr>
        <w:tc>
          <w:tcPr>
            <w:tcW w:w="4395" w:type="dxa"/>
            <w:vAlign w:val="bottom"/>
          </w:tcPr>
          <w:p w14:paraId="730B38EF" w14:textId="77777777" w:rsidR="00A06B07" w:rsidRPr="00E76B02" w:rsidRDefault="00A06B07" w:rsidP="00E76B02">
            <w:pPr>
              <w:spacing w:before="40" w:after="40"/>
              <w:jc w:val="both"/>
              <w:rPr>
                <w:rFonts w:ascii="Arial" w:hAnsi="Arial" w:cs="Arial"/>
                <w:sz w:val="20"/>
                <w:szCs w:val="20"/>
                <w:lang w:val="en-US"/>
              </w:rPr>
            </w:pPr>
            <w:r w:rsidRPr="00E76B02">
              <w:rPr>
                <w:rFonts w:ascii="Arial" w:hAnsi="Arial" w:cs="Arial"/>
                <w:sz w:val="20"/>
                <w:szCs w:val="20"/>
                <w:lang w:val="en-US"/>
              </w:rPr>
              <w:t xml:space="preserve">Plastics </w:t>
            </w:r>
          </w:p>
        </w:tc>
        <w:tc>
          <w:tcPr>
            <w:tcW w:w="1842" w:type="dxa"/>
            <w:vAlign w:val="bottom"/>
          </w:tcPr>
          <w:p w14:paraId="109423A3" w14:textId="77777777" w:rsidR="00A06B07" w:rsidRPr="00E76B02" w:rsidRDefault="00A06B07" w:rsidP="00E76B02">
            <w:pPr>
              <w:spacing w:before="40" w:after="40"/>
              <w:ind w:right="319" w:firstLine="567"/>
              <w:jc w:val="right"/>
              <w:rPr>
                <w:rFonts w:ascii="Arial" w:hAnsi="Arial" w:cs="Arial"/>
                <w:sz w:val="20"/>
                <w:szCs w:val="20"/>
                <w:lang w:val="en-US"/>
              </w:rPr>
            </w:pPr>
            <w:r w:rsidRPr="00E76B02">
              <w:rPr>
                <w:rFonts w:ascii="Arial" w:hAnsi="Arial" w:cs="Arial"/>
                <w:sz w:val="20"/>
                <w:szCs w:val="20"/>
                <w:lang w:val="en-US"/>
              </w:rPr>
              <w:t>11,385</w:t>
            </w:r>
          </w:p>
        </w:tc>
        <w:tc>
          <w:tcPr>
            <w:tcW w:w="2552" w:type="dxa"/>
            <w:vAlign w:val="bottom"/>
          </w:tcPr>
          <w:p w14:paraId="1E27CC9B" w14:textId="77777777" w:rsidR="00A06B07" w:rsidRPr="00E76B02" w:rsidRDefault="00A06B07" w:rsidP="00E76B02">
            <w:pPr>
              <w:spacing w:before="40" w:after="40"/>
              <w:ind w:right="880" w:firstLine="567"/>
              <w:jc w:val="right"/>
              <w:rPr>
                <w:rFonts w:ascii="Arial" w:hAnsi="Arial" w:cs="Arial"/>
                <w:sz w:val="20"/>
                <w:szCs w:val="20"/>
                <w:lang w:val="en-US"/>
              </w:rPr>
            </w:pPr>
            <w:r w:rsidRPr="00E76B02">
              <w:rPr>
                <w:rFonts w:ascii="Arial" w:hAnsi="Arial" w:cs="Arial"/>
                <w:sz w:val="20"/>
                <w:szCs w:val="20"/>
                <w:lang w:val="en-US"/>
              </w:rPr>
              <w:t>6.7</w:t>
            </w:r>
          </w:p>
        </w:tc>
      </w:tr>
      <w:tr w:rsidR="00A06B07" w:rsidRPr="00E76B02" w14:paraId="291A5B9B" w14:textId="77777777" w:rsidTr="00E76B02">
        <w:trPr>
          <w:jc w:val="center"/>
        </w:trPr>
        <w:tc>
          <w:tcPr>
            <w:tcW w:w="4395" w:type="dxa"/>
            <w:vAlign w:val="bottom"/>
          </w:tcPr>
          <w:p w14:paraId="0EB45C08" w14:textId="77777777" w:rsidR="00A06B07" w:rsidRPr="00E76B02" w:rsidRDefault="00A06B07" w:rsidP="00E76B02">
            <w:pPr>
              <w:spacing w:before="40" w:after="40"/>
              <w:jc w:val="both"/>
              <w:rPr>
                <w:rFonts w:ascii="Arial" w:hAnsi="Arial" w:cs="Arial"/>
                <w:sz w:val="20"/>
                <w:szCs w:val="20"/>
                <w:lang w:val="en-US"/>
              </w:rPr>
            </w:pPr>
            <w:r w:rsidRPr="00E76B02">
              <w:rPr>
                <w:rFonts w:ascii="Arial" w:hAnsi="Arial" w:cs="Arial"/>
                <w:sz w:val="20"/>
                <w:szCs w:val="20"/>
                <w:lang w:val="en-US"/>
              </w:rPr>
              <w:t>Phones all of kinds and their parts</w:t>
            </w:r>
          </w:p>
        </w:tc>
        <w:tc>
          <w:tcPr>
            <w:tcW w:w="1842" w:type="dxa"/>
            <w:vAlign w:val="bottom"/>
          </w:tcPr>
          <w:p w14:paraId="383B5C20" w14:textId="77777777" w:rsidR="00A06B07" w:rsidRPr="00E76B02" w:rsidRDefault="00A06B07" w:rsidP="00E76B02">
            <w:pPr>
              <w:spacing w:before="40" w:after="40"/>
              <w:ind w:right="319" w:firstLine="567"/>
              <w:jc w:val="right"/>
              <w:rPr>
                <w:rFonts w:ascii="Arial" w:hAnsi="Arial" w:cs="Arial"/>
                <w:sz w:val="20"/>
                <w:szCs w:val="20"/>
                <w:lang w:val="en-US"/>
              </w:rPr>
            </w:pPr>
            <w:r w:rsidRPr="00E76B02">
              <w:rPr>
                <w:rFonts w:ascii="Arial" w:hAnsi="Arial" w:cs="Arial"/>
                <w:sz w:val="20"/>
                <w:szCs w:val="20"/>
                <w:lang w:val="en-US"/>
              </w:rPr>
              <w:t>10,256</w:t>
            </w:r>
          </w:p>
        </w:tc>
        <w:tc>
          <w:tcPr>
            <w:tcW w:w="2552" w:type="dxa"/>
            <w:vAlign w:val="bottom"/>
          </w:tcPr>
          <w:p w14:paraId="5849FA76" w14:textId="77777777" w:rsidR="00A06B07" w:rsidRPr="00E76B02" w:rsidRDefault="00A06B07" w:rsidP="00E76B02">
            <w:pPr>
              <w:spacing w:before="40" w:after="40"/>
              <w:ind w:right="880" w:firstLine="567"/>
              <w:jc w:val="right"/>
              <w:rPr>
                <w:rFonts w:ascii="Arial" w:hAnsi="Arial" w:cs="Arial"/>
                <w:sz w:val="20"/>
                <w:szCs w:val="20"/>
                <w:lang w:val="en-US"/>
              </w:rPr>
            </w:pPr>
            <w:r w:rsidRPr="00E76B02">
              <w:rPr>
                <w:rFonts w:ascii="Arial" w:hAnsi="Arial" w:cs="Arial"/>
                <w:sz w:val="20"/>
                <w:szCs w:val="20"/>
                <w:lang w:val="en-US"/>
              </w:rPr>
              <w:t>8.8</w:t>
            </w:r>
          </w:p>
        </w:tc>
      </w:tr>
      <w:tr w:rsidR="00A06B07" w:rsidRPr="00E76B02" w14:paraId="420427D7" w14:textId="77777777" w:rsidTr="00E76B02">
        <w:trPr>
          <w:jc w:val="center"/>
        </w:trPr>
        <w:tc>
          <w:tcPr>
            <w:tcW w:w="4395" w:type="dxa"/>
            <w:vAlign w:val="bottom"/>
          </w:tcPr>
          <w:p w14:paraId="733921DF" w14:textId="77777777" w:rsidR="00A06B07" w:rsidRPr="00E76B02" w:rsidRDefault="00A06B07" w:rsidP="00E76B02">
            <w:pPr>
              <w:spacing w:before="40" w:after="40"/>
              <w:jc w:val="both"/>
              <w:rPr>
                <w:rFonts w:ascii="Arial" w:hAnsi="Arial" w:cs="Arial"/>
                <w:sz w:val="20"/>
                <w:szCs w:val="20"/>
                <w:lang w:val="en-US"/>
              </w:rPr>
            </w:pPr>
            <w:r w:rsidRPr="00E76B02">
              <w:rPr>
                <w:rFonts w:ascii="Arial" w:hAnsi="Arial" w:cs="Arial"/>
                <w:sz w:val="20"/>
                <w:szCs w:val="20"/>
                <w:lang w:val="en-US"/>
              </w:rPr>
              <w:t>Other base metals</w:t>
            </w:r>
          </w:p>
        </w:tc>
        <w:tc>
          <w:tcPr>
            <w:tcW w:w="1842" w:type="dxa"/>
            <w:vAlign w:val="bottom"/>
          </w:tcPr>
          <w:p w14:paraId="71D55CAC" w14:textId="77777777" w:rsidR="00A06B07" w:rsidRPr="00E76B02" w:rsidRDefault="00A06B07" w:rsidP="00E76B02">
            <w:pPr>
              <w:spacing w:before="40" w:after="40"/>
              <w:ind w:right="319" w:firstLine="567"/>
              <w:jc w:val="right"/>
              <w:rPr>
                <w:rFonts w:ascii="Arial" w:hAnsi="Arial" w:cs="Arial"/>
                <w:sz w:val="20"/>
                <w:szCs w:val="20"/>
                <w:lang w:val="en-US"/>
              </w:rPr>
            </w:pPr>
            <w:r w:rsidRPr="00E76B02">
              <w:rPr>
                <w:rFonts w:ascii="Arial" w:hAnsi="Arial" w:cs="Arial"/>
                <w:sz w:val="20"/>
                <w:szCs w:val="20"/>
                <w:lang w:val="en-US"/>
              </w:rPr>
              <w:t>10,213</w:t>
            </w:r>
          </w:p>
        </w:tc>
        <w:tc>
          <w:tcPr>
            <w:tcW w:w="2552" w:type="dxa"/>
            <w:vAlign w:val="bottom"/>
          </w:tcPr>
          <w:p w14:paraId="21512BA5" w14:textId="77777777" w:rsidR="00A06B07" w:rsidRPr="00E76B02" w:rsidRDefault="00A06B07" w:rsidP="00E76B02">
            <w:pPr>
              <w:spacing w:before="40" w:after="40"/>
              <w:ind w:right="880" w:firstLine="567"/>
              <w:jc w:val="right"/>
              <w:rPr>
                <w:rFonts w:ascii="Arial" w:hAnsi="Arial" w:cs="Arial"/>
                <w:sz w:val="20"/>
                <w:szCs w:val="20"/>
                <w:lang w:val="en-US"/>
              </w:rPr>
            </w:pPr>
            <w:r w:rsidRPr="00E76B02">
              <w:rPr>
                <w:rFonts w:ascii="Arial" w:hAnsi="Arial" w:cs="Arial"/>
                <w:sz w:val="20"/>
                <w:szCs w:val="20"/>
                <w:lang w:val="en-US"/>
              </w:rPr>
              <w:t>17.9</w:t>
            </w:r>
          </w:p>
        </w:tc>
      </w:tr>
    </w:tbl>
    <w:p w14:paraId="34794736" w14:textId="77777777" w:rsidR="00A06B07" w:rsidRPr="00E76B02" w:rsidRDefault="00A06B07" w:rsidP="00A06B07">
      <w:pPr>
        <w:tabs>
          <w:tab w:val="num" w:pos="0"/>
          <w:tab w:val="left" w:pos="9475"/>
        </w:tabs>
        <w:spacing w:before="40" w:after="40" w:line="288" w:lineRule="auto"/>
        <w:ind w:right="6" w:firstLine="567"/>
        <w:jc w:val="both"/>
        <w:rPr>
          <w:rFonts w:ascii="Arial" w:hAnsi="Arial" w:cs="Arial"/>
          <w:b/>
          <w:bCs/>
          <w:i/>
          <w:iCs/>
          <w:sz w:val="2"/>
          <w:szCs w:val="20"/>
        </w:rPr>
      </w:pPr>
      <w:r w:rsidRPr="00E76B02">
        <w:rPr>
          <w:rFonts w:ascii="Arial" w:hAnsi="Arial" w:cs="Arial"/>
          <w:b/>
          <w:bCs/>
          <w:i/>
          <w:iCs/>
          <w:sz w:val="2"/>
          <w:szCs w:val="20"/>
        </w:rPr>
        <w:t xml:space="preserve"> </w:t>
      </w:r>
    </w:p>
    <w:p w14:paraId="2BADAFDF" w14:textId="797795D1" w:rsidR="00A06B07" w:rsidRPr="00E76B02" w:rsidRDefault="00A06B07" w:rsidP="00A06B07">
      <w:pPr>
        <w:tabs>
          <w:tab w:val="num" w:pos="0"/>
          <w:tab w:val="left" w:pos="9475"/>
        </w:tabs>
        <w:spacing w:before="40" w:after="40" w:line="264" w:lineRule="auto"/>
        <w:ind w:right="6"/>
        <w:jc w:val="both"/>
        <w:rPr>
          <w:rFonts w:asciiTheme="minorHAnsi" w:eastAsiaTheme="minorHAnsi" w:hAnsiTheme="minorHAnsi" w:cstheme="minorBidi"/>
          <w:spacing w:val="-2"/>
          <w:sz w:val="22"/>
          <w:szCs w:val="22"/>
        </w:rPr>
      </w:pPr>
      <w:r w:rsidRPr="00E76B02">
        <w:rPr>
          <w:i/>
          <w:noProof/>
          <w:spacing w:val="-2"/>
        </w:rPr>
        <mc:AlternateContent>
          <mc:Choice Requires="wps">
            <w:drawing>
              <wp:anchor distT="0" distB="0" distL="114300" distR="114300" simplePos="0" relativeHeight="251667456" behindDoc="0" locked="0" layoutInCell="1" allowOverlap="1" wp14:anchorId="2C01E0D3" wp14:editId="5F1AD92A">
                <wp:simplePos x="0" y="0"/>
                <wp:positionH relativeFrom="column">
                  <wp:posOffset>81280</wp:posOffset>
                </wp:positionH>
                <wp:positionV relativeFrom="paragraph">
                  <wp:posOffset>130175</wp:posOffset>
                </wp:positionV>
                <wp:extent cx="3591560" cy="2557145"/>
                <wp:effectExtent l="0" t="0" r="8890" b="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1560" cy="2557145"/>
                        </a:xfrm>
                        <a:prstGeom prst="rect">
                          <a:avLst/>
                        </a:prstGeom>
                        <a:solidFill>
                          <a:srgbClr val="FFFFFF"/>
                        </a:solidFill>
                        <a:ln w="9525">
                          <a:noFill/>
                          <a:miter lim="800000"/>
                          <a:headEnd/>
                          <a:tailEnd/>
                        </a:ln>
                      </wps:spPr>
                      <wps:txbx>
                        <w:txbxContent>
                          <w:p w14:paraId="5F452663" w14:textId="77777777" w:rsidR="00EA2A5B" w:rsidRPr="00503662" w:rsidRDefault="00EA2A5B" w:rsidP="00A06B07">
                            <w:pPr>
                              <w:spacing w:after="120"/>
                              <w:ind w:left="-284" w:firstLine="142"/>
                              <w:jc w:val="center"/>
                              <w:rPr>
                                <w:rFonts w:ascii="Arial" w:hAnsi="Arial" w:cs="Arial"/>
                                <w:b/>
                                <w:bCs/>
                                <w:sz w:val="24"/>
                                <w:szCs w:val="24"/>
                              </w:rPr>
                            </w:pPr>
                            <w:r w:rsidRPr="00503662">
                              <w:rPr>
                                <w:rFonts w:ascii="Arial" w:hAnsi="Arial" w:cs="Arial"/>
                                <w:b/>
                                <w:bCs/>
                                <w:sz w:val="24"/>
                                <w:szCs w:val="24"/>
                              </w:rPr>
                              <w:t xml:space="preserve">Figure 13. Structure of imported commodities </w:t>
                            </w:r>
                          </w:p>
                          <w:p w14:paraId="7ADE812C" w14:textId="77777777" w:rsidR="00EA2A5B" w:rsidRPr="00FF25D5" w:rsidRDefault="00EA2A5B" w:rsidP="00A06B07">
                            <w:pPr>
                              <w:spacing w:after="120"/>
                              <w:ind w:left="-284" w:firstLine="142"/>
                              <w:jc w:val="center"/>
                              <w:rPr>
                                <w:rFonts w:asciiTheme="minorHAnsi" w:eastAsiaTheme="minorHAnsi" w:hAnsiTheme="minorHAnsi" w:cstheme="minorBidi"/>
                                <w:sz w:val="22"/>
                                <w:szCs w:val="22"/>
                              </w:rPr>
                            </w:pPr>
                            <w:r>
                              <w:rPr>
                                <w:rFonts w:ascii="Arial" w:hAnsi="Arial" w:cs="Arial"/>
                                <w:b/>
                                <w:bCs/>
                                <w:sz w:val="24"/>
                                <w:szCs w:val="24"/>
                              </w:rPr>
                              <w:t>in the 11</w:t>
                            </w:r>
                            <w:r w:rsidRPr="00503662">
                              <w:rPr>
                                <w:rFonts w:ascii="Arial" w:hAnsi="Arial" w:cs="Arial"/>
                                <w:b/>
                                <w:bCs/>
                                <w:sz w:val="24"/>
                                <w:szCs w:val="24"/>
                              </w:rPr>
                              <w:t xml:space="preserve"> months of 2025</w:t>
                            </w:r>
                          </w:p>
                          <w:p w14:paraId="450E73B0" w14:textId="77777777" w:rsidR="00EA2A5B" w:rsidRPr="00F66505" w:rsidRDefault="00EA2A5B" w:rsidP="00A06B07">
                            <w:pPr>
                              <w:ind w:left="-284"/>
                              <w:jc w:val="center"/>
                              <w:rPr>
                                <w:rFonts w:ascii="Arial" w:hAnsi="Arial" w:cs="Arial"/>
                                <w:b/>
                                <w:bCs/>
                                <w:sz w:val="14"/>
                                <w:szCs w:val="24"/>
                              </w:rPr>
                            </w:pPr>
                            <w:r>
                              <w:rPr>
                                <w:noProof/>
                              </w:rPr>
                              <w:drawing>
                                <wp:inline distT="0" distB="0" distL="0" distR="0" wp14:anchorId="7C05999E" wp14:editId="7DE32B5F">
                                  <wp:extent cx="3067050" cy="19431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96275" cy="1961615"/>
                                          </a:xfrm>
                                          <a:prstGeom prst="rect">
                                            <a:avLst/>
                                          </a:prstGeom>
                                          <a:noFill/>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01E0D3" id="_x0000_s1027" type="#_x0000_t202" style="position:absolute;left:0;text-align:left;margin-left:6.4pt;margin-top:10.25pt;width:282.8pt;height:201.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v3GEAIAAP4DAAAOAAAAZHJzL2Uyb0RvYy54bWysU9uO2yAQfa/Uf0C8N47TeHdjxVlts01V&#10;aXuRtv0ADDhGxQwFEjv9+h2wN5u2b1V5QAwznJk5c1jfDp0mR+m8AlPRfDanRBoOQpl9Rb9/2725&#10;ocQHZgTTYGRFT9LT283rV+velnIBLWghHUEQ48veVrQNwZZZ5nkrO+ZnYKVBZwOuYwFNt8+EYz2i&#10;dzpbzOdXWQ9OWAdceo+396OTbhJ+00gevjSNl4HoimJtIe0u7XXcs82alXvHbKv4VAb7hyo6pgwm&#10;PUPds8DIwam/oDrFHXhowoxDl0HTKC5TD9hNPv+jm8eWWZl6QXK8PdPk/x8s/3x8tF8dCcM7GHCA&#10;qQlvH4D/8MTAtmVmL++cg76VTGDiPFKW9daX09NItS99BKn7TyBwyOwQIAENjesiK9gnQXQcwOlM&#10;uhwC4Xj5tljlxRW6OPoWRXGdL4uUg5XPz63z4YOEjsRDRR1ONcGz44MPsRxWPofEbB60EjuldTLc&#10;vt5qR44MFbBLa0L/LUwb0ld0VSyKhGwgvk/i6FRAhWrVVfRmHteomUjHeyNSSGBKj2esRJuJn0jJ&#10;SE4Y6oEoMZEX6apBnJAwB6Mg8QPhoQX3i5IexVhR//PAnKREfzRI+ipfLqN6k7EsrhdouEtPfelh&#10;hiNURQMl43EbkuIjHQbucDiNSrS9VDKVjCJLbE4fIqr40k5RL9928wQAAP//AwBQSwMEFAAGAAgA&#10;AAAhALaN3bbdAAAACQEAAA8AAABkcnMvZG93bnJldi54bWxMj8FOwzAQRO9I/IO1SFwQdTBJU0Kc&#10;CpBAXFv6AU68TSLidRS7Tfr3LCc4jmY086bcLm4QZ5xC70nDwyoBgdR421Or4fD1fr8BEaIhawZP&#10;qOGCAbbV9VVpCutn2uF5H1vBJRQKo6GLcSykDE2HzoSVH5HYO/rJmchyaqWdzMzlbpAqSdbSmZ54&#10;oTMjvnXYfO9PTsPxc77Lnub6Ix7yXbp+NX1e+4vWtzfLyzOIiEv8C8MvPqNDxUy1P5ENYmCtmDxq&#10;UEkGgv0s36Qgag2pelQgq1L+f1D9AAAA//8DAFBLAQItABQABgAIAAAAIQC2gziS/gAAAOEBAAAT&#10;AAAAAAAAAAAAAAAAAAAAAABbQ29udGVudF9UeXBlc10ueG1sUEsBAi0AFAAGAAgAAAAhADj9If/W&#10;AAAAlAEAAAsAAAAAAAAAAAAAAAAALwEAAF9yZWxzLy5yZWxzUEsBAi0AFAAGAAgAAAAhAMa2/cYQ&#10;AgAA/gMAAA4AAAAAAAAAAAAAAAAALgIAAGRycy9lMm9Eb2MueG1sUEsBAi0AFAAGAAgAAAAhALaN&#10;3bbdAAAACQEAAA8AAAAAAAAAAAAAAAAAagQAAGRycy9kb3ducmV2LnhtbFBLBQYAAAAABAAEAPMA&#10;AAB0BQAAAAA=&#10;" stroked="f">
                <v:textbox>
                  <w:txbxContent>
                    <w:p w14:paraId="5F452663" w14:textId="77777777" w:rsidR="00EA2A5B" w:rsidRPr="00503662" w:rsidRDefault="00EA2A5B" w:rsidP="00A06B07">
                      <w:pPr>
                        <w:spacing w:after="120"/>
                        <w:ind w:left="-284" w:firstLine="142"/>
                        <w:jc w:val="center"/>
                        <w:rPr>
                          <w:rFonts w:ascii="Arial" w:hAnsi="Arial" w:cs="Arial"/>
                          <w:b/>
                          <w:bCs/>
                          <w:sz w:val="24"/>
                          <w:szCs w:val="24"/>
                        </w:rPr>
                      </w:pPr>
                      <w:r w:rsidRPr="00503662">
                        <w:rPr>
                          <w:rFonts w:ascii="Arial" w:hAnsi="Arial" w:cs="Arial"/>
                          <w:b/>
                          <w:bCs/>
                          <w:sz w:val="24"/>
                          <w:szCs w:val="24"/>
                        </w:rPr>
                        <w:t xml:space="preserve">Figure 13. Structure of imported commodities </w:t>
                      </w:r>
                    </w:p>
                    <w:p w14:paraId="7ADE812C" w14:textId="77777777" w:rsidR="00EA2A5B" w:rsidRPr="00FF25D5" w:rsidRDefault="00EA2A5B" w:rsidP="00A06B07">
                      <w:pPr>
                        <w:spacing w:after="120"/>
                        <w:ind w:left="-284" w:firstLine="142"/>
                        <w:jc w:val="center"/>
                        <w:rPr>
                          <w:rFonts w:asciiTheme="minorHAnsi" w:eastAsiaTheme="minorHAnsi" w:hAnsiTheme="minorHAnsi" w:cstheme="minorBidi"/>
                          <w:sz w:val="22"/>
                          <w:szCs w:val="22"/>
                        </w:rPr>
                      </w:pPr>
                      <w:r>
                        <w:rPr>
                          <w:rFonts w:ascii="Arial" w:hAnsi="Arial" w:cs="Arial"/>
                          <w:b/>
                          <w:bCs/>
                          <w:sz w:val="24"/>
                          <w:szCs w:val="24"/>
                        </w:rPr>
                        <w:t>in the 11</w:t>
                      </w:r>
                      <w:r w:rsidRPr="00503662">
                        <w:rPr>
                          <w:rFonts w:ascii="Arial" w:hAnsi="Arial" w:cs="Arial"/>
                          <w:b/>
                          <w:bCs/>
                          <w:sz w:val="24"/>
                          <w:szCs w:val="24"/>
                        </w:rPr>
                        <w:t xml:space="preserve"> months of 2025</w:t>
                      </w:r>
                    </w:p>
                    <w:p w14:paraId="450E73B0" w14:textId="77777777" w:rsidR="00EA2A5B" w:rsidRPr="00F66505" w:rsidRDefault="00EA2A5B" w:rsidP="00A06B07">
                      <w:pPr>
                        <w:ind w:left="-284"/>
                        <w:jc w:val="center"/>
                        <w:rPr>
                          <w:rFonts w:ascii="Arial" w:hAnsi="Arial" w:cs="Arial"/>
                          <w:b/>
                          <w:bCs/>
                          <w:sz w:val="14"/>
                          <w:szCs w:val="24"/>
                        </w:rPr>
                      </w:pPr>
                      <w:r>
                        <w:rPr>
                          <w:noProof/>
                        </w:rPr>
                        <w:drawing>
                          <wp:inline distT="0" distB="0" distL="0" distR="0" wp14:anchorId="7C05999E" wp14:editId="7DE32B5F">
                            <wp:extent cx="3067050" cy="19431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96275" cy="1961615"/>
                                    </a:xfrm>
                                    <a:prstGeom prst="rect">
                                      <a:avLst/>
                                    </a:prstGeom>
                                    <a:noFill/>
                                  </pic:spPr>
                                </pic:pic>
                              </a:graphicData>
                            </a:graphic>
                          </wp:inline>
                        </w:drawing>
                      </w:r>
                    </w:p>
                  </w:txbxContent>
                </v:textbox>
                <w10:wrap type="square"/>
              </v:shape>
            </w:pict>
          </mc:Fallback>
        </mc:AlternateContent>
      </w:r>
      <w:r w:rsidRPr="00E76B02">
        <w:rPr>
          <w:i/>
          <w:spacing w:val="-2"/>
        </w:rPr>
        <w:t xml:space="preserve">Regarding the structure of imported commodities in </w:t>
      </w:r>
      <w:r w:rsidR="0003748B">
        <w:rPr>
          <w:i/>
          <w:spacing w:val="-2"/>
        </w:rPr>
        <w:t xml:space="preserve">the </w:t>
      </w:r>
      <w:r w:rsidRPr="00E76B02">
        <w:rPr>
          <w:i/>
          <w:spacing w:val="-2"/>
        </w:rPr>
        <w:t>eleven months of 2025</w:t>
      </w:r>
      <w:r w:rsidRPr="00E76B02">
        <w:rPr>
          <w:spacing w:val="-2"/>
        </w:rPr>
        <w:t xml:space="preserve">, </w:t>
      </w:r>
      <w:r w:rsidRPr="00E76B02">
        <w:rPr>
          <w:spacing w:val="2"/>
        </w:rPr>
        <w:t>the group of</w:t>
      </w:r>
      <w:r w:rsidRPr="00E76B02">
        <w:rPr>
          <w:spacing w:val="-2"/>
        </w:rPr>
        <w:t xml:space="preserve"> capital goods reached 383.96 billion USD, accounting for 93.7%, of which</w:t>
      </w:r>
      <w:r w:rsidRPr="00E76B02">
        <w:rPr>
          <w:spacing w:val="2"/>
        </w:rPr>
        <w:t xml:space="preserve"> the group of</w:t>
      </w:r>
      <w:r w:rsidRPr="00E76B02">
        <w:rPr>
          <w:spacing w:val="-2"/>
        </w:rPr>
        <w:t xml:space="preserve"> machinery, equipment, tools, and spare parts accounted for 52.7%, and raw materials, fuels, and supplies accounted for 41.0%. Consumer goods group reached 25.65 billion USD, accounting for 6.3%.</w:t>
      </w:r>
      <w:r w:rsidRPr="00E76B02">
        <w:rPr>
          <w:rFonts w:asciiTheme="minorHAnsi" w:eastAsiaTheme="minorHAnsi" w:hAnsiTheme="minorHAnsi" w:cstheme="minorBidi"/>
          <w:spacing w:val="-2"/>
          <w:sz w:val="22"/>
          <w:szCs w:val="22"/>
        </w:rPr>
        <w:t xml:space="preserve"> </w:t>
      </w:r>
    </w:p>
    <w:p w14:paraId="4140BBE7" w14:textId="5C11EF4A" w:rsidR="00A06B07" w:rsidRPr="00E76B02" w:rsidRDefault="00A06B07" w:rsidP="00A06B07">
      <w:pPr>
        <w:spacing w:after="120" w:line="264" w:lineRule="auto"/>
        <w:ind w:firstLine="720"/>
        <w:jc w:val="both"/>
        <w:rPr>
          <w:iCs/>
        </w:rPr>
      </w:pPr>
      <w:r w:rsidRPr="00E76B02">
        <w:rPr>
          <w:i/>
          <w:iCs/>
        </w:rPr>
        <w:t>Regarding the export and import markets in the eleven months of 2025</w:t>
      </w:r>
      <w:r w:rsidRPr="00E76B02">
        <w:rPr>
          <w:iCs/>
        </w:rPr>
        <w:t xml:space="preserve">, the United States remained Viet Nam’s largest export market with a turnover of 138.6 billion USD, while China was the largest import market with a turnover of 167.5 billion USD. In eleven months of 2025, Viet Nam recorded a trade surplus of 121.6 billion USD with the United States, went up 27.5% year-on-year; a trade surplus of 35.6 billion USD with the EU, going up 10.4%; and a trade surplus of 2.0 billion USD with </w:t>
      </w:r>
      <w:r w:rsidR="002157EA" w:rsidRPr="00E76B02">
        <w:rPr>
          <w:iCs/>
        </w:rPr>
        <w:t>Japan, going</w:t>
      </w:r>
      <w:r w:rsidRPr="00E76B02">
        <w:rPr>
          <w:iCs/>
        </w:rPr>
        <w:t xml:space="preserve"> down 29.7%. Viet Nam ran a trade deficit of 104.3 billion USD with China, went up 38.1%; a trade deficit of 28.3 billion USD with the Republic of Korea, going up 1.9%; and a trade deficit of 12.4 billion USD with ASEAN, rose by 46.3%.</w:t>
      </w:r>
    </w:p>
    <w:p w14:paraId="6B75681A" w14:textId="77777777" w:rsidR="00A06B07" w:rsidRPr="0075763C" w:rsidRDefault="00A06B07" w:rsidP="00A06B07">
      <w:pPr>
        <w:tabs>
          <w:tab w:val="num" w:pos="0"/>
          <w:tab w:val="left" w:pos="9475"/>
        </w:tabs>
        <w:spacing w:before="40" w:after="40" w:line="288" w:lineRule="auto"/>
        <w:ind w:right="6" w:firstLine="567"/>
        <w:jc w:val="both"/>
        <w:rPr>
          <w:rFonts w:asciiTheme="minorHAnsi" w:eastAsiaTheme="minorHAnsi" w:hAnsiTheme="minorHAnsi" w:cstheme="minorBidi"/>
        </w:rPr>
      </w:pPr>
      <w:r w:rsidRPr="0075763C">
        <w:rPr>
          <w:b/>
          <w:iCs/>
          <w:spacing w:val="2"/>
        </w:rPr>
        <w:t xml:space="preserve">Figure 14. </w:t>
      </w:r>
      <w:r w:rsidRPr="0075763C">
        <w:rPr>
          <w:b/>
          <w:spacing w:val="2"/>
        </w:rPr>
        <w:t xml:space="preserve">Major commodity </w:t>
      </w:r>
      <w:r w:rsidRPr="0075763C">
        <w:rPr>
          <w:b/>
          <w:iCs/>
          <w:spacing w:val="2"/>
        </w:rPr>
        <w:t xml:space="preserve">export and </w:t>
      </w:r>
      <w:r w:rsidRPr="0075763C">
        <w:rPr>
          <w:b/>
          <w:spacing w:val="2"/>
        </w:rPr>
        <w:t xml:space="preserve">import markets in the 11 </w:t>
      </w:r>
      <w:r w:rsidRPr="0075763C">
        <w:rPr>
          <w:b/>
          <w:bCs/>
          <w:spacing w:val="2"/>
        </w:rPr>
        <w:t>months</w:t>
      </w:r>
      <w:r w:rsidRPr="0075763C">
        <w:rPr>
          <w:b/>
          <w:spacing w:val="2"/>
        </w:rPr>
        <w:t xml:space="preserve"> of 2025</w:t>
      </w:r>
    </w:p>
    <w:tbl>
      <w:tblPr>
        <w:tblStyle w:val="TableGrid"/>
        <w:tblW w:w="949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91"/>
        <w:gridCol w:w="619"/>
        <w:gridCol w:w="2265"/>
        <w:gridCol w:w="2838"/>
        <w:gridCol w:w="1448"/>
        <w:gridCol w:w="532"/>
      </w:tblGrid>
      <w:tr w:rsidR="00A06B07" w:rsidRPr="00E76B02" w14:paraId="2D03710A" w14:textId="77777777" w:rsidTr="00E76B02">
        <w:trPr>
          <w:trHeight w:val="3151"/>
          <w:jc w:val="center"/>
        </w:trPr>
        <w:tc>
          <w:tcPr>
            <w:tcW w:w="4675" w:type="dxa"/>
            <w:gridSpan w:val="3"/>
          </w:tcPr>
          <w:p w14:paraId="1227AFD3" w14:textId="77777777" w:rsidR="00A06B07" w:rsidRPr="00E76B02" w:rsidRDefault="00A06B07" w:rsidP="00E76B02">
            <w:pPr>
              <w:tabs>
                <w:tab w:val="num" w:pos="0"/>
                <w:tab w:val="left" w:pos="9475"/>
              </w:tabs>
              <w:spacing w:before="40" w:after="40" w:line="288" w:lineRule="auto"/>
              <w:ind w:right="-118" w:firstLine="36"/>
              <w:jc w:val="both"/>
              <w:rPr>
                <w:iCs/>
                <w:lang w:val="en-US"/>
              </w:rPr>
            </w:pPr>
            <w:r w:rsidRPr="00E76B02">
              <w:rPr>
                <w:noProof/>
              </w:rPr>
              <w:lastRenderedPageBreak/>
              <w:drawing>
                <wp:inline distT="0" distB="0" distL="0" distR="0" wp14:anchorId="240A0A49" wp14:editId="303946D2">
                  <wp:extent cx="2831465" cy="1971675"/>
                  <wp:effectExtent l="0" t="0" r="6985" b="9525"/>
                  <wp:docPr id="10" name="Chart 10">
                    <a:extLst xmlns:a="http://schemas.openxmlformats.org/drawingml/2006/main">
                      <a:ext uri="{FF2B5EF4-FFF2-40B4-BE49-F238E27FC236}">
                        <a16:creationId xmlns:a16="http://schemas.microsoft.com/office/drawing/2014/main" id="{44D50716-56FF-4985-B386-1B9125899A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c>
          <w:tcPr>
            <w:tcW w:w="4818" w:type="dxa"/>
            <w:gridSpan w:val="3"/>
          </w:tcPr>
          <w:p w14:paraId="1790E73B" w14:textId="77777777" w:rsidR="00A06B07" w:rsidRPr="00E76B02" w:rsidRDefault="00A06B07" w:rsidP="00E76B02">
            <w:pPr>
              <w:tabs>
                <w:tab w:val="num" w:pos="0"/>
                <w:tab w:val="left" w:pos="9475"/>
              </w:tabs>
              <w:spacing w:before="40" w:after="40" w:line="288" w:lineRule="auto"/>
              <w:ind w:right="6" w:firstLine="41"/>
              <w:jc w:val="both"/>
              <w:rPr>
                <w:iCs/>
                <w:lang w:val="en-US"/>
              </w:rPr>
            </w:pPr>
            <w:r w:rsidRPr="00E76B02">
              <w:rPr>
                <w:noProof/>
              </w:rPr>
              <w:drawing>
                <wp:inline distT="0" distB="0" distL="0" distR="0" wp14:anchorId="205EB7E3" wp14:editId="6CC151E2">
                  <wp:extent cx="2931795" cy="1990725"/>
                  <wp:effectExtent l="0" t="0" r="1905" b="9525"/>
                  <wp:docPr id="12" name="Chart 12">
                    <a:extLst xmlns:a="http://schemas.openxmlformats.org/drawingml/2006/main">
                      <a:ext uri="{FF2B5EF4-FFF2-40B4-BE49-F238E27FC236}">
                        <a16:creationId xmlns:a16="http://schemas.microsoft.com/office/drawing/2014/main" id="{6679D1D4-83B8-4932-992B-50028A3F58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r>
      <w:tr w:rsidR="00A06B07" w:rsidRPr="00E76B02" w14:paraId="0EBF11F7" w14:textId="77777777" w:rsidTr="00E76B02">
        <w:trPr>
          <w:gridAfter w:val="1"/>
          <w:wAfter w:w="532" w:type="dxa"/>
          <w:trHeight w:val="42"/>
          <w:jc w:val="center"/>
        </w:trPr>
        <w:tc>
          <w:tcPr>
            <w:tcW w:w="1791" w:type="dxa"/>
          </w:tcPr>
          <w:p w14:paraId="781465B8" w14:textId="77777777" w:rsidR="00A06B07" w:rsidRPr="00E76B02" w:rsidRDefault="00A06B07" w:rsidP="00E76B02">
            <w:pPr>
              <w:spacing w:before="40" w:after="40" w:line="288" w:lineRule="auto"/>
              <w:ind w:firstLine="567"/>
              <w:jc w:val="both"/>
              <w:rPr>
                <w:b/>
                <w:bCs/>
                <w:i/>
                <w:iCs/>
                <w:lang w:val="en-US"/>
              </w:rPr>
            </w:pPr>
          </w:p>
        </w:tc>
        <w:tc>
          <w:tcPr>
            <w:tcW w:w="619" w:type="dxa"/>
          </w:tcPr>
          <w:p w14:paraId="418F42EC" w14:textId="77777777" w:rsidR="00A06B07" w:rsidRPr="00E76B02" w:rsidRDefault="00A06B07" w:rsidP="00E76B02">
            <w:pPr>
              <w:spacing w:before="40" w:after="40" w:line="288" w:lineRule="auto"/>
              <w:ind w:firstLine="567"/>
              <w:jc w:val="both"/>
              <w:rPr>
                <w:b/>
                <w:bCs/>
                <w:i/>
                <w:iCs/>
                <w:lang w:val="en-US"/>
              </w:rPr>
            </w:pPr>
          </w:p>
        </w:tc>
        <w:tc>
          <w:tcPr>
            <w:tcW w:w="2265" w:type="dxa"/>
          </w:tcPr>
          <w:p w14:paraId="300733F9" w14:textId="77777777" w:rsidR="00A06B07" w:rsidRPr="00E76B02" w:rsidRDefault="00A06B07" w:rsidP="00E76B02">
            <w:pPr>
              <w:spacing w:before="40" w:after="40" w:line="288" w:lineRule="auto"/>
              <w:ind w:firstLine="567"/>
              <w:jc w:val="both"/>
              <w:rPr>
                <w:b/>
                <w:bCs/>
                <w:i/>
                <w:iCs/>
                <w:lang w:val="en-US"/>
              </w:rPr>
            </w:pPr>
            <w:r w:rsidRPr="00E76B02">
              <w:rPr>
                <w:noProof/>
              </w:rPr>
              <mc:AlternateContent>
                <mc:Choice Requires="wps">
                  <w:drawing>
                    <wp:anchor distT="0" distB="0" distL="114300" distR="114300" simplePos="0" relativeHeight="251668480" behindDoc="0" locked="0" layoutInCell="1" allowOverlap="1" wp14:anchorId="4F6F43CF" wp14:editId="7A894E03">
                      <wp:simplePos x="0" y="0"/>
                      <wp:positionH relativeFrom="column">
                        <wp:posOffset>98425</wp:posOffset>
                      </wp:positionH>
                      <wp:positionV relativeFrom="paragraph">
                        <wp:posOffset>36195</wp:posOffset>
                      </wp:positionV>
                      <wp:extent cx="125730" cy="90170"/>
                      <wp:effectExtent l="0" t="0" r="7620" b="5080"/>
                      <wp:wrapNone/>
                      <wp:docPr id="9"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 cy="90170"/>
                              </a:xfrm>
                              <a:prstGeom prst="rect">
                                <a:avLst/>
                              </a:prstGeom>
                              <a:solidFill>
                                <a:srgbClr val="00B05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549F2E" id="Rectangle 28" o:spid="_x0000_s1026" style="position:absolute;margin-left:7.75pt;margin-top:2.85pt;width:9.9pt;height:7.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QMecQIAAOAEAAAOAAAAZHJzL2Uyb0RvYy54bWysVE1PGzEQvVfqf7B8L7tJoYEVG5SCqCpF&#10;gAoV54nXu2vV9ri280F/PWPvBlLaU9UcLI9ndj7evJfzi53RbCN9UGhrPjkqOZNWYKNsV/PvD9cf&#10;TjkLEWwDGq2s+ZMM/GL+/t351lVyij3qRnpGSWyotq7mfYyuKoogemkgHKGTlpwtegORTN8VjYct&#10;ZTe6mJblp2KLvnEehQyBXq8GJ5/n/G0rRbxt2yAj0zWn3mI+fT5X6Szm51B1HlyvxNgG/EMXBpSl&#10;oi+priACW3v1RyqjhMeAbTwSaApsWyVknoGmmZRvprnvwck8C4ET3AtM4f+lFTebO89UU/MzziwY&#10;WtE3Ag1spyWbniZ8ti5UFHbv7nyaMLglih+BHMVvnmSEMWbXepNiaT62y2A/vYAtd5EJepxMT2Yf&#10;aSWCXGflZJZ3UUC1/9b5EL9INCxdau6pq4wwbJYhpupQ7UNyW6hVc620zobvVpfasw2ktZefy5N9&#10;9nAYpi3bpkZmZeoDiH6thkhX4wiQYDvOQHfEaxF9rm0xVcicSbWvIPRDjZx2IJNRkRitlan5aZl+&#10;6Zma1TZ1JjMnxwleIUu3FTZPtAuPA0mDE9eKiiwhxDvwxEpqkpQWb+loNVLnON4469H/+tt7iiey&#10;kJezLbGcpvq5Bi85018t0ehscnycZJGN45PZlAx/6FkdeuzaXCIhOiFNO5GvKT7q/bX1aB5JkItU&#10;lVxgBdUe8BuNyziojyQt5GKRw0gKDuLS3juRkiecErwPu0fwbtx/JN7c4F4RUL2hwRCbvrS4WEds&#10;VebIK64jXUlGeRuj5JNOD+0c9frHNH8GAAD//wMAUEsDBBQABgAIAAAAIQB5Vsie2wAAAAYBAAAP&#10;AAAAZHJzL2Rvd25yZXYueG1sTI5LS8NAFIX3gv9huII7O7ElatNMSgn4KAWhNXR9mxmTYOZOyMy0&#10;8d97XenyPDjny9eT7cXZjL5zpOB+loAwVDvdUaOg+ni+ewLhA5LG3pFR8G08rIvrqxwz7S60N+dD&#10;aASPkM9QQRvCkEnp69ZY9DM3GOLs040WA8uxkXrEC4/bXs6T5EFa7IgfWhxM2Zr66xCtgvjqNtvy&#10;ZRe35Rseq3201fzdKnV7M21WIIKZwl8ZfvEZHQpmOrlI2ouedZpyU0H6CILjRboAcWJ7uQRZ5PI/&#10;fvEDAAD//wMAUEsBAi0AFAAGAAgAAAAhALaDOJL+AAAA4QEAABMAAAAAAAAAAAAAAAAAAAAAAFtD&#10;b250ZW50X1R5cGVzXS54bWxQSwECLQAUAAYACAAAACEAOP0h/9YAAACUAQAACwAAAAAAAAAAAAAA&#10;AAAvAQAAX3JlbHMvLnJlbHNQSwECLQAUAAYACAAAACEAqH0DHnECAADgBAAADgAAAAAAAAAAAAAA&#10;AAAuAgAAZHJzL2Uyb0RvYy54bWxQSwECLQAUAAYACAAAACEAeVbIntsAAAAGAQAADwAAAAAAAAAA&#10;AAAAAADLBAAAZHJzL2Rvd25yZXYueG1sUEsFBgAAAAAEAAQA8wAAANMFAAAAAA==&#10;" fillcolor="#00b050" stroked="f" strokeweight="1pt">
                      <v:path arrowok="t"/>
                    </v:rect>
                  </w:pict>
                </mc:Fallback>
              </mc:AlternateContent>
            </w:r>
            <w:r w:rsidRPr="00E76B02">
              <w:rPr>
                <w:rFonts w:ascii="Arial" w:hAnsi="Arial" w:cs="Arial"/>
                <w:iCs/>
                <w:sz w:val="16"/>
                <w:szCs w:val="16"/>
                <w:lang w:val="en-US"/>
              </w:rPr>
              <w:t xml:space="preserve"> Exports of goods</w:t>
            </w:r>
          </w:p>
        </w:tc>
        <w:tc>
          <w:tcPr>
            <w:tcW w:w="2838" w:type="dxa"/>
          </w:tcPr>
          <w:p w14:paraId="1F61A1F0" w14:textId="77777777" w:rsidR="00A06B07" w:rsidRPr="00E76B02" w:rsidRDefault="00A06B07" w:rsidP="00E76B02">
            <w:pPr>
              <w:spacing w:before="40" w:after="40" w:line="288" w:lineRule="auto"/>
              <w:ind w:firstLine="567"/>
              <w:jc w:val="both"/>
              <w:rPr>
                <w:b/>
                <w:bCs/>
                <w:i/>
                <w:iCs/>
                <w:lang w:val="en-US"/>
              </w:rPr>
            </w:pPr>
            <w:r w:rsidRPr="00E76B02">
              <w:rPr>
                <w:noProof/>
              </w:rPr>
              <mc:AlternateContent>
                <mc:Choice Requires="wps">
                  <w:drawing>
                    <wp:anchor distT="0" distB="0" distL="114300" distR="114300" simplePos="0" relativeHeight="251669504" behindDoc="0" locked="0" layoutInCell="1" allowOverlap="1" wp14:anchorId="0082C5ED" wp14:editId="33EFB9E3">
                      <wp:simplePos x="0" y="0"/>
                      <wp:positionH relativeFrom="column">
                        <wp:posOffset>414655</wp:posOffset>
                      </wp:positionH>
                      <wp:positionV relativeFrom="paragraph">
                        <wp:posOffset>36195</wp:posOffset>
                      </wp:positionV>
                      <wp:extent cx="125730" cy="90170"/>
                      <wp:effectExtent l="0" t="0" r="26670" b="24130"/>
                      <wp:wrapNone/>
                      <wp:docPr id="22"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 cy="90170"/>
                              </a:xfrm>
                              <a:prstGeom prst="rect">
                                <a:avLst/>
                              </a:prstGeom>
                              <a:solidFill>
                                <a:srgbClr val="7030A0"/>
                              </a:solidFill>
                              <a:ln w="6350" cap="flat" cmpd="sng" algn="ctr">
                                <a:solidFill>
                                  <a:srgbClr val="E7E6E6">
                                    <a:lumMod val="2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2A2070" id="Rectangle 29" o:spid="_x0000_s1026" style="position:absolute;margin-left:32.65pt;margin-top:2.85pt;width:9.9pt;height:7.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3pHiwIAACsFAAAOAAAAZHJzL2Uyb0RvYy54bWysVEtv2zAMvg/YfxB0X+24TdIadYqgj2FA&#10;1gZrh54ZWXaE6TVJidP9+lGyk6bdTsMuAilSfHz8qMurnZJky50XRld0dJJTwjUztdBtRb8/3X06&#10;p8QH0DVIo3lFX7inV7OPHy47W/LCrI2suSMYRPuysxVdh2DLLPNszRX4E2O5RmNjnIKAqmuz2kGH&#10;0ZXMijyfZJ1xtXWGce/x9qY30lmK3zSchYem8TwQWVGsLaTTpXMVz2x2CWXrwK4FG8qAf6hCgdCY&#10;9BDqBgKQjRN/hFKCOeNNE06YUZlpGsF46gG7GeXvunlcg+WpFwTH2wNM/v+FZffbpSOirmhRUKJB&#10;4Yy+IWqgW8lJcREB6qwv0e/RLl1s0duFYT88GrI3lqj4wWfXOBV9sUGyS2i/HNDmu0AYXo6K8fQU&#10;Z8LQdJGPpmkYGZT7t9b58JkbRaJQUYdVJYhhu/AhZody75LKMlLUd0LKpLh2dS0d2QLOfZqf5vN9&#10;dH/sJjXpKjo5HccyAOnXSAgoKouAeN1SArJFXrPgUuo3j/1xjtvp7eR2kpzkRn01dZ+6GOf5IXPv&#10;nwp/Eyh2cQN+3T9Jpp6XSgRcDilURc8xziGS1LFHnug9YPEKfpRWpn7BsTrT891bdicwyQJ8WIJD&#10;gmO/uLThAY9GGsTADBIla+N+/e0++iPv0EpJhwuDAP3cgOOUyC8aGXkxOjuLG5aUs/G0QMUdW1bH&#10;Fr1R1wZnM8LvwbIkRv8g92LjjHrG3Z7HrGgCzTB3P4pBuQ79IuPvwPh8ntxwqyyEhX60LAaPOEV4&#10;n3bP4OzApIAMvDf75YLyHaF63/hSm/kmmEYktr3iOhAfNzLNcvg94sof68nr9Y+b/QYAAP//AwBQ&#10;SwMEFAAGAAgAAAAhAPRO39faAAAABgEAAA8AAABkcnMvZG93bnJldi54bWxMjsFOg0AURfcm/sPk&#10;NXFnBzQgUIbGNnGlMRH9gIF5BVLmDWGGFv/e50qXN/fk3lPuVzuKC85+cKQg3kYgkFpnBuoUfH2+&#10;3GcgfNBk9OgIFXyjh311e1PqwrgrfeClDp3gEfKFVtCHMBVS+rZHq/3WTUjcndxsdeA4d9LM+srj&#10;dpQPUZRKqwfih15PeOyxPdeLVXCs2/gtXd7xfMrMIfdTc3h1jVJ3m/V5ByLgGv5g+NVndajYqXEL&#10;GS9GBWnyyKSC5AkE11kSg2gYy3OQVSn/61c/AAAA//8DAFBLAQItABQABgAIAAAAIQC2gziS/gAA&#10;AOEBAAATAAAAAAAAAAAAAAAAAAAAAABbQ29udGVudF9UeXBlc10ueG1sUEsBAi0AFAAGAAgAAAAh&#10;ADj9If/WAAAAlAEAAAsAAAAAAAAAAAAAAAAALwEAAF9yZWxzLy5yZWxzUEsBAi0AFAAGAAgAAAAh&#10;AHxDekeLAgAAKwUAAA4AAAAAAAAAAAAAAAAALgIAAGRycy9lMm9Eb2MueG1sUEsBAi0AFAAGAAgA&#10;AAAhAPRO39faAAAABgEAAA8AAAAAAAAAAAAAAAAA5QQAAGRycy9kb3ducmV2LnhtbFBLBQYAAAAA&#10;BAAEAPMAAADsBQAAAAA=&#10;" fillcolor="#7030a0" strokecolor="#3b3838" strokeweight=".5pt">
                      <v:path arrowok="t"/>
                    </v:rect>
                  </w:pict>
                </mc:Fallback>
              </mc:AlternateContent>
            </w:r>
            <w:r w:rsidRPr="00E76B02">
              <w:rPr>
                <w:rFonts w:ascii="Arial" w:hAnsi="Arial" w:cs="Arial"/>
                <w:iCs/>
                <w:sz w:val="16"/>
                <w:szCs w:val="16"/>
                <w:lang w:val="en-US"/>
              </w:rPr>
              <w:t xml:space="preserve">          Imports of goods</w:t>
            </w:r>
          </w:p>
        </w:tc>
        <w:tc>
          <w:tcPr>
            <w:tcW w:w="1448" w:type="dxa"/>
          </w:tcPr>
          <w:p w14:paraId="7F8E3CCA" w14:textId="77777777" w:rsidR="00A06B07" w:rsidRPr="00E76B02" w:rsidRDefault="00A06B07" w:rsidP="00E76B02">
            <w:pPr>
              <w:spacing w:before="40" w:after="40" w:line="288" w:lineRule="auto"/>
              <w:ind w:firstLine="567"/>
              <w:jc w:val="both"/>
              <w:rPr>
                <w:b/>
                <w:bCs/>
                <w:i/>
                <w:iCs/>
                <w:lang w:val="en-US"/>
              </w:rPr>
            </w:pPr>
          </w:p>
        </w:tc>
      </w:tr>
    </w:tbl>
    <w:p w14:paraId="7CE0AA37" w14:textId="5320D884" w:rsidR="00550AA7" w:rsidRPr="00E76B02" w:rsidRDefault="00A06B07" w:rsidP="00393919">
      <w:pPr>
        <w:spacing w:before="120" w:after="120" w:line="264" w:lineRule="auto"/>
        <w:ind w:firstLine="720"/>
        <w:jc w:val="both"/>
        <w:rPr>
          <w:iCs/>
        </w:rPr>
      </w:pPr>
      <w:r w:rsidRPr="00E76B02">
        <w:rPr>
          <w:iCs/>
        </w:rPr>
        <w:t>According to preliminary data, the trade balance of goods in October recorded a surplus of USD 2.6 billion</w:t>
      </w:r>
      <w:bookmarkStart w:id="9" w:name="_Hlk213089971"/>
      <w:r w:rsidRPr="00E76B02">
        <w:rPr>
          <w:iCs/>
          <w:vertAlign w:val="superscript"/>
        </w:rPr>
        <w:footnoteReference w:id="24"/>
      </w:r>
      <w:bookmarkEnd w:id="9"/>
      <w:r w:rsidRPr="00E76B02">
        <w:rPr>
          <w:iCs/>
        </w:rPr>
        <w:t>; a surplus of 19.44 billion USD for ten months; and a surplus of 1.09 billion USD in November. Overall, for the eleven months of 2025, the trade balance of goods showed a surplus of 20.53 billion USD (compared to a surplus of 24.38 billion USD in the same period last year). Of which, the domestic economic sector ran a trade deficit of 25.99 billion USD, while the FDI sector (including crude oil) recorded a trade surplus of 46.52 billion USD.</w:t>
      </w:r>
    </w:p>
    <w:p w14:paraId="53D1BFC4" w14:textId="77777777" w:rsidR="00A06B07" w:rsidRPr="00E76B02" w:rsidRDefault="00A06B07" w:rsidP="00A06B07">
      <w:pPr>
        <w:spacing w:after="120" w:line="245" w:lineRule="auto"/>
        <w:ind w:firstLine="720"/>
        <w:jc w:val="both"/>
        <w:rPr>
          <w:b/>
          <w:i/>
        </w:rPr>
      </w:pPr>
      <w:r w:rsidRPr="00E76B02">
        <w:rPr>
          <w:b/>
          <w:i/>
        </w:rPr>
        <w:t>c) Consumer price index, Gold and US dollar index</w:t>
      </w:r>
    </w:p>
    <w:p w14:paraId="30B6AF60" w14:textId="77777777" w:rsidR="00A06B07" w:rsidRPr="00E76B02" w:rsidRDefault="00A06B07" w:rsidP="00A06B07">
      <w:pPr>
        <w:spacing w:after="120" w:line="245" w:lineRule="auto"/>
        <w:ind w:firstLine="720"/>
        <w:jc w:val="both"/>
        <w:rPr>
          <w:rFonts w:eastAsia="Calibri"/>
          <w:i/>
          <w:lang w:eastAsia="x-none"/>
        </w:rPr>
      </w:pPr>
      <w:r w:rsidRPr="00E76B02">
        <w:rPr>
          <w:rFonts w:eastAsia="Calibri"/>
          <w:i/>
          <w:lang w:eastAsia="x-none"/>
        </w:rPr>
        <w:t>The consumer price index (CPI) in November saw a month-on-month increase of 0.45%, mainly due to high rise in food prices in centrally-run provinces and cities which directly impacted by floods after storms</w:t>
      </w:r>
      <w:r w:rsidRPr="00E76B02">
        <w:rPr>
          <w:rStyle w:val="FootnoteReference"/>
          <w:rFonts w:eastAsia="Calibri"/>
          <w:i/>
          <w:lang w:eastAsia="x-none"/>
        </w:rPr>
        <w:footnoteReference w:id="25"/>
      </w:r>
      <w:r w:rsidRPr="00E76B02">
        <w:rPr>
          <w:rFonts w:eastAsia="Calibri"/>
          <w:i/>
          <w:lang w:eastAsia="x-none"/>
        </w:rPr>
        <w:t>; meal and drinking out experienced an expansion due to increasing costs in input material and high prices of fuel. The CPI in November rose by 3.28% and 3.58% compared to that in December 2024 and the same period last year, respectively.</w:t>
      </w:r>
    </w:p>
    <w:p w14:paraId="6B72C24D" w14:textId="721F8EF6" w:rsidR="00A06B07" w:rsidRPr="00E76B02" w:rsidRDefault="00A06B07" w:rsidP="00A06B07">
      <w:pPr>
        <w:spacing w:after="120" w:line="245" w:lineRule="auto"/>
        <w:ind w:firstLine="720"/>
        <w:jc w:val="both"/>
        <w:rPr>
          <w:rFonts w:eastAsia="Calibri"/>
          <w:i/>
          <w:lang w:eastAsia="x-none"/>
        </w:rPr>
      </w:pPr>
      <w:r w:rsidRPr="00E76B02">
        <w:rPr>
          <w:rFonts w:eastAsia="Calibri"/>
          <w:i/>
          <w:lang w:eastAsia="x-none"/>
        </w:rPr>
        <w:t>The average CPI in</w:t>
      </w:r>
      <w:r w:rsidR="0003748B">
        <w:rPr>
          <w:rFonts w:eastAsia="Calibri"/>
          <w:i/>
          <w:lang w:eastAsia="x-none"/>
        </w:rPr>
        <w:t xml:space="preserve"> the</w:t>
      </w:r>
      <w:r w:rsidRPr="00E76B02">
        <w:rPr>
          <w:rFonts w:eastAsia="Calibri"/>
          <w:i/>
          <w:lang w:eastAsia="x-none"/>
        </w:rPr>
        <w:t xml:space="preserve"> eleven months of 2025 witnessed a year-on-year increase of 3.29%; a rise of 3.21% in core inflation.</w:t>
      </w:r>
    </w:p>
    <w:p w14:paraId="2C94E84E" w14:textId="77777777" w:rsidR="00A06B07" w:rsidRPr="00E76B02" w:rsidRDefault="00A06B07" w:rsidP="00A06B07">
      <w:pPr>
        <w:spacing w:after="160" w:line="259" w:lineRule="auto"/>
        <w:jc w:val="center"/>
        <w:rPr>
          <w:rFonts w:ascii="Arial" w:eastAsia="Calibri" w:hAnsi="Arial" w:cs="Arial"/>
          <w:b/>
          <w:sz w:val="24"/>
          <w:szCs w:val="24"/>
        </w:rPr>
      </w:pPr>
      <w:r w:rsidRPr="00E76B02">
        <w:rPr>
          <w:rFonts w:ascii="Arial" w:eastAsia="Calibri" w:hAnsi="Arial" w:cs="Arial"/>
          <w:b/>
          <w:sz w:val="24"/>
          <w:szCs w:val="24"/>
        </w:rPr>
        <w:t>Figure 15. Month-on-month CPI growth rate</w:t>
      </w:r>
    </w:p>
    <w:p w14:paraId="67A0B434" w14:textId="77777777" w:rsidR="00A06B07" w:rsidRPr="00E76B02" w:rsidRDefault="00A06B07" w:rsidP="00A06B07">
      <w:pPr>
        <w:spacing w:after="160" w:line="259" w:lineRule="auto"/>
        <w:jc w:val="center"/>
      </w:pPr>
      <w:r w:rsidRPr="00E76B02">
        <w:rPr>
          <w:noProof/>
        </w:rPr>
        <w:lastRenderedPageBreak/>
        <w:drawing>
          <wp:inline distT="0" distB="0" distL="0" distR="0" wp14:anchorId="34BB1576" wp14:editId="08333121">
            <wp:extent cx="5699760" cy="4382135"/>
            <wp:effectExtent l="0" t="0" r="15240" b="18415"/>
            <wp:docPr id="3" name="Chart 3">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E76B02">
        <w:rPr>
          <w:rFonts w:ascii="Arial" w:eastAsia="Calibri" w:hAnsi="Arial" w:cs="Arial"/>
          <w:b/>
          <w:sz w:val="24"/>
          <w:szCs w:val="24"/>
        </w:rPr>
        <w:t xml:space="preserve"> </w:t>
      </w:r>
    </w:p>
    <w:p w14:paraId="1B2E0DC1" w14:textId="1D97D953" w:rsidR="00A06B07" w:rsidRPr="00E76B02" w:rsidRDefault="00A06B07" w:rsidP="00A06B07">
      <w:pPr>
        <w:widowControl w:val="0"/>
        <w:spacing w:after="120" w:line="264" w:lineRule="auto"/>
        <w:ind w:firstLine="720"/>
        <w:jc w:val="both"/>
        <w:rPr>
          <w:rFonts w:eastAsia="Calibri"/>
        </w:rPr>
      </w:pPr>
      <w:r w:rsidRPr="00E76B02">
        <w:rPr>
          <w:rFonts w:eastAsia="Calibri"/>
        </w:rPr>
        <w:t xml:space="preserve">In the month-on-month increase of 0.45% in </w:t>
      </w:r>
      <w:r w:rsidR="00F63148">
        <w:rPr>
          <w:rFonts w:eastAsia="Calibri"/>
        </w:rPr>
        <w:t xml:space="preserve">November’s </w:t>
      </w:r>
      <w:r w:rsidRPr="00E76B02">
        <w:rPr>
          <w:rFonts w:eastAsia="Calibri"/>
        </w:rPr>
        <w:t xml:space="preserve">CPI, </w:t>
      </w:r>
      <w:r w:rsidR="0003748B">
        <w:rPr>
          <w:rFonts w:eastAsia="Calibri"/>
        </w:rPr>
        <w:t>9</w:t>
      </w:r>
      <w:r w:rsidRPr="00E76B02">
        <w:rPr>
          <w:rFonts w:eastAsia="Calibri"/>
        </w:rPr>
        <w:t xml:space="preserve"> groups of goods and services witnessed an upturn in CPI; </w:t>
      </w:r>
      <w:r w:rsidR="00E76B02" w:rsidRPr="00E76B02">
        <w:rPr>
          <w:rFonts w:eastAsia="Calibri"/>
        </w:rPr>
        <w:t>otherwise,</w:t>
      </w:r>
      <w:r w:rsidRPr="00E76B02">
        <w:rPr>
          <w:rFonts w:eastAsia="Calibri"/>
        </w:rPr>
        <w:t xml:space="preserve"> 2 groups of goods and services possessed a decrease in CPI. </w:t>
      </w:r>
    </w:p>
    <w:p w14:paraId="50D256F1" w14:textId="6579104E" w:rsidR="00A06B07" w:rsidRPr="00E76B02" w:rsidRDefault="00A06B07" w:rsidP="00A06B07">
      <w:pPr>
        <w:spacing w:after="120" w:line="264" w:lineRule="auto"/>
        <w:ind w:firstLine="720"/>
        <w:jc w:val="both"/>
        <w:rPr>
          <w:rFonts w:eastAsia="Calibri"/>
          <w:lang w:eastAsia="x-none"/>
        </w:rPr>
      </w:pPr>
      <w:r w:rsidRPr="00E76B02">
        <w:rPr>
          <w:rFonts w:eastAsia="Calibri"/>
          <w:lang w:eastAsia="x-none"/>
        </w:rPr>
        <w:t xml:space="preserve">(1) </w:t>
      </w:r>
      <w:r w:rsidR="0003748B">
        <w:t>9</w:t>
      </w:r>
      <w:r w:rsidRPr="00E76B02">
        <w:t xml:space="preserve"> groups of goods and services recorded a rise in CPI, including:</w:t>
      </w:r>
    </w:p>
    <w:p w14:paraId="305E2D60" w14:textId="77777777" w:rsidR="00A06B07" w:rsidRPr="00E76B02" w:rsidRDefault="00A06B07" w:rsidP="00A06B07">
      <w:pPr>
        <w:pStyle w:val="NormalWeb"/>
        <w:spacing w:before="0" w:beforeAutospacing="0" w:after="120" w:afterAutospacing="0" w:line="257" w:lineRule="auto"/>
        <w:ind w:firstLine="720"/>
        <w:jc w:val="both"/>
        <w:rPr>
          <w:sz w:val="28"/>
          <w:szCs w:val="28"/>
          <w:lang w:val="en-US"/>
        </w:rPr>
      </w:pPr>
      <w:r w:rsidRPr="00E76B02">
        <w:rPr>
          <w:sz w:val="28"/>
          <w:szCs w:val="28"/>
          <w:lang w:val="en-US"/>
        </w:rPr>
        <w:t xml:space="preserve">- </w:t>
      </w:r>
      <w:r w:rsidRPr="00E76B02">
        <w:rPr>
          <w:i/>
          <w:sz w:val="28"/>
          <w:szCs w:val="28"/>
          <w:lang w:val="en-US"/>
        </w:rPr>
        <w:t>The transport group</w:t>
      </w:r>
      <w:r w:rsidRPr="00E76B02">
        <w:rPr>
          <w:sz w:val="28"/>
          <w:szCs w:val="28"/>
          <w:lang w:val="en-US"/>
        </w:rPr>
        <w:t xml:space="preserve"> accelerated by 1.07% (contributing to an increase of 0.11 percentage points in the overall CPI), of which the price index of diesel and gasoline soared by 5.23% and 2.41%, respectively due to the effects of adjustments of domestic gasoline and fuel price. Additionally, prices of motorcycle and auto spare parts climbed up 0.03%; and 0.29%, respectively. Prices of passenger transport by airway; combined passenger transport jumped up 3.61%; 0.57%, respectively due to increasing demand for travelling. Prices of spare parts went up 0.31% due to high costs of component import. Prices of vehicle maintenance edged up 0.46%, of which prices of motorcycle and bicycle repair added up 0.46% and 0.22%, respectively due to increasing costs of labor. </w:t>
      </w:r>
    </w:p>
    <w:p w14:paraId="27FF7CD7" w14:textId="4820A0A2" w:rsidR="00A06B07" w:rsidRPr="00E76B02" w:rsidRDefault="00A06B07" w:rsidP="00A06B07">
      <w:pPr>
        <w:pStyle w:val="NormalWeb"/>
        <w:spacing w:before="0" w:beforeAutospacing="0" w:after="120" w:afterAutospacing="0" w:line="257" w:lineRule="auto"/>
        <w:ind w:firstLine="720"/>
        <w:jc w:val="both"/>
        <w:rPr>
          <w:sz w:val="28"/>
          <w:szCs w:val="28"/>
          <w:lang w:val="en-US"/>
        </w:rPr>
      </w:pPr>
      <w:r w:rsidRPr="00E76B02">
        <w:rPr>
          <w:sz w:val="28"/>
          <w:szCs w:val="28"/>
          <w:lang w:val="en-US"/>
        </w:rPr>
        <w:t xml:space="preserve">On the other hand, some groups of goods experienced a reduction in CPI such as </w:t>
      </w:r>
      <w:r w:rsidR="00E76B02">
        <w:rPr>
          <w:sz w:val="28"/>
          <w:szCs w:val="28"/>
          <w:lang w:val="en-US"/>
        </w:rPr>
        <w:t>p</w:t>
      </w:r>
      <w:r w:rsidRPr="00E76B02">
        <w:rPr>
          <w:sz w:val="28"/>
          <w:szCs w:val="28"/>
          <w:lang w:val="en-US"/>
        </w:rPr>
        <w:t xml:space="preserve">rices of new car fell by 0.40% because businesses reduced prices in order to stimulate demand before switching to new models; prices of bicycles and second hand cars declined by 0.05%; 0.34%, respectively. Taxi fares also shrunk by 0.03%. </w:t>
      </w:r>
    </w:p>
    <w:p w14:paraId="0F650A17" w14:textId="5EADDEE4" w:rsidR="00A06B07" w:rsidRPr="00E76B02" w:rsidRDefault="00A06B07" w:rsidP="00A06B07">
      <w:pPr>
        <w:pStyle w:val="NormalWeb"/>
        <w:spacing w:before="0" w:beforeAutospacing="0" w:after="120" w:afterAutospacing="0" w:line="257" w:lineRule="auto"/>
        <w:ind w:firstLine="720"/>
        <w:jc w:val="both"/>
        <w:rPr>
          <w:iCs/>
          <w:sz w:val="28"/>
          <w:szCs w:val="28"/>
          <w:lang w:val="en-US"/>
        </w:rPr>
      </w:pPr>
      <w:r w:rsidRPr="00E76B02">
        <w:rPr>
          <w:iCs/>
          <w:sz w:val="28"/>
          <w:szCs w:val="28"/>
          <w:lang w:val="en-US"/>
        </w:rPr>
        <w:lastRenderedPageBreak/>
        <w:t xml:space="preserve">- </w:t>
      </w:r>
      <w:r w:rsidRPr="00E76B02">
        <w:rPr>
          <w:i/>
          <w:iCs/>
          <w:sz w:val="28"/>
          <w:szCs w:val="28"/>
          <w:lang w:val="en-US"/>
        </w:rPr>
        <w:t xml:space="preserve">The group of food and </w:t>
      </w:r>
      <w:r w:rsidR="00BD5422">
        <w:rPr>
          <w:i/>
          <w:iCs/>
          <w:sz w:val="28"/>
          <w:szCs w:val="28"/>
          <w:lang w:val="en-US"/>
        </w:rPr>
        <w:t>foodstuff</w:t>
      </w:r>
      <w:r w:rsidR="00BD5422" w:rsidRPr="00E76B02">
        <w:rPr>
          <w:i/>
          <w:iCs/>
          <w:sz w:val="28"/>
          <w:szCs w:val="28"/>
          <w:lang w:val="en-US"/>
        </w:rPr>
        <w:t xml:space="preserve"> </w:t>
      </w:r>
      <w:r w:rsidRPr="00E76B02">
        <w:rPr>
          <w:iCs/>
          <w:sz w:val="28"/>
          <w:szCs w:val="28"/>
          <w:lang w:val="en-US"/>
        </w:rPr>
        <w:t>expanded by 0.95% (contributing to an increase of 0.34 percentage point in the overall CPI), of which: Food accelerated by 1.33%</w:t>
      </w:r>
      <w:r w:rsidRPr="00E76B02">
        <w:rPr>
          <w:rStyle w:val="FootnoteReference"/>
          <w:iCs/>
          <w:sz w:val="28"/>
          <w:szCs w:val="28"/>
          <w:lang w:val="en-US"/>
        </w:rPr>
        <w:footnoteReference w:id="26"/>
      </w:r>
      <w:r w:rsidRPr="00E76B02">
        <w:rPr>
          <w:iCs/>
          <w:sz w:val="28"/>
          <w:szCs w:val="28"/>
          <w:lang w:val="en-US"/>
        </w:rPr>
        <w:t xml:space="preserve"> (contributing to a rise of 0.3 percentage point in the overall CPI); eating out and </w:t>
      </w:r>
      <w:r w:rsidRPr="00E76B02">
        <w:rPr>
          <w:sz w:val="28"/>
          <w:szCs w:val="28"/>
          <w:lang w:val="en-US"/>
        </w:rPr>
        <w:t>foodstuff</w:t>
      </w:r>
      <w:r w:rsidRPr="00E76B02">
        <w:rPr>
          <w:iCs/>
          <w:sz w:val="28"/>
          <w:szCs w:val="28"/>
          <w:lang w:val="en-US"/>
        </w:rPr>
        <w:t xml:space="preserve"> went up 0.34%</w:t>
      </w:r>
      <w:r w:rsidRPr="00E76B02">
        <w:rPr>
          <w:rStyle w:val="FootnoteReference"/>
          <w:iCs/>
          <w:sz w:val="28"/>
          <w:szCs w:val="28"/>
          <w:lang w:val="en-US"/>
        </w:rPr>
        <w:footnoteReference w:id="27"/>
      </w:r>
      <w:r w:rsidRPr="00E76B02">
        <w:rPr>
          <w:iCs/>
          <w:sz w:val="28"/>
          <w:szCs w:val="28"/>
          <w:lang w:val="en-US"/>
        </w:rPr>
        <w:t>; and 0.30%</w:t>
      </w:r>
      <w:r w:rsidRPr="00E76B02">
        <w:rPr>
          <w:rStyle w:val="FootnoteReference"/>
          <w:iCs/>
          <w:sz w:val="28"/>
          <w:szCs w:val="28"/>
          <w:lang w:val="en-US"/>
        </w:rPr>
        <w:footnoteReference w:id="28"/>
      </w:r>
      <w:r w:rsidRPr="00E76B02">
        <w:rPr>
          <w:iCs/>
          <w:sz w:val="28"/>
          <w:szCs w:val="28"/>
          <w:lang w:val="en-US"/>
        </w:rPr>
        <w:t xml:space="preserve">, respectively. </w:t>
      </w:r>
    </w:p>
    <w:p w14:paraId="3240E0DC" w14:textId="24DB37E2" w:rsidR="00A06B07" w:rsidRPr="00E76B02" w:rsidRDefault="00A06B07" w:rsidP="00A06B07">
      <w:pPr>
        <w:pStyle w:val="NormalWeb"/>
        <w:spacing w:before="0" w:beforeAutospacing="0" w:after="120" w:afterAutospacing="0" w:line="257" w:lineRule="auto"/>
        <w:ind w:firstLine="720"/>
        <w:jc w:val="both"/>
        <w:rPr>
          <w:iCs/>
          <w:sz w:val="28"/>
          <w:szCs w:val="28"/>
          <w:lang w:val="en-US"/>
        </w:rPr>
      </w:pPr>
      <w:r w:rsidRPr="00E76B02">
        <w:rPr>
          <w:iCs/>
          <w:sz w:val="28"/>
          <w:szCs w:val="28"/>
          <w:lang w:val="en-US"/>
        </w:rPr>
        <w:t xml:space="preserve">- </w:t>
      </w:r>
      <w:r w:rsidRPr="00E76B02">
        <w:rPr>
          <w:i/>
          <w:iCs/>
          <w:sz w:val="28"/>
          <w:szCs w:val="28"/>
          <w:lang w:val="en-US"/>
        </w:rPr>
        <w:t xml:space="preserve">The group of other </w:t>
      </w:r>
      <w:r w:rsidR="00BD5422">
        <w:rPr>
          <w:i/>
          <w:iCs/>
          <w:sz w:val="28"/>
          <w:szCs w:val="28"/>
          <w:lang w:val="en-US"/>
        </w:rPr>
        <w:t xml:space="preserve">consumer </w:t>
      </w:r>
      <w:r w:rsidRPr="00E76B02">
        <w:rPr>
          <w:i/>
          <w:iCs/>
          <w:sz w:val="28"/>
          <w:szCs w:val="28"/>
          <w:lang w:val="en-US"/>
        </w:rPr>
        <w:t>goods and services</w:t>
      </w:r>
      <w:r w:rsidRPr="00E76B02">
        <w:rPr>
          <w:iCs/>
          <w:sz w:val="28"/>
          <w:szCs w:val="28"/>
          <w:lang w:val="en-US"/>
        </w:rPr>
        <w:t xml:space="preserve"> increased by 0.30%, focusing on some items such as: Jewelry prices rose by 3.22% </w:t>
      </w:r>
      <w:r w:rsidRPr="00E76B02">
        <w:rPr>
          <w:sz w:val="28"/>
          <w:szCs w:val="28"/>
          <w:lang w:val="en-US"/>
        </w:rPr>
        <w:t xml:space="preserve">in accordance with the prices of </w:t>
      </w:r>
      <w:r w:rsidRPr="00E76B02">
        <w:rPr>
          <w:iCs/>
          <w:sz w:val="28"/>
          <w:szCs w:val="28"/>
          <w:lang w:val="en-US"/>
        </w:rPr>
        <w:t xml:space="preserve">world gold; non-electric personal </w:t>
      </w:r>
      <w:r w:rsidRPr="00E76B02">
        <w:rPr>
          <w:sz w:val="28"/>
          <w:szCs w:val="28"/>
          <w:lang w:val="en-US"/>
        </w:rPr>
        <w:t>appliances</w:t>
      </w:r>
      <w:r w:rsidRPr="00E76B02">
        <w:rPr>
          <w:iCs/>
          <w:sz w:val="28"/>
          <w:szCs w:val="28"/>
          <w:lang w:val="en-US"/>
        </w:rPr>
        <w:t xml:space="preserve"> up 0.04%; body care products, watch and jewelry repair both expanded by 0.19%; funeral and wedding services; personal care services; haircut and shampooing services added up 0.22%; 0.47%; 0.79%, respectively.</w:t>
      </w:r>
    </w:p>
    <w:p w14:paraId="7DFF1CDA" w14:textId="77777777" w:rsidR="00A06B07" w:rsidRPr="00E76B02" w:rsidRDefault="00A06B07" w:rsidP="00A06B07">
      <w:pPr>
        <w:pStyle w:val="BodyText"/>
        <w:spacing w:line="257" w:lineRule="auto"/>
        <w:ind w:firstLine="720"/>
        <w:jc w:val="both"/>
      </w:pPr>
      <w:r w:rsidRPr="00E76B02">
        <w:rPr>
          <w:i/>
        </w:rPr>
        <w:t xml:space="preserve">- The group of household equipment and goods </w:t>
      </w:r>
      <w:r w:rsidRPr="00E76B02">
        <w:t>climbed up 0.17% due to increasing production expenditures and labor costs. Of which, electric irons, electric pots, wall mirrors, bowls and plates, electric kettles and thermoses; household services; egg beaters; cabinets of all kinds; gas stoves;  all lighting, soap, detergents, and beds jumped up 1.26%; 0.76%; 0.72%; 0.42%; 0.33%; 0.27%; 0.26%; 0.24%; 0.18%; 0.23%, respectively.</w:t>
      </w:r>
    </w:p>
    <w:p w14:paraId="3F02DB98" w14:textId="77777777" w:rsidR="00A06B07" w:rsidRPr="00E76B02" w:rsidRDefault="00A06B07" w:rsidP="00A06B07">
      <w:pPr>
        <w:spacing w:after="120" w:line="257" w:lineRule="auto"/>
        <w:ind w:firstLine="720"/>
        <w:jc w:val="both"/>
        <w:rPr>
          <w:bCs/>
        </w:rPr>
      </w:pPr>
      <w:r w:rsidRPr="00E76B02">
        <w:rPr>
          <w:bCs/>
        </w:rPr>
        <w:t xml:space="preserve">- </w:t>
      </w:r>
      <w:r w:rsidRPr="00E76B02">
        <w:rPr>
          <w:bCs/>
          <w:i/>
        </w:rPr>
        <w:t>The group of garment, hat and footwear</w:t>
      </w:r>
      <w:r w:rsidRPr="00E76B02">
        <w:rPr>
          <w:bCs/>
        </w:rPr>
        <w:t xml:space="preserve"> edged up 0.12% due to rising shopping demand for clothes and footwear during the transitional seasons and the end of the year. Of which, prices of fabrics of all kinds; ready-made clothes;   other garments; garment services; </w:t>
      </w:r>
      <w:r w:rsidRPr="00E76B02">
        <w:rPr>
          <w:bCs/>
          <w:spacing w:val="-4"/>
        </w:rPr>
        <w:t>footwear and shoe services accelerated by</w:t>
      </w:r>
      <w:r w:rsidRPr="00E76B02">
        <w:rPr>
          <w:bCs/>
        </w:rPr>
        <w:t xml:space="preserve"> 0.27%; 0.11%; 0.28%; 0.55%; 0.30%, respectively.</w:t>
      </w:r>
    </w:p>
    <w:p w14:paraId="6BAF2E8F" w14:textId="77777777" w:rsidR="00A06B07" w:rsidRPr="00E76B02" w:rsidRDefault="00A06B07" w:rsidP="00A06B07">
      <w:pPr>
        <w:spacing w:after="120" w:line="264" w:lineRule="auto"/>
        <w:ind w:firstLine="720"/>
        <w:jc w:val="both"/>
        <w:rPr>
          <w:bCs/>
        </w:rPr>
      </w:pPr>
      <w:r w:rsidRPr="00E76B02">
        <w:t xml:space="preserve">- </w:t>
      </w:r>
      <w:r w:rsidRPr="00E76B02">
        <w:rPr>
          <w:bCs/>
          <w:i/>
        </w:rPr>
        <w:t>The group of beverage and cigarette</w:t>
      </w:r>
      <w:r w:rsidRPr="00E76B02">
        <w:rPr>
          <w:bCs/>
        </w:rPr>
        <w:t xml:space="preserve"> grew by 0.10% due to rising costs of raw material and production, of which the price of bottled, canned, and boxed energy drinks; alcohol and tobacco; canned beer; bottled beer grew by 0.04%; 0.34%; a 0.16%; and 0.10%, respectively.</w:t>
      </w:r>
    </w:p>
    <w:p w14:paraId="3A9A03B5" w14:textId="77777777" w:rsidR="00A06B07" w:rsidRPr="00E76B02" w:rsidRDefault="00A06B07" w:rsidP="00A06B07">
      <w:pPr>
        <w:spacing w:after="120" w:line="264" w:lineRule="auto"/>
        <w:ind w:firstLine="720"/>
        <w:jc w:val="both"/>
        <w:rPr>
          <w:spacing w:val="-2"/>
        </w:rPr>
      </w:pPr>
      <w:r w:rsidRPr="00E76B02">
        <w:rPr>
          <w:spacing w:val="-2"/>
        </w:rPr>
        <w:t xml:space="preserve">- </w:t>
      </w:r>
      <w:r w:rsidRPr="00E76B02">
        <w:rPr>
          <w:i/>
          <w:spacing w:val="-2"/>
        </w:rPr>
        <w:t xml:space="preserve">The group of medicines and health care services </w:t>
      </w:r>
      <w:r w:rsidRPr="00E76B02">
        <w:rPr>
          <w:spacing w:val="-2"/>
        </w:rPr>
        <w:t xml:space="preserve">accelerated by 0.06% because hormone and respiratory drugs; non-steroidal anti-inflammatory drugs (NSAIDs) for pain relief and fever reduction; </w:t>
      </w:r>
      <w:r w:rsidRPr="00E76B02">
        <w:t xml:space="preserve">the group of </w:t>
      </w:r>
      <w:r w:rsidRPr="00E76B02">
        <w:rPr>
          <w:spacing w:val="-2"/>
        </w:rPr>
        <w:t xml:space="preserve">vitamins and minerals; </w:t>
      </w:r>
      <w:r w:rsidRPr="00E76B02">
        <w:rPr>
          <w:spacing w:val="-2"/>
        </w:rPr>
        <w:lastRenderedPageBreak/>
        <w:t xml:space="preserve">gastrointestinal drugs; anti-allergy, hypersensitivity and anti-infective/antiparasitic drugs added up 0.13%; 0.18%; 0.19%; 0.16%; 0.12%, respectively. </w:t>
      </w:r>
    </w:p>
    <w:p w14:paraId="418D15FD" w14:textId="51F60893" w:rsidR="00A06B07" w:rsidRPr="00E76B02" w:rsidRDefault="00A06B07" w:rsidP="00A06B07">
      <w:pPr>
        <w:spacing w:after="120" w:line="264" w:lineRule="auto"/>
        <w:ind w:firstLine="720"/>
        <w:jc w:val="both"/>
        <w:rPr>
          <w:spacing w:val="-2"/>
        </w:rPr>
      </w:pPr>
      <w:r w:rsidRPr="00E76B02">
        <w:rPr>
          <w:spacing w:val="2"/>
        </w:rPr>
        <w:t xml:space="preserve">- </w:t>
      </w:r>
      <w:r w:rsidRPr="00E76B02">
        <w:rPr>
          <w:i/>
          <w:spacing w:val="2"/>
        </w:rPr>
        <w:t>The education group</w:t>
      </w:r>
      <w:r w:rsidRPr="00E76B02">
        <w:rPr>
          <w:spacing w:val="2"/>
        </w:rPr>
        <w:t xml:space="preserve"> expanded by 0.05%, of which the price of educational services edged up 0.05% due to</w:t>
      </w:r>
      <w:r w:rsidRPr="00E76B02">
        <w:rPr>
          <w:iCs/>
        </w:rPr>
        <w:t xml:space="preserve"> upward adjustments of</w:t>
      </w:r>
      <w:r w:rsidRPr="00E76B02">
        <w:rPr>
          <w:spacing w:val="2"/>
        </w:rPr>
        <w:t xml:space="preserve"> tuition fee for the 2025-2026 school year at some </w:t>
      </w:r>
      <w:r w:rsidRPr="00E76B02">
        <w:rPr>
          <w:iCs/>
        </w:rPr>
        <w:t>private</w:t>
      </w:r>
      <w:r w:rsidRPr="00E76B02">
        <w:rPr>
          <w:spacing w:val="2"/>
        </w:rPr>
        <w:t xml:space="preserve"> universities, colleges,</w:t>
      </w:r>
      <w:r w:rsidRPr="00E76B02">
        <w:rPr>
          <w:iCs/>
        </w:rPr>
        <w:t xml:space="preserve"> secondary schools,</w:t>
      </w:r>
      <w:r w:rsidRPr="00E76B02">
        <w:rPr>
          <w:spacing w:val="2"/>
        </w:rPr>
        <w:t xml:space="preserve"> vocational schools, </w:t>
      </w:r>
      <w:r w:rsidR="002157EA" w:rsidRPr="00E76B02">
        <w:rPr>
          <w:spacing w:val="2"/>
        </w:rPr>
        <w:t>upper intermediate</w:t>
      </w:r>
      <w:r w:rsidRPr="00E76B02">
        <w:rPr>
          <w:spacing w:val="2"/>
        </w:rPr>
        <w:t xml:space="preserve"> schools, and </w:t>
      </w:r>
      <w:r w:rsidRPr="00E76B02">
        <w:rPr>
          <w:iCs/>
        </w:rPr>
        <w:t xml:space="preserve">preschools </w:t>
      </w:r>
      <w:r w:rsidRPr="00E76B02">
        <w:rPr>
          <w:spacing w:val="2"/>
        </w:rPr>
        <w:t xml:space="preserve">in some provinces, in despite of exemptions, reductions, and support of tuition fees in public schools in accordance with </w:t>
      </w:r>
      <w:r w:rsidR="00752F87">
        <w:rPr>
          <w:spacing w:val="2"/>
        </w:rPr>
        <w:t xml:space="preserve">the </w:t>
      </w:r>
      <w:r w:rsidRPr="00E76B02">
        <w:rPr>
          <w:spacing w:val="2"/>
        </w:rPr>
        <w:t>Decree No. 238/2025/ND-CP issued by the Government on September 3, 2025. Besides, the price of paper products; pens of all kinds; stationery and other school supplies other school supplies rose by 0.06%; 0.23%; and 0.13%, respectively.</w:t>
      </w:r>
    </w:p>
    <w:p w14:paraId="5C915F94" w14:textId="77777777" w:rsidR="00A06B07" w:rsidRPr="00E76B02" w:rsidRDefault="00A06B07" w:rsidP="00A06B07">
      <w:pPr>
        <w:spacing w:after="120" w:line="264" w:lineRule="auto"/>
        <w:ind w:firstLine="720"/>
        <w:jc w:val="both"/>
      </w:pPr>
      <w:r w:rsidRPr="00E76B02">
        <w:t xml:space="preserve">- </w:t>
      </w:r>
      <w:r w:rsidRPr="00E76B02">
        <w:rPr>
          <w:i/>
        </w:rPr>
        <w:t>The culture, entertainment, and tourism group</w:t>
      </w:r>
      <w:r w:rsidRPr="00E76B02">
        <w:t xml:space="preserve"> soared by 0.01%, mainly due to an expansion of 1.26%; 0.31%; 0.28%; 0.19%; 0.13%; 0.12% in the prices of flowers, ornamental plants, and decorative items; cameras and video cameras; sports venue rentals; cultural services; toys; and musical instruments, respectively. Otherwise, the prices of some services saw a decrease, of which package tours fell by 0.38% as travel companies implemented promotional programs to stimulate consumer demands; concert tickets reduced by 0.16%. </w:t>
      </w:r>
    </w:p>
    <w:p w14:paraId="500C9458" w14:textId="77777777" w:rsidR="00A06B07" w:rsidRPr="00E76B02" w:rsidRDefault="00A06B07" w:rsidP="00A06B07">
      <w:pPr>
        <w:pStyle w:val="NormalWeb"/>
        <w:spacing w:before="0" w:beforeAutospacing="0" w:after="120" w:afterAutospacing="0" w:line="264" w:lineRule="auto"/>
        <w:ind w:firstLine="720"/>
        <w:jc w:val="both"/>
        <w:rPr>
          <w:iCs/>
          <w:sz w:val="28"/>
          <w:szCs w:val="28"/>
          <w:lang w:val="en-US"/>
        </w:rPr>
      </w:pPr>
      <w:r w:rsidRPr="00E76B02">
        <w:rPr>
          <w:iCs/>
          <w:sz w:val="28"/>
          <w:szCs w:val="28"/>
          <w:lang w:val="en-US"/>
        </w:rPr>
        <w:t>(2) Two groups of goods and services possessed a declining in CPI, including:</w:t>
      </w:r>
    </w:p>
    <w:p w14:paraId="0DA3DD2C" w14:textId="4F4CC99D" w:rsidR="00A06B07" w:rsidRPr="00E76B02" w:rsidRDefault="00A06B07" w:rsidP="00A06B07">
      <w:pPr>
        <w:pStyle w:val="NormalWeb"/>
        <w:spacing w:before="0" w:beforeAutospacing="0" w:after="120" w:afterAutospacing="0" w:line="264" w:lineRule="auto"/>
        <w:ind w:firstLine="720"/>
        <w:jc w:val="both"/>
        <w:rPr>
          <w:sz w:val="28"/>
          <w:szCs w:val="28"/>
          <w:lang w:val="en-US"/>
        </w:rPr>
      </w:pPr>
      <w:r w:rsidRPr="00E76B02">
        <w:rPr>
          <w:sz w:val="28"/>
          <w:szCs w:val="28"/>
          <w:lang w:val="en-US"/>
        </w:rPr>
        <w:t xml:space="preserve">- </w:t>
      </w:r>
      <w:r w:rsidRPr="00E76B02">
        <w:rPr>
          <w:i/>
          <w:sz w:val="28"/>
          <w:szCs w:val="28"/>
          <w:lang w:val="en-US"/>
        </w:rPr>
        <w:t>The group of information and communications</w:t>
      </w:r>
      <w:r w:rsidRPr="00E76B02">
        <w:rPr>
          <w:sz w:val="28"/>
          <w:szCs w:val="28"/>
          <w:lang w:val="en-US"/>
        </w:rPr>
        <w:t xml:space="preserve"> decreased by 0.06%, of which: accessories for smart phones; smartphones and tablets; printers, projectors, and scanners; computers and accessories shrunk by 0.48%; 0.34%; 0.06%; 0.01%, respectively. </w:t>
      </w:r>
    </w:p>
    <w:p w14:paraId="6268955C" w14:textId="1BBC1FFB" w:rsidR="00A06B07" w:rsidRPr="00E76B02" w:rsidRDefault="00A06B07" w:rsidP="00A06B07">
      <w:pPr>
        <w:pStyle w:val="Normal1"/>
        <w:spacing w:before="0" w:beforeAutospacing="0" w:after="120" w:afterAutospacing="0" w:line="264" w:lineRule="auto"/>
        <w:ind w:firstLine="720"/>
        <w:jc w:val="both"/>
        <w:rPr>
          <w:rFonts w:ascii="Times New Roman" w:hAnsi="Times New Roman" w:cs="Times New Roman"/>
          <w:sz w:val="28"/>
          <w:szCs w:val="28"/>
        </w:rPr>
      </w:pPr>
      <w:r w:rsidRPr="00E76B02">
        <w:rPr>
          <w:rFonts w:ascii="Times New Roman" w:hAnsi="Times New Roman" w:cs="Times New Roman"/>
          <w:sz w:val="28"/>
          <w:szCs w:val="28"/>
        </w:rPr>
        <w:t xml:space="preserve">- </w:t>
      </w:r>
      <w:r w:rsidRPr="00E76B02">
        <w:rPr>
          <w:rFonts w:ascii="Times New Roman" w:hAnsi="Times New Roman" w:cs="Times New Roman"/>
          <w:i/>
          <w:sz w:val="28"/>
          <w:szCs w:val="28"/>
        </w:rPr>
        <w:t>Group of housing, electricity, water, fuel and construction materials</w:t>
      </w:r>
      <w:r w:rsidRPr="00E76B02">
        <w:rPr>
          <w:rFonts w:ascii="Times New Roman" w:hAnsi="Times New Roman" w:cs="Times New Roman"/>
          <w:sz w:val="28"/>
          <w:szCs w:val="28"/>
        </w:rPr>
        <w:t xml:space="preserve"> fell by 0.10%, mainly due to main reasons as follows: prices of household electricity; tap water reduced by 1.53%; 0.34%</w:t>
      </w:r>
      <w:r w:rsidRPr="00E76B02">
        <w:rPr>
          <w:rStyle w:val="FootnoteReference"/>
          <w:rFonts w:ascii="Times New Roman" w:hAnsi="Times New Roman" w:cs="Times New Roman"/>
          <w:sz w:val="28"/>
          <w:szCs w:val="28"/>
        </w:rPr>
        <w:footnoteReference w:id="29"/>
      </w:r>
      <w:r w:rsidRPr="00E76B02">
        <w:rPr>
          <w:rFonts w:ascii="Times New Roman" w:hAnsi="Times New Roman" w:cs="Times New Roman"/>
          <w:sz w:val="28"/>
          <w:szCs w:val="28"/>
        </w:rPr>
        <w:t xml:space="preserve">, respectively resulting from decreasing consumer demand caused by cold weather. Service prices of household electricity decelerated by 0.09%. Gas prices dropped 1.15% due to downward adjustments in line with </w:t>
      </w:r>
      <w:r w:rsidR="00752F87">
        <w:rPr>
          <w:rFonts w:ascii="Times New Roman" w:hAnsi="Times New Roman" w:cs="Times New Roman"/>
          <w:sz w:val="28"/>
          <w:szCs w:val="28"/>
        </w:rPr>
        <w:t xml:space="preserve">the </w:t>
      </w:r>
      <w:r w:rsidRPr="00E76B02">
        <w:rPr>
          <w:rFonts w:ascii="Times New Roman" w:hAnsi="Times New Roman" w:cs="Times New Roman"/>
          <w:sz w:val="28"/>
          <w:szCs w:val="28"/>
        </w:rPr>
        <w:t>world gas prices since November 1, 2025. On the other hand, some goods witnessed a rise in CPI: Prices of housing maintenance materials; house rental; kerosene; housing repair service edged up 0.62%; 0.31%; 6.39%; 0.48%, respectively.</w:t>
      </w:r>
    </w:p>
    <w:p w14:paraId="6136C2FC" w14:textId="77777777" w:rsidR="00A06B07" w:rsidRPr="00E76B02" w:rsidRDefault="00A06B07" w:rsidP="00A06B07">
      <w:pPr>
        <w:pStyle w:val="NormalWeb"/>
        <w:spacing w:before="0" w:beforeAutospacing="0" w:after="120" w:afterAutospacing="0" w:line="252" w:lineRule="auto"/>
        <w:ind w:firstLine="720"/>
        <w:jc w:val="both"/>
        <w:rPr>
          <w:sz w:val="28"/>
          <w:szCs w:val="28"/>
          <w:lang w:val="en-US"/>
        </w:rPr>
      </w:pPr>
      <w:r w:rsidRPr="00E76B02">
        <w:rPr>
          <w:i/>
          <w:sz w:val="28"/>
          <w:szCs w:val="28"/>
          <w:lang w:val="en-US"/>
        </w:rPr>
        <w:lastRenderedPageBreak/>
        <w:t>Core inflation</w:t>
      </w:r>
      <w:r w:rsidRPr="00E76B02">
        <w:rPr>
          <w:rStyle w:val="FootnoteReference"/>
          <w:i/>
          <w:sz w:val="28"/>
          <w:szCs w:val="28"/>
          <w:lang w:val="en-US"/>
        </w:rPr>
        <w:footnoteReference w:id="30"/>
      </w:r>
      <w:r w:rsidRPr="00E76B02">
        <w:rPr>
          <w:sz w:val="28"/>
          <w:szCs w:val="28"/>
          <w:lang w:val="en-US"/>
        </w:rPr>
        <w:t xml:space="preserve"> in November witnessed a month-on-month soar of 0.23% and a year-on-year rise of 3.28%. %. The average core inflation in the eleven months of 2025 </w:t>
      </w:r>
      <w:r w:rsidRPr="00E76B02">
        <w:rPr>
          <w:rStyle w:val="normalchar"/>
          <w:sz w:val="28"/>
          <w:szCs w:val="28"/>
          <w:lang w:val="en-US"/>
        </w:rPr>
        <w:t>saw a year-on-year increase of</w:t>
      </w:r>
      <w:r w:rsidRPr="00E76B02">
        <w:rPr>
          <w:sz w:val="28"/>
          <w:szCs w:val="28"/>
          <w:lang w:val="en-US"/>
        </w:rPr>
        <w:t xml:space="preserve"> 3.21%, lower than the rise of 3.29% in the overall CPI mainly due to the increase in prices of food, foodstuff, household electricity, healthcare services, and education services, which were factors contributing to an expansion in CPI, were excluded from the list of core inflation calculations.</w:t>
      </w:r>
    </w:p>
    <w:p w14:paraId="0CE33237" w14:textId="4FDF5E61" w:rsidR="00A06B07" w:rsidRPr="00E76B02" w:rsidRDefault="00A06B07" w:rsidP="00A06B07">
      <w:pPr>
        <w:pStyle w:val="NormalWeb"/>
        <w:spacing w:before="0" w:beforeAutospacing="0" w:after="120" w:afterAutospacing="0" w:line="252" w:lineRule="auto"/>
        <w:ind w:firstLine="720"/>
        <w:jc w:val="both"/>
        <w:rPr>
          <w:sz w:val="28"/>
          <w:szCs w:val="28"/>
          <w:lang w:val="en-US"/>
        </w:rPr>
      </w:pPr>
      <w:r w:rsidRPr="00E76B02">
        <w:rPr>
          <w:sz w:val="28"/>
          <w:szCs w:val="28"/>
          <w:lang w:val="en-US"/>
        </w:rPr>
        <w:t>Domestic gold prices fluctuated in line with</w:t>
      </w:r>
      <w:r w:rsidR="00752F87">
        <w:rPr>
          <w:sz w:val="28"/>
          <w:szCs w:val="28"/>
          <w:lang w:val="en-US"/>
        </w:rPr>
        <w:t xml:space="preserve"> the</w:t>
      </w:r>
      <w:r w:rsidRPr="00E76B02">
        <w:rPr>
          <w:sz w:val="28"/>
          <w:szCs w:val="28"/>
          <w:lang w:val="en-US"/>
        </w:rPr>
        <w:t xml:space="preserve"> world gold prices. As of November 28, 2025, the average price of world gold was at 4,109.63USD/ounce, a month-on-month surge of 1.96%. </w:t>
      </w:r>
      <w:r w:rsidR="00752F87">
        <w:rPr>
          <w:sz w:val="28"/>
          <w:szCs w:val="28"/>
          <w:lang w:val="en-US"/>
        </w:rPr>
        <w:t>The w</w:t>
      </w:r>
      <w:r w:rsidRPr="00E76B02">
        <w:rPr>
          <w:sz w:val="28"/>
          <w:szCs w:val="28"/>
          <w:lang w:val="en-US"/>
        </w:rPr>
        <w:t xml:space="preserve">orld gold prices continued to witness a month-on-month rise due to expectations that the US Federal Reserve (FED) continued to ease monetary policy in the end of the year, </w:t>
      </w:r>
      <w:r w:rsidR="002157EA" w:rsidRPr="00E76B02">
        <w:rPr>
          <w:sz w:val="28"/>
          <w:szCs w:val="28"/>
          <w:lang w:val="en-US"/>
        </w:rPr>
        <w:t>together</w:t>
      </w:r>
      <w:r w:rsidRPr="00E76B02">
        <w:rPr>
          <w:sz w:val="28"/>
          <w:szCs w:val="28"/>
          <w:lang w:val="en-US"/>
        </w:rPr>
        <w:t xml:space="preserve"> with the increasing demand for physical gold consumption in the peak holiday and wedding season in Asia. Besides, strong aversion of risk was caused by escalated geopolitical conflicts in some regions, pushing the demand for precious metals as safe-haven assets to increase. The domestic gold price index in November experienced a month-on-month rise of 1.90%; a year-on-year spike of 64.44%; and a surge of 66.74% compared to that in December 2024. The average domestic gold price index in eleven months of 2025 saw a year-on-year soar of 45.77%.</w:t>
      </w:r>
    </w:p>
    <w:p w14:paraId="40B279D6" w14:textId="1788E22B" w:rsidR="00A06B07" w:rsidRPr="00E76B02" w:rsidRDefault="00A06B07" w:rsidP="00A06B07">
      <w:pPr>
        <w:spacing w:before="120" w:after="120" w:line="264" w:lineRule="auto"/>
        <w:ind w:firstLine="720"/>
        <w:jc w:val="both"/>
        <w:rPr>
          <w:spacing w:val="-4"/>
        </w:rPr>
      </w:pPr>
      <w:r w:rsidRPr="00E76B02">
        <w:rPr>
          <w:spacing w:val="-4"/>
        </w:rPr>
        <w:t xml:space="preserve">The domestic US dollar prices in November fluctuated the opposite direction to global prices. As of November 28, 2025, the US dollar price index reached 99.64 points in the international market, a month-on-month increase of 1.20%, mainly due to increasing demand for the US dollar as safe-haven assets in the context of unpredictable geopolitical conflicts. The domestic US dollar price index in November possessed a month-on-month decrease of 0.11%; a year-on-year rise of 3.60%; an expansion of 3.51% compared to that in December 2024; the average US dollar price index in eleven months of </w:t>
      </w:r>
      <w:r w:rsidR="002157EA" w:rsidRPr="00E76B02">
        <w:rPr>
          <w:spacing w:val="-4"/>
        </w:rPr>
        <w:t>2025 witnessed</w:t>
      </w:r>
      <w:r w:rsidRPr="00E76B02">
        <w:rPr>
          <w:spacing w:val="-4"/>
        </w:rPr>
        <w:t xml:space="preserve"> a year-on-year upturn </w:t>
      </w:r>
      <w:r w:rsidR="002157EA" w:rsidRPr="00E76B02">
        <w:rPr>
          <w:spacing w:val="-4"/>
        </w:rPr>
        <w:t>of 3.94</w:t>
      </w:r>
      <w:r w:rsidRPr="00E76B02">
        <w:rPr>
          <w:spacing w:val="-4"/>
        </w:rPr>
        <w:t>%.</w:t>
      </w:r>
    </w:p>
    <w:p w14:paraId="247AFC75" w14:textId="77777777" w:rsidR="00A06B07" w:rsidRPr="00E76B02" w:rsidRDefault="00A06B07" w:rsidP="00A06B07">
      <w:pPr>
        <w:spacing w:after="120" w:line="252" w:lineRule="auto"/>
        <w:ind w:firstLine="720"/>
        <w:jc w:val="both"/>
        <w:rPr>
          <w:b/>
          <w:bCs/>
        </w:rPr>
      </w:pPr>
      <w:r w:rsidRPr="00E76B02">
        <w:rPr>
          <w:b/>
          <w:bCs/>
          <w:i/>
          <w:iCs/>
        </w:rPr>
        <w:t>d) Passengers and cargo transport</w:t>
      </w:r>
    </w:p>
    <w:p w14:paraId="1D33DD7D" w14:textId="359728C0" w:rsidR="00A06B07" w:rsidRPr="00E76B02" w:rsidRDefault="00A06B07" w:rsidP="00A06B07">
      <w:pPr>
        <w:tabs>
          <w:tab w:val="left" w:pos="567"/>
        </w:tabs>
        <w:spacing w:after="120" w:line="252" w:lineRule="auto"/>
        <w:ind w:firstLine="720"/>
        <w:jc w:val="both"/>
        <w:rPr>
          <w:bCs/>
          <w:i/>
          <w:iCs/>
        </w:rPr>
      </w:pPr>
      <w:r w:rsidRPr="00E76B02">
        <w:rPr>
          <w:i/>
        </w:rPr>
        <w:t xml:space="preserve">In November, despite being affected by natural disasters and floods in some localities, transport activities recovered rapidly, </w:t>
      </w:r>
      <w:r w:rsidRPr="00E76B02">
        <w:rPr>
          <w:rFonts w:eastAsia="Calibri"/>
          <w:bCs/>
          <w:i/>
        </w:rPr>
        <w:t>maintaining transport capacity</w:t>
      </w:r>
      <w:r w:rsidRPr="00E76B02">
        <w:rPr>
          <w:i/>
        </w:rPr>
        <w:t xml:space="preserve">, meeting </w:t>
      </w:r>
      <w:r w:rsidRPr="00E76B02">
        <w:rPr>
          <w:bCs/>
          <w:i/>
          <w:iCs/>
        </w:rPr>
        <w:t>demands for travel and tourism of domestic and international visitors to Viet Nam, as well as serving production, import and export of goods</w:t>
      </w:r>
      <w:r w:rsidRPr="00E76B02">
        <w:rPr>
          <w:i/>
        </w:rPr>
        <w:t xml:space="preserve">. In November 2025, </w:t>
      </w:r>
      <w:r w:rsidRPr="00E76B02">
        <w:rPr>
          <w:bCs/>
          <w:i/>
          <w:iCs/>
        </w:rPr>
        <w:t xml:space="preserve">passengers carried and passenger traffic saw a year-on-year increase of </w:t>
      </w:r>
      <w:r w:rsidRPr="00E76B02">
        <w:rPr>
          <w:rFonts w:eastAsia="Calibri"/>
          <w:bCs/>
          <w:i/>
        </w:rPr>
        <w:t>22.4%</w:t>
      </w:r>
      <w:r w:rsidRPr="00E76B02">
        <w:rPr>
          <w:i/>
        </w:rPr>
        <w:t xml:space="preserve"> and </w:t>
      </w:r>
      <w:r w:rsidRPr="00E76B02">
        <w:rPr>
          <w:rFonts w:eastAsia="Calibri"/>
          <w:bCs/>
          <w:i/>
        </w:rPr>
        <w:t>11.8%</w:t>
      </w:r>
      <w:r w:rsidRPr="00E76B02">
        <w:rPr>
          <w:i/>
        </w:rPr>
        <w:t xml:space="preserve">, </w:t>
      </w:r>
      <w:r w:rsidRPr="00E76B02">
        <w:rPr>
          <w:bCs/>
          <w:i/>
          <w:iCs/>
        </w:rPr>
        <w:t>respectively</w:t>
      </w:r>
      <w:r w:rsidRPr="00E76B02">
        <w:rPr>
          <w:i/>
        </w:rPr>
        <w:t xml:space="preserve">; </w:t>
      </w:r>
      <w:r w:rsidRPr="00E76B02">
        <w:rPr>
          <w:bCs/>
          <w:i/>
          <w:iCs/>
        </w:rPr>
        <w:t xml:space="preserve">freight carried and freight traffic recorded a year-on-year rise </w:t>
      </w:r>
      <w:r w:rsidR="002157EA" w:rsidRPr="00E76B02">
        <w:rPr>
          <w:bCs/>
          <w:i/>
          <w:iCs/>
        </w:rPr>
        <w:t xml:space="preserve">of </w:t>
      </w:r>
      <w:r w:rsidR="002157EA" w:rsidRPr="00E76B02">
        <w:rPr>
          <w:i/>
        </w:rPr>
        <w:t>14.2</w:t>
      </w:r>
      <w:r w:rsidRPr="00E76B02">
        <w:rPr>
          <w:i/>
        </w:rPr>
        <w:t xml:space="preserve">% and </w:t>
      </w:r>
      <w:r w:rsidRPr="00E76B02">
        <w:rPr>
          <w:rFonts w:eastAsia="Calibri"/>
          <w:bCs/>
          <w:i/>
        </w:rPr>
        <w:t>13.1</w:t>
      </w:r>
      <w:r w:rsidRPr="00E76B02">
        <w:rPr>
          <w:i/>
        </w:rPr>
        <w:t xml:space="preserve">%, </w:t>
      </w:r>
      <w:r w:rsidRPr="00E76B02">
        <w:rPr>
          <w:bCs/>
          <w:i/>
          <w:iCs/>
        </w:rPr>
        <w:t>respectively.</w:t>
      </w:r>
    </w:p>
    <w:p w14:paraId="69C4B4BD" w14:textId="1E5C521F" w:rsidR="00A06B07" w:rsidRPr="00E76B02" w:rsidRDefault="00A06B07" w:rsidP="00A06B07">
      <w:pPr>
        <w:tabs>
          <w:tab w:val="left" w:pos="567"/>
        </w:tabs>
        <w:spacing w:after="120" w:line="252" w:lineRule="auto"/>
        <w:ind w:firstLine="720"/>
        <w:jc w:val="both"/>
        <w:rPr>
          <w:bCs/>
          <w:i/>
          <w:iCs/>
        </w:rPr>
      </w:pPr>
      <w:r w:rsidRPr="00E76B02">
        <w:rPr>
          <w:rFonts w:eastAsia="Calibri"/>
          <w:bCs/>
          <w:i/>
        </w:rPr>
        <w:t xml:space="preserve">Overall, in the eleven months of 2025, </w:t>
      </w:r>
      <w:r w:rsidRPr="00E76B02">
        <w:rPr>
          <w:bCs/>
          <w:i/>
          <w:iCs/>
        </w:rPr>
        <w:t xml:space="preserve">passengers carried and passenger traffic experienced a year-on-year rise </w:t>
      </w:r>
      <w:r w:rsidR="002157EA" w:rsidRPr="00E76B02">
        <w:rPr>
          <w:bCs/>
          <w:i/>
          <w:iCs/>
        </w:rPr>
        <w:t>of 22.4</w:t>
      </w:r>
      <w:r w:rsidRPr="00E76B02">
        <w:rPr>
          <w:rFonts w:eastAsia="Calibri"/>
          <w:i/>
        </w:rPr>
        <w:t xml:space="preserve">% </w:t>
      </w:r>
      <w:r w:rsidRPr="00E76B02">
        <w:rPr>
          <w:rFonts w:eastAsia="Calibri"/>
          <w:bCs/>
          <w:i/>
        </w:rPr>
        <w:t xml:space="preserve">and </w:t>
      </w:r>
      <w:r w:rsidRPr="00E76B02">
        <w:rPr>
          <w:rFonts w:eastAsia="Calibri"/>
          <w:i/>
        </w:rPr>
        <w:t>13.8</w:t>
      </w:r>
      <w:r w:rsidRPr="00E76B02">
        <w:rPr>
          <w:rFonts w:eastAsia="Calibri"/>
          <w:bCs/>
          <w:i/>
        </w:rPr>
        <w:t xml:space="preserve">%, </w:t>
      </w:r>
      <w:r w:rsidRPr="00E76B02">
        <w:rPr>
          <w:bCs/>
          <w:i/>
          <w:iCs/>
        </w:rPr>
        <w:t xml:space="preserve">respectively; freight </w:t>
      </w:r>
      <w:r w:rsidRPr="00E76B02">
        <w:rPr>
          <w:bCs/>
          <w:i/>
          <w:iCs/>
        </w:rPr>
        <w:lastRenderedPageBreak/>
        <w:t xml:space="preserve">carried and freight traffic recorded a year-on-year increase of </w:t>
      </w:r>
      <w:r w:rsidRPr="00E76B02">
        <w:rPr>
          <w:rFonts w:eastAsia="Calibri"/>
          <w:i/>
        </w:rPr>
        <w:t>14.7</w:t>
      </w:r>
      <w:r w:rsidRPr="00E76B02">
        <w:rPr>
          <w:rFonts w:eastAsia="Calibri"/>
          <w:bCs/>
          <w:i/>
        </w:rPr>
        <w:t xml:space="preserve">% and 14.0%, </w:t>
      </w:r>
      <w:r w:rsidRPr="00E76B02">
        <w:rPr>
          <w:bCs/>
          <w:i/>
          <w:iCs/>
        </w:rPr>
        <w:t>respectively.</w:t>
      </w:r>
    </w:p>
    <w:p w14:paraId="3A569692" w14:textId="77777777" w:rsidR="00A06B07" w:rsidRPr="00E76B02" w:rsidRDefault="00A06B07" w:rsidP="00A06B07">
      <w:pPr>
        <w:spacing w:after="120" w:line="252" w:lineRule="auto"/>
        <w:ind w:firstLine="720"/>
        <w:jc w:val="both"/>
        <w:rPr>
          <w:rFonts w:eastAsia="Calibri"/>
          <w:bCs/>
          <w:i/>
        </w:rPr>
      </w:pPr>
      <w:r w:rsidRPr="00E76B02">
        <w:rPr>
          <w:i/>
          <w:spacing w:val="-2"/>
        </w:rPr>
        <w:t xml:space="preserve">Passengers carried </w:t>
      </w:r>
      <w:r w:rsidRPr="00E76B02">
        <w:rPr>
          <w:spacing w:val="-2"/>
        </w:rPr>
        <w:t>in November were estimated at 565.7</w:t>
      </w:r>
      <w:r w:rsidRPr="00E76B02">
        <w:rPr>
          <w:i/>
          <w:spacing w:val="-2"/>
        </w:rPr>
        <w:t xml:space="preserve"> </w:t>
      </w:r>
      <w:r w:rsidRPr="00E76B02">
        <w:rPr>
          <w:spacing w:val="-2"/>
        </w:rPr>
        <w:t xml:space="preserve">million </w:t>
      </w:r>
      <w:r w:rsidRPr="00E76B02">
        <w:rPr>
          <w:bCs/>
        </w:rPr>
        <w:t>turns of</w:t>
      </w:r>
      <w:r w:rsidRPr="00E76B02">
        <w:rPr>
          <w:spacing w:val="-2"/>
        </w:rPr>
        <w:t xml:space="preserve"> passengers, </w:t>
      </w:r>
      <w:r w:rsidRPr="00E76B02">
        <w:rPr>
          <w:bCs/>
        </w:rPr>
        <w:t xml:space="preserve">a month-on-month increase of </w:t>
      </w:r>
      <w:r w:rsidRPr="00E76B02">
        <w:rPr>
          <w:spacing w:val="-2"/>
        </w:rPr>
        <w:t xml:space="preserve">1.9% and </w:t>
      </w:r>
      <w:r w:rsidRPr="00E76B02">
        <w:rPr>
          <w:bCs/>
        </w:rPr>
        <w:t xml:space="preserve">passenger traffic </w:t>
      </w:r>
      <w:r w:rsidRPr="00E76B02">
        <w:rPr>
          <w:spacing w:val="-2"/>
        </w:rPr>
        <w:t>was estimated at 26.4 billion passengers-</w:t>
      </w:r>
      <w:r w:rsidRPr="00E76B02">
        <w:rPr>
          <w:bCs/>
        </w:rPr>
        <w:t>kilometers</w:t>
      </w:r>
      <w:r w:rsidRPr="00E76B02">
        <w:rPr>
          <w:spacing w:val="-2"/>
        </w:rPr>
        <w:t xml:space="preserve">, a growth of 2.4%. </w:t>
      </w:r>
      <w:r w:rsidRPr="00E76B02">
        <w:rPr>
          <w:bCs/>
        </w:rPr>
        <w:t xml:space="preserve">Generally, for the </w:t>
      </w:r>
      <w:r w:rsidRPr="00E76B02">
        <w:rPr>
          <w:spacing w:val="-2"/>
        </w:rPr>
        <w:t xml:space="preserve">eleven months of 2025, </w:t>
      </w:r>
      <w:r w:rsidRPr="00E76B02">
        <w:rPr>
          <w:bCs/>
        </w:rPr>
        <w:t>passengers carried were estimated at</w:t>
      </w:r>
      <w:r w:rsidRPr="00E76B02">
        <w:rPr>
          <w:spacing w:val="-2"/>
        </w:rPr>
        <w:t xml:space="preserve"> 5,635.0 million </w:t>
      </w:r>
      <w:r w:rsidRPr="00E76B02">
        <w:rPr>
          <w:bCs/>
        </w:rPr>
        <w:t>turns of</w:t>
      </w:r>
      <w:r w:rsidRPr="00E76B02">
        <w:rPr>
          <w:spacing w:val="-2"/>
        </w:rPr>
        <w:t xml:space="preserve"> passengers, </w:t>
      </w:r>
      <w:r w:rsidRPr="00E76B02">
        <w:rPr>
          <w:bCs/>
        </w:rPr>
        <w:t>a year-on-year rise of</w:t>
      </w:r>
      <w:r w:rsidRPr="00E76B02">
        <w:rPr>
          <w:spacing w:val="-2"/>
        </w:rPr>
        <w:t xml:space="preserve"> 22.4% and </w:t>
      </w:r>
      <w:r w:rsidRPr="00E76B02">
        <w:rPr>
          <w:bCs/>
        </w:rPr>
        <w:t xml:space="preserve">passenger traffic reached </w:t>
      </w:r>
      <w:r w:rsidRPr="00E76B02">
        <w:rPr>
          <w:spacing w:val="-2"/>
        </w:rPr>
        <w:t>285.5 billion passengers-</w:t>
      </w:r>
      <w:r w:rsidRPr="00E76B02">
        <w:rPr>
          <w:bCs/>
        </w:rPr>
        <w:t>kilometers</w:t>
      </w:r>
      <w:r w:rsidRPr="00E76B02">
        <w:rPr>
          <w:spacing w:val="-2"/>
        </w:rPr>
        <w:t xml:space="preserve">, </w:t>
      </w:r>
      <w:r w:rsidRPr="00E76B02">
        <w:rPr>
          <w:bCs/>
        </w:rPr>
        <w:t>a year-on-year growth of</w:t>
      </w:r>
      <w:r w:rsidRPr="00E76B02">
        <w:rPr>
          <w:spacing w:val="-2"/>
        </w:rPr>
        <w:t xml:space="preserve"> 13.8%. Of which, domestic </w:t>
      </w:r>
      <w:r w:rsidRPr="00E76B02">
        <w:rPr>
          <w:bCs/>
          <w:iCs/>
        </w:rPr>
        <w:t xml:space="preserve">passengers carried </w:t>
      </w:r>
      <w:r w:rsidRPr="00E76B02">
        <w:rPr>
          <w:bCs/>
        </w:rPr>
        <w:t>were estimated at</w:t>
      </w:r>
      <w:r w:rsidRPr="00E76B02">
        <w:rPr>
          <w:spacing w:val="-2"/>
        </w:rPr>
        <w:t xml:space="preserve"> 5,617.3 million </w:t>
      </w:r>
      <w:r w:rsidRPr="00E76B02">
        <w:rPr>
          <w:bCs/>
        </w:rPr>
        <w:t>turns of</w:t>
      </w:r>
      <w:r w:rsidRPr="00E76B02">
        <w:rPr>
          <w:spacing w:val="-2"/>
        </w:rPr>
        <w:t xml:space="preserve"> passengers, </w:t>
      </w:r>
      <w:r w:rsidRPr="00E76B02">
        <w:rPr>
          <w:bCs/>
        </w:rPr>
        <w:t>a year-on-year increase of</w:t>
      </w:r>
      <w:r w:rsidRPr="00E76B02">
        <w:rPr>
          <w:spacing w:val="-2"/>
        </w:rPr>
        <w:t xml:space="preserve"> 22.4% and </w:t>
      </w:r>
      <w:r w:rsidRPr="00E76B02">
        <w:rPr>
          <w:bCs/>
        </w:rPr>
        <w:t xml:space="preserve">domestic passenger traffic was estimated at </w:t>
      </w:r>
      <w:r w:rsidRPr="00E76B02">
        <w:rPr>
          <w:spacing w:val="-2"/>
        </w:rPr>
        <w:t>229.2 billion passengers-</w:t>
      </w:r>
      <w:r w:rsidRPr="00E76B02">
        <w:rPr>
          <w:bCs/>
        </w:rPr>
        <w:t xml:space="preserve">kilometers, a year-on-year upturn of </w:t>
      </w:r>
      <w:r w:rsidRPr="00E76B02">
        <w:rPr>
          <w:spacing w:val="-2"/>
        </w:rPr>
        <w:t xml:space="preserve">15.5%; </w:t>
      </w:r>
      <w:r w:rsidRPr="00E76B02">
        <w:rPr>
          <w:bCs/>
        </w:rPr>
        <w:t xml:space="preserve">oversea </w:t>
      </w:r>
      <w:r w:rsidRPr="00E76B02">
        <w:rPr>
          <w:bCs/>
          <w:iCs/>
        </w:rPr>
        <w:t>passengers carried</w:t>
      </w:r>
      <w:r w:rsidRPr="00E76B02">
        <w:rPr>
          <w:bCs/>
          <w:i/>
          <w:iCs/>
        </w:rPr>
        <w:t xml:space="preserve"> </w:t>
      </w:r>
      <w:r w:rsidRPr="00E76B02">
        <w:rPr>
          <w:bCs/>
        </w:rPr>
        <w:t xml:space="preserve">were estimated at </w:t>
      </w:r>
      <w:r w:rsidRPr="00E76B02">
        <w:rPr>
          <w:spacing w:val="-2"/>
        </w:rPr>
        <w:t xml:space="preserve">17.7 million </w:t>
      </w:r>
      <w:r w:rsidRPr="00E76B02">
        <w:rPr>
          <w:bCs/>
        </w:rPr>
        <w:t>turns of</w:t>
      </w:r>
      <w:r w:rsidRPr="00E76B02">
        <w:rPr>
          <w:spacing w:val="-2"/>
        </w:rPr>
        <w:t xml:space="preserve"> passengers, </w:t>
      </w:r>
      <w:r w:rsidRPr="00E76B02">
        <w:rPr>
          <w:bCs/>
        </w:rPr>
        <w:t xml:space="preserve">a year-on-year expansion of </w:t>
      </w:r>
      <w:r w:rsidRPr="00E76B02">
        <w:rPr>
          <w:spacing w:val="-2"/>
        </w:rPr>
        <w:t>8.8% and 56.3 billion passengers-</w:t>
      </w:r>
      <w:r w:rsidRPr="00E76B02">
        <w:rPr>
          <w:bCs/>
        </w:rPr>
        <w:t>kilometers</w:t>
      </w:r>
      <w:r w:rsidRPr="00E76B02">
        <w:rPr>
          <w:spacing w:val="-2"/>
        </w:rPr>
        <w:t xml:space="preserve">, </w:t>
      </w:r>
      <w:r w:rsidRPr="00E76B02">
        <w:rPr>
          <w:bCs/>
        </w:rPr>
        <w:t xml:space="preserve">a year-on-year rise of </w:t>
      </w:r>
      <w:r w:rsidRPr="00E76B02">
        <w:rPr>
          <w:spacing w:val="-2"/>
        </w:rPr>
        <w:t xml:space="preserve">7.6%. </w:t>
      </w:r>
    </w:p>
    <w:p w14:paraId="26DB25B3" w14:textId="77777777" w:rsidR="00A06B07" w:rsidRPr="00E76B02" w:rsidRDefault="00A06B07" w:rsidP="00A06B07">
      <w:pPr>
        <w:tabs>
          <w:tab w:val="left" w:pos="567"/>
        </w:tabs>
        <w:spacing w:before="120" w:after="240"/>
        <w:jc w:val="center"/>
        <w:rPr>
          <w:rFonts w:ascii="Arial" w:hAnsi="Arial" w:cs="Arial"/>
          <w:b/>
          <w:bCs/>
          <w:sz w:val="24"/>
          <w:szCs w:val="24"/>
        </w:rPr>
      </w:pPr>
      <w:r w:rsidRPr="00E76B02">
        <w:rPr>
          <w:b/>
          <w:spacing w:val="-2"/>
          <w:sz w:val="24"/>
          <w:szCs w:val="20"/>
        </w:rPr>
        <w:t>Table 6</w:t>
      </w:r>
      <w:r w:rsidRPr="00E76B02">
        <w:rPr>
          <w:rFonts w:ascii="Arial" w:hAnsi="Arial" w:cs="Arial"/>
          <w:b/>
          <w:spacing w:val="-2"/>
          <w:sz w:val="24"/>
          <w:szCs w:val="20"/>
        </w:rPr>
        <w:t xml:space="preserve">. </w:t>
      </w:r>
      <w:r w:rsidRPr="00E76B02">
        <w:rPr>
          <w:b/>
          <w:bCs/>
          <w:iCs/>
          <w:sz w:val="24"/>
          <w:szCs w:val="24"/>
        </w:rPr>
        <w:t xml:space="preserve">Passengers transport in the eleven months of 2025 </w:t>
      </w:r>
      <w:r w:rsidRPr="00E76B02">
        <w:rPr>
          <w:b/>
          <w:bCs/>
          <w:sz w:val="24"/>
          <w:szCs w:val="24"/>
        </w:rPr>
        <w:t>by type of transport</w:t>
      </w:r>
    </w:p>
    <w:tbl>
      <w:tblPr>
        <w:tblW w:w="9092" w:type="dxa"/>
        <w:jc w:val="center"/>
        <w:tblLook w:val="04A0" w:firstRow="1" w:lastRow="0" w:firstColumn="1" w:lastColumn="0" w:noHBand="0" w:noVBand="1"/>
      </w:tblPr>
      <w:tblGrid>
        <w:gridCol w:w="2191"/>
        <w:gridCol w:w="1794"/>
        <w:gridCol w:w="1859"/>
        <w:gridCol w:w="1758"/>
        <w:gridCol w:w="1490"/>
      </w:tblGrid>
      <w:tr w:rsidR="00A06B07" w:rsidRPr="00E76B02" w14:paraId="10F8E6EE" w14:textId="77777777" w:rsidTr="00E76B02">
        <w:trPr>
          <w:trHeight w:val="436"/>
          <w:tblHeader/>
          <w:jc w:val="center"/>
        </w:trPr>
        <w:tc>
          <w:tcPr>
            <w:tcW w:w="2191" w:type="dxa"/>
            <w:tcBorders>
              <w:top w:val="single" w:sz="4" w:space="0" w:color="auto"/>
              <w:left w:val="nil"/>
              <w:bottom w:val="nil"/>
              <w:right w:val="nil"/>
            </w:tcBorders>
            <w:vAlign w:val="center"/>
            <w:hideMark/>
          </w:tcPr>
          <w:p w14:paraId="40420285" w14:textId="77777777" w:rsidR="00A06B07" w:rsidRPr="00E76B02" w:rsidRDefault="00A06B07" w:rsidP="00E76B02">
            <w:pPr>
              <w:rPr>
                <w:rFonts w:ascii="Arial" w:hAnsi="Arial" w:cs="Arial"/>
                <w:b/>
                <w:bCs/>
                <w:sz w:val="24"/>
                <w:szCs w:val="24"/>
              </w:rPr>
            </w:pPr>
          </w:p>
        </w:tc>
        <w:tc>
          <w:tcPr>
            <w:tcW w:w="3653" w:type="dxa"/>
            <w:gridSpan w:val="2"/>
            <w:tcBorders>
              <w:top w:val="single" w:sz="4" w:space="0" w:color="auto"/>
              <w:left w:val="nil"/>
              <w:bottom w:val="single" w:sz="4" w:space="0" w:color="auto"/>
              <w:right w:val="nil"/>
            </w:tcBorders>
            <w:vAlign w:val="center"/>
            <w:hideMark/>
          </w:tcPr>
          <w:p w14:paraId="3F676E86" w14:textId="77777777" w:rsidR="00A06B07" w:rsidRPr="00E76B02" w:rsidRDefault="00A06B07" w:rsidP="00E76B02">
            <w:pPr>
              <w:jc w:val="center"/>
              <w:rPr>
                <w:rFonts w:ascii="Arial" w:hAnsi="Arial" w:cs="Arial"/>
                <w:sz w:val="20"/>
                <w:szCs w:val="20"/>
                <w:lang w:eastAsia="vi-VN"/>
              </w:rPr>
            </w:pPr>
            <w:r w:rsidRPr="00E76B02">
              <w:rPr>
                <w:iCs/>
                <w:sz w:val="20"/>
                <w:szCs w:val="20"/>
                <w:lang w:eastAsia="vi-VN"/>
              </w:rPr>
              <w:t>Number of passengers</w:t>
            </w:r>
          </w:p>
        </w:tc>
        <w:tc>
          <w:tcPr>
            <w:tcW w:w="3248" w:type="dxa"/>
            <w:gridSpan w:val="2"/>
            <w:tcBorders>
              <w:top w:val="single" w:sz="4" w:space="0" w:color="auto"/>
              <w:left w:val="nil"/>
              <w:bottom w:val="single" w:sz="4" w:space="0" w:color="auto"/>
              <w:right w:val="nil"/>
            </w:tcBorders>
            <w:vAlign w:val="center"/>
            <w:hideMark/>
          </w:tcPr>
          <w:p w14:paraId="7E07EC15" w14:textId="77777777" w:rsidR="00A06B07" w:rsidRPr="00E76B02" w:rsidRDefault="00A06B07" w:rsidP="00E76B02">
            <w:pPr>
              <w:jc w:val="center"/>
              <w:rPr>
                <w:rFonts w:ascii="Arial" w:hAnsi="Arial" w:cs="Arial"/>
                <w:sz w:val="20"/>
                <w:szCs w:val="20"/>
                <w:lang w:eastAsia="vi-VN"/>
              </w:rPr>
            </w:pPr>
            <w:r w:rsidRPr="00E76B02">
              <w:rPr>
                <w:color w:val="000000"/>
                <w:sz w:val="20"/>
                <w:szCs w:val="20"/>
                <w:lang w:eastAsia="vi-VN"/>
              </w:rPr>
              <w:t>Year-on-year growth rate (%)</w:t>
            </w:r>
          </w:p>
        </w:tc>
      </w:tr>
      <w:tr w:rsidR="00A06B07" w:rsidRPr="00E76B02" w14:paraId="15307376" w14:textId="77777777" w:rsidTr="00E76B02">
        <w:trPr>
          <w:trHeight w:val="426"/>
          <w:tblHeader/>
          <w:jc w:val="center"/>
        </w:trPr>
        <w:tc>
          <w:tcPr>
            <w:tcW w:w="2191" w:type="dxa"/>
            <w:vAlign w:val="center"/>
            <w:hideMark/>
          </w:tcPr>
          <w:p w14:paraId="37BFF155" w14:textId="77777777" w:rsidR="00A06B07" w:rsidRPr="00E76B02" w:rsidRDefault="00A06B07" w:rsidP="00E76B02">
            <w:pPr>
              <w:rPr>
                <w:rFonts w:ascii="Arial" w:hAnsi="Arial" w:cs="Arial"/>
                <w:sz w:val="20"/>
                <w:szCs w:val="20"/>
                <w:lang w:eastAsia="vi-VN"/>
              </w:rPr>
            </w:pPr>
          </w:p>
        </w:tc>
        <w:tc>
          <w:tcPr>
            <w:tcW w:w="1794" w:type="dxa"/>
            <w:tcBorders>
              <w:top w:val="single" w:sz="4" w:space="0" w:color="auto"/>
              <w:left w:val="nil"/>
              <w:bottom w:val="single" w:sz="4" w:space="0" w:color="auto"/>
              <w:right w:val="nil"/>
            </w:tcBorders>
            <w:vAlign w:val="center"/>
            <w:hideMark/>
          </w:tcPr>
          <w:p w14:paraId="599A1E8C" w14:textId="77777777" w:rsidR="00A06B07" w:rsidRPr="00E76B02" w:rsidRDefault="00A06B07" w:rsidP="00E76B02">
            <w:pPr>
              <w:jc w:val="center"/>
              <w:rPr>
                <w:rFonts w:ascii="Arial" w:hAnsi="Arial" w:cs="Arial"/>
                <w:sz w:val="20"/>
                <w:szCs w:val="20"/>
                <w:lang w:eastAsia="vi-VN"/>
              </w:rPr>
            </w:pPr>
            <w:r w:rsidRPr="00E76B02">
              <w:rPr>
                <w:sz w:val="20"/>
                <w:szCs w:val="20"/>
                <w:lang w:eastAsia="vi-VN"/>
              </w:rPr>
              <w:t>Carriage</w:t>
            </w:r>
            <w:r w:rsidRPr="00E76B02">
              <w:rPr>
                <w:sz w:val="20"/>
                <w:szCs w:val="20"/>
                <w:lang w:eastAsia="vi-VN"/>
              </w:rPr>
              <w:br/>
              <w:t>(Mill. persons)</w:t>
            </w:r>
          </w:p>
        </w:tc>
        <w:tc>
          <w:tcPr>
            <w:tcW w:w="1859" w:type="dxa"/>
            <w:tcBorders>
              <w:top w:val="single" w:sz="4" w:space="0" w:color="auto"/>
              <w:left w:val="nil"/>
              <w:bottom w:val="single" w:sz="4" w:space="0" w:color="auto"/>
              <w:right w:val="nil"/>
            </w:tcBorders>
            <w:vAlign w:val="center"/>
            <w:hideMark/>
          </w:tcPr>
          <w:p w14:paraId="0892C471" w14:textId="77777777" w:rsidR="00A06B07" w:rsidRPr="00E76B02" w:rsidRDefault="00A06B07" w:rsidP="00E76B02">
            <w:pPr>
              <w:jc w:val="center"/>
              <w:rPr>
                <w:rFonts w:ascii="Arial" w:hAnsi="Arial" w:cs="Arial"/>
                <w:sz w:val="20"/>
                <w:szCs w:val="20"/>
                <w:lang w:eastAsia="vi-VN"/>
              </w:rPr>
            </w:pPr>
            <w:r w:rsidRPr="00E76B02">
              <w:rPr>
                <w:sz w:val="20"/>
                <w:szCs w:val="20"/>
                <w:lang w:eastAsia="vi-VN"/>
              </w:rPr>
              <w:t>Traffic</w:t>
            </w:r>
            <w:r w:rsidRPr="00E76B02">
              <w:rPr>
                <w:sz w:val="20"/>
                <w:szCs w:val="20"/>
                <w:lang w:eastAsia="vi-VN"/>
              </w:rPr>
              <w:br/>
              <w:t>(Bill. persons-km)</w:t>
            </w:r>
          </w:p>
        </w:tc>
        <w:tc>
          <w:tcPr>
            <w:tcW w:w="1758" w:type="dxa"/>
            <w:tcBorders>
              <w:top w:val="single" w:sz="4" w:space="0" w:color="auto"/>
              <w:left w:val="nil"/>
              <w:bottom w:val="single" w:sz="4" w:space="0" w:color="auto"/>
              <w:right w:val="nil"/>
            </w:tcBorders>
            <w:vAlign w:val="center"/>
            <w:hideMark/>
          </w:tcPr>
          <w:p w14:paraId="0186E5E4" w14:textId="77777777" w:rsidR="00A06B07" w:rsidRPr="00E76B02" w:rsidRDefault="00A06B07" w:rsidP="00E76B02">
            <w:pPr>
              <w:jc w:val="center"/>
              <w:rPr>
                <w:rFonts w:ascii="Arial" w:hAnsi="Arial" w:cs="Arial"/>
                <w:sz w:val="20"/>
                <w:szCs w:val="20"/>
                <w:lang w:eastAsia="vi-VN"/>
              </w:rPr>
            </w:pPr>
            <w:bookmarkStart w:id="10" w:name="_Hlk116907733"/>
            <w:r w:rsidRPr="00E76B02">
              <w:rPr>
                <w:sz w:val="20"/>
                <w:szCs w:val="20"/>
                <w:lang w:eastAsia="vi-VN"/>
              </w:rPr>
              <w:t>Carriage</w:t>
            </w:r>
            <w:bookmarkEnd w:id="10"/>
          </w:p>
        </w:tc>
        <w:tc>
          <w:tcPr>
            <w:tcW w:w="1490" w:type="dxa"/>
            <w:tcBorders>
              <w:top w:val="single" w:sz="4" w:space="0" w:color="auto"/>
              <w:left w:val="nil"/>
              <w:bottom w:val="single" w:sz="4" w:space="0" w:color="auto"/>
              <w:right w:val="nil"/>
            </w:tcBorders>
            <w:vAlign w:val="center"/>
            <w:hideMark/>
          </w:tcPr>
          <w:p w14:paraId="2F2E1034" w14:textId="77777777" w:rsidR="00A06B07" w:rsidRPr="00E76B02" w:rsidRDefault="00A06B07" w:rsidP="00E76B02">
            <w:pPr>
              <w:jc w:val="center"/>
              <w:rPr>
                <w:rFonts w:ascii="Arial" w:hAnsi="Arial" w:cs="Arial"/>
                <w:sz w:val="20"/>
                <w:szCs w:val="20"/>
                <w:lang w:eastAsia="vi-VN"/>
              </w:rPr>
            </w:pPr>
            <w:r w:rsidRPr="00E76B02">
              <w:rPr>
                <w:sz w:val="20"/>
                <w:szCs w:val="20"/>
                <w:lang w:eastAsia="vi-VN"/>
              </w:rPr>
              <w:t>Traffic</w:t>
            </w:r>
          </w:p>
        </w:tc>
      </w:tr>
      <w:tr w:rsidR="00A06B07" w:rsidRPr="00E76B02" w14:paraId="4423E21F" w14:textId="77777777" w:rsidTr="00E76B02">
        <w:trPr>
          <w:trHeight w:val="385"/>
          <w:jc w:val="center"/>
        </w:trPr>
        <w:tc>
          <w:tcPr>
            <w:tcW w:w="2191" w:type="dxa"/>
            <w:noWrap/>
            <w:vAlign w:val="center"/>
            <w:hideMark/>
          </w:tcPr>
          <w:p w14:paraId="7ECA294D" w14:textId="77777777" w:rsidR="00A06B07" w:rsidRPr="00E76B02" w:rsidRDefault="00A06B07" w:rsidP="00E76B02">
            <w:pPr>
              <w:spacing w:line="252" w:lineRule="auto"/>
              <w:rPr>
                <w:b/>
                <w:bCs/>
                <w:sz w:val="20"/>
                <w:szCs w:val="20"/>
                <w:lang w:eastAsia="vi-VN"/>
              </w:rPr>
            </w:pPr>
            <w:r w:rsidRPr="00E76B02">
              <w:rPr>
                <w:b/>
                <w:bCs/>
                <w:sz w:val="20"/>
                <w:szCs w:val="20"/>
                <w:lang w:eastAsia="vi-VN"/>
              </w:rPr>
              <w:t>Total</w:t>
            </w:r>
          </w:p>
        </w:tc>
        <w:tc>
          <w:tcPr>
            <w:tcW w:w="1794" w:type="dxa"/>
            <w:tcBorders>
              <w:top w:val="single" w:sz="4" w:space="0" w:color="auto"/>
              <w:left w:val="nil"/>
              <w:bottom w:val="nil"/>
              <w:right w:val="nil"/>
            </w:tcBorders>
            <w:noWrap/>
            <w:vAlign w:val="center"/>
            <w:hideMark/>
          </w:tcPr>
          <w:p w14:paraId="2C9F76B5" w14:textId="77777777" w:rsidR="00A06B07" w:rsidRPr="00E76B02" w:rsidRDefault="00A06B07" w:rsidP="00E76B02">
            <w:pPr>
              <w:ind w:right="394"/>
              <w:jc w:val="right"/>
              <w:rPr>
                <w:b/>
                <w:bCs/>
                <w:sz w:val="20"/>
                <w:szCs w:val="20"/>
              </w:rPr>
            </w:pPr>
            <w:r w:rsidRPr="00E76B02">
              <w:rPr>
                <w:b/>
                <w:bCs/>
                <w:sz w:val="20"/>
                <w:szCs w:val="20"/>
              </w:rPr>
              <w:t>5,635.0</w:t>
            </w:r>
          </w:p>
        </w:tc>
        <w:tc>
          <w:tcPr>
            <w:tcW w:w="1859" w:type="dxa"/>
            <w:tcBorders>
              <w:top w:val="single" w:sz="4" w:space="0" w:color="auto"/>
              <w:left w:val="nil"/>
              <w:bottom w:val="nil"/>
              <w:right w:val="nil"/>
            </w:tcBorders>
            <w:noWrap/>
            <w:vAlign w:val="center"/>
            <w:hideMark/>
          </w:tcPr>
          <w:p w14:paraId="7C99C60E" w14:textId="77777777" w:rsidR="00A06B07" w:rsidRPr="00E76B02" w:rsidRDefault="00A06B07" w:rsidP="00E76B02">
            <w:pPr>
              <w:ind w:right="579"/>
              <w:jc w:val="right"/>
              <w:rPr>
                <w:b/>
                <w:bCs/>
                <w:sz w:val="20"/>
                <w:szCs w:val="20"/>
              </w:rPr>
            </w:pPr>
            <w:r w:rsidRPr="00E76B02">
              <w:rPr>
                <w:b/>
                <w:bCs/>
                <w:sz w:val="20"/>
                <w:szCs w:val="20"/>
              </w:rPr>
              <w:t>285.5</w:t>
            </w:r>
          </w:p>
        </w:tc>
        <w:tc>
          <w:tcPr>
            <w:tcW w:w="1758" w:type="dxa"/>
            <w:tcBorders>
              <w:top w:val="single" w:sz="4" w:space="0" w:color="auto"/>
              <w:left w:val="nil"/>
              <w:bottom w:val="nil"/>
              <w:right w:val="nil"/>
            </w:tcBorders>
            <w:noWrap/>
            <w:vAlign w:val="center"/>
            <w:hideMark/>
          </w:tcPr>
          <w:p w14:paraId="32501227" w14:textId="77777777" w:rsidR="00A06B07" w:rsidRPr="00E76B02" w:rsidRDefault="00A06B07" w:rsidP="00E76B02">
            <w:pPr>
              <w:ind w:right="520"/>
              <w:jc w:val="right"/>
              <w:rPr>
                <w:b/>
                <w:bCs/>
                <w:sz w:val="20"/>
                <w:szCs w:val="20"/>
              </w:rPr>
            </w:pPr>
            <w:r w:rsidRPr="00E76B02">
              <w:rPr>
                <w:b/>
                <w:bCs/>
                <w:sz w:val="20"/>
                <w:szCs w:val="20"/>
              </w:rPr>
              <w:t>22.4</w:t>
            </w:r>
          </w:p>
        </w:tc>
        <w:tc>
          <w:tcPr>
            <w:tcW w:w="1490" w:type="dxa"/>
            <w:tcBorders>
              <w:top w:val="single" w:sz="4" w:space="0" w:color="auto"/>
              <w:left w:val="nil"/>
              <w:bottom w:val="nil"/>
              <w:right w:val="nil"/>
            </w:tcBorders>
            <w:noWrap/>
            <w:vAlign w:val="center"/>
            <w:hideMark/>
          </w:tcPr>
          <w:p w14:paraId="44D540CD" w14:textId="77777777" w:rsidR="00A06B07" w:rsidRPr="00E76B02" w:rsidRDefault="00A06B07" w:rsidP="00E76B02">
            <w:pPr>
              <w:ind w:right="322"/>
              <w:jc w:val="right"/>
              <w:rPr>
                <w:b/>
                <w:bCs/>
                <w:sz w:val="20"/>
                <w:szCs w:val="20"/>
              </w:rPr>
            </w:pPr>
            <w:r w:rsidRPr="00E76B02">
              <w:rPr>
                <w:b/>
                <w:bCs/>
                <w:sz w:val="20"/>
                <w:szCs w:val="20"/>
              </w:rPr>
              <w:t>13.8</w:t>
            </w:r>
          </w:p>
        </w:tc>
      </w:tr>
      <w:tr w:rsidR="00A06B07" w:rsidRPr="00E76B02" w14:paraId="63E3B263" w14:textId="77777777" w:rsidTr="00E76B02">
        <w:trPr>
          <w:trHeight w:val="323"/>
          <w:jc w:val="center"/>
        </w:trPr>
        <w:tc>
          <w:tcPr>
            <w:tcW w:w="2191" w:type="dxa"/>
            <w:noWrap/>
            <w:vAlign w:val="center"/>
            <w:hideMark/>
          </w:tcPr>
          <w:p w14:paraId="2FA69D73" w14:textId="77777777" w:rsidR="00A06B07" w:rsidRPr="00E76B02" w:rsidRDefault="00A06B07" w:rsidP="00E76B02">
            <w:pPr>
              <w:tabs>
                <w:tab w:val="left" w:pos="407"/>
              </w:tabs>
              <w:ind w:firstLine="182"/>
              <w:rPr>
                <w:rFonts w:ascii="Arial" w:hAnsi="Arial" w:cs="Arial"/>
                <w:sz w:val="20"/>
                <w:szCs w:val="20"/>
                <w:lang w:eastAsia="vi-VN"/>
              </w:rPr>
            </w:pPr>
            <w:r w:rsidRPr="00E76B02">
              <w:rPr>
                <w:sz w:val="20"/>
                <w:szCs w:val="20"/>
                <w:lang w:eastAsia="vi-VN"/>
              </w:rPr>
              <w:t>Railway</w:t>
            </w:r>
            <w:r w:rsidRPr="00E76B02">
              <w:rPr>
                <w:sz w:val="20"/>
                <w:szCs w:val="20"/>
                <w:vertAlign w:val="superscript"/>
                <w:lang w:eastAsia="vi-VN"/>
              </w:rPr>
              <w:footnoteReference w:id="31"/>
            </w:r>
          </w:p>
        </w:tc>
        <w:tc>
          <w:tcPr>
            <w:tcW w:w="1794" w:type="dxa"/>
            <w:noWrap/>
            <w:vAlign w:val="center"/>
            <w:hideMark/>
          </w:tcPr>
          <w:p w14:paraId="25F3049E" w14:textId="77777777" w:rsidR="00A06B07" w:rsidRPr="00E76B02" w:rsidRDefault="00A06B07" w:rsidP="00E76B02">
            <w:pPr>
              <w:ind w:right="394"/>
              <w:jc w:val="right"/>
              <w:rPr>
                <w:sz w:val="20"/>
                <w:szCs w:val="20"/>
              </w:rPr>
            </w:pPr>
            <w:r w:rsidRPr="00E76B02">
              <w:rPr>
                <w:sz w:val="20"/>
                <w:szCs w:val="20"/>
              </w:rPr>
              <w:t>37.0</w:t>
            </w:r>
          </w:p>
        </w:tc>
        <w:tc>
          <w:tcPr>
            <w:tcW w:w="1859" w:type="dxa"/>
            <w:noWrap/>
            <w:vAlign w:val="center"/>
            <w:hideMark/>
          </w:tcPr>
          <w:p w14:paraId="7704F1F1" w14:textId="77777777" w:rsidR="00A06B07" w:rsidRPr="00E76B02" w:rsidRDefault="00A06B07" w:rsidP="00E76B02">
            <w:pPr>
              <w:ind w:right="579"/>
              <w:jc w:val="right"/>
              <w:rPr>
                <w:sz w:val="20"/>
                <w:szCs w:val="20"/>
              </w:rPr>
            </w:pPr>
            <w:r w:rsidRPr="00E76B02">
              <w:rPr>
                <w:sz w:val="20"/>
                <w:szCs w:val="20"/>
              </w:rPr>
              <w:t>3.1</w:t>
            </w:r>
          </w:p>
        </w:tc>
        <w:tc>
          <w:tcPr>
            <w:tcW w:w="1758" w:type="dxa"/>
            <w:noWrap/>
            <w:vAlign w:val="center"/>
            <w:hideMark/>
          </w:tcPr>
          <w:p w14:paraId="13C2B4DF" w14:textId="77777777" w:rsidR="00A06B07" w:rsidRPr="00E76B02" w:rsidRDefault="00A06B07" w:rsidP="00E76B02">
            <w:pPr>
              <w:ind w:right="520"/>
              <w:jc w:val="right"/>
              <w:rPr>
                <w:sz w:val="20"/>
                <w:szCs w:val="20"/>
              </w:rPr>
            </w:pPr>
            <w:r w:rsidRPr="00E76B02">
              <w:rPr>
                <w:sz w:val="20"/>
                <w:szCs w:val="20"/>
              </w:rPr>
              <w:t>106.5</w:t>
            </w:r>
          </w:p>
        </w:tc>
        <w:tc>
          <w:tcPr>
            <w:tcW w:w="1490" w:type="dxa"/>
            <w:noWrap/>
            <w:vAlign w:val="center"/>
            <w:hideMark/>
          </w:tcPr>
          <w:p w14:paraId="2FA18E7A" w14:textId="77777777" w:rsidR="00A06B07" w:rsidRPr="00E76B02" w:rsidRDefault="00A06B07" w:rsidP="00E76B02">
            <w:pPr>
              <w:ind w:right="322"/>
              <w:jc w:val="right"/>
              <w:rPr>
                <w:sz w:val="20"/>
                <w:szCs w:val="20"/>
              </w:rPr>
            </w:pPr>
            <w:r w:rsidRPr="00E76B02">
              <w:rPr>
                <w:sz w:val="20"/>
                <w:szCs w:val="20"/>
              </w:rPr>
              <w:t>13.4</w:t>
            </w:r>
          </w:p>
        </w:tc>
      </w:tr>
      <w:tr w:rsidR="00A06B07" w:rsidRPr="00E76B02" w14:paraId="3506F23F" w14:textId="77777777" w:rsidTr="00E76B02">
        <w:trPr>
          <w:trHeight w:val="323"/>
          <w:jc w:val="center"/>
        </w:trPr>
        <w:tc>
          <w:tcPr>
            <w:tcW w:w="2191" w:type="dxa"/>
            <w:noWrap/>
            <w:vAlign w:val="center"/>
            <w:hideMark/>
          </w:tcPr>
          <w:p w14:paraId="313F7887" w14:textId="77777777" w:rsidR="00A06B07" w:rsidRPr="00E76B02" w:rsidRDefault="00A06B07" w:rsidP="00E76B02">
            <w:pPr>
              <w:tabs>
                <w:tab w:val="left" w:pos="407"/>
              </w:tabs>
              <w:ind w:firstLine="182"/>
              <w:rPr>
                <w:rFonts w:ascii="Arial" w:hAnsi="Arial" w:cs="Arial"/>
                <w:sz w:val="20"/>
                <w:szCs w:val="20"/>
                <w:lang w:eastAsia="vi-VN"/>
              </w:rPr>
            </w:pPr>
            <w:r w:rsidRPr="00E76B02">
              <w:rPr>
                <w:sz w:val="20"/>
                <w:szCs w:val="20"/>
                <w:lang w:eastAsia="vi-VN"/>
              </w:rPr>
              <w:t>Seaway</w:t>
            </w:r>
            <w:r w:rsidRPr="00E76B02">
              <w:rPr>
                <w:sz w:val="20"/>
                <w:szCs w:val="20"/>
                <w:vertAlign w:val="superscript"/>
                <w:lang w:eastAsia="vi-VN"/>
              </w:rPr>
              <w:footnoteReference w:id="32"/>
            </w:r>
          </w:p>
        </w:tc>
        <w:tc>
          <w:tcPr>
            <w:tcW w:w="1794" w:type="dxa"/>
            <w:noWrap/>
            <w:vAlign w:val="center"/>
            <w:hideMark/>
          </w:tcPr>
          <w:p w14:paraId="6AFF907B" w14:textId="77777777" w:rsidR="00A06B07" w:rsidRPr="00E76B02" w:rsidRDefault="00A06B07" w:rsidP="00E76B02">
            <w:pPr>
              <w:ind w:right="394"/>
              <w:jc w:val="right"/>
              <w:rPr>
                <w:sz w:val="20"/>
                <w:szCs w:val="20"/>
              </w:rPr>
            </w:pPr>
            <w:r w:rsidRPr="00E76B02">
              <w:rPr>
                <w:sz w:val="20"/>
                <w:szCs w:val="20"/>
              </w:rPr>
              <w:t>10.4</w:t>
            </w:r>
          </w:p>
        </w:tc>
        <w:tc>
          <w:tcPr>
            <w:tcW w:w="1859" w:type="dxa"/>
            <w:noWrap/>
            <w:vAlign w:val="center"/>
            <w:hideMark/>
          </w:tcPr>
          <w:p w14:paraId="6956BCC9" w14:textId="77777777" w:rsidR="00A06B07" w:rsidRPr="00E76B02" w:rsidRDefault="00A06B07" w:rsidP="00E76B02">
            <w:pPr>
              <w:ind w:right="579"/>
              <w:jc w:val="right"/>
              <w:rPr>
                <w:sz w:val="20"/>
                <w:szCs w:val="20"/>
              </w:rPr>
            </w:pPr>
            <w:r w:rsidRPr="00E76B02">
              <w:rPr>
                <w:sz w:val="20"/>
                <w:szCs w:val="20"/>
              </w:rPr>
              <w:t>0.8</w:t>
            </w:r>
          </w:p>
        </w:tc>
        <w:tc>
          <w:tcPr>
            <w:tcW w:w="1758" w:type="dxa"/>
            <w:noWrap/>
            <w:vAlign w:val="center"/>
            <w:hideMark/>
          </w:tcPr>
          <w:p w14:paraId="3F955FD5" w14:textId="77777777" w:rsidR="00A06B07" w:rsidRPr="00E76B02" w:rsidRDefault="00A06B07" w:rsidP="00E76B02">
            <w:pPr>
              <w:ind w:right="520"/>
              <w:jc w:val="right"/>
              <w:rPr>
                <w:sz w:val="20"/>
                <w:szCs w:val="20"/>
              </w:rPr>
            </w:pPr>
            <w:r w:rsidRPr="00E76B02">
              <w:rPr>
                <w:sz w:val="20"/>
                <w:szCs w:val="20"/>
              </w:rPr>
              <w:t>-6.4</w:t>
            </w:r>
          </w:p>
        </w:tc>
        <w:tc>
          <w:tcPr>
            <w:tcW w:w="1490" w:type="dxa"/>
            <w:noWrap/>
            <w:vAlign w:val="center"/>
            <w:hideMark/>
          </w:tcPr>
          <w:p w14:paraId="608A4F09" w14:textId="77777777" w:rsidR="00A06B07" w:rsidRPr="00E76B02" w:rsidRDefault="00A06B07" w:rsidP="00E76B02">
            <w:pPr>
              <w:ind w:right="322"/>
              <w:jc w:val="right"/>
              <w:rPr>
                <w:sz w:val="20"/>
                <w:szCs w:val="20"/>
              </w:rPr>
            </w:pPr>
            <w:r w:rsidRPr="00E76B02">
              <w:rPr>
                <w:sz w:val="20"/>
                <w:szCs w:val="20"/>
              </w:rPr>
              <w:t>8.3</w:t>
            </w:r>
          </w:p>
        </w:tc>
      </w:tr>
      <w:tr w:rsidR="00A06B07" w:rsidRPr="00E76B02" w14:paraId="3423DA01" w14:textId="77777777" w:rsidTr="00E76B02">
        <w:trPr>
          <w:trHeight w:val="323"/>
          <w:jc w:val="center"/>
        </w:trPr>
        <w:tc>
          <w:tcPr>
            <w:tcW w:w="2191" w:type="dxa"/>
            <w:noWrap/>
            <w:vAlign w:val="center"/>
            <w:hideMark/>
          </w:tcPr>
          <w:p w14:paraId="66883CE4" w14:textId="77777777" w:rsidR="00A06B07" w:rsidRPr="00E76B02" w:rsidRDefault="00A06B07" w:rsidP="00E76B02">
            <w:pPr>
              <w:tabs>
                <w:tab w:val="left" w:pos="407"/>
              </w:tabs>
              <w:ind w:firstLine="182"/>
              <w:rPr>
                <w:rFonts w:ascii="Arial" w:hAnsi="Arial" w:cs="Arial"/>
                <w:sz w:val="20"/>
                <w:szCs w:val="20"/>
                <w:lang w:eastAsia="vi-VN"/>
              </w:rPr>
            </w:pPr>
            <w:r w:rsidRPr="00E76B02">
              <w:rPr>
                <w:sz w:val="20"/>
                <w:szCs w:val="20"/>
                <w:lang w:eastAsia="vi-VN"/>
              </w:rPr>
              <w:t>Inland waterway</w:t>
            </w:r>
          </w:p>
        </w:tc>
        <w:tc>
          <w:tcPr>
            <w:tcW w:w="1794" w:type="dxa"/>
            <w:noWrap/>
            <w:vAlign w:val="center"/>
            <w:hideMark/>
          </w:tcPr>
          <w:p w14:paraId="1394E726" w14:textId="77777777" w:rsidR="00A06B07" w:rsidRPr="00E76B02" w:rsidRDefault="00A06B07" w:rsidP="00E76B02">
            <w:pPr>
              <w:ind w:right="394"/>
              <w:jc w:val="right"/>
              <w:rPr>
                <w:sz w:val="20"/>
                <w:szCs w:val="20"/>
              </w:rPr>
            </w:pPr>
            <w:r w:rsidRPr="00E76B02">
              <w:rPr>
                <w:sz w:val="20"/>
                <w:szCs w:val="20"/>
              </w:rPr>
              <w:t>371.6</w:t>
            </w:r>
          </w:p>
        </w:tc>
        <w:tc>
          <w:tcPr>
            <w:tcW w:w="1859" w:type="dxa"/>
            <w:noWrap/>
            <w:vAlign w:val="center"/>
            <w:hideMark/>
          </w:tcPr>
          <w:p w14:paraId="52745AFF" w14:textId="77777777" w:rsidR="00A06B07" w:rsidRPr="00E76B02" w:rsidRDefault="00A06B07" w:rsidP="00E76B02">
            <w:pPr>
              <w:ind w:right="579"/>
              <w:jc w:val="right"/>
              <w:rPr>
                <w:sz w:val="20"/>
                <w:szCs w:val="20"/>
              </w:rPr>
            </w:pPr>
            <w:r w:rsidRPr="00E76B02">
              <w:rPr>
                <w:sz w:val="20"/>
                <w:szCs w:val="20"/>
              </w:rPr>
              <w:t>8.9</w:t>
            </w:r>
          </w:p>
        </w:tc>
        <w:tc>
          <w:tcPr>
            <w:tcW w:w="1758" w:type="dxa"/>
            <w:noWrap/>
            <w:vAlign w:val="center"/>
            <w:hideMark/>
          </w:tcPr>
          <w:p w14:paraId="54D3B955" w14:textId="77777777" w:rsidR="00A06B07" w:rsidRPr="00E76B02" w:rsidRDefault="00A06B07" w:rsidP="00E76B02">
            <w:pPr>
              <w:ind w:right="520"/>
              <w:jc w:val="right"/>
              <w:rPr>
                <w:sz w:val="20"/>
                <w:szCs w:val="20"/>
              </w:rPr>
            </w:pPr>
            <w:r w:rsidRPr="00E76B02">
              <w:rPr>
                <w:sz w:val="20"/>
                <w:szCs w:val="20"/>
              </w:rPr>
              <w:t>15.4</w:t>
            </w:r>
          </w:p>
        </w:tc>
        <w:tc>
          <w:tcPr>
            <w:tcW w:w="1490" w:type="dxa"/>
            <w:noWrap/>
            <w:vAlign w:val="center"/>
            <w:hideMark/>
          </w:tcPr>
          <w:p w14:paraId="5979E3C5" w14:textId="77777777" w:rsidR="00A06B07" w:rsidRPr="00E76B02" w:rsidRDefault="00A06B07" w:rsidP="00E76B02">
            <w:pPr>
              <w:ind w:right="322"/>
              <w:jc w:val="right"/>
              <w:rPr>
                <w:sz w:val="20"/>
                <w:szCs w:val="20"/>
              </w:rPr>
            </w:pPr>
            <w:r w:rsidRPr="00E76B02">
              <w:rPr>
                <w:sz w:val="20"/>
                <w:szCs w:val="20"/>
              </w:rPr>
              <w:t>23.1</w:t>
            </w:r>
          </w:p>
        </w:tc>
      </w:tr>
      <w:tr w:rsidR="00A06B07" w:rsidRPr="00E76B02" w14:paraId="39737FD1" w14:textId="77777777" w:rsidTr="00E76B02">
        <w:trPr>
          <w:trHeight w:val="323"/>
          <w:jc w:val="center"/>
        </w:trPr>
        <w:tc>
          <w:tcPr>
            <w:tcW w:w="2191" w:type="dxa"/>
            <w:noWrap/>
            <w:vAlign w:val="center"/>
            <w:hideMark/>
          </w:tcPr>
          <w:p w14:paraId="5E6F1F3E" w14:textId="77777777" w:rsidR="00A06B07" w:rsidRPr="00E76B02" w:rsidRDefault="00A06B07" w:rsidP="00E76B02">
            <w:pPr>
              <w:tabs>
                <w:tab w:val="left" w:pos="407"/>
              </w:tabs>
              <w:ind w:firstLine="182"/>
              <w:rPr>
                <w:rFonts w:ascii="Arial" w:hAnsi="Arial" w:cs="Arial"/>
                <w:sz w:val="20"/>
                <w:szCs w:val="20"/>
                <w:lang w:eastAsia="vi-VN"/>
              </w:rPr>
            </w:pPr>
            <w:r w:rsidRPr="00E76B02">
              <w:rPr>
                <w:sz w:val="20"/>
                <w:szCs w:val="20"/>
                <w:lang w:eastAsia="vi-VN"/>
              </w:rPr>
              <w:t>Roadway</w:t>
            </w:r>
          </w:p>
        </w:tc>
        <w:tc>
          <w:tcPr>
            <w:tcW w:w="1794" w:type="dxa"/>
            <w:noWrap/>
            <w:vAlign w:val="center"/>
            <w:hideMark/>
          </w:tcPr>
          <w:p w14:paraId="680E8748" w14:textId="77777777" w:rsidR="00A06B07" w:rsidRPr="00E76B02" w:rsidRDefault="00A06B07" w:rsidP="00E76B02">
            <w:pPr>
              <w:ind w:right="394"/>
              <w:jc w:val="right"/>
              <w:rPr>
                <w:sz w:val="20"/>
                <w:szCs w:val="20"/>
              </w:rPr>
            </w:pPr>
            <w:r w:rsidRPr="00E76B02">
              <w:rPr>
                <w:sz w:val="20"/>
                <w:szCs w:val="20"/>
              </w:rPr>
              <w:t>5,164.5</w:t>
            </w:r>
          </w:p>
        </w:tc>
        <w:tc>
          <w:tcPr>
            <w:tcW w:w="1859" w:type="dxa"/>
            <w:noWrap/>
            <w:vAlign w:val="center"/>
            <w:hideMark/>
          </w:tcPr>
          <w:p w14:paraId="1068B55E" w14:textId="77777777" w:rsidR="00A06B07" w:rsidRPr="00E76B02" w:rsidRDefault="00A06B07" w:rsidP="00E76B02">
            <w:pPr>
              <w:ind w:right="579"/>
              <w:jc w:val="right"/>
              <w:rPr>
                <w:sz w:val="20"/>
                <w:szCs w:val="20"/>
              </w:rPr>
            </w:pPr>
            <w:r w:rsidRPr="00E76B02">
              <w:rPr>
                <w:sz w:val="20"/>
                <w:szCs w:val="20"/>
              </w:rPr>
              <w:t>187.0</w:t>
            </w:r>
          </w:p>
        </w:tc>
        <w:tc>
          <w:tcPr>
            <w:tcW w:w="1758" w:type="dxa"/>
            <w:noWrap/>
            <w:vAlign w:val="center"/>
            <w:hideMark/>
          </w:tcPr>
          <w:p w14:paraId="1C029352" w14:textId="77777777" w:rsidR="00A06B07" w:rsidRPr="00E76B02" w:rsidRDefault="00A06B07" w:rsidP="00E76B02">
            <w:pPr>
              <w:ind w:right="520"/>
              <w:jc w:val="right"/>
              <w:rPr>
                <w:sz w:val="20"/>
                <w:szCs w:val="20"/>
              </w:rPr>
            </w:pPr>
            <w:r w:rsidRPr="00E76B02">
              <w:rPr>
                <w:sz w:val="20"/>
                <w:szCs w:val="20"/>
              </w:rPr>
              <w:t>22.8</w:t>
            </w:r>
          </w:p>
        </w:tc>
        <w:tc>
          <w:tcPr>
            <w:tcW w:w="1490" w:type="dxa"/>
            <w:noWrap/>
            <w:vAlign w:val="center"/>
            <w:hideMark/>
          </w:tcPr>
          <w:p w14:paraId="29DA5ECC" w14:textId="77777777" w:rsidR="00A06B07" w:rsidRPr="00E76B02" w:rsidRDefault="00A06B07" w:rsidP="00E76B02">
            <w:pPr>
              <w:ind w:right="322"/>
              <w:jc w:val="right"/>
              <w:rPr>
                <w:sz w:val="20"/>
                <w:szCs w:val="20"/>
              </w:rPr>
            </w:pPr>
            <w:r w:rsidRPr="00E76B02">
              <w:rPr>
                <w:sz w:val="20"/>
                <w:szCs w:val="20"/>
              </w:rPr>
              <w:t>17.1</w:t>
            </w:r>
          </w:p>
        </w:tc>
      </w:tr>
      <w:tr w:rsidR="00A06B07" w:rsidRPr="00E76B02" w14:paraId="4C531399" w14:textId="77777777" w:rsidTr="00E76B02">
        <w:trPr>
          <w:trHeight w:val="323"/>
          <w:jc w:val="center"/>
        </w:trPr>
        <w:tc>
          <w:tcPr>
            <w:tcW w:w="2191" w:type="dxa"/>
            <w:tcBorders>
              <w:top w:val="nil"/>
              <w:left w:val="nil"/>
              <w:bottom w:val="single" w:sz="4" w:space="0" w:color="auto"/>
              <w:right w:val="nil"/>
            </w:tcBorders>
            <w:noWrap/>
            <w:vAlign w:val="center"/>
            <w:hideMark/>
          </w:tcPr>
          <w:p w14:paraId="1EFB4840" w14:textId="77777777" w:rsidR="00A06B07" w:rsidRPr="00E76B02" w:rsidRDefault="00A06B07" w:rsidP="00E76B02">
            <w:pPr>
              <w:tabs>
                <w:tab w:val="left" w:pos="407"/>
              </w:tabs>
              <w:ind w:firstLine="182"/>
              <w:rPr>
                <w:rFonts w:ascii="Arial" w:hAnsi="Arial" w:cs="Arial"/>
                <w:sz w:val="20"/>
                <w:szCs w:val="20"/>
                <w:lang w:eastAsia="vi-VN"/>
              </w:rPr>
            </w:pPr>
            <w:r w:rsidRPr="00E76B02">
              <w:rPr>
                <w:sz w:val="20"/>
                <w:szCs w:val="20"/>
                <w:lang w:eastAsia="vi-VN"/>
              </w:rPr>
              <w:t>Airway</w:t>
            </w:r>
          </w:p>
        </w:tc>
        <w:tc>
          <w:tcPr>
            <w:tcW w:w="1794" w:type="dxa"/>
            <w:tcBorders>
              <w:top w:val="nil"/>
              <w:left w:val="nil"/>
              <w:bottom w:val="single" w:sz="4" w:space="0" w:color="auto"/>
              <w:right w:val="nil"/>
            </w:tcBorders>
            <w:noWrap/>
            <w:vAlign w:val="center"/>
            <w:hideMark/>
          </w:tcPr>
          <w:p w14:paraId="290F7221" w14:textId="77777777" w:rsidR="00A06B07" w:rsidRPr="00E76B02" w:rsidRDefault="00A06B07" w:rsidP="00E76B02">
            <w:pPr>
              <w:ind w:right="394"/>
              <w:jc w:val="right"/>
              <w:rPr>
                <w:sz w:val="20"/>
                <w:szCs w:val="20"/>
              </w:rPr>
            </w:pPr>
            <w:r w:rsidRPr="00E76B02">
              <w:rPr>
                <w:sz w:val="20"/>
                <w:szCs w:val="20"/>
              </w:rPr>
              <w:t>51.5</w:t>
            </w:r>
          </w:p>
        </w:tc>
        <w:tc>
          <w:tcPr>
            <w:tcW w:w="1859" w:type="dxa"/>
            <w:tcBorders>
              <w:top w:val="nil"/>
              <w:left w:val="nil"/>
              <w:bottom w:val="single" w:sz="4" w:space="0" w:color="auto"/>
              <w:right w:val="nil"/>
            </w:tcBorders>
            <w:noWrap/>
            <w:vAlign w:val="center"/>
            <w:hideMark/>
          </w:tcPr>
          <w:p w14:paraId="509A1C47" w14:textId="77777777" w:rsidR="00A06B07" w:rsidRPr="00E76B02" w:rsidRDefault="00A06B07" w:rsidP="00E76B02">
            <w:pPr>
              <w:ind w:right="579"/>
              <w:jc w:val="right"/>
              <w:rPr>
                <w:sz w:val="20"/>
                <w:szCs w:val="20"/>
              </w:rPr>
            </w:pPr>
            <w:r w:rsidRPr="00E76B02">
              <w:rPr>
                <w:sz w:val="20"/>
                <w:szCs w:val="20"/>
              </w:rPr>
              <w:t>85.7</w:t>
            </w:r>
          </w:p>
        </w:tc>
        <w:tc>
          <w:tcPr>
            <w:tcW w:w="1758" w:type="dxa"/>
            <w:tcBorders>
              <w:top w:val="nil"/>
              <w:left w:val="nil"/>
              <w:bottom w:val="single" w:sz="4" w:space="0" w:color="auto"/>
              <w:right w:val="nil"/>
            </w:tcBorders>
            <w:noWrap/>
            <w:vAlign w:val="center"/>
            <w:hideMark/>
          </w:tcPr>
          <w:p w14:paraId="433BA3CA" w14:textId="77777777" w:rsidR="00A06B07" w:rsidRPr="00E76B02" w:rsidRDefault="00A06B07" w:rsidP="00E76B02">
            <w:pPr>
              <w:ind w:right="520"/>
              <w:jc w:val="right"/>
              <w:rPr>
                <w:sz w:val="20"/>
                <w:szCs w:val="20"/>
              </w:rPr>
            </w:pPr>
            <w:r w:rsidRPr="00E76B02">
              <w:rPr>
                <w:sz w:val="20"/>
                <w:szCs w:val="20"/>
              </w:rPr>
              <w:t>8.1</w:t>
            </w:r>
          </w:p>
        </w:tc>
        <w:tc>
          <w:tcPr>
            <w:tcW w:w="1490" w:type="dxa"/>
            <w:tcBorders>
              <w:top w:val="nil"/>
              <w:left w:val="nil"/>
              <w:bottom w:val="single" w:sz="4" w:space="0" w:color="auto"/>
              <w:right w:val="nil"/>
            </w:tcBorders>
            <w:noWrap/>
            <w:vAlign w:val="center"/>
            <w:hideMark/>
          </w:tcPr>
          <w:p w14:paraId="6207479C" w14:textId="77777777" w:rsidR="00A06B07" w:rsidRPr="00E76B02" w:rsidRDefault="00A06B07" w:rsidP="00E76B02">
            <w:pPr>
              <w:ind w:right="322"/>
              <w:jc w:val="right"/>
              <w:rPr>
                <w:sz w:val="20"/>
                <w:szCs w:val="20"/>
              </w:rPr>
            </w:pPr>
            <w:r w:rsidRPr="00E76B02">
              <w:rPr>
                <w:sz w:val="20"/>
                <w:szCs w:val="20"/>
              </w:rPr>
              <w:t>6.7</w:t>
            </w:r>
          </w:p>
        </w:tc>
      </w:tr>
    </w:tbl>
    <w:p w14:paraId="2A23ABF3" w14:textId="77777777" w:rsidR="00A06B07" w:rsidRPr="00E76B02" w:rsidRDefault="00A06B07" w:rsidP="00A06B07">
      <w:pPr>
        <w:spacing w:before="40" w:after="40" w:line="288" w:lineRule="auto"/>
        <w:ind w:firstLine="567"/>
        <w:jc w:val="both"/>
        <w:rPr>
          <w:bCs/>
          <w:i/>
          <w:iCs/>
          <w:spacing w:val="-2"/>
          <w:sz w:val="6"/>
        </w:rPr>
      </w:pPr>
    </w:p>
    <w:p w14:paraId="35885B2D" w14:textId="77777777" w:rsidR="00A06B07" w:rsidRPr="00E76B02" w:rsidRDefault="00A06B07" w:rsidP="00A06B07">
      <w:pPr>
        <w:spacing w:before="40" w:after="120" w:line="252" w:lineRule="auto"/>
        <w:ind w:firstLine="720"/>
        <w:jc w:val="both"/>
        <w:rPr>
          <w:i/>
          <w:spacing w:val="-4"/>
        </w:rPr>
      </w:pPr>
      <w:r w:rsidRPr="00E76B02">
        <w:rPr>
          <w:i/>
          <w:spacing w:val="-2"/>
        </w:rPr>
        <w:t xml:space="preserve">Freight </w:t>
      </w:r>
      <w:r w:rsidRPr="00E76B02">
        <w:rPr>
          <w:bCs/>
          <w:i/>
          <w:iCs/>
        </w:rPr>
        <w:t>carried</w:t>
      </w:r>
      <w:r w:rsidRPr="00E76B02">
        <w:rPr>
          <w:i/>
          <w:spacing w:val="-2"/>
        </w:rPr>
        <w:t xml:space="preserve"> </w:t>
      </w:r>
      <w:r w:rsidRPr="00E76B02">
        <w:rPr>
          <w:spacing w:val="-2"/>
        </w:rPr>
        <w:t xml:space="preserve">in November was estimated at </w:t>
      </w:r>
      <w:r w:rsidRPr="00E76B02">
        <w:rPr>
          <w:spacing w:val="-4"/>
        </w:rPr>
        <w:t xml:space="preserve">278.6 million tons, </w:t>
      </w:r>
      <w:r w:rsidRPr="00E76B02">
        <w:rPr>
          <w:bCs/>
        </w:rPr>
        <w:t>a month-on-month increase of</w:t>
      </w:r>
      <w:r w:rsidRPr="00E76B02">
        <w:rPr>
          <w:spacing w:val="-2"/>
        </w:rPr>
        <w:t xml:space="preserve"> </w:t>
      </w:r>
      <w:r w:rsidRPr="00E76B02">
        <w:rPr>
          <w:spacing w:val="-4"/>
        </w:rPr>
        <w:t xml:space="preserve">4.3% </w:t>
      </w:r>
      <w:r w:rsidRPr="00E76B02">
        <w:rPr>
          <w:spacing w:val="-2"/>
        </w:rPr>
        <w:t xml:space="preserve">and </w:t>
      </w:r>
      <w:r w:rsidRPr="00E76B02">
        <w:rPr>
          <w:bCs/>
        </w:rPr>
        <w:t xml:space="preserve">freight traffic reached </w:t>
      </w:r>
      <w:r w:rsidRPr="00E76B02">
        <w:rPr>
          <w:spacing w:val="-4"/>
        </w:rPr>
        <w:t xml:space="preserve">56.2 billion </w:t>
      </w:r>
      <w:r w:rsidRPr="00E76B02">
        <w:rPr>
          <w:bCs/>
        </w:rPr>
        <w:t>tons-kilometers</w:t>
      </w:r>
      <w:r w:rsidRPr="00E76B02">
        <w:rPr>
          <w:spacing w:val="-2"/>
        </w:rPr>
        <w:t xml:space="preserve">, </w:t>
      </w:r>
      <w:r w:rsidRPr="00E76B02">
        <w:rPr>
          <w:bCs/>
        </w:rPr>
        <w:t xml:space="preserve">a month-on-month upturn of </w:t>
      </w:r>
      <w:r w:rsidRPr="00E76B02">
        <w:rPr>
          <w:spacing w:val="-4"/>
        </w:rPr>
        <w:t xml:space="preserve">2.8%. </w:t>
      </w:r>
      <w:r w:rsidRPr="00E76B02">
        <w:rPr>
          <w:spacing w:val="-2"/>
        </w:rPr>
        <w:t xml:space="preserve">Overall, in the eleven months of 2025, </w:t>
      </w:r>
      <w:r w:rsidRPr="00E76B02">
        <w:rPr>
          <w:bCs/>
        </w:rPr>
        <w:t>freight carried was</w:t>
      </w:r>
      <w:r w:rsidRPr="00E76B02">
        <w:rPr>
          <w:spacing w:val="-2"/>
        </w:rPr>
        <w:t xml:space="preserve"> estimated at </w:t>
      </w:r>
      <w:r w:rsidRPr="00E76B02">
        <w:rPr>
          <w:spacing w:val="-4"/>
        </w:rPr>
        <w:t>2,773.9 million tons,</w:t>
      </w:r>
      <w:r w:rsidRPr="00E76B02">
        <w:rPr>
          <w:spacing w:val="-2"/>
        </w:rPr>
        <w:t xml:space="preserve"> </w:t>
      </w:r>
      <w:r w:rsidRPr="00E76B02">
        <w:rPr>
          <w:bCs/>
        </w:rPr>
        <w:t xml:space="preserve">a year-on-year rise of </w:t>
      </w:r>
      <w:r w:rsidRPr="00E76B02">
        <w:rPr>
          <w:spacing w:val="-4"/>
        </w:rPr>
        <w:t xml:space="preserve">14.7% and </w:t>
      </w:r>
      <w:r w:rsidRPr="00E76B02">
        <w:rPr>
          <w:bCs/>
        </w:rPr>
        <w:t xml:space="preserve">freight traffic reached </w:t>
      </w:r>
      <w:r w:rsidRPr="00E76B02">
        <w:rPr>
          <w:spacing w:val="-4"/>
        </w:rPr>
        <w:t xml:space="preserve">562.9 billion </w:t>
      </w:r>
      <w:r w:rsidRPr="00E76B02">
        <w:rPr>
          <w:bCs/>
        </w:rPr>
        <w:t>tons-kilometers</w:t>
      </w:r>
      <w:r w:rsidRPr="00E76B02">
        <w:rPr>
          <w:spacing w:val="-2"/>
        </w:rPr>
        <w:t xml:space="preserve">, </w:t>
      </w:r>
      <w:r w:rsidRPr="00E76B02">
        <w:rPr>
          <w:bCs/>
        </w:rPr>
        <w:t>a year-on-year increase of</w:t>
      </w:r>
      <w:r w:rsidRPr="00E76B02">
        <w:rPr>
          <w:spacing w:val="-2"/>
        </w:rPr>
        <w:t xml:space="preserve"> </w:t>
      </w:r>
      <w:r w:rsidRPr="00E76B02">
        <w:rPr>
          <w:spacing w:val="-4"/>
        </w:rPr>
        <w:t xml:space="preserve">14.0%. </w:t>
      </w:r>
      <w:r w:rsidRPr="00E76B02">
        <w:rPr>
          <w:spacing w:val="-2"/>
        </w:rPr>
        <w:t xml:space="preserve">Of which, domestic transport </w:t>
      </w:r>
      <w:r w:rsidRPr="00E76B02">
        <w:rPr>
          <w:bCs/>
        </w:rPr>
        <w:t>was</w:t>
      </w:r>
      <w:r w:rsidRPr="00E76B02">
        <w:rPr>
          <w:spacing w:val="-2"/>
        </w:rPr>
        <w:t xml:space="preserve"> estimated at </w:t>
      </w:r>
      <w:r w:rsidRPr="00E76B02">
        <w:rPr>
          <w:spacing w:val="-4"/>
        </w:rPr>
        <w:t xml:space="preserve">2,726.0 million tons </w:t>
      </w:r>
      <w:r w:rsidRPr="00E76B02">
        <w:rPr>
          <w:spacing w:val="-2"/>
        </w:rPr>
        <w:t xml:space="preserve">of </w:t>
      </w:r>
      <w:r w:rsidRPr="00E76B02">
        <w:rPr>
          <w:bCs/>
        </w:rPr>
        <w:t>freight carried</w:t>
      </w:r>
      <w:r w:rsidRPr="00E76B02">
        <w:rPr>
          <w:spacing w:val="-2"/>
        </w:rPr>
        <w:t xml:space="preserve">, </w:t>
      </w:r>
      <w:r w:rsidRPr="00E76B02">
        <w:rPr>
          <w:bCs/>
        </w:rPr>
        <w:t xml:space="preserve">an upturn of </w:t>
      </w:r>
      <w:r w:rsidRPr="00E76B02">
        <w:rPr>
          <w:spacing w:val="-4"/>
        </w:rPr>
        <w:t xml:space="preserve">14.8% and 335.4 billion </w:t>
      </w:r>
      <w:r w:rsidRPr="00E76B02">
        <w:rPr>
          <w:bCs/>
        </w:rPr>
        <w:t>tons-kilometers of freight traffic</w:t>
      </w:r>
      <w:r w:rsidRPr="00E76B02">
        <w:rPr>
          <w:spacing w:val="-2"/>
        </w:rPr>
        <w:t xml:space="preserve">, </w:t>
      </w:r>
      <w:r w:rsidRPr="00E76B02">
        <w:rPr>
          <w:bCs/>
        </w:rPr>
        <w:t xml:space="preserve">a rise of </w:t>
      </w:r>
      <w:r w:rsidRPr="00E76B02">
        <w:rPr>
          <w:spacing w:val="-4"/>
        </w:rPr>
        <w:t xml:space="preserve">10.3%; </w:t>
      </w:r>
      <w:r w:rsidRPr="00E76B02">
        <w:rPr>
          <w:bCs/>
        </w:rPr>
        <w:t>overseas transport was</w:t>
      </w:r>
      <w:r w:rsidRPr="00E76B02">
        <w:rPr>
          <w:spacing w:val="-2"/>
        </w:rPr>
        <w:t xml:space="preserve"> estimated at </w:t>
      </w:r>
      <w:r w:rsidRPr="00E76B02">
        <w:rPr>
          <w:spacing w:val="-4"/>
        </w:rPr>
        <w:t xml:space="preserve">47.9 million tons </w:t>
      </w:r>
      <w:r w:rsidRPr="00E76B02">
        <w:rPr>
          <w:bCs/>
        </w:rPr>
        <w:t>of freight carried</w:t>
      </w:r>
      <w:r w:rsidRPr="00E76B02">
        <w:rPr>
          <w:spacing w:val="-2"/>
        </w:rPr>
        <w:t xml:space="preserve">, </w:t>
      </w:r>
      <w:r w:rsidRPr="00E76B02">
        <w:rPr>
          <w:bCs/>
        </w:rPr>
        <w:t>an increase of</w:t>
      </w:r>
      <w:r w:rsidRPr="00E76B02">
        <w:rPr>
          <w:spacing w:val="-2"/>
        </w:rPr>
        <w:t xml:space="preserve"> </w:t>
      </w:r>
      <w:r w:rsidRPr="00E76B02">
        <w:rPr>
          <w:spacing w:val="-4"/>
        </w:rPr>
        <w:t xml:space="preserve">9.6% </w:t>
      </w:r>
      <w:r w:rsidRPr="00E76B02">
        <w:rPr>
          <w:spacing w:val="-2"/>
        </w:rPr>
        <w:t xml:space="preserve">and </w:t>
      </w:r>
      <w:r w:rsidRPr="00E76B02">
        <w:rPr>
          <w:spacing w:val="-4"/>
        </w:rPr>
        <w:t xml:space="preserve">227.5 </w:t>
      </w:r>
      <w:r w:rsidRPr="00E76B02">
        <w:rPr>
          <w:spacing w:val="-2"/>
        </w:rPr>
        <w:t xml:space="preserve">billion </w:t>
      </w:r>
      <w:r w:rsidRPr="00E76B02">
        <w:rPr>
          <w:bCs/>
        </w:rPr>
        <w:t>tons-kilometers of freight traffic</w:t>
      </w:r>
      <w:r w:rsidRPr="00E76B02">
        <w:rPr>
          <w:spacing w:val="-2"/>
        </w:rPr>
        <w:t xml:space="preserve">, </w:t>
      </w:r>
      <w:r w:rsidRPr="00E76B02">
        <w:rPr>
          <w:bCs/>
        </w:rPr>
        <w:t xml:space="preserve">a growth of </w:t>
      </w:r>
      <w:r w:rsidRPr="00E76B02">
        <w:rPr>
          <w:spacing w:val="-4"/>
        </w:rPr>
        <w:t>20.0%.</w:t>
      </w:r>
    </w:p>
    <w:p w14:paraId="4B1E9547" w14:textId="77777777" w:rsidR="00A06B07" w:rsidRPr="00E76B02" w:rsidRDefault="00A06B07" w:rsidP="00A06B07">
      <w:pPr>
        <w:spacing w:before="120" w:after="120"/>
        <w:jc w:val="center"/>
        <w:rPr>
          <w:b/>
          <w:bCs/>
          <w:sz w:val="24"/>
          <w:szCs w:val="24"/>
        </w:rPr>
      </w:pPr>
      <w:r w:rsidRPr="00E76B02">
        <w:rPr>
          <w:b/>
          <w:sz w:val="24"/>
          <w:szCs w:val="24"/>
        </w:rPr>
        <w:t xml:space="preserve">Table 7. </w:t>
      </w:r>
      <w:r w:rsidRPr="00E76B02">
        <w:rPr>
          <w:b/>
          <w:bCs/>
          <w:iCs/>
          <w:sz w:val="24"/>
          <w:szCs w:val="24"/>
        </w:rPr>
        <w:t>Freight transport in the eleven months of 2025 by type of transport</w:t>
      </w:r>
    </w:p>
    <w:tbl>
      <w:tblPr>
        <w:tblW w:w="9041" w:type="dxa"/>
        <w:jc w:val="center"/>
        <w:tblLook w:val="04A0" w:firstRow="1" w:lastRow="0" w:firstColumn="1" w:lastColumn="0" w:noHBand="0" w:noVBand="1"/>
      </w:tblPr>
      <w:tblGrid>
        <w:gridCol w:w="2178"/>
        <w:gridCol w:w="1782"/>
        <w:gridCol w:w="1852"/>
        <w:gridCol w:w="1749"/>
        <w:gridCol w:w="1480"/>
      </w:tblGrid>
      <w:tr w:rsidR="00A06B07" w:rsidRPr="00E76B02" w14:paraId="177BCB71" w14:textId="77777777" w:rsidTr="00E76B02">
        <w:trPr>
          <w:trHeight w:val="504"/>
          <w:jc w:val="center"/>
        </w:trPr>
        <w:tc>
          <w:tcPr>
            <w:tcW w:w="2178" w:type="dxa"/>
            <w:tcBorders>
              <w:top w:val="single" w:sz="4" w:space="0" w:color="auto"/>
              <w:left w:val="nil"/>
              <w:bottom w:val="nil"/>
              <w:right w:val="nil"/>
            </w:tcBorders>
            <w:vAlign w:val="center"/>
            <w:hideMark/>
          </w:tcPr>
          <w:p w14:paraId="6F51AD04" w14:textId="77777777" w:rsidR="00A06B07" w:rsidRPr="00E76B02" w:rsidRDefault="00A06B07" w:rsidP="00E76B02">
            <w:pPr>
              <w:rPr>
                <w:rFonts w:ascii="Arial" w:hAnsi="Arial" w:cs="Arial"/>
                <w:b/>
                <w:bCs/>
                <w:sz w:val="24"/>
                <w:szCs w:val="24"/>
              </w:rPr>
            </w:pPr>
          </w:p>
        </w:tc>
        <w:tc>
          <w:tcPr>
            <w:tcW w:w="3634" w:type="dxa"/>
            <w:gridSpan w:val="2"/>
            <w:tcBorders>
              <w:top w:val="single" w:sz="4" w:space="0" w:color="auto"/>
              <w:left w:val="nil"/>
              <w:bottom w:val="single" w:sz="4" w:space="0" w:color="auto"/>
              <w:right w:val="nil"/>
            </w:tcBorders>
            <w:vAlign w:val="center"/>
            <w:hideMark/>
          </w:tcPr>
          <w:p w14:paraId="2B6765B2" w14:textId="77777777" w:rsidR="00A06B07" w:rsidRPr="00E76B02" w:rsidRDefault="00A06B07" w:rsidP="00E76B02">
            <w:pPr>
              <w:jc w:val="center"/>
              <w:rPr>
                <w:rFonts w:ascii="Arial" w:hAnsi="Arial" w:cs="Arial"/>
                <w:sz w:val="20"/>
                <w:szCs w:val="20"/>
                <w:lang w:eastAsia="vi-VN"/>
              </w:rPr>
            </w:pPr>
            <w:r w:rsidRPr="00E76B02">
              <w:rPr>
                <w:color w:val="000000"/>
                <w:sz w:val="20"/>
                <w:szCs w:val="20"/>
              </w:rPr>
              <w:t>Volume of freight</w:t>
            </w:r>
          </w:p>
        </w:tc>
        <w:tc>
          <w:tcPr>
            <w:tcW w:w="3229" w:type="dxa"/>
            <w:gridSpan w:val="2"/>
            <w:tcBorders>
              <w:top w:val="single" w:sz="4" w:space="0" w:color="auto"/>
              <w:left w:val="nil"/>
              <w:bottom w:val="single" w:sz="4" w:space="0" w:color="auto"/>
              <w:right w:val="nil"/>
            </w:tcBorders>
            <w:vAlign w:val="center"/>
            <w:hideMark/>
          </w:tcPr>
          <w:p w14:paraId="38B51F3A" w14:textId="77777777" w:rsidR="00A06B07" w:rsidRPr="00E76B02" w:rsidRDefault="00A06B07" w:rsidP="00E76B02">
            <w:pPr>
              <w:jc w:val="center"/>
              <w:rPr>
                <w:rFonts w:ascii="Arial" w:hAnsi="Arial" w:cs="Arial"/>
                <w:sz w:val="20"/>
                <w:szCs w:val="20"/>
                <w:lang w:eastAsia="vi-VN"/>
              </w:rPr>
            </w:pPr>
            <w:r w:rsidRPr="00E76B02">
              <w:rPr>
                <w:color w:val="000000"/>
                <w:sz w:val="20"/>
                <w:szCs w:val="20"/>
              </w:rPr>
              <w:t>Year-on-year growth rate (%)</w:t>
            </w:r>
          </w:p>
        </w:tc>
      </w:tr>
      <w:tr w:rsidR="00A06B07" w:rsidRPr="00E76B02" w14:paraId="448D82EA" w14:textId="77777777" w:rsidTr="00E76B02">
        <w:trPr>
          <w:trHeight w:val="439"/>
          <w:jc w:val="center"/>
        </w:trPr>
        <w:tc>
          <w:tcPr>
            <w:tcW w:w="2178" w:type="dxa"/>
            <w:vAlign w:val="center"/>
            <w:hideMark/>
          </w:tcPr>
          <w:p w14:paraId="03385997" w14:textId="77777777" w:rsidR="00A06B07" w:rsidRPr="00E76B02" w:rsidRDefault="00A06B07" w:rsidP="00E76B02">
            <w:pPr>
              <w:rPr>
                <w:rFonts w:ascii="Arial" w:hAnsi="Arial" w:cs="Arial"/>
                <w:sz w:val="20"/>
                <w:szCs w:val="20"/>
                <w:lang w:eastAsia="vi-VN"/>
              </w:rPr>
            </w:pPr>
          </w:p>
        </w:tc>
        <w:tc>
          <w:tcPr>
            <w:tcW w:w="1782" w:type="dxa"/>
            <w:tcBorders>
              <w:top w:val="single" w:sz="4" w:space="0" w:color="auto"/>
              <w:left w:val="nil"/>
              <w:bottom w:val="single" w:sz="4" w:space="0" w:color="auto"/>
              <w:right w:val="nil"/>
            </w:tcBorders>
            <w:vAlign w:val="center"/>
            <w:hideMark/>
          </w:tcPr>
          <w:p w14:paraId="23D1976D" w14:textId="77777777" w:rsidR="00A06B07" w:rsidRPr="00E76B02" w:rsidRDefault="00A06B07" w:rsidP="00E76B02">
            <w:pPr>
              <w:jc w:val="center"/>
              <w:rPr>
                <w:rFonts w:ascii="Arial" w:hAnsi="Arial" w:cs="Arial"/>
                <w:sz w:val="20"/>
                <w:szCs w:val="20"/>
                <w:lang w:eastAsia="vi-VN"/>
              </w:rPr>
            </w:pPr>
            <w:r w:rsidRPr="00E76B02">
              <w:rPr>
                <w:color w:val="000000"/>
                <w:sz w:val="20"/>
                <w:szCs w:val="20"/>
                <w:lang w:eastAsia="vi-VN"/>
              </w:rPr>
              <w:t xml:space="preserve">Carriage </w:t>
            </w:r>
            <w:r w:rsidRPr="00E76B02">
              <w:rPr>
                <w:color w:val="000000"/>
                <w:sz w:val="20"/>
                <w:szCs w:val="20"/>
                <w:lang w:eastAsia="vi-VN"/>
              </w:rPr>
              <w:br/>
            </w:r>
            <w:r w:rsidRPr="00E76B02">
              <w:rPr>
                <w:color w:val="000000"/>
                <w:sz w:val="20"/>
                <w:szCs w:val="20"/>
              </w:rPr>
              <w:t>(Mill. tons)</w:t>
            </w:r>
          </w:p>
        </w:tc>
        <w:tc>
          <w:tcPr>
            <w:tcW w:w="1852" w:type="dxa"/>
            <w:tcBorders>
              <w:top w:val="single" w:sz="4" w:space="0" w:color="auto"/>
              <w:left w:val="nil"/>
              <w:bottom w:val="single" w:sz="4" w:space="0" w:color="auto"/>
              <w:right w:val="nil"/>
            </w:tcBorders>
            <w:vAlign w:val="center"/>
            <w:hideMark/>
          </w:tcPr>
          <w:p w14:paraId="3AAAF276" w14:textId="77777777" w:rsidR="00A06B07" w:rsidRPr="00E76B02" w:rsidRDefault="00A06B07" w:rsidP="00E76B02">
            <w:pPr>
              <w:spacing w:line="254" w:lineRule="auto"/>
              <w:jc w:val="center"/>
              <w:rPr>
                <w:color w:val="000000"/>
                <w:sz w:val="20"/>
                <w:szCs w:val="20"/>
                <w:lang w:eastAsia="vi-VN"/>
              </w:rPr>
            </w:pPr>
            <w:r w:rsidRPr="00E76B02">
              <w:rPr>
                <w:color w:val="000000"/>
                <w:sz w:val="20"/>
                <w:szCs w:val="20"/>
                <w:lang w:eastAsia="vi-VN"/>
              </w:rPr>
              <w:t xml:space="preserve">Traffic </w:t>
            </w:r>
          </w:p>
          <w:p w14:paraId="4B247CBF" w14:textId="77777777" w:rsidR="00A06B07" w:rsidRPr="00E76B02" w:rsidRDefault="00A06B07" w:rsidP="00E76B02">
            <w:pPr>
              <w:jc w:val="center"/>
              <w:rPr>
                <w:rFonts w:ascii="Arial" w:hAnsi="Arial" w:cs="Arial"/>
                <w:sz w:val="20"/>
                <w:szCs w:val="20"/>
                <w:lang w:eastAsia="vi-VN"/>
              </w:rPr>
            </w:pPr>
            <w:r w:rsidRPr="00E76B02">
              <w:rPr>
                <w:color w:val="000000"/>
                <w:sz w:val="20"/>
                <w:szCs w:val="20"/>
              </w:rPr>
              <w:t>(Bill. tons-km)</w:t>
            </w:r>
          </w:p>
        </w:tc>
        <w:tc>
          <w:tcPr>
            <w:tcW w:w="1749" w:type="dxa"/>
            <w:tcBorders>
              <w:top w:val="single" w:sz="4" w:space="0" w:color="auto"/>
              <w:left w:val="nil"/>
              <w:bottom w:val="single" w:sz="4" w:space="0" w:color="auto"/>
              <w:right w:val="nil"/>
            </w:tcBorders>
            <w:vAlign w:val="center"/>
            <w:hideMark/>
          </w:tcPr>
          <w:p w14:paraId="51D28A18" w14:textId="77777777" w:rsidR="00A06B07" w:rsidRPr="00E76B02" w:rsidRDefault="00A06B07" w:rsidP="00E76B02">
            <w:pPr>
              <w:jc w:val="center"/>
              <w:rPr>
                <w:rFonts w:ascii="Arial" w:hAnsi="Arial" w:cs="Arial"/>
                <w:sz w:val="20"/>
                <w:szCs w:val="20"/>
                <w:lang w:eastAsia="vi-VN"/>
              </w:rPr>
            </w:pPr>
            <w:r w:rsidRPr="00E76B02">
              <w:rPr>
                <w:color w:val="000000"/>
                <w:sz w:val="20"/>
                <w:szCs w:val="20"/>
                <w:lang w:eastAsia="vi-VN"/>
              </w:rPr>
              <w:t xml:space="preserve">Carriage </w:t>
            </w:r>
            <w:r w:rsidRPr="00E76B02">
              <w:rPr>
                <w:color w:val="000000"/>
                <w:sz w:val="20"/>
                <w:szCs w:val="20"/>
                <w:lang w:eastAsia="vi-VN"/>
              </w:rPr>
              <w:br/>
            </w:r>
            <w:r w:rsidRPr="00E76B02">
              <w:rPr>
                <w:color w:val="000000"/>
                <w:sz w:val="20"/>
                <w:szCs w:val="20"/>
              </w:rPr>
              <w:t>(Mill. tons)</w:t>
            </w:r>
          </w:p>
        </w:tc>
        <w:tc>
          <w:tcPr>
            <w:tcW w:w="1480" w:type="dxa"/>
            <w:tcBorders>
              <w:top w:val="single" w:sz="4" w:space="0" w:color="auto"/>
              <w:left w:val="nil"/>
              <w:bottom w:val="single" w:sz="4" w:space="0" w:color="auto"/>
              <w:right w:val="nil"/>
            </w:tcBorders>
            <w:vAlign w:val="center"/>
            <w:hideMark/>
          </w:tcPr>
          <w:p w14:paraId="1508AB57" w14:textId="77777777" w:rsidR="00A06B07" w:rsidRPr="00E76B02" w:rsidRDefault="00A06B07" w:rsidP="00E76B02">
            <w:pPr>
              <w:spacing w:line="254" w:lineRule="auto"/>
              <w:jc w:val="center"/>
              <w:rPr>
                <w:color w:val="000000"/>
                <w:sz w:val="20"/>
                <w:szCs w:val="20"/>
                <w:lang w:eastAsia="vi-VN"/>
              </w:rPr>
            </w:pPr>
            <w:r w:rsidRPr="00E76B02">
              <w:rPr>
                <w:color w:val="000000"/>
                <w:sz w:val="20"/>
                <w:szCs w:val="20"/>
                <w:lang w:eastAsia="vi-VN"/>
              </w:rPr>
              <w:t xml:space="preserve">Traffic </w:t>
            </w:r>
          </w:p>
          <w:p w14:paraId="08A1DC4F" w14:textId="77777777" w:rsidR="00A06B07" w:rsidRPr="00E76B02" w:rsidRDefault="00A06B07" w:rsidP="00E76B02">
            <w:pPr>
              <w:jc w:val="center"/>
              <w:rPr>
                <w:rFonts w:ascii="Arial" w:hAnsi="Arial" w:cs="Arial"/>
                <w:sz w:val="20"/>
                <w:szCs w:val="20"/>
                <w:lang w:eastAsia="vi-VN"/>
              </w:rPr>
            </w:pPr>
            <w:r w:rsidRPr="00E76B02">
              <w:rPr>
                <w:color w:val="000000"/>
                <w:sz w:val="20"/>
                <w:szCs w:val="20"/>
              </w:rPr>
              <w:t>(Bill. tons-km)</w:t>
            </w:r>
          </w:p>
        </w:tc>
      </w:tr>
      <w:tr w:rsidR="00A06B07" w:rsidRPr="00E76B02" w14:paraId="4AD0BCE6" w14:textId="77777777" w:rsidTr="00E76B02">
        <w:trPr>
          <w:trHeight w:val="398"/>
          <w:jc w:val="center"/>
        </w:trPr>
        <w:tc>
          <w:tcPr>
            <w:tcW w:w="2178" w:type="dxa"/>
            <w:noWrap/>
            <w:vAlign w:val="center"/>
            <w:hideMark/>
          </w:tcPr>
          <w:p w14:paraId="03E4180A" w14:textId="77777777" w:rsidR="00A06B07" w:rsidRPr="00E76B02" w:rsidRDefault="00A06B07" w:rsidP="00E76B02">
            <w:pPr>
              <w:rPr>
                <w:rFonts w:ascii="Arial" w:hAnsi="Arial" w:cs="Arial"/>
                <w:b/>
                <w:bCs/>
                <w:sz w:val="20"/>
                <w:szCs w:val="20"/>
                <w:lang w:eastAsia="vi-VN"/>
              </w:rPr>
            </w:pPr>
            <w:r w:rsidRPr="00E76B02">
              <w:rPr>
                <w:b/>
                <w:bCs/>
                <w:color w:val="000000"/>
                <w:sz w:val="20"/>
                <w:szCs w:val="20"/>
              </w:rPr>
              <w:t>Total</w:t>
            </w:r>
          </w:p>
        </w:tc>
        <w:tc>
          <w:tcPr>
            <w:tcW w:w="1782" w:type="dxa"/>
            <w:tcBorders>
              <w:top w:val="single" w:sz="4" w:space="0" w:color="auto"/>
              <w:left w:val="nil"/>
              <w:bottom w:val="nil"/>
              <w:right w:val="nil"/>
            </w:tcBorders>
            <w:noWrap/>
            <w:vAlign w:val="center"/>
            <w:hideMark/>
          </w:tcPr>
          <w:p w14:paraId="607AE09E" w14:textId="77777777" w:rsidR="00A06B07" w:rsidRPr="00E76B02" w:rsidRDefault="00A06B07" w:rsidP="00E76B02">
            <w:pPr>
              <w:ind w:right="484"/>
              <w:jc w:val="right"/>
              <w:rPr>
                <w:b/>
                <w:bCs/>
                <w:sz w:val="20"/>
                <w:szCs w:val="20"/>
              </w:rPr>
            </w:pPr>
            <w:r w:rsidRPr="00E76B02">
              <w:rPr>
                <w:b/>
                <w:bCs/>
                <w:sz w:val="20"/>
                <w:szCs w:val="20"/>
              </w:rPr>
              <w:t>2,773.9</w:t>
            </w:r>
          </w:p>
        </w:tc>
        <w:tc>
          <w:tcPr>
            <w:tcW w:w="1852" w:type="dxa"/>
            <w:tcBorders>
              <w:top w:val="single" w:sz="4" w:space="0" w:color="auto"/>
              <w:left w:val="nil"/>
              <w:bottom w:val="nil"/>
              <w:right w:val="nil"/>
            </w:tcBorders>
            <w:noWrap/>
            <w:vAlign w:val="center"/>
            <w:hideMark/>
          </w:tcPr>
          <w:p w14:paraId="6507F4F3" w14:textId="77777777" w:rsidR="00A06B07" w:rsidRPr="00E76B02" w:rsidRDefault="00A06B07" w:rsidP="00E76B02">
            <w:pPr>
              <w:ind w:right="484"/>
              <w:jc w:val="right"/>
              <w:rPr>
                <w:b/>
                <w:bCs/>
                <w:sz w:val="20"/>
                <w:szCs w:val="20"/>
              </w:rPr>
            </w:pPr>
            <w:r w:rsidRPr="00E76B02">
              <w:rPr>
                <w:b/>
                <w:bCs/>
                <w:sz w:val="20"/>
                <w:szCs w:val="20"/>
              </w:rPr>
              <w:t>562.9</w:t>
            </w:r>
          </w:p>
        </w:tc>
        <w:tc>
          <w:tcPr>
            <w:tcW w:w="1749" w:type="dxa"/>
            <w:tcBorders>
              <w:top w:val="single" w:sz="4" w:space="0" w:color="auto"/>
              <w:left w:val="nil"/>
              <w:bottom w:val="nil"/>
              <w:right w:val="nil"/>
            </w:tcBorders>
            <w:noWrap/>
            <w:vAlign w:val="center"/>
            <w:hideMark/>
          </w:tcPr>
          <w:p w14:paraId="7D4CE929" w14:textId="77777777" w:rsidR="00A06B07" w:rsidRPr="00E76B02" w:rsidRDefault="00A06B07" w:rsidP="00E76B02">
            <w:pPr>
              <w:ind w:right="484"/>
              <w:jc w:val="right"/>
              <w:rPr>
                <w:b/>
                <w:bCs/>
                <w:sz w:val="20"/>
                <w:szCs w:val="20"/>
              </w:rPr>
            </w:pPr>
            <w:r w:rsidRPr="00E76B02">
              <w:rPr>
                <w:b/>
                <w:bCs/>
                <w:sz w:val="20"/>
                <w:szCs w:val="20"/>
              </w:rPr>
              <w:t>14.7</w:t>
            </w:r>
          </w:p>
        </w:tc>
        <w:tc>
          <w:tcPr>
            <w:tcW w:w="1480" w:type="dxa"/>
            <w:tcBorders>
              <w:top w:val="single" w:sz="4" w:space="0" w:color="auto"/>
              <w:left w:val="nil"/>
              <w:bottom w:val="nil"/>
              <w:right w:val="nil"/>
            </w:tcBorders>
            <w:noWrap/>
            <w:vAlign w:val="center"/>
            <w:hideMark/>
          </w:tcPr>
          <w:p w14:paraId="0A99D6C3" w14:textId="77777777" w:rsidR="00A06B07" w:rsidRPr="00E76B02" w:rsidRDefault="00A06B07" w:rsidP="00E76B02">
            <w:pPr>
              <w:ind w:right="484"/>
              <w:jc w:val="right"/>
              <w:rPr>
                <w:b/>
                <w:bCs/>
                <w:sz w:val="20"/>
                <w:szCs w:val="20"/>
              </w:rPr>
            </w:pPr>
            <w:r w:rsidRPr="00E76B02">
              <w:rPr>
                <w:b/>
                <w:bCs/>
                <w:sz w:val="20"/>
                <w:szCs w:val="20"/>
              </w:rPr>
              <w:t>14.0</w:t>
            </w:r>
          </w:p>
        </w:tc>
      </w:tr>
      <w:tr w:rsidR="00A06B07" w:rsidRPr="00E76B02" w14:paraId="48C4A076" w14:textId="77777777" w:rsidTr="00E76B02">
        <w:trPr>
          <w:trHeight w:val="332"/>
          <w:jc w:val="center"/>
        </w:trPr>
        <w:tc>
          <w:tcPr>
            <w:tcW w:w="2178" w:type="dxa"/>
            <w:noWrap/>
            <w:vAlign w:val="center"/>
            <w:hideMark/>
          </w:tcPr>
          <w:p w14:paraId="44EB9706" w14:textId="77777777" w:rsidR="00A06B07" w:rsidRPr="00E76B02" w:rsidRDefault="00A06B07" w:rsidP="00E76B02">
            <w:pPr>
              <w:tabs>
                <w:tab w:val="left" w:pos="407"/>
              </w:tabs>
              <w:ind w:firstLine="182"/>
              <w:rPr>
                <w:rFonts w:ascii="Arial" w:hAnsi="Arial" w:cs="Arial"/>
                <w:sz w:val="20"/>
                <w:szCs w:val="20"/>
                <w:lang w:eastAsia="vi-VN"/>
              </w:rPr>
            </w:pPr>
            <w:r w:rsidRPr="00E76B02">
              <w:rPr>
                <w:color w:val="000000"/>
                <w:sz w:val="20"/>
                <w:szCs w:val="20"/>
                <w:lang w:eastAsia="vi-VN"/>
              </w:rPr>
              <w:t>Railway</w:t>
            </w:r>
          </w:p>
        </w:tc>
        <w:tc>
          <w:tcPr>
            <w:tcW w:w="1782" w:type="dxa"/>
            <w:noWrap/>
            <w:vAlign w:val="center"/>
            <w:hideMark/>
          </w:tcPr>
          <w:p w14:paraId="1D0DA85C" w14:textId="77777777" w:rsidR="00A06B07" w:rsidRPr="00E76B02" w:rsidRDefault="00A06B07" w:rsidP="00E76B02">
            <w:pPr>
              <w:ind w:right="484"/>
              <w:jc w:val="right"/>
              <w:rPr>
                <w:sz w:val="20"/>
                <w:szCs w:val="20"/>
              </w:rPr>
            </w:pPr>
            <w:r w:rsidRPr="00E76B02">
              <w:rPr>
                <w:sz w:val="20"/>
                <w:szCs w:val="20"/>
              </w:rPr>
              <w:t>5.0</w:t>
            </w:r>
          </w:p>
        </w:tc>
        <w:tc>
          <w:tcPr>
            <w:tcW w:w="1852" w:type="dxa"/>
            <w:noWrap/>
            <w:vAlign w:val="center"/>
            <w:hideMark/>
          </w:tcPr>
          <w:p w14:paraId="30008978" w14:textId="77777777" w:rsidR="00A06B07" w:rsidRPr="00E76B02" w:rsidRDefault="00A06B07" w:rsidP="00E76B02">
            <w:pPr>
              <w:ind w:right="484"/>
              <w:jc w:val="right"/>
              <w:rPr>
                <w:sz w:val="20"/>
                <w:szCs w:val="20"/>
              </w:rPr>
            </w:pPr>
            <w:r w:rsidRPr="00E76B02">
              <w:rPr>
                <w:sz w:val="20"/>
                <w:szCs w:val="20"/>
              </w:rPr>
              <w:t>3.7</w:t>
            </w:r>
          </w:p>
        </w:tc>
        <w:tc>
          <w:tcPr>
            <w:tcW w:w="1749" w:type="dxa"/>
            <w:noWrap/>
            <w:vAlign w:val="center"/>
            <w:hideMark/>
          </w:tcPr>
          <w:p w14:paraId="1FA69557" w14:textId="77777777" w:rsidR="00A06B07" w:rsidRPr="00E76B02" w:rsidRDefault="00A06B07" w:rsidP="00E76B02">
            <w:pPr>
              <w:ind w:right="484"/>
              <w:jc w:val="right"/>
              <w:rPr>
                <w:sz w:val="20"/>
                <w:szCs w:val="20"/>
              </w:rPr>
            </w:pPr>
            <w:r w:rsidRPr="00E76B02">
              <w:rPr>
                <w:sz w:val="20"/>
                <w:szCs w:val="20"/>
              </w:rPr>
              <w:t>9.4</w:t>
            </w:r>
          </w:p>
        </w:tc>
        <w:tc>
          <w:tcPr>
            <w:tcW w:w="1480" w:type="dxa"/>
            <w:noWrap/>
            <w:vAlign w:val="center"/>
            <w:hideMark/>
          </w:tcPr>
          <w:p w14:paraId="54BBEECA" w14:textId="77777777" w:rsidR="00A06B07" w:rsidRPr="00E76B02" w:rsidRDefault="00A06B07" w:rsidP="00E76B02">
            <w:pPr>
              <w:ind w:right="484"/>
              <w:jc w:val="right"/>
              <w:rPr>
                <w:sz w:val="20"/>
                <w:szCs w:val="20"/>
              </w:rPr>
            </w:pPr>
            <w:r w:rsidRPr="00E76B02">
              <w:rPr>
                <w:sz w:val="20"/>
                <w:szCs w:val="20"/>
              </w:rPr>
              <w:t>7.8</w:t>
            </w:r>
          </w:p>
        </w:tc>
      </w:tr>
      <w:tr w:rsidR="00A06B07" w:rsidRPr="00E76B02" w14:paraId="110C61DB" w14:textId="77777777" w:rsidTr="00E76B02">
        <w:trPr>
          <w:trHeight w:val="332"/>
          <w:jc w:val="center"/>
        </w:trPr>
        <w:tc>
          <w:tcPr>
            <w:tcW w:w="2178" w:type="dxa"/>
            <w:noWrap/>
            <w:vAlign w:val="center"/>
            <w:hideMark/>
          </w:tcPr>
          <w:p w14:paraId="3A4CA9FB" w14:textId="77777777" w:rsidR="00A06B07" w:rsidRPr="00E76B02" w:rsidRDefault="00A06B07" w:rsidP="00E76B02">
            <w:pPr>
              <w:tabs>
                <w:tab w:val="left" w:pos="407"/>
              </w:tabs>
              <w:ind w:firstLine="182"/>
              <w:rPr>
                <w:rFonts w:ascii="Arial" w:hAnsi="Arial" w:cs="Arial"/>
                <w:sz w:val="20"/>
                <w:szCs w:val="20"/>
                <w:lang w:eastAsia="vi-VN"/>
              </w:rPr>
            </w:pPr>
            <w:r w:rsidRPr="00E76B02">
              <w:rPr>
                <w:color w:val="000000"/>
                <w:sz w:val="20"/>
                <w:szCs w:val="20"/>
                <w:lang w:eastAsia="vi-VN"/>
              </w:rPr>
              <w:t>Seaway</w:t>
            </w:r>
          </w:p>
        </w:tc>
        <w:tc>
          <w:tcPr>
            <w:tcW w:w="1782" w:type="dxa"/>
            <w:noWrap/>
            <w:vAlign w:val="center"/>
            <w:hideMark/>
          </w:tcPr>
          <w:p w14:paraId="2A21D73B" w14:textId="77777777" w:rsidR="00A06B07" w:rsidRPr="00E76B02" w:rsidRDefault="00A06B07" w:rsidP="00E76B02">
            <w:pPr>
              <w:ind w:right="484"/>
              <w:jc w:val="right"/>
              <w:rPr>
                <w:sz w:val="20"/>
                <w:szCs w:val="20"/>
              </w:rPr>
            </w:pPr>
            <w:r w:rsidRPr="00E76B02">
              <w:rPr>
                <w:sz w:val="20"/>
                <w:szCs w:val="20"/>
              </w:rPr>
              <w:t>137.4</w:t>
            </w:r>
          </w:p>
        </w:tc>
        <w:tc>
          <w:tcPr>
            <w:tcW w:w="1852" w:type="dxa"/>
            <w:noWrap/>
            <w:vAlign w:val="center"/>
            <w:hideMark/>
          </w:tcPr>
          <w:p w14:paraId="6F4AAC20" w14:textId="77777777" w:rsidR="00A06B07" w:rsidRPr="00E76B02" w:rsidRDefault="00A06B07" w:rsidP="00E76B02">
            <w:pPr>
              <w:ind w:right="484"/>
              <w:jc w:val="right"/>
              <w:rPr>
                <w:sz w:val="20"/>
                <w:szCs w:val="20"/>
              </w:rPr>
            </w:pPr>
            <w:r w:rsidRPr="00E76B02">
              <w:rPr>
                <w:sz w:val="20"/>
                <w:szCs w:val="20"/>
              </w:rPr>
              <w:t>291.2</w:t>
            </w:r>
          </w:p>
        </w:tc>
        <w:tc>
          <w:tcPr>
            <w:tcW w:w="1749" w:type="dxa"/>
            <w:noWrap/>
            <w:vAlign w:val="center"/>
            <w:hideMark/>
          </w:tcPr>
          <w:p w14:paraId="1EBA4296" w14:textId="77777777" w:rsidR="00A06B07" w:rsidRPr="00E76B02" w:rsidRDefault="00A06B07" w:rsidP="00E76B02">
            <w:pPr>
              <w:ind w:right="484"/>
              <w:jc w:val="right"/>
              <w:rPr>
                <w:sz w:val="20"/>
                <w:szCs w:val="20"/>
              </w:rPr>
            </w:pPr>
            <w:r w:rsidRPr="00E76B02">
              <w:rPr>
                <w:sz w:val="20"/>
                <w:szCs w:val="20"/>
              </w:rPr>
              <w:t>12.9</w:t>
            </w:r>
          </w:p>
        </w:tc>
        <w:tc>
          <w:tcPr>
            <w:tcW w:w="1480" w:type="dxa"/>
            <w:noWrap/>
            <w:vAlign w:val="center"/>
            <w:hideMark/>
          </w:tcPr>
          <w:p w14:paraId="6A992AD0" w14:textId="77777777" w:rsidR="00A06B07" w:rsidRPr="00E76B02" w:rsidRDefault="00A06B07" w:rsidP="00E76B02">
            <w:pPr>
              <w:ind w:right="484"/>
              <w:jc w:val="right"/>
              <w:rPr>
                <w:sz w:val="20"/>
                <w:szCs w:val="20"/>
              </w:rPr>
            </w:pPr>
            <w:r w:rsidRPr="00E76B02">
              <w:rPr>
                <w:sz w:val="20"/>
                <w:szCs w:val="20"/>
              </w:rPr>
              <w:t>16.5</w:t>
            </w:r>
          </w:p>
        </w:tc>
      </w:tr>
      <w:tr w:rsidR="00A06B07" w:rsidRPr="00E76B02" w14:paraId="3429A7D4" w14:textId="77777777" w:rsidTr="00E76B02">
        <w:trPr>
          <w:trHeight w:val="332"/>
          <w:jc w:val="center"/>
        </w:trPr>
        <w:tc>
          <w:tcPr>
            <w:tcW w:w="2178" w:type="dxa"/>
            <w:noWrap/>
            <w:vAlign w:val="center"/>
            <w:hideMark/>
          </w:tcPr>
          <w:p w14:paraId="2312BE71" w14:textId="77777777" w:rsidR="00A06B07" w:rsidRPr="00E76B02" w:rsidRDefault="00A06B07" w:rsidP="00E76B02">
            <w:pPr>
              <w:tabs>
                <w:tab w:val="left" w:pos="407"/>
              </w:tabs>
              <w:ind w:firstLine="182"/>
              <w:rPr>
                <w:rFonts w:ascii="Arial" w:hAnsi="Arial" w:cs="Arial"/>
                <w:sz w:val="20"/>
                <w:szCs w:val="20"/>
                <w:lang w:eastAsia="vi-VN"/>
              </w:rPr>
            </w:pPr>
            <w:r w:rsidRPr="00E76B02">
              <w:rPr>
                <w:color w:val="000000"/>
                <w:sz w:val="20"/>
                <w:szCs w:val="20"/>
                <w:lang w:eastAsia="vi-VN"/>
              </w:rPr>
              <w:t>Inland waterway</w:t>
            </w:r>
          </w:p>
        </w:tc>
        <w:tc>
          <w:tcPr>
            <w:tcW w:w="1782" w:type="dxa"/>
            <w:noWrap/>
            <w:vAlign w:val="center"/>
            <w:hideMark/>
          </w:tcPr>
          <w:p w14:paraId="2120AB27" w14:textId="77777777" w:rsidR="00A06B07" w:rsidRPr="00E76B02" w:rsidRDefault="00A06B07" w:rsidP="00E76B02">
            <w:pPr>
              <w:ind w:right="484"/>
              <w:jc w:val="right"/>
              <w:rPr>
                <w:sz w:val="20"/>
                <w:szCs w:val="20"/>
              </w:rPr>
            </w:pPr>
            <w:r w:rsidRPr="00E76B02">
              <w:rPr>
                <w:sz w:val="20"/>
                <w:szCs w:val="20"/>
              </w:rPr>
              <w:t>538.2</w:t>
            </w:r>
          </w:p>
        </w:tc>
        <w:tc>
          <w:tcPr>
            <w:tcW w:w="1852" w:type="dxa"/>
            <w:noWrap/>
            <w:vAlign w:val="center"/>
            <w:hideMark/>
          </w:tcPr>
          <w:p w14:paraId="7D52B02F" w14:textId="77777777" w:rsidR="00A06B07" w:rsidRPr="00E76B02" w:rsidRDefault="00A06B07" w:rsidP="00E76B02">
            <w:pPr>
              <w:ind w:right="484"/>
              <w:jc w:val="right"/>
              <w:rPr>
                <w:sz w:val="20"/>
                <w:szCs w:val="20"/>
              </w:rPr>
            </w:pPr>
            <w:r w:rsidRPr="00E76B02">
              <w:rPr>
                <w:sz w:val="20"/>
                <w:szCs w:val="20"/>
              </w:rPr>
              <w:t>122.3</w:t>
            </w:r>
          </w:p>
        </w:tc>
        <w:tc>
          <w:tcPr>
            <w:tcW w:w="1749" w:type="dxa"/>
            <w:noWrap/>
            <w:vAlign w:val="center"/>
            <w:hideMark/>
          </w:tcPr>
          <w:p w14:paraId="683E040A" w14:textId="77777777" w:rsidR="00A06B07" w:rsidRPr="00E76B02" w:rsidRDefault="00A06B07" w:rsidP="00E76B02">
            <w:pPr>
              <w:ind w:right="484"/>
              <w:jc w:val="right"/>
              <w:rPr>
                <w:sz w:val="20"/>
                <w:szCs w:val="20"/>
              </w:rPr>
            </w:pPr>
            <w:r w:rsidRPr="00E76B02">
              <w:rPr>
                <w:sz w:val="20"/>
                <w:szCs w:val="20"/>
              </w:rPr>
              <w:t>11.7</w:t>
            </w:r>
          </w:p>
        </w:tc>
        <w:tc>
          <w:tcPr>
            <w:tcW w:w="1480" w:type="dxa"/>
            <w:noWrap/>
            <w:vAlign w:val="center"/>
            <w:hideMark/>
          </w:tcPr>
          <w:p w14:paraId="2E2DF556" w14:textId="77777777" w:rsidR="00A06B07" w:rsidRPr="00E76B02" w:rsidRDefault="00A06B07" w:rsidP="00E76B02">
            <w:pPr>
              <w:ind w:right="484"/>
              <w:jc w:val="right"/>
              <w:rPr>
                <w:sz w:val="20"/>
                <w:szCs w:val="20"/>
              </w:rPr>
            </w:pPr>
            <w:r w:rsidRPr="00E76B02">
              <w:rPr>
                <w:sz w:val="20"/>
                <w:szCs w:val="20"/>
              </w:rPr>
              <w:t>11.8</w:t>
            </w:r>
          </w:p>
        </w:tc>
      </w:tr>
      <w:tr w:rsidR="00A06B07" w:rsidRPr="00E76B02" w14:paraId="602DBA6C" w14:textId="77777777" w:rsidTr="00E76B02">
        <w:trPr>
          <w:trHeight w:val="332"/>
          <w:jc w:val="center"/>
        </w:trPr>
        <w:tc>
          <w:tcPr>
            <w:tcW w:w="2178" w:type="dxa"/>
            <w:noWrap/>
            <w:vAlign w:val="center"/>
            <w:hideMark/>
          </w:tcPr>
          <w:p w14:paraId="3D1843B6" w14:textId="77777777" w:rsidR="00A06B07" w:rsidRPr="00E76B02" w:rsidRDefault="00A06B07" w:rsidP="00E76B02">
            <w:pPr>
              <w:tabs>
                <w:tab w:val="left" w:pos="407"/>
              </w:tabs>
              <w:ind w:firstLine="182"/>
              <w:rPr>
                <w:rFonts w:ascii="Arial" w:hAnsi="Arial" w:cs="Arial"/>
                <w:sz w:val="20"/>
                <w:szCs w:val="20"/>
                <w:lang w:eastAsia="vi-VN"/>
              </w:rPr>
            </w:pPr>
            <w:r w:rsidRPr="00E76B02">
              <w:rPr>
                <w:color w:val="000000"/>
                <w:sz w:val="20"/>
                <w:szCs w:val="20"/>
                <w:lang w:eastAsia="vi-VN"/>
              </w:rPr>
              <w:t>Roadway</w:t>
            </w:r>
          </w:p>
        </w:tc>
        <w:tc>
          <w:tcPr>
            <w:tcW w:w="1782" w:type="dxa"/>
            <w:noWrap/>
            <w:vAlign w:val="center"/>
            <w:hideMark/>
          </w:tcPr>
          <w:p w14:paraId="66EA72D5" w14:textId="77777777" w:rsidR="00A06B07" w:rsidRPr="00E76B02" w:rsidRDefault="00A06B07" w:rsidP="00E76B02">
            <w:pPr>
              <w:ind w:right="484"/>
              <w:jc w:val="right"/>
              <w:rPr>
                <w:sz w:val="20"/>
                <w:szCs w:val="20"/>
              </w:rPr>
            </w:pPr>
            <w:r w:rsidRPr="00E76B02">
              <w:rPr>
                <w:sz w:val="20"/>
                <w:szCs w:val="20"/>
              </w:rPr>
              <w:t>2,092.9</w:t>
            </w:r>
          </w:p>
        </w:tc>
        <w:tc>
          <w:tcPr>
            <w:tcW w:w="1852" w:type="dxa"/>
            <w:noWrap/>
            <w:vAlign w:val="center"/>
            <w:hideMark/>
          </w:tcPr>
          <w:p w14:paraId="4B444DCA" w14:textId="77777777" w:rsidR="00A06B07" w:rsidRPr="00E76B02" w:rsidRDefault="00A06B07" w:rsidP="00E76B02">
            <w:pPr>
              <w:ind w:right="484"/>
              <w:jc w:val="right"/>
              <w:rPr>
                <w:sz w:val="20"/>
                <w:szCs w:val="20"/>
              </w:rPr>
            </w:pPr>
            <w:r w:rsidRPr="00E76B02">
              <w:rPr>
                <w:sz w:val="20"/>
                <w:szCs w:val="20"/>
              </w:rPr>
              <w:t>136.8</w:t>
            </w:r>
          </w:p>
        </w:tc>
        <w:tc>
          <w:tcPr>
            <w:tcW w:w="1749" w:type="dxa"/>
            <w:noWrap/>
            <w:vAlign w:val="center"/>
            <w:hideMark/>
          </w:tcPr>
          <w:p w14:paraId="16691441" w14:textId="77777777" w:rsidR="00A06B07" w:rsidRPr="00E76B02" w:rsidRDefault="00A06B07" w:rsidP="00E76B02">
            <w:pPr>
              <w:ind w:right="484"/>
              <w:jc w:val="right"/>
              <w:rPr>
                <w:sz w:val="20"/>
                <w:szCs w:val="20"/>
              </w:rPr>
            </w:pPr>
            <w:r w:rsidRPr="00E76B02">
              <w:rPr>
                <w:sz w:val="20"/>
                <w:szCs w:val="20"/>
              </w:rPr>
              <w:t>15.7</w:t>
            </w:r>
          </w:p>
        </w:tc>
        <w:tc>
          <w:tcPr>
            <w:tcW w:w="1480" w:type="dxa"/>
            <w:noWrap/>
            <w:vAlign w:val="center"/>
            <w:hideMark/>
          </w:tcPr>
          <w:p w14:paraId="583ABB3B" w14:textId="77777777" w:rsidR="00A06B07" w:rsidRPr="00E76B02" w:rsidRDefault="00A06B07" w:rsidP="00E76B02">
            <w:pPr>
              <w:ind w:right="484"/>
              <w:jc w:val="right"/>
              <w:rPr>
                <w:sz w:val="20"/>
                <w:szCs w:val="20"/>
              </w:rPr>
            </w:pPr>
            <w:r w:rsidRPr="00E76B02">
              <w:rPr>
                <w:sz w:val="20"/>
                <w:szCs w:val="20"/>
              </w:rPr>
              <w:t>12.1</w:t>
            </w:r>
          </w:p>
        </w:tc>
      </w:tr>
      <w:tr w:rsidR="00A06B07" w:rsidRPr="00E76B02" w14:paraId="7A2884FC" w14:textId="77777777" w:rsidTr="00E76B02">
        <w:trPr>
          <w:trHeight w:val="332"/>
          <w:jc w:val="center"/>
        </w:trPr>
        <w:tc>
          <w:tcPr>
            <w:tcW w:w="2178" w:type="dxa"/>
            <w:tcBorders>
              <w:top w:val="nil"/>
              <w:left w:val="nil"/>
              <w:bottom w:val="single" w:sz="4" w:space="0" w:color="auto"/>
              <w:right w:val="nil"/>
            </w:tcBorders>
            <w:noWrap/>
            <w:vAlign w:val="center"/>
            <w:hideMark/>
          </w:tcPr>
          <w:p w14:paraId="5555A1F7" w14:textId="77777777" w:rsidR="00A06B07" w:rsidRPr="00E76B02" w:rsidRDefault="00A06B07" w:rsidP="00E76B02">
            <w:pPr>
              <w:tabs>
                <w:tab w:val="left" w:pos="407"/>
              </w:tabs>
              <w:ind w:firstLine="182"/>
              <w:rPr>
                <w:rFonts w:ascii="Arial" w:hAnsi="Arial" w:cs="Arial"/>
                <w:sz w:val="20"/>
                <w:szCs w:val="20"/>
                <w:lang w:eastAsia="vi-VN"/>
              </w:rPr>
            </w:pPr>
            <w:r w:rsidRPr="00E76B02">
              <w:rPr>
                <w:color w:val="000000"/>
                <w:sz w:val="20"/>
                <w:szCs w:val="20"/>
                <w:lang w:eastAsia="vi-VN"/>
              </w:rPr>
              <w:t xml:space="preserve">Airway </w:t>
            </w:r>
          </w:p>
        </w:tc>
        <w:tc>
          <w:tcPr>
            <w:tcW w:w="1782" w:type="dxa"/>
            <w:tcBorders>
              <w:top w:val="nil"/>
              <w:left w:val="nil"/>
              <w:bottom w:val="single" w:sz="4" w:space="0" w:color="auto"/>
              <w:right w:val="nil"/>
            </w:tcBorders>
            <w:noWrap/>
            <w:vAlign w:val="center"/>
            <w:hideMark/>
          </w:tcPr>
          <w:p w14:paraId="51336DAD" w14:textId="77777777" w:rsidR="00A06B07" w:rsidRPr="00E76B02" w:rsidRDefault="00A06B07" w:rsidP="00E76B02">
            <w:pPr>
              <w:ind w:right="484"/>
              <w:jc w:val="right"/>
              <w:rPr>
                <w:sz w:val="20"/>
                <w:szCs w:val="20"/>
              </w:rPr>
            </w:pPr>
            <w:r w:rsidRPr="00E76B02">
              <w:rPr>
                <w:sz w:val="20"/>
                <w:szCs w:val="20"/>
              </w:rPr>
              <w:t>0.4</w:t>
            </w:r>
          </w:p>
        </w:tc>
        <w:tc>
          <w:tcPr>
            <w:tcW w:w="1852" w:type="dxa"/>
            <w:tcBorders>
              <w:top w:val="nil"/>
              <w:left w:val="nil"/>
              <w:bottom w:val="single" w:sz="4" w:space="0" w:color="auto"/>
              <w:right w:val="nil"/>
            </w:tcBorders>
            <w:noWrap/>
            <w:vAlign w:val="center"/>
            <w:hideMark/>
          </w:tcPr>
          <w:p w14:paraId="3D0363BC" w14:textId="77777777" w:rsidR="00A06B07" w:rsidRPr="00E76B02" w:rsidRDefault="00A06B07" w:rsidP="00E76B02">
            <w:pPr>
              <w:ind w:right="484"/>
              <w:jc w:val="right"/>
              <w:rPr>
                <w:sz w:val="20"/>
                <w:szCs w:val="20"/>
              </w:rPr>
            </w:pPr>
            <w:r w:rsidRPr="00E76B02">
              <w:rPr>
                <w:sz w:val="20"/>
                <w:szCs w:val="20"/>
              </w:rPr>
              <w:t>8.9</w:t>
            </w:r>
          </w:p>
        </w:tc>
        <w:tc>
          <w:tcPr>
            <w:tcW w:w="1749" w:type="dxa"/>
            <w:tcBorders>
              <w:top w:val="nil"/>
              <w:left w:val="nil"/>
              <w:bottom w:val="single" w:sz="4" w:space="0" w:color="auto"/>
              <w:right w:val="nil"/>
            </w:tcBorders>
            <w:noWrap/>
            <w:vAlign w:val="center"/>
            <w:hideMark/>
          </w:tcPr>
          <w:p w14:paraId="4615EDA0" w14:textId="77777777" w:rsidR="00A06B07" w:rsidRPr="00E76B02" w:rsidRDefault="00A06B07" w:rsidP="00E76B02">
            <w:pPr>
              <w:ind w:right="484"/>
              <w:jc w:val="right"/>
              <w:rPr>
                <w:sz w:val="20"/>
                <w:szCs w:val="20"/>
              </w:rPr>
            </w:pPr>
            <w:r w:rsidRPr="00E76B02">
              <w:rPr>
                <w:sz w:val="20"/>
                <w:szCs w:val="20"/>
              </w:rPr>
              <w:t>4.6</w:t>
            </w:r>
          </w:p>
        </w:tc>
        <w:tc>
          <w:tcPr>
            <w:tcW w:w="1480" w:type="dxa"/>
            <w:tcBorders>
              <w:top w:val="nil"/>
              <w:left w:val="nil"/>
              <w:bottom w:val="single" w:sz="4" w:space="0" w:color="auto"/>
              <w:right w:val="nil"/>
            </w:tcBorders>
            <w:noWrap/>
            <w:vAlign w:val="center"/>
            <w:hideMark/>
          </w:tcPr>
          <w:p w14:paraId="5249F428" w14:textId="77777777" w:rsidR="00A06B07" w:rsidRPr="00E76B02" w:rsidRDefault="00A06B07" w:rsidP="00E76B02">
            <w:pPr>
              <w:ind w:right="484"/>
              <w:jc w:val="right"/>
              <w:rPr>
                <w:sz w:val="20"/>
                <w:szCs w:val="20"/>
              </w:rPr>
            </w:pPr>
            <w:r w:rsidRPr="00E76B02">
              <w:rPr>
                <w:sz w:val="20"/>
                <w:szCs w:val="20"/>
              </w:rPr>
              <w:t>0.7</w:t>
            </w:r>
          </w:p>
        </w:tc>
      </w:tr>
    </w:tbl>
    <w:p w14:paraId="7F82AB4F" w14:textId="77777777" w:rsidR="00A06B07" w:rsidRPr="00E76B02" w:rsidRDefault="00A06B07" w:rsidP="00A06B07">
      <w:pPr>
        <w:spacing w:before="120" w:after="120" w:line="245" w:lineRule="auto"/>
        <w:ind w:firstLine="720"/>
        <w:jc w:val="both"/>
        <w:rPr>
          <w:b/>
          <w:bCs/>
          <w:i/>
        </w:rPr>
      </w:pPr>
      <w:r w:rsidRPr="00E76B02">
        <w:rPr>
          <w:b/>
          <w:bCs/>
          <w:i/>
          <w:iCs/>
        </w:rPr>
        <w:t>đ) International visitors to Viet Nam</w:t>
      </w:r>
      <w:r w:rsidRPr="00E76B02">
        <w:rPr>
          <w:rFonts w:eastAsia="Calibri"/>
          <w:i/>
          <w:iCs/>
          <w:vertAlign w:val="superscript"/>
        </w:rPr>
        <w:footnoteReference w:id="33"/>
      </w:r>
    </w:p>
    <w:p w14:paraId="52F2E7F7" w14:textId="77777777" w:rsidR="00A06B07" w:rsidRPr="00E76B02" w:rsidRDefault="00A06B07" w:rsidP="00A06B07">
      <w:pPr>
        <w:spacing w:before="120" w:after="120" w:line="245" w:lineRule="auto"/>
        <w:ind w:firstLine="720"/>
        <w:jc w:val="both"/>
        <w:rPr>
          <w:bCs/>
          <w:i/>
        </w:rPr>
      </w:pPr>
      <w:r w:rsidRPr="00E76B02">
        <w:rPr>
          <w:bCs/>
          <w:i/>
        </w:rPr>
        <w:t xml:space="preserve">More and more international visitors came to Viet Nam thanks to favorable visa policies, enhanced tourism advocacy and promotion programs, together with </w:t>
      </w:r>
      <w:r w:rsidRPr="00E76B02">
        <w:rPr>
          <w:rFonts w:eastAsia="Calibri"/>
          <w:i/>
          <w:iCs/>
        </w:rPr>
        <w:t xml:space="preserve">large-scale events in many localities. </w:t>
      </w:r>
    </w:p>
    <w:p w14:paraId="4BB9C8B8" w14:textId="77777777" w:rsidR="00A06B07" w:rsidRPr="00E76B02" w:rsidRDefault="00A06B07" w:rsidP="00A06B07">
      <w:pPr>
        <w:spacing w:before="120" w:after="120" w:line="245" w:lineRule="auto"/>
        <w:ind w:firstLine="720"/>
        <w:jc w:val="both"/>
        <w:rPr>
          <w:rFonts w:eastAsia="Calibri"/>
        </w:rPr>
      </w:pPr>
      <w:r w:rsidRPr="00E76B02">
        <w:rPr>
          <w:rFonts w:eastAsia="Calibri"/>
        </w:rPr>
        <w:t>In November</w:t>
      </w:r>
      <w:r w:rsidRPr="00E76B02">
        <w:rPr>
          <w:rFonts w:eastAsia="Calibri"/>
          <w:vertAlign w:val="superscript"/>
        </w:rPr>
        <w:footnoteReference w:id="34"/>
      </w:r>
      <w:r w:rsidRPr="00E76B02">
        <w:rPr>
          <w:rFonts w:eastAsia="Calibri"/>
        </w:rPr>
        <w:t xml:space="preserve">, the number of international </w:t>
      </w:r>
      <w:r w:rsidRPr="00E76B02">
        <w:rPr>
          <w:bCs/>
          <w:iCs/>
        </w:rPr>
        <w:t>visitors</w:t>
      </w:r>
      <w:r w:rsidRPr="00E76B02">
        <w:rPr>
          <w:rFonts w:eastAsia="Calibri"/>
        </w:rPr>
        <w:t xml:space="preserve"> to Viet Nam reached nearly 1.98 million, </w:t>
      </w:r>
      <w:r w:rsidRPr="00E76B02">
        <w:rPr>
          <w:bCs/>
          <w:iCs/>
          <w:spacing w:val="-2"/>
        </w:rPr>
        <w:t>a month-on-month increase of</w:t>
      </w:r>
      <w:r w:rsidRPr="00E76B02">
        <w:rPr>
          <w:rFonts w:eastAsia="Calibri"/>
        </w:rPr>
        <w:t xml:space="preserve"> 14.2% and a year-on-year rise of 15.6%. Generally, for the eleven months of 2025, the international </w:t>
      </w:r>
      <w:r w:rsidRPr="00E76B02">
        <w:rPr>
          <w:bCs/>
          <w:iCs/>
        </w:rPr>
        <w:t>visitors</w:t>
      </w:r>
      <w:r w:rsidRPr="00E76B02">
        <w:rPr>
          <w:rFonts w:eastAsia="Calibri"/>
        </w:rPr>
        <w:t xml:space="preserve"> to Viet Nam reached 19.15 million, a year-on-year increase of 20.9%. Of which, </w:t>
      </w:r>
      <w:r w:rsidRPr="00E76B02">
        <w:rPr>
          <w:bCs/>
          <w:iCs/>
        </w:rPr>
        <w:t>visitor</w:t>
      </w:r>
      <w:r w:rsidRPr="00E76B02">
        <w:rPr>
          <w:rFonts w:eastAsia="Calibri"/>
        </w:rPr>
        <w:t xml:space="preserve">s by airway reached 16.2 million, accounted for 84.5% of international arrivals and experienced a year-on-year growth of 21.0%; </w:t>
      </w:r>
      <w:r w:rsidRPr="00E76B02">
        <w:rPr>
          <w:bCs/>
          <w:iCs/>
        </w:rPr>
        <w:t>visitor</w:t>
      </w:r>
      <w:r w:rsidRPr="00E76B02">
        <w:rPr>
          <w:rFonts w:eastAsia="Calibri"/>
        </w:rPr>
        <w:t xml:space="preserve">s by roadway reached 2.7 million, comprised 14.3%, a spread of 22.2%; </w:t>
      </w:r>
      <w:r w:rsidRPr="00E76B02">
        <w:rPr>
          <w:bCs/>
          <w:iCs/>
        </w:rPr>
        <w:t>visitor</w:t>
      </w:r>
      <w:r w:rsidRPr="00E76B02">
        <w:rPr>
          <w:rFonts w:eastAsia="Calibri"/>
        </w:rPr>
        <w:t xml:space="preserve">s by seaway reached 228.8 thousand, made up 1.2%, an expansion of 3.4%. </w:t>
      </w:r>
    </w:p>
    <w:p w14:paraId="31561A74" w14:textId="77777777" w:rsidR="00A06B07" w:rsidRPr="00E76B02" w:rsidRDefault="00A06B07" w:rsidP="00A06B07">
      <w:pPr>
        <w:spacing w:before="80" w:after="120"/>
        <w:jc w:val="center"/>
      </w:pPr>
      <w:r w:rsidRPr="00E76B02">
        <w:rPr>
          <w:b/>
          <w:bCs/>
          <w:iCs/>
          <w:noProof/>
          <w:sz w:val="24"/>
          <w:szCs w:val="24"/>
        </w:rPr>
        <w:drawing>
          <wp:anchor distT="0" distB="0" distL="114300" distR="114300" simplePos="0" relativeHeight="251671552" behindDoc="0" locked="0" layoutInCell="1" allowOverlap="1" wp14:anchorId="246ED6DC" wp14:editId="4B357AA1">
            <wp:simplePos x="0" y="0"/>
            <wp:positionH relativeFrom="column">
              <wp:posOffset>3810</wp:posOffset>
            </wp:positionH>
            <wp:positionV relativeFrom="paragraph">
              <wp:posOffset>240665</wp:posOffset>
            </wp:positionV>
            <wp:extent cx="5699760" cy="2856230"/>
            <wp:effectExtent l="0" t="0" r="0" b="127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Khach QT den VN.jpg"/>
                    <pic:cNvPicPr/>
                  </pic:nvPicPr>
                  <pic:blipFill>
                    <a:blip r:embed="rId25">
                      <a:extLst>
                        <a:ext uri="{28A0092B-C50C-407E-A947-70E740481C1C}">
                          <a14:useLocalDpi xmlns:a14="http://schemas.microsoft.com/office/drawing/2010/main" val="0"/>
                        </a:ext>
                      </a:extLst>
                    </a:blip>
                    <a:stretch>
                      <a:fillRect/>
                    </a:stretch>
                  </pic:blipFill>
                  <pic:spPr>
                    <a:xfrm>
                      <a:off x="0" y="0"/>
                      <a:ext cx="5699760" cy="2856230"/>
                    </a:xfrm>
                    <a:prstGeom prst="rect">
                      <a:avLst/>
                    </a:prstGeom>
                  </pic:spPr>
                </pic:pic>
              </a:graphicData>
            </a:graphic>
          </wp:anchor>
        </w:drawing>
      </w:r>
      <w:r w:rsidRPr="00E76B02">
        <w:rPr>
          <w:b/>
          <w:sz w:val="24"/>
          <w:szCs w:val="24"/>
        </w:rPr>
        <w:t xml:space="preserve">Figure 16. </w:t>
      </w:r>
      <w:r w:rsidRPr="00E76B02">
        <w:rPr>
          <w:b/>
          <w:bCs/>
          <w:iCs/>
          <w:sz w:val="24"/>
          <w:szCs w:val="24"/>
        </w:rPr>
        <w:t>International visitors to Viet Nam in the eleven months of 2025 by territories</w:t>
      </w:r>
    </w:p>
    <w:p w14:paraId="4F41A54A" w14:textId="77777777" w:rsidR="00A06B07" w:rsidRPr="00E76B02" w:rsidRDefault="00A06B07" w:rsidP="00A06B07">
      <w:pPr>
        <w:spacing w:before="80" w:after="120"/>
        <w:jc w:val="center"/>
        <w:rPr>
          <w:rFonts w:ascii="Arial" w:hAnsi="Arial" w:cs="Arial"/>
          <w:b/>
          <w:sz w:val="24"/>
          <w:szCs w:val="24"/>
        </w:rPr>
      </w:pPr>
    </w:p>
    <w:p w14:paraId="505BABD8" w14:textId="77777777" w:rsidR="00A06B07" w:rsidRPr="00E76B02" w:rsidRDefault="00A06B07" w:rsidP="00A06B07">
      <w:pPr>
        <w:spacing w:after="120" w:line="252" w:lineRule="auto"/>
        <w:ind w:firstLine="720"/>
        <w:jc w:val="both"/>
        <w:rPr>
          <w:b/>
          <w:bCs/>
        </w:rPr>
      </w:pPr>
      <w:r w:rsidRPr="00E76B02">
        <w:rPr>
          <w:b/>
          <w:bCs/>
        </w:rPr>
        <w:t>7. Social situation</w:t>
      </w:r>
    </w:p>
    <w:p w14:paraId="67DC659E" w14:textId="77777777" w:rsidR="00A06B07" w:rsidRPr="00E76B02" w:rsidRDefault="00A06B07" w:rsidP="00A06B07">
      <w:pPr>
        <w:tabs>
          <w:tab w:val="left" w:pos="709"/>
          <w:tab w:val="left" w:pos="1134"/>
        </w:tabs>
        <w:spacing w:after="120" w:line="252" w:lineRule="auto"/>
        <w:ind w:firstLine="720"/>
        <w:jc w:val="both"/>
        <w:rPr>
          <w:b/>
          <w:i/>
        </w:rPr>
      </w:pPr>
      <w:r w:rsidRPr="00E76B02">
        <w:rPr>
          <w:b/>
          <w:i/>
        </w:rPr>
        <w:t xml:space="preserve">a) People's life </w:t>
      </w:r>
    </w:p>
    <w:p w14:paraId="0D334AAC" w14:textId="77777777" w:rsidR="00A06B07" w:rsidRPr="00E76B02" w:rsidRDefault="00A06B07" w:rsidP="00A06B07">
      <w:pPr>
        <w:tabs>
          <w:tab w:val="left" w:pos="851"/>
        </w:tabs>
        <w:spacing w:after="120" w:line="252" w:lineRule="auto"/>
        <w:ind w:firstLine="720"/>
        <w:jc w:val="both"/>
        <w:rPr>
          <w:bCs/>
          <w:snapToGrid w:val="0"/>
        </w:rPr>
      </w:pPr>
      <w:r w:rsidRPr="00E76B02">
        <w:rPr>
          <w:bCs/>
          <w:snapToGrid w:val="0"/>
        </w:rPr>
        <w:lastRenderedPageBreak/>
        <w:t>According to preliminary results of the Labor Force Survey, 96.4% households reported their income in November remained unchanged or increased compared to the same month last year (a rise of 0.3 percentage points compared to the previous month's reporting period and a growth of 0.2 percentage points year-on-year); 3.6% households said that their income decreased or undetermined.</w:t>
      </w:r>
    </w:p>
    <w:p w14:paraId="03C46E06" w14:textId="1E010333" w:rsidR="00A06B07" w:rsidRPr="00E76B02" w:rsidRDefault="00A06B07" w:rsidP="00A06B07">
      <w:pPr>
        <w:spacing w:after="120" w:line="252" w:lineRule="auto"/>
        <w:ind w:firstLine="720"/>
        <w:jc w:val="both"/>
        <w:rPr>
          <w:bCs/>
          <w:snapToGrid w:val="0"/>
          <w:spacing w:val="-4"/>
        </w:rPr>
      </w:pPr>
      <w:r w:rsidRPr="00E76B02">
        <w:rPr>
          <w:bCs/>
          <w:snapToGrid w:val="0"/>
          <w:spacing w:val="-4"/>
        </w:rPr>
        <w:t>Households with year-on-year decreased income in November identified the main reasons</w:t>
      </w:r>
      <w:r w:rsidRPr="00E76B02">
        <w:rPr>
          <w:rStyle w:val="FootnoteReference"/>
          <w:bCs/>
          <w:snapToGrid w:val="0"/>
          <w:spacing w:val="-4"/>
        </w:rPr>
        <w:footnoteReference w:id="35"/>
      </w:r>
      <w:r w:rsidRPr="00E76B02">
        <w:rPr>
          <w:bCs/>
          <w:snapToGrid w:val="0"/>
          <w:spacing w:val="-4"/>
        </w:rPr>
        <w:t xml:space="preserve"> as follows: Household member</w:t>
      </w:r>
      <w:r w:rsidR="00D14D9D">
        <w:rPr>
          <w:bCs/>
          <w:snapToGrid w:val="0"/>
          <w:spacing w:val="-4"/>
        </w:rPr>
        <w:t>(</w:t>
      </w:r>
      <w:r w:rsidRPr="00E76B02">
        <w:rPr>
          <w:bCs/>
          <w:snapToGrid w:val="0"/>
          <w:spacing w:val="-4"/>
        </w:rPr>
        <w:t>s</w:t>
      </w:r>
      <w:r w:rsidR="00D14D9D">
        <w:rPr>
          <w:bCs/>
          <w:snapToGrid w:val="0"/>
          <w:spacing w:val="-4"/>
        </w:rPr>
        <w:t>)</w:t>
      </w:r>
      <w:r w:rsidRPr="00E76B02">
        <w:rPr>
          <w:bCs/>
          <w:snapToGrid w:val="0"/>
          <w:spacing w:val="-4"/>
        </w:rPr>
        <w:t xml:space="preserve"> lost </w:t>
      </w:r>
      <w:r w:rsidR="00D14D9D">
        <w:rPr>
          <w:bCs/>
          <w:snapToGrid w:val="0"/>
          <w:spacing w:val="-4"/>
        </w:rPr>
        <w:t>its/</w:t>
      </w:r>
      <w:r w:rsidRPr="00E76B02">
        <w:rPr>
          <w:bCs/>
          <w:snapToGrid w:val="0"/>
          <w:spacing w:val="-4"/>
        </w:rPr>
        <w:t xml:space="preserve">their jobs or temporarily quitted jobs (36.8%); impact of natural disasters (26.6%); the size of household production and business activities reduced (21.0%); </w:t>
      </w:r>
      <w:r w:rsidRPr="00E76B02">
        <w:rPr>
          <w:bCs/>
          <w:snapToGrid w:val="0"/>
          <w:spacing w:val="-2"/>
        </w:rPr>
        <w:t>input costs for household production and business activities increased</w:t>
      </w:r>
      <w:r w:rsidRPr="00E76B02">
        <w:rPr>
          <w:bCs/>
          <w:snapToGrid w:val="0"/>
          <w:spacing w:val="-4"/>
        </w:rPr>
        <w:t xml:space="preserve"> (16.8%); and </w:t>
      </w:r>
      <w:r w:rsidRPr="00E76B02">
        <w:rPr>
          <w:bCs/>
          <w:snapToGrid w:val="0"/>
          <w:spacing w:val="-2"/>
        </w:rPr>
        <w:t xml:space="preserve">selling prices of products made from household production and business activities reduced </w:t>
      </w:r>
      <w:r w:rsidRPr="00E76B02">
        <w:rPr>
          <w:bCs/>
          <w:snapToGrid w:val="0"/>
          <w:spacing w:val="-4"/>
        </w:rPr>
        <w:t>(15.3%).</w:t>
      </w:r>
    </w:p>
    <w:p w14:paraId="21BD7EE0" w14:textId="77777777" w:rsidR="00A06B07" w:rsidRPr="00E76B02" w:rsidRDefault="00A06B07" w:rsidP="00A06B07">
      <w:pPr>
        <w:spacing w:after="120" w:line="252" w:lineRule="auto"/>
        <w:ind w:firstLine="720"/>
        <w:jc w:val="both"/>
        <w:rPr>
          <w:bCs/>
          <w:snapToGrid w:val="0"/>
          <w:spacing w:val="-4"/>
        </w:rPr>
      </w:pPr>
      <w:r w:rsidRPr="00E76B02">
        <w:rPr>
          <w:bCs/>
          <w:snapToGrid w:val="0"/>
          <w:spacing w:val="-4"/>
        </w:rPr>
        <w:t xml:space="preserve">In the eleven months of 2025, 30.0% of interviewed households reported experiencing at least one </w:t>
      </w:r>
      <w:r w:rsidRPr="00E76B02">
        <w:rPr>
          <w:bCs/>
          <w:snapToGrid w:val="0"/>
        </w:rPr>
        <w:t>negatively affected event</w:t>
      </w:r>
      <w:r w:rsidRPr="00E76B02">
        <w:rPr>
          <w:bCs/>
          <w:snapToGrid w:val="0"/>
          <w:spacing w:val="-4"/>
        </w:rPr>
        <w:t xml:space="preserve">. </w:t>
      </w:r>
      <w:r w:rsidRPr="00E76B02">
        <w:rPr>
          <w:bCs/>
          <w:snapToGrid w:val="0"/>
        </w:rPr>
        <w:t>Among the households affected by negative events</w:t>
      </w:r>
      <w:r w:rsidRPr="00E76B02">
        <w:rPr>
          <w:bCs/>
          <w:snapToGrid w:val="0"/>
          <w:spacing w:val="-4"/>
        </w:rPr>
        <w:t xml:space="preserve">, 28.6% </w:t>
      </w:r>
      <w:r w:rsidRPr="00E76B02">
        <w:rPr>
          <w:bCs/>
          <w:snapToGrid w:val="0"/>
        </w:rPr>
        <w:t>households suffered from the effects of rising prices of goods and services</w:t>
      </w:r>
      <w:r w:rsidRPr="00E76B02">
        <w:rPr>
          <w:bCs/>
          <w:snapToGrid w:val="0"/>
          <w:spacing w:val="-4"/>
        </w:rPr>
        <w:t xml:space="preserve">; 2.4% </w:t>
      </w:r>
      <w:r w:rsidRPr="00E76B02">
        <w:rPr>
          <w:bCs/>
          <w:snapToGrid w:val="0"/>
        </w:rPr>
        <w:t>households were negatively impacted by human epidemics</w:t>
      </w:r>
      <w:r w:rsidRPr="00E76B02">
        <w:rPr>
          <w:bCs/>
          <w:snapToGrid w:val="0"/>
          <w:spacing w:val="-4"/>
        </w:rPr>
        <w:t xml:space="preserve">; 3.2% </w:t>
      </w:r>
      <w:r w:rsidRPr="00E76B02">
        <w:rPr>
          <w:bCs/>
          <w:snapToGrid w:val="0"/>
        </w:rPr>
        <w:t>households were negatively affected by natural disasters</w:t>
      </w:r>
      <w:r w:rsidRPr="00E76B02">
        <w:rPr>
          <w:bCs/>
          <w:snapToGrid w:val="0"/>
          <w:spacing w:val="-4"/>
        </w:rPr>
        <w:t>; and 2.3% households suffered from epidemics in livestock and crops.</w:t>
      </w:r>
    </w:p>
    <w:p w14:paraId="7DB90EAB" w14:textId="77777777" w:rsidR="00A06B07" w:rsidRPr="00E76B02" w:rsidRDefault="00A06B07" w:rsidP="00A06B07">
      <w:pPr>
        <w:tabs>
          <w:tab w:val="left" w:pos="851"/>
        </w:tabs>
        <w:spacing w:after="120" w:line="252" w:lineRule="auto"/>
        <w:ind w:firstLine="720"/>
        <w:jc w:val="both"/>
        <w:rPr>
          <w:bCs/>
          <w:snapToGrid w:val="0"/>
        </w:rPr>
      </w:pPr>
      <w:r w:rsidRPr="00E76B02">
        <w:rPr>
          <w:bCs/>
          <w:snapToGrid w:val="0"/>
        </w:rPr>
        <w:t xml:space="preserve">In the eleven months of this year, 15.3% of surveyed households received assistance from various sources. Specifically, 9.0% households received assistance from relatives and family; 4.9% </w:t>
      </w:r>
      <w:r w:rsidRPr="00E76B02">
        <w:rPr>
          <w:bCs/>
          <w:snapToGrid w:val="0"/>
          <w:spacing w:val="-4"/>
        </w:rPr>
        <w:t>households were supported by local programs and policies</w:t>
      </w:r>
      <w:r w:rsidRPr="00E76B02">
        <w:rPr>
          <w:bCs/>
          <w:snapToGrid w:val="0"/>
        </w:rPr>
        <w:t xml:space="preserve">; 7.2% </w:t>
      </w:r>
      <w:r w:rsidRPr="00E76B02">
        <w:rPr>
          <w:bCs/>
          <w:snapToGrid w:val="0"/>
          <w:spacing w:val="-4"/>
        </w:rPr>
        <w:t>households were assisted by the national programs and policies</w:t>
      </w:r>
      <w:r w:rsidRPr="00E76B02">
        <w:rPr>
          <w:bCs/>
          <w:snapToGrid w:val="0"/>
        </w:rPr>
        <w:t xml:space="preserve">; 1.7% </w:t>
      </w:r>
      <w:r w:rsidRPr="00E76B02">
        <w:rPr>
          <w:bCs/>
          <w:snapToGrid w:val="0"/>
          <w:spacing w:val="-4"/>
        </w:rPr>
        <w:t>households received assistance from charity activities of other organizations and individuals</w:t>
      </w:r>
      <w:r w:rsidRPr="00E76B02">
        <w:rPr>
          <w:bCs/>
          <w:snapToGrid w:val="0"/>
        </w:rPr>
        <w:t xml:space="preserve">; and 0.1% </w:t>
      </w:r>
      <w:r w:rsidRPr="00E76B02">
        <w:rPr>
          <w:bCs/>
          <w:snapToGrid w:val="0"/>
          <w:spacing w:val="-4"/>
        </w:rPr>
        <w:t>households received assistance</w:t>
      </w:r>
      <w:r w:rsidRPr="00E76B02">
        <w:rPr>
          <w:bCs/>
          <w:snapToGrid w:val="0"/>
        </w:rPr>
        <w:t xml:space="preserve"> from other sources.</w:t>
      </w:r>
    </w:p>
    <w:p w14:paraId="3F74B846" w14:textId="4CDF79AC" w:rsidR="00A06B07" w:rsidRPr="00E76B02" w:rsidRDefault="00A06B07" w:rsidP="00A06B07">
      <w:pPr>
        <w:pStyle w:val="BodyTextIndent"/>
        <w:tabs>
          <w:tab w:val="left" w:pos="0"/>
          <w:tab w:val="left" w:pos="709"/>
        </w:tabs>
        <w:spacing w:after="120" w:line="252" w:lineRule="auto"/>
        <w:ind w:left="0" w:firstLine="720"/>
        <w:jc w:val="both"/>
        <w:rPr>
          <w:rFonts w:ascii="Times New Roman" w:hAnsi="Times New Roman"/>
          <w:bCs/>
          <w:snapToGrid w:val="0"/>
          <w:spacing w:val="-4"/>
        </w:rPr>
      </w:pPr>
      <w:r w:rsidRPr="00E76B02">
        <w:rPr>
          <w:rFonts w:ascii="Times New Roman" w:hAnsi="Times New Roman"/>
          <w:bCs/>
          <w:snapToGrid w:val="0"/>
          <w:spacing w:val="-4"/>
        </w:rPr>
        <w:t xml:space="preserve">Social security work was implemented promptly and effectively by all </w:t>
      </w:r>
      <w:r w:rsidR="00D14D9D" w:rsidRPr="00E76B02">
        <w:rPr>
          <w:rFonts w:ascii="Times New Roman" w:hAnsi="Times New Roman"/>
          <w:bCs/>
          <w:snapToGrid w:val="0"/>
          <w:spacing w:val="-4"/>
        </w:rPr>
        <w:t>level</w:t>
      </w:r>
      <w:r w:rsidR="00D14D9D">
        <w:rPr>
          <w:rFonts w:ascii="Times New Roman" w:hAnsi="Times New Roman"/>
          <w:bCs/>
          <w:snapToGrid w:val="0"/>
          <w:spacing w:val="-4"/>
        </w:rPr>
        <w:t xml:space="preserve"> authorities</w:t>
      </w:r>
      <w:r w:rsidR="00D14D9D" w:rsidRPr="00E76B02">
        <w:rPr>
          <w:rFonts w:ascii="Times New Roman" w:hAnsi="Times New Roman"/>
          <w:bCs/>
          <w:snapToGrid w:val="0"/>
          <w:spacing w:val="-4"/>
        </w:rPr>
        <w:t xml:space="preserve"> </w:t>
      </w:r>
      <w:r w:rsidRPr="00E76B02">
        <w:rPr>
          <w:rFonts w:ascii="Times New Roman" w:hAnsi="Times New Roman"/>
          <w:bCs/>
          <w:snapToGrid w:val="0"/>
          <w:spacing w:val="-4"/>
        </w:rPr>
        <w:t xml:space="preserve">and </w:t>
      </w:r>
      <w:r w:rsidR="00D14D9D">
        <w:rPr>
          <w:rFonts w:ascii="Times New Roman" w:hAnsi="Times New Roman"/>
          <w:bCs/>
          <w:snapToGrid w:val="0"/>
          <w:spacing w:val="-4"/>
        </w:rPr>
        <w:t>agencies</w:t>
      </w:r>
      <w:r w:rsidRPr="00E76B02">
        <w:rPr>
          <w:rFonts w:ascii="Times New Roman" w:hAnsi="Times New Roman"/>
          <w:bCs/>
          <w:snapToGrid w:val="0"/>
          <w:spacing w:val="-4"/>
        </w:rPr>
        <w:t>. In November, as of November 27</w:t>
      </w:r>
      <w:r w:rsidRPr="00E76B02">
        <w:rPr>
          <w:rFonts w:ascii="Times New Roman" w:hAnsi="Times New Roman"/>
          <w:bCs/>
          <w:snapToGrid w:val="0"/>
          <w:spacing w:val="-4"/>
          <w:vertAlign w:val="superscript"/>
        </w:rPr>
        <w:t>th</w:t>
      </w:r>
      <w:r w:rsidRPr="00E76B02">
        <w:rPr>
          <w:rFonts w:ascii="Times New Roman" w:hAnsi="Times New Roman"/>
          <w:bCs/>
          <w:snapToGrid w:val="0"/>
          <w:spacing w:val="-4"/>
        </w:rPr>
        <w:t xml:space="preserve">, 2025, the Government allocated 25.9 thousand tons of rice to support the people in overcoming the consequences of natural disasters and floods. </w:t>
      </w:r>
      <w:r w:rsidRPr="00E76B02">
        <w:rPr>
          <w:rFonts w:ascii="Times New Roman" w:hAnsi="Times New Roman"/>
          <w:bCs/>
          <w:snapToGrid w:val="0"/>
        </w:rPr>
        <w:t xml:space="preserve">Cumulatively from the beginning of the year to </w:t>
      </w:r>
      <w:r w:rsidRPr="00E76B02">
        <w:rPr>
          <w:rFonts w:ascii="Times New Roman" w:hAnsi="Times New Roman"/>
          <w:bCs/>
          <w:snapToGrid w:val="0"/>
          <w:spacing w:val="-4"/>
        </w:rPr>
        <w:t xml:space="preserve">November 27, 2025, the Government supported the people with approximately 38.2 thousand tons of rice, particularly: 6.0 thousand tons of rice for hunger relief during the Lunar New Year for 402.6 thousand persons; nearly 4.3 thousand tons </w:t>
      </w:r>
      <w:r w:rsidRPr="00E76B02">
        <w:rPr>
          <w:rFonts w:ascii="Times New Roman" w:hAnsi="Times New Roman"/>
          <w:bCs/>
          <w:snapToGrid w:val="0"/>
        </w:rPr>
        <w:t>of rice for hunger relief during the 2025 pre-harvest season for</w:t>
      </w:r>
      <w:r w:rsidRPr="00E76B02">
        <w:rPr>
          <w:rFonts w:ascii="Times New Roman" w:hAnsi="Times New Roman"/>
          <w:bCs/>
          <w:snapToGrid w:val="0"/>
          <w:spacing w:val="-4"/>
        </w:rPr>
        <w:t xml:space="preserve"> 284.5 thousand persons; and over 27.9 thousand tons </w:t>
      </w:r>
      <w:r w:rsidRPr="00E76B02">
        <w:rPr>
          <w:rFonts w:ascii="Times New Roman" w:hAnsi="Times New Roman"/>
          <w:bCs/>
          <w:snapToGrid w:val="0"/>
        </w:rPr>
        <w:t xml:space="preserve">of rice to overcome the consequences of natural disasters and floods </w:t>
      </w:r>
      <w:r w:rsidRPr="00E76B02">
        <w:rPr>
          <w:rFonts w:ascii="Times New Roman" w:hAnsi="Times New Roman"/>
          <w:bCs/>
          <w:snapToGrid w:val="0"/>
          <w:spacing w:val="-4"/>
        </w:rPr>
        <w:t>for more than 1.86 million persons.</w:t>
      </w:r>
      <w:r w:rsidRPr="00E76B02">
        <w:rPr>
          <w:rFonts w:ascii="Times New Roman" w:hAnsi="Times New Roman"/>
          <w:bCs/>
          <w:snapToGrid w:val="0"/>
        </w:rPr>
        <w:t xml:space="preserve"> Cumulatively from the beginning of the year to</w:t>
      </w:r>
      <w:r w:rsidRPr="00E76B02">
        <w:rPr>
          <w:rFonts w:ascii="Times New Roman" w:hAnsi="Times New Roman"/>
          <w:bCs/>
          <w:snapToGrid w:val="0"/>
          <w:spacing w:val="-4"/>
        </w:rPr>
        <w:t xml:space="preserve"> November 23, 2025, the Central State budget supported localities in overcoming disaster damage with a total amount of 6,794.0 billion VND; of which 2,630.0 billion VND was provided to localities </w:t>
      </w:r>
      <w:r w:rsidRPr="00E76B02">
        <w:rPr>
          <w:rFonts w:ascii="Times New Roman" w:hAnsi="Times New Roman"/>
          <w:bCs/>
          <w:snapToGrid w:val="0"/>
          <w:spacing w:val="-4"/>
        </w:rPr>
        <w:lastRenderedPageBreak/>
        <w:t xml:space="preserve">affected by </w:t>
      </w:r>
      <w:r w:rsidR="003B51D1">
        <w:rPr>
          <w:rFonts w:ascii="Times New Roman" w:hAnsi="Times New Roman"/>
          <w:bCs/>
          <w:snapToGrid w:val="0"/>
          <w:spacing w:val="-4"/>
        </w:rPr>
        <w:t xml:space="preserve">the </w:t>
      </w:r>
      <w:r w:rsidRPr="00E76B02">
        <w:rPr>
          <w:rFonts w:ascii="Times New Roman" w:hAnsi="Times New Roman"/>
          <w:bCs/>
          <w:snapToGrid w:val="0"/>
          <w:spacing w:val="-4"/>
        </w:rPr>
        <w:t>Typhoon No. 13 and floods in the South Central Coast and Central Highlands.</w:t>
      </w:r>
    </w:p>
    <w:p w14:paraId="686CEFE6" w14:textId="77777777" w:rsidR="00A06B07" w:rsidRPr="00E76B02" w:rsidRDefault="00A06B07" w:rsidP="00A06B07">
      <w:pPr>
        <w:spacing w:after="120" w:line="252" w:lineRule="auto"/>
        <w:ind w:firstLine="720"/>
        <w:jc w:val="both"/>
      </w:pPr>
      <w:r w:rsidRPr="00E76B02">
        <w:rPr>
          <w:b/>
          <w:bCs/>
          <w:i/>
          <w:iCs/>
        </w:rPr>
        <w:t xml:space="preserve">b) Epidemic, food poisoning </w:t>
      </w:r>
    </w:p>
    <w:p w14:paraId="363C2A9D" w14:textId="54AEEBAD" w:rsidR="00A06B07" w:rsidRPr="00E76B02" w:rsidRDefault="00A06B07" w:rsidP="00A06B07">
      <w:pPr>
        <w:spacing w:after="120" w:line="264" w:lineRule="auto"/>
        <w:ind w:firstLine="720"/>
        <w:jc w:val="both"/>
      </w:pPr>
      <w:r w:rsidRPr="00E76B02">
        <w:t xml:space="preserve">According to the Ministry of Health's report, during the month (from October 18 to November 17, 2025), the country recorded </w:t>
      </w:r>
      <w:r w:rsidRPr="00E76B02">
        <w:rPr>
          <w:spacing w:val="-2"/>
        </w:rPr>
        <w:t xml:space="preserve">46.1 </w:t>
      </w:r>
      <w:r w:rsidRPr="00E76B02">
        <w:t xml:space="preserve">thousand cases of dengue fever </w:t>
      </w:r>
      <w:r w:rsidRPr="00E76B02">
        <w:rPr>
          <w:spacing w:val="-2"/>
        </w:rPr>
        <w:t xml:space="preserve">(08 deaths); 19.9 </w:t>
      </w:r>
      <w:r w:rsidRPr="00E76B02">
        <w:t xml:space="preserve">thousand cases of hand, foot and mouth disease (01 death); </w:t>
      </w:r>
      <w:r w:rsidRPr="00E76B02">
        <w:rPr>
          <w:spacing w:val="-2"/>
        </w:rPr>
        <w:t xml:space="preserve">1,393 </w:t>
      </w:r>
      <w:r w:rsidRPr="00E76B02">
        <w:t xml:space="preserve">cases of rash fever suspected of measles; </w:t>
      </w:r>
      <w:r w:rsidRPr="00E76B02">
        <w:rPr>
          <w:spacing w:val="-2"/>
        </w:rPr>
        <w:t xml:space="preserve">34 </w:t>
      </w:r>
      <w:r w:rsidRPr="00E76B02">
        <w:t xml:space="preserve">cases of viral encephalitis; </w:t>
      </w:r>
      <w:r w:rsidRPr="00E76B02">
        <w:rPr>
          <w:spacing w:val="-2"/>
        </w:rPr>
        <w:t xml:space="preserve">11 </w:t>
      </w:r>
      <w:r w:rsidRPr="00E76B02">
        <w:t xml:space="preserve">cases of meningococcal meningitis; </w:t>
      </w:r>
      <w:r w:rsidRPr="00E76B02">
        <w:rPr>
          <w:spacing w:val="-2"/>
        </w:rPr>
        <w:t xml:space="preserve">06 </w:t>
      </w:r>
      <w:r w:rsidRPr="00E76B02">
        <w:t xml:space="preserve">deaths of rabies. Generally, for the eleven months of 2025, the country had </w:t>
      </w:r>
      <w:r w:rsidRPr="00E76B02">
        <w:rPr>
          <w:spacing w:val="-2"/>
        </w:rPr>
        <w:t xml:space="preserve">156.6 </w:t>
      </w:r>
      <w:r w:rsidRPr="00E76B02">
        <w:t xml:space="preserve">thousand cases of dengue fever (31 deaths); </w:t>
      </w:r>
      <w:r w:rsidRPr="00E76B02">
        <w:rPr>
          <w:spacing w:val="-2"/>
        </w:rPr>
        <w:t xml:space="preserve">116.0 </w:t>
      </w:r>
      <w:r w:rsidRPr="00E76B02">
        <w:t xml:space="preserve">thousand cases of rash fever suspected of measles (11 deaths); </w:t>
      </w:r>
      <w:r w:rsidRPr="00E76B02">
        <w:rPr>
          <w:spacing w:val="-2"/>
        </w:rPr>
        <w:t xml:space="preserve">78.5 </w:t>
      </w:r>
      <w:r w:rsidRPr="00E76B02">
        <w:t xml:space="preserve">thousand cases of hand, foot and mouth disease; </w:t>
      </w:r>
      <w:r w:rsidRPr="00E76B02">
        <w:rPr>
          <w:spacing w:val="-2"/>
        </w:rPr>
        <w:t>340</w:t>
      </w:r>
      <w:r w:rsidRPr="00E76B02">
        <w:t xml:space="preserve"> cases of viral encephalitis (01 death); </w:t>
      </w:r>
      <w:r w:rsidRPr="00E76B02">
        <w:rPr>
          <w:spacing w:val="-2"/>
        </w:rPr>
        <w:t>95</w:t>
      </w:r>
      <w:r w:rsidRPr="00E76B02">
        <w:t xml:space="preserve"> cases of meningococcal meningitis (01 death); 68 deaths of rabies.</w:t>
      </w:r>
    </w:p>
    <w:p w14:paraId="3D3B9DA1" w14:textId="55941C78" w:rsidR="00A06B07" w:rsidRPr="00E76B02" w:rsidRDefault="00A06B07" w:rsidP="00A06B07">
      <w:pPr>
        <w:spacing w:after="120" w:line="264" w:lineRule="auto"/>
        <w:ind w:firstLine="720"/>
        <w:jc w:val="both"/>
      </w:pPr>
      <w:r w:rsidRPr="00E76B02">
        <w:t xml:space="preserve">The total number of people living with HIV </w:t>
      </w:r>
      <w:r w:rsidRPr="00E76B02">
        <w:rPr>
          <w:spacing w:val="-6"/>
        </w:rPr>
        <w:t>nationwide</w:t>
      </w:r>
      <w:r w:rsidRPr="00E76B02">
        <w:t xml:space="preserve"> as of November 17, 2025 was </w:t>
      </w:r>
      <w:r w:rsidRPr="00E76B02">
        <w:rPr>
          <w:spacing w:val="4"/>
        </w:rPr>
        <w:t xml:space="preserve">253.1 </w:t>
      </w:r>
      <w:r w:rsidRPr="00E76B02">
        <w:t xml:space="preserve">thousand persons; the number of deaths from HIV/AIDS was </w:t>
      </w:r>
      <w:r w:rsidRPr="00E76B02">
        <w:rPr>
          <w:bCs/>
          <w:spacing w:val="4"/>
        </w:rPr>
        <w:t xml:space="preserve">117.3 </w:t>
      </w:r>
      <w:r w:rsidRPr="00E76B02">
        <w:rPr>
          <w:bCs/>
        </w:rPr>
        <w:t xml:space="preserve">thousand </w:t>
      </w:r>
      <w:r w:rsidRPr="00E76B02">
        <w:rPr>
          <w:spacing w:val="-6"/>
        </w:rPr>
        <w:t>persons</w:t>
      </w:r>
      <w:r w:rsidRPr="00E76B02">
        <w:t>.</w:t>
      </w:r>
    </w:p>
    <w:p w14:paraId="331B061A" w14:textId="79743382" w:rsidR="00A06B07" w:rsidRPr="00E76B02" w:rsidRDefault="00A06B07" w:rsidP="00A06B07">
      <w:pPr>
        <w:spacing w:after="120" w:line="264" w:lineRule="auto"/>
        <w:ind w:firstLine="720"/>
        <w:jc w:val="both"/>
      </w:pPr>
      <w:r w:rsidRPr="00E76B02">
        <w:t xml:space="preserve">Regarding food poisoning, in November, there were 07 cases of food poisoning, poisoning 301 persons. In the eleven months of 2025 (from December 18, 2024 to November 17, 2025), there were 64 cases nationwide, with </w:t>
      </w:r>
      <w:r w:rsidR="002157EA" w:rsidRPr="00E76B02">
        <w:rPr>
          <w:spacing w:val="-2"/>
        </w:rPr>
        <w:t xml:space="preserve">1,255 </w:t>
      </w:r>
      <w:r w:rsidR="002157EA" w:rsidRPr="00E76B02">
        <w:t>people</w:t>
      </w:r>
      <w:r w:rsidRPr="00E76B02">
        <w:t xml:space="preserve"> poisoned (16 deaths).</w:t>
      </w:r>
    </w:p>
    <w:p w14:paraId="2EC5DA67" w14:textId="77777777" w:rsidR="00A06B07" w:rsidRPr="00E76B02" w:rsidRDefault="00A06B07" w:rsidP="00A06B07">
      <w:pPr>
        <w:spacing w:after="120" w:line="252" w:lineRule="auto"/>
        <w:ind w:firstLine="720"/>
        <w:jc w:val="both"/>
        <w:outlineLvl w:val="0"/>
        <w:rPr>
          <w:b/>
          <w:i/>
          <w:iCs/>
        </w:rPr>
      </w:pPr>
      <w:r w:rsidRPr="00E76B02">
        <w:rPr>
          <w:b/>
          <w:bCs/>
          <w:i/>
          <w:iCs/>
        </w:rPr>
        <w:t xml:space="preserve">c) </w:t>
      </w:r>
      <w:r w:rsidRPr="00E76B02">
        <w:rPr>
          <w:b/>
          <w:i/>
          <w:iCs/>
        </w:rPr>
        <w:t>Culture and sports</w:t>
      </w:r>
    </w:p>
    <w:p w14:paraId="77587BC7" w14:textId="77777777" w:rsidR="00A06B07" w:rsidRPr="00E76B02" w:rsidRDefault="00A06B07" w:rsidP="00A06B07">
      <w:pPr>
        <w:spacing w:after="120" w:line="252" w:lineRule="auto"/>
        <w:ind w:firstLine="720"/>
        <w:jc w:val="both"/>
      </w:pPr>
      <w:r w:rsidRPr="00E76B02">
        <w:rPr>
          <w:i/>
        </w:rPr>
        <w:t>Regarding</w:t>
      </w:r>
      <w:r w:rsidRPr="00E76B02">
        <w:t xml:space="preserve"> </w:t>
      </w:r>
      <w:r w:rsidRPr="00E76B02">
        <w:rPr>
          <w:i/>
        </w:rPr>
        <w:t>culture</w:t>
      </w:r>
      <w:r w:rsidRPr="00E76B02">
        <w:t xml:space="preserve">, </w:t>
      </w:r>
      <w:r w:rsidRPr="00E76B02">
        <w:rPr>
          <w:bCs/>
        </w:rPr>
        <w:t>in November, several notable cultural events took place, including: The Great National Solidarity – Vietnamese Cultural Heritage Week 2025 took place from November 18 - 24 in Hanoi; Ho Chi Minh City hosted the Opening Ceremony of the 24th Viet Nam Film Festival from November 21 - 25, and has been recognized by UNESCO as a “Creative City of Film” The 4th Asia - Europe New Music Festival was held from November 27 to December 01 in Hanoi and Phu Tho; The Thang Long – Hanoi Festival 2025, themed “Heritage - Connectivity - Modernity,” took place from November 01 - 16 in Hanoi; The Hanoi Tourism Ao Dai Festival 2025, under the theme “Hanoi Ao Dai – Shining Essence of Heritage,” held from November 6 - 9 in Hanoi; The “Quang Ninh – Heroic Mining Land” Concert organized on November 12 in Quang Ninh, etc.</w:t>
      </w:r>
    </w:p>
    <w:p w14:paraId="189183BF" w14:textId="7D089DC1" w:rsidR="00A06B07" w:rsidRPr="00E76B02" w:rsidRDefault="00A06B07" w:rsidP="00A06B07">
      <w:pPr>
        <w:pStyle w:val="BodyTextIndent"/>
        <w:tabs>
          <w:tab w:val="left" w:pos="0"/>
          <w:tab w:val="left" w:pos="709"/>
        </w:tabs>
        <w:spacing w:after="120" w:line="252" w:lineRule="auto"/>
        <w:ind w:left="0" w:firstLine="720"/>
        <w:jc w:val="both"/>
        <w:rPr>
          <w:rFonts w:ascii="Times New Roman" w:hAnsi="Times New Roman"/>
          <w:bCs/>
        </w:rPr>
      </w:pPr>
      <w:r w:rsidRPr="00E76B02">
        <w:rPr>
          <w:rFonts w:ascii="Times New Roman" w:hAnsi="Times New Roman"/>
          <w:bCs/>
          <w:i/>
        </w:rPr>
        <w:t>Regarding sports,</w:t>
      </w:r>
      <w:r w:rsidRPr="00E76B02">
        <w:rPr>
          <w:rFonts w:ascii="Times New Roman" w:hAnsi="Times New Roman"/>
          <w:bCs/>
        </w:rPr>
        <w:t xml:space="preserve"> in November, the Viet Nam sports delegations participated in several sports events and achieved encouraging results as follows: Viet Nam secured 10 gold medals, 5 silver medals, and 3 bronze medals at the World Bodybuilding and Fitness Championships held in Indonesia from November 14-17; The Vietnamese </w:t>
      </w:r>
      <w:r w:rsidR="002157EA" w:rsidRPr="00E76B02">
        <w:rPr>
          <w:rFonts w:ascii="Times New Roman" w:hAnsi="Times New Roman"/>
          <w:bCs/>
        </w:rPr>
        <w:t>fin swimming</w:t>
      </w:r>
      <w:r w:rsidRPr="00E76B02">
        <w:rPr>
          <w:rFonts w:ascii="Times New Roman" w:hAnsi="Times New Roman"/>
          <w:bCs/>
        </w:rPr>
        <w:t xml:space="preserve"> team won 31 gold, 22 silver, and 4 bronze medals, ranking first overall at the 2025 Southeast Asian </w:t>
      </w:r>
      <w:r w:rsidRPr="00E76B02">
        <w:rPr>
          <w:rFonts w:ascii="Times New Roman" w:hAnsi="Times New Roman"/>
          <w:bCs/>
        </w:rPr>
        <w:lastRenderedPageBreak/>
        <w:t>Championships in Indonesia from November 16-19; The Vietnamese youth athletics team finished second with 13 gold medals at the 2025 Southeast Asian Youth Athletics Championships for the U18 and U20 categories, held in Indonesia from November 15-18; The 2025 Asian Esports Championship took place in Can Tho from November 19-22; the 2025 National Golf Clubs Championship was held in Da Nang from November 28-30; and the 14th National Sports Festival for Ethnic Minorities - Region II (2025) took place in Dong Nai from November 17-24; The Viet Nam U17 football team secured a berth in the AFC U17 Asian Cup 2026 Final Tournament.</w:t>
      </w:r>
    </w:p>
    <w:p w14:paraId="2177F302" w14:textId="77777777" w:rsidR="00A06B07" w:rsidRPr="00E76B02" w:rsidRDefault="00A06B07" w:rsidP="00A06B07">
      <w:pPr>
        <w:spacing w:after="120" w:line="252" w:lineRule="auto"/>
        <w:ind w:firstLine="720"/>
        <w:jc w:val="both"/>
        <w:rPr>
          <w:b/>
          <w:i/>
        </w:rPr>
      </w:pPr>
      <w:r w:rsidRPr="00E76B02">
        <w:rPr>
          <w:b/>
          <w:i/>
        </w:rPr>
        <w:t>d) Traffic accident</w:t>
      </w:r>
      <w:r w:rsidRPr="00E76B02">
        <w:rPr>
          <w:b/>
          <w:bCs/>
          <w:iCs/>
          <w:vertAlign w:val="superscript"/>
        </w:rPr>
        <w:footnoteReference w:id="36"/>
      </w:r>
    </w:p>
    <w:p w14:paraId="11B2452F" w14:textId="78296912" w:rsidR="00A06B07" w:rsidRPr="00E76B02" w:rsidRDefault="00A06B07" w:rsidP="00A06B07">
      <w:pPr>
        <w:tabs>
          <w:tab w:val="left" w:pos="567"/>
        </w:tabs>
        <w:spacing w:after="120" w:line="252" w:lineRule="auto"/>
        <w:ind w:firstLine="720"/>
        <w:jc w:val="both"/>
      </w:pPr>
      <w:r w:rsidRPr="00E76B02">
        <w:rPr>
          <w:rFonts w:eastAsia="Calibri"/>
        </w:rPr>
        <w:t xml:space="preserve">In November (from </w:t>
      </w:r>
      <w:r w:rsidRPr="00E76B02">
        <w:t xml:space="preserve">October 26 to </w:t>
      </w:r>
      <w:r w:rsidRPr="00E76B02">
        <w:rPr>
          <w:rFonts w:eastAsia="Calibri"/>
        </w:rPr>
        <w:t>November</w:t>
      </w:r>
      <w:r w:rsidRPr="00E76B02">
        <w:t xml:space="preserve"> 25, 2025), </w:t>
      </w:r>
      <w:r w:rsidRPr="00E76B02">
        <w:rPr>
          <w:rFonts w:eastAsia="Calibri"/>
        </w:rPr>
        <w:t xml:space="preserve">there were </w:t>
      </w:r>
      <w:r w:rsidRPr="00E76B02">
        <w:t xml:space="preserve">1,523 cases of traffic accident nationwide, causing 832 deaths and 1,042 injuries. Compared to the figures of October 2025, the number of traffic accidents decreased by 0.8%; the number of deaths decreased by 1.3%; the number of injuries increased by 2.4%. Compared to the figures of the same period in 2024, the number of traffic accidents, deaths, and injuries dropped by 25.8%, 17.5%, 27.4%, respectively. </w:t>
      </w:r>
    </w:p>
    <w:p w14:paraId="7F14CB0D" w14:textId="77777777" w:rsidR="00A06B07" w:rsidRPr="00E76B02" w:rsidRDefault="00A06B07" w:rsidP="00A06B07">
      <w:pPr>
        <w:tabs>
          <w:tab w:val="left" w:pos="567"/>
        </w:tabs>
        <w:spacing w:after="120" w:line="264" w:lineRule="auto"/>
        <w:ind w:firstLine="720"/>
        <w:jc w:val="both"/>
        <w:rPr>
          <w:spacing w:val="-4"/>
        </w:rPr>
      </w:pPr>
      <w:r w:rsidRPr="00E76B02">
        <w:rPr>
          <w:spacing w:val="-4"/>
        </w:rPr>
        <w:t xml:space="preserve">Generally, in the eleven months of 2025, there were 16,816 cases of traffic accident nationwide, </w:t>
      </w:r>
      <w:r w:rsidRPr="00E76B02">
        <w:t xml:space="preserve">resulting in </w:t>
      </w:r>
      <w:r w:rsidRPr="00E76B02">
        <w:rPr>
          <w:spacing w:val="-4"/>
        </w:rPr>
        <w:t xml:space="preserve">9,502 </w:t>
      </w:r>
      <w:r w:rsidRPr="00E76B02">
        <w:t>deaths</w:t>
      </w:r>
      <w:r w:rsidRPr="00E76B02">
        <w:rPr>
          <w:spacing w:val="-4"/>
        </w:rPr>
        <w:t xml:space="preserve"> and 11,142 </w:t>
      </w:r>
      <w:r w:rsidRPr="00E76B02">
        <w:t xml:space="preserve">injuries. </w:t>
      </w:r>
      <w:r w:rsidRPr="00E76B02">
        <w:rPr>
          <w:spacing w:val="-4"/>
        </w:rPr>
        <w:t xml:space="preserve">Compared to the </w:t>
      </w:r>
      <w:r w:rsidRPr="00E76B02">
        <w:t>figures of the</w:t>
      </w:r>
      <w:r w:rsidRPr="00E76B02">
        <w:rPr>
          <w:spacing w:val="-4"/>
        </w:rPr>
        <w:t xml:space="preserve"> same period last year, the number of </w:t>
      </w:r>
      <w:r w:rsidRPr="00E76B02">
        <w:t>traffic accident cases, deaths, and injuries decreased by</w:t>
      </w:r>
      <w:r w:rsidRPr="00E76B02">
        <w:rPr>
          <w:spacing w:val="-4"/>
        </w:rPr>
        <w:t xml:space="preserve"> 22.3%, 6.6%, and 29.8%, </w:t>
      </w:r>
      <w:r w:rsidRPr="00E76B02">
        <w:t>respectively</w:t>
      </w:r>
      <w:r w:rsidRPr="00E76B02">
        <w:rPr>
          <w:spacing w:val="-4"/>
        </w:rPr>
        <w:t xml:space="preserve">. On average, in the eleven months of 2025, there were 50 traffic accidents, </w:t>
      </w:r>
      <w:r w:rsidRPr="00E76B02">
        <w:t>causing</w:t>
      </w:r>
      <w:r w:rsidRPr="00E76B02">
        <w:rPr>
          <w:spacing w:val="-4"/>
        </w:rPr>
        <w:t xml:space="preserve"> 28 </w:t>
      </w:r>
      <w:r w:rsidRPr="00E76B02">
        <w:t>deaths</w:t>
      </w:r>
      <w:r w:rsidRPr="00E76B02">
        <w:rPr>
          <w:spacing w:val="-4"/>
        </w:rPr>
        <w:t xml:space="preserve"> and 33 </w:t>
      </w:r>
      <w:r w:rsidRPr="00E76B02">
        <w:t>injuries a day</w:t>
      </w:r>
      <w:r w:rsidRPr="00E76B02">
        <w:rPr>
          <w:spacing w:val="-4"/>
        </w:rPr>
        <w:t xml:space="preserve">. </w:t>
      </w:r>
    </w:p>
    <w:p w14:paraId="5BBEADA7" w14:textId="77777777" w:rsidR="00A06B07" w:rsidRPr="00E76B02" w:rsidRDefault="00A06B07" w:rsidP="00A06B07">
      <w:pPr>
        <w:spacing w:after="120" w:line="264" w:lineRule="auto"/>
        <w:ind w:firstLine="720"/>
        <w:jc w:val="both"/>
        <w:rPr>
          <w:b/>
          <w:i/>
        </w:rPr>
      </w:pPr>
      <w:r w:rsidRPr="00E76B02">
        <w:rPr>
          <w:b/>
          <w:i/>
        </w:rPr>
        <w:t>đ) Damage caused by natural disaster</w:t>
      </w:r>
      <w:r w:rsidRPr="00E76B02">
        <w:rPr>
          <w:rFonts w:eastAsia="Calibri"/>
          <w:b/>
          <w:i/>
        </w:rPr>
        <w:t xml:space="preserve"> </w:t>
      </w:r>
    </w:p>
    <w:p w14:paraId="3D18CA4B" w14:textId="77777777" w:rsidR="00A06B07" w:rsidRPr="00E76B02" w:rsidRDefault="00A06B07" w:rsidP="00A06B07">
      <w:pPr>
        <w:widowControl w:val="0"/>
        <w:spacing w:after="120" w:line="264" w:lineRule="auto"/>
        <w:ind w:firstLine="720"/>
        <w:jc w:val="both"/>
      </w:pPr>
      <w:r w:rsidRPr="00E76B02">
        <w:rPr>
          <w:bCs/>
          <w:iCs/>
          <w:spacing w:val="-2"/>
        </w:rPr>
        <w:t xml:space="preserve">According to the Ministry of Agriculture and Environment, </w:t>
      </w:r>
      <w:r w:rsidRPr="00E76B02">
        <w:t xml:space="preserve">from the beginning of the year to December 5, 2025, natural disasters across the country resulted in 420 </w:t>
      </w:r>
      <w:r w:rsidRPr="00E76B02">
        <w:rPr>
          <w:rFonts w:eastAsia="Calibri"/>
        </w:rPr>
        <w:t>people died and missing</w:t>
      </w:r>
      <w:r w:rsidRPr="00E76B02">
        <w:t>; 730 persons injured; 4,193 houses collapsed, swept away; 347,883 damaged or unroofed; 541,204 hectares of rice and other crops submerged and damaged; 73,300 livestock and 5.1 million poultry killed or swept away; 171,763 aquatic cages damaged; 1,032 km of dikes, embankments, and canals damaged; 115 km of river banks and coastlines eroded; 1,258 km of roads damaged with a total volume of eroded soil and rock of 14.5 million m</w:t>
      </w:r>
      <w:r w:rsidRPr="00E76B02">
        <w:rPr>
          <w:vertAlign w:val="superscript"/>
        </w:rPr>
        <w:t>3</w:t>
      </w:r>
      <w:r w:rsidRPr="00E76B02">
        <w:t xml:space="preserve">, etc. The </w:t>
      </w:r>
      <w:r w:rsidRPr="00E76B02">
        <w:rPr>
          <w:rFonts w:eastAsia="Calibri"/>
        </w:rPr>
        <w:t xml:space="preserve">total value of damage was estimated at </w:t>
      </w:r>
      <w:r w:rsidRPr="00E76B02">
        <w:t xml:space="preserve">over 99,469 </w:t>
      </w:r>
      <w:r w:rsidRPr="00E76B02">
        <w:rPr>
          <w:rFonts w:eastAsia="Calibri"/>
        </w:rPr>
        <w:t>billion VND.</w:t>
      </w:r>
      <w:r w:rsidRPr="00E76B02">
        <w:t xml:space="preserve"> </w:t>
      </w:r>
    </w:p>
    <w:p w14:paraId="7B1564ED" w14:textId="77777777" w:rsidR="00A06B07" w:rsidRPr="00E76B02" w:rsidRDefault="00A06B07" w:rsidP="00A06B07">
      <w:pPr>
        <w:tabs>
          <w:tab w:val="left" w:pos="426"/>
          <w:tab w:val="left" w:pos="900"/>
        </w:tabs>
        <w:spacing w:after="120" w:line="252" w:lineRule="auto"/>
        <w:ind w:firstLine="720"/>
        <w:jc w:val="both"/>
        <w:rPr>
          <w:rFonts w:eastAsia="Calibri"/>
          <w:b/>
          <w:i/>
        </w:rPr>
      </w:pPr>
      <w:r w:rsidRPr="00E76B02">
        <w:rPr>
          <w:rFonts w:eastAsia="Calibri"/>
          <w:b/>
          <w:i/>
        </w:rPr>
        <w:t>e)</w:t>
      </w:r>
      <w:r w:rsidRPr="00E76B02">
        <w:rPr>
          <w:b/>
          <w:i/>
        </w:rPr>
        <w:t xml:space="preserve"> Environmental protection, fire and explosion prevention</w:t>
      </w:r>
    </w:p>
    <w:p w14:paraId="7ECDD573" w14:textId="05AAAD46" w:rsidR="00A06B07" w:rsidRPr="00E76B02" w:rsidRDefault="00A06B07" w:rsidP="00A06B07">
      <w:pPr>
        <w:tabs>
          <w:tab w:val="left" w:pos="426"/>
          <w:tab w:val="left" w:pos="900"/>
        </w:tabs>
        <w:spacing w:after="120" w:line="252" w:lineRule="auto"/>
        <w:ind w:firstLine="720"/>
        <w:jc w:val="both"/>
        <w:rPr>
          <w:rFonts w:eastAsia="Calibri"/>
        </w:rPr>
      </w:pPr>
      <w:r w:rsidRPr="00E76B02">
        <w:rPr>
          <w:rFonts w:eastAsia="Calibri"/>
        </w:rPr>
        <w:lastRenderedPageBreak/>
        <w:t>In November (from October 18 to November 17, 2025)</w:t>
      </w:r>
      <w:r w:rsidRPr="00E76B02">
        <w:rPr>
          <w:rFonts w:eastAsia="Calibri"/>
          <w:vertAlign w:val="superscript"/>
        </w:rPr>
        <w:footnoteReference w:id="37"/>
      </w:r>
      <w:r w:rsidRPr="00E76B02">
        <w:rPr>
          <w:rFonts w:eastAsia="Calibri"/>
        </w:rPr>
        <w:t xml:space="preserve">, </w:t>
      </w:r>
      <w:r w:rsidRPr="00E76B02">
        <w:t xml:space="preserve">functional </w:t>
      </w:r>
      <w:r w:rsidRPr="00E76B02">
        <w:rPr>
          <w:rFonts w:eastAsia="Calibri"/>
        </w:rPr>
        <w:t xml:space="preserve">authorities detected </w:t>
      </w:r>
      <w:r w:rsidRPr="00E76B02">
        <w:rPr>
          <w:spacing w:val="-2"/>
        </w:rPr>
        <w:t xml:space="preserve">1,640 </w:t>
      </w:r>
      <w:r w:rsidRPr="00E76B02">
        <w:rPr>
          <w:rFonts w:eastAsia="Calibri"/>
        </w:rPr>
        <w:t xml:space="preserve">environmental violations in </w:t>
      </w:r>
      <w:r w:rsidRPr="00E76B02">
        <w:t xml:space="preserve">34 localities, of which, </w:t>
      </w:r>
      <w:r w:rsidRPr="00E76B02">
        <w:rPr>
          <w:spacing w:val="-2"/>
        </w:rPr>
        <w:t xml:space="preserve">1,292 cases </w:t>
      </w:r>
      <w:r w:rsidRPr="00E76B02">
        <w:rPr>
          <w:rFonts w:eastAsia="Calibri"/>
        </w:rPr>
        <w:t xml:space="preserve">were </w:t>
      </w:r>
      <w:r w:rsidRPr="00E76B02">
        <w:t>addressed</w:t>
      </w:r>
      <w:r w:rsidRPr="00E76B02">
        <w:rPr>
          <w:rFonts w:eastAsia="Calibri"/>
        </w:rPr>
        <w:t xml:space="preserve"> with a total fine of 27.5 billion VND</w:t>
      </w:r>
      <w:r w:rsidR="002157EA" w:rsidRPr="00E76B02">
        <w:rPr>
          <w:rFonts w:eastAsia="Calibri"/>
        </w:rPr>
        <w:t xml:space="preserve">, </w:t>
      </w:r>
      <w:r w:rsidR="002157EA" w:rsidRPr="00E76B02">
        <w:t>experiencing</w:t>
      </w:r>
      <w:r w:rsidRPr="00E76B02">
        <w:t xml:space="preserve"> a month-on-month </w:t>
      </w:r>
      <w:r w:rsidRPr="00E76B02">
        <w:rPr>
          <w:rFonts w:eastAsia="Calibri"/>
        </w:rPr>
        <w:t xml:space="preserve">decrease of 0.7% and a </w:t>
      </w:r>
      <w:r w:rsidRPr="00E76B02">
        <w:t xml:space="preserve">year-on-year </w:t>
      </w:r>
      <w:r w:rsidRPr="00E76B02">
        <w:rPr>
          <w:rFonts w:eastAsia="Calibri"/>
        </w:rPr>
        <w:t xml:space="preserve">increase of 4.4%. In the eleven months of this year, the </w:t>
      </w:r>
      <w:r w:rsidRPr="00E76B02">
        <w:t>functional</w:t>
      </w:r>
      <w:r w:rsidRPr="00E76B02">
        <w:rPr>
          <w:rFonts w:eastAsia="Calibri"/>
        </w:rPr>
        <w:t xml:space="preserve"> authorities detected </w:t>
      </w:r>
      <w:r w:rsidRPr="00E76B02">
        <w:rPr>
          <w:spacing w:val="-2"/>
        </w:rPr>
        <w:t xml:space="preserve">15,717 </w:t>
      </w:r>
      <w:r w:rsidRPr="00E76B02">
        <w:rPr>
          <w:rFonts w:eastAsia="Calibri"/>
        </w:rPr>
        <w:t xml:space="preserve">cases of environmental violations, of which, </w:t>
      </w:r>
      <w:r w:rsidRPr="00E76B02">
        <w:rPr>
          <w:spacing w:val="-2"/>
        </w:rPr>
        <w:t xml:space="preserve">13,862 </w:t>
      </w:r>
      <w:r w:rsidRPr="00E76B02">
        <w:rPr>
          <w:rFonts w:eastAsia="Calibri"/>
        </w:rPr>
        <w:t xml:space="preserve">cases were addressed with a total fine of nearly 220.2 billion VND, a </w:t>
      </w:r>
      <w:r w:rsidRPr="00E76B02">
        <w:t>year-on-year reduction</w:t>
      </w:r>
      <w:r w:rsidRPr="00E76B02">
        <w:rPr>
          <w:rFonts w:eastAsia="Calibri"/>
        </w:rPr>
        <w:t xml:space="preserve"> of 21.6%. </w:t>
      </w:r>
    </w:p>
    <w:p w14:paraId="1FA3C297" w14:textId="6DC42070" w:rsidR="00A06B07" w:rsidRPr="00E76B02" w:rsidRDefault="00A06B07" w:rsidP="00A06B07">
      <w:pPr>
        <w:pStyle w:val="BodyTextIndent"/>
        <w:tabs>
          <w:tab w:val="left" w:pos="0"/>
          <w:tab w:val="left" w:pos="709"/>
        </w:tabs>
        <w:spacing w:after="120" w:line="252" w:lineRule="auto"/>
        <w:ind w:left="0" w:firstLine="720"/>
        <w:jc w:val="both"/>
        <w:rPr>
          <w:rFonts w:ascii="Times New Roman" w:hAnsi="Times New Roman"/>
          <w:bCs/>
          <w:snapToGrid w:val="0"/>
          <w:spacing w:val="-4"/>
        </w:rPr>
      </w:pPr>
      <w:r w:rsidRPr="00E76B02">
        <w:rPr>
          <w:rFonts w:ascii="Times New Roman" w:eastAsia="Calibri" w:hAnsi="Times New Roman"/>
        </w:rPr>
        <w:t>In November (from October 15 to November 14, 2025)</w:t>
      </w:r>
      <w:r w:rsidRPr="00E76B02">
        <w:rPr>
          <w:rFonts w:ascii="Times New Roman" w:eastAsia="Calibri" w:hAnsi="Times New Roman"/>
          <w:vertAlign w:val="superscript"/>
        </w:rPr>
        <w:footnoteReference w:id="38"/>
      </w:r>
      <w:r w:rsidRPr="00E76B02">
        <w:rPr>
          <w:rFonts w:ascii="Times New Roman" w:eastAsia="Calibri" w:hAnsi="Times New Roman"/>
        </w:rPr>
        <w:t xml:space="preserve">, </w:t>
      </w:r>
      <w:r w:rsidRPr="00E76B02">
        <w:rPr>
          <w:rFonts w:ascii="Times New Roman" w:hAnsi="Times New Roman"/>
        </w:rPr>
        <w:t xml:space="preserve">212 </w:t>
      </w:r>
      <w:r w:rsidRPr="00E76B02">
        <w:rPr>
          <w:rFonts w:ascii="Times New Roman" w:eastAsia="Calibri" w:hAnsi="Times New Roman"/>
        </w:rPr>
        <w:t xml:space="preserve">cases of fire and explosion </w:t>
      </w:r>
      <w:r w:rsidRPr="00E76B02">
        <w:rPr>
          <w:rFonts w:ascii="Times New Roman" w:hAnsi="Times New Roman"/>
        </w:rPr>
        <w:t>occurred</w:t>
      </w:r>
      <w:r w:rsidRPr="00E76B02">
        <w:rPr>
          <w:rFonts w:ascii="Times New Roman" w:eastAsia="Calibri" w:hAnsi="Times New Roman"/>
        </w:rPr>
        <w:t xml:space="preserve"> nationwide, causing 4 deaths and 5 </w:t>
      </w:r>
      <w:r w:rsidRPr="00E76B02">
        <w:rPr>
          <w:rFonts w:ascii="Times New Roman" w:hAnsi="Times New Roman"/>
        </w:rPr>
        <w:t>injuries with</w:t>
      </w:r>
      <w:r w:rsidRPr="00E76B02">
        <w:rPr>
          <w:rFonts w:ascii="Times New Roman" w:eastAsia="Calibri" w:hAnsi="Times New Roman"/>
        </w:rPr>
        <w:t xml:space="preserve"> an estimated loss of 30.2 billion VND, experiencing a </w:t>
      </w:r>
      <w:r w:rsidRPr="00E76B02">
        <w:rPr>
          <w:rFonts w:ascii="Times New Roman" w:hAnsi="Times New Roman"/>
        </w:rPr>
        <w:t>month-on-month decrease of</w:t>
      </w:r>
      <w:r w:rsidRPr="00E76B02">
        <w:rPr>
          <w:rFonts w:ascii="Times New Roman" w:eastAsia="Calibri" w:hAnsi="Times New Roman"/>
        </w:rPr>
        <w:t xml:space="preserve"> 39.0% and a </w:t>
      </w:r>
      <w:r w:rsidRPr="00E76B02">
        <w:rPr>
          <w:rFonts w:ascii="Times New Roman" w:hAnsi="Times New Roman"/>
        </w:rPr>
        <w:t xml:space="preserve">year-on-year decrease of </w:t>
      </w:r>
      <w:r w:rsidRPr="00E76B02">
        <w:rPr>
          <w:rFonts w:ascii="Times New Roman" w:eastAsia="Calibri" w:hAnsi="Times New Roman"/>
        </w:rPr>
        <w:t xml:space="preserve">65.0%. In the eleven months of this year, there were 2,894 cases of fire and explosion nationwide, causing 101 deaths and 112 </w:t>
      </w:r>
      <w:r w:rsidRPr="00E76B02">
        <w:rPr>
          <w:rFonts w:ascii="Times New Roman" w:hAnsi="Times New Roman"/>
        </w:rPr>
        <w:t xml:space="preserve">injuries </w:t>
      </w:r>
      <w:r w:rsidRPr="00E76B02">
        <w:rPr>
          <w:rFonts w:ascii="Times New Roman" w:eastAsia="Calibri" w:hAnsi="Times New Roman"/>
        </w:rPr>
        <w:t xml:space="preserve">with an estimated loss of 318.7 billion VND, a </w:t>
      </w:r>
      <w:r w:rsidRPr="00E76B02">
        <w:rPr>
          <w:rFonts w:ascii="Times New Roman" w:hAnsi="Times New Roman"/>
        </w:rPr>
        <w:t xml:space="preserve">year-on-year reduction of </w:t>
      </w:r>
      <w:r w:rsidRPr="00E76B02">
        <w:rPr>
          <w:rFonts w:ascii="Times New Roman" w:eastAsia="Calibri" w:hAnsi="Times New Roman"/>
        </w:rPr>
        <w:t>32.6 %.</w:t>
      </w:r>
    </w:p>
    <w:p w14:paraId="7A21E334" w14:textId="77777777" w:rsidR="00A06B07" w:rsidRPr="00E76B02" w:rsidRDefault="00A06B07" w:rsidP="00A06B07">
      <w:pPr>
        <w:pStyle w:val="BodyTextIndent"/>
        <w:tabs>
          <w:tab w:val="left" w:pos="0"/>
          <w:tab w:val="left" w:pos="709"/>
        </w:tabs>
        <w:spacing w:after="120" w:line="252" w:lineRule="auto"/>
        <w:ind w:left="0" w:firstLine="720"/>
        <w:jc w:val="both"/>
        <w:rPr>
          <w:rFonts w:ascii="Times New Roman" w:hAnsi="Times New Roman"/>
          <w:bCs/>
          <w:snapToGrid w:val="0"/>
          <w:spacing w:val="-4"/>
        </w:rPr>
      </w:pPr>
    </w:p>
    <w:p w14:paraId="51EEF564" w14:textId="77777777" w:rsidR="00550AA7" w:rsidRPr="00E76B02" w:rsidRDefault="00550AA7" w:rsidP="00393919">
      <w:pPr>
        <w:spacing w:before="120" w:after="120" w:line="264" w:lineRule="auto"/>
        <w:ind w:firstLine="720"/>
        <w:jc w:val="both"/>
      </w:pPr>
    </w:p>
    <w:sectPr w:rsidR="00550AA7" w:rsidRPr="00E76B02" w:rsidSect="009E6614">
      <w:headerReference w:type="default" r:id="rId26"/>
      <w:pgSz w:w="11907" w:h="16840" w:code="9"/>
      <w:pgMar w:top="1077" w:right="1134" w:bottom="1134" w:left="1797"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0E000" w14:textId="77777777" w:rsidR="00682182" w:rsidRDefault="00682182" w:rsidP="00053768">
      <w:r>
        <w:separator/>
      </w:r>
    </w:p>
  </w:endnote>
  <w:endnote w:type="continuationSeparator" w:id="0">
    <w:p w14:paraId="56E8F1A4" w14:textId="77777777" w:rsidR="00682182" w:rsidRDefault="00682182" w:rsidP="000537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Times New Roman Italic">
    <w:panose1 w:val="02020503050405090304"/>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86926" w14:textId="77777777" w:rsidR="00682182" w:rsidRDefault="00682182" w:rsidP="00053768">
      <w:r>
        <w:separator/>
      </w:r>
    </w:p>
  </w:footnote>
  <w:footnote w:type="continuationSeparator" w:id="0">
    <w:p w14:paraId="50B34AE7" w14:textId="77777777" w:rsidR="00682182" w:rsidRDefault="00682182" w:rsidP="00053768">
      <w:r>
        <w:continuationSeparator/>
      </w:r>
    </w:p>
  </w:footnote>
  <w:footnote w:id="1">
    <w:p w14:paraId="576FEB4F" w14:textId="27133683" w:rsidR="00EA2A5B" w:rsidRPr="00C62BC1" w:rsidRDefault="00EA2A5B" w:rsidP="00853DE5">
      <w:pPr>
        <w:pStyle w:val="NoSpacing"/>
        <w:spacing w:after="40"/>
        <w:ind w:left="142" w:hanging="142"/>
        <w:jc w:val="both"/>
        <w:rPr>
          <w:rFonts w:ascii="Times New Roman" w:hAnsi="Times New Roman" w:cs="Times New Roman"/>
          <w:spacing w:val="-10"/>
          <w:sz w:val="20"/>
          <w:szCs w:val="20"/>
        </w:rPr>
      </w:pPr>
      <w:r w:rsidRPr="00C62BC1">
        <w:rPr>
          <w:rStyle w:val="FootnoteReference"/>
          <w:rFonts w:ascii="Times New Roman" w:hAnsi="Times New Roman" w:cs="Times New Roman"/>
          <w:sz w:val="20"/>
          <w:szCs w:val="20"/>
        </w:rPr>
        <w:footnoteRef/>
      </w:r>
      <w:r w:rsidRPr="00C62BC1">
        <w:rPr>
          <w:rFonts w:ascii="Times New Roman" w:hAnsi="Times New Roman" w:cs="Times New Roman"/>
          <w:sz w:val="20"/>
          <w:szCs w:val="20"/>
        </w:rPr>
        <w:t xml:space="preserve"> </w:t>
      </w:r>
      <w:r w:rsidRPr="00220517">
        <w:rPr>
          <w:rFonts w:ascii="Times New Roman" w:hAnsi="Times New Roman" w:cs="Times New Roman"/>
          <w:sz w:val="20"/>
          <w:szCs w:val="20"/>
        </w:rPr>
        <w:t xml:space="preserve">Due to the impact of storms, heavy rains, and flooding in October, </w:t>
      </w:r>
      <w:r>
        <w:rPr>
          <w:rFonts w:ascii="Times New Roman" w:hAnsi="Times New Roman" w:cs="Times New Roman"/>
          <w:sz w:val="20"/>
          <w:szCs w:val="20"/>
        </w:rPr>
        <w:t xml:space="preserve">causing late harvest of </w:t>
      </w:r>
      <w:r w:rsidR="00F60ECF">
        <w:rPr>
          <w:rFonts w:ascii="Times New Roman" w:hAnsi="Times New Roman" w:cs="Times New Roman"/>
          <w:sz w:val="20"/>
          <w:szCs w:val="20"/>
        </w:rPr>
        <w:t xml:space="preserve">the </w:t>
      </w:r>
      <w:r>
        <w:rPr>
          <w:rFonts w:ascii="Times New Roman" w:hAnsi="Times New Roman" w:cs="Times New Roman"/>
          <w:sz w:val="20"/>
          <w:szCs w:val="20"/>
        </w:rPr>
        <w:t xml:space="preserve">winter-spring rice </w:t>
      </w:r>
      <w:r w:rsidRPr="00220517">
        <w:rPr>
          <w:rFonts w:ascii="Times New Roman" w:hAnsi="Times New Roman" w:cs="Times New Roman"/>
          <w:sz w:val="20"/>
          <w:szCs w:val="20"/>
        </w:rPr>
        <w:t>from October to November</w:t>
      </w:r>
      <w:r w:rsidRPr="006A050D">
        <w:rPr>
          <w:rFonts w:ascii="Times New Roman" w:hAnsi="Times New Roman" w:cs="Times New Roman"/>
          <w:spacing w:val="-10"/>
          <w:sz w:val="20"/>
          <w:szCs w:val="20"/>
          <w:lang w:val="it-IT"/>
        </w:rPr>
        <w:t>.</w:t>
      </w:r>
    </w:p>
  </w:footnote>
  <w:footnote w:id="2">
    <w:p w14:paraId="734D1221" w14:textId="5A9F6800" w:rsidR="00EA2A5B" w:rsidRPr="00C62BC1" w:rsidRDefault="00EA2A5B" w:rsidP="00AA277A">
      <w:pPr>
        <w:pStyle w:val="NoSpacing"/>
        <w:spacing w:after="40"/>
        <w:ind w:left="142" w:hanging="142"/>
        <w:jc w:val="both"/>
        <w:rPr>
          <w:rFonts w:ascii="Times New Roman" w:hAnsi="Times New Roman" w:cs="Times New Roman"/>
          <w:sz w:val="20"/>
          <w:szCs w:val="20"/>
          <w:lang w:val="it-IT"/>
        </w:rPr>
      </w:pPr>
      <w:r w:rsidRPr="006A050D">
        <w:rPr>
          <w:rStyle w:val="FootnoteReference"/>
          <w:rFonts w:ascii="Times New Roman" w:hAnsi="Times New Roman" w:cs="Times New Roman"/>
          <w:sz w:val="20"/>
          <w:szCs w:val="20"/>
        </w:rPr>
        <w:footnoteRef/>
      </w:r>
      <w:r w:rsidRPr="006A050D">
        <w:rPr>
          <w:rFonts w:ascii="Times New Roman" w:hAnsi="Times New Roman" w:cs="Times New Roman"/>
          <w:sz w:val="20"/>
          <w:szCs w:val="20"/>
        </w:rPr>
        <w:t xml:space="preserve"> </w:t>
      </w:r>
      <w:r w:rsidRPr="00294DFC">
        <w:rPr>
          <w:rFonts w:ascii="Times New Roman" w:hAnsi="Times New Roman" w:cs="Times New Roman"/>
          <w:sz w:val="20"/>
          <w:szCs w:val="20"/>
        </w:rPr>
        <w:t>The main reason</w:t>
      </w:r>
      <w:r>
        <w:rPr>
          <w:rFonts w:ascii="Times New Roman" w:hAnsi="Times New Roman" w:cs="Times New Roman"/>
          <w:sz w:val="20"/>
          <w:szCs w:val="20"/>
        </w:rPr>
        <w:t xml:space="preserve"> was </w:t>
      </w:r>
      <w:r w:rsidRPr="00294DFC">
        <w:rPr>
          <w:rFonts w:ascii="Times New Roman" w:hAnsi="Times New Roman" w:cs="Times New Roman"/>
          <w:sz w:val="20"/>
          <w:szCs w:val="20"/>
        </w:rPr>
        <w:t xml:space="preserve">the low yield of the previous year's rice crop, which was severely affected by </w:t>
      </w:r>
      <w:r w:rsidR="00F60ECF">
        <w:rPr>
          <w:rFonts w:ascii="Times New Roman" w:hAnsi="Times New Roman" w:cs="Times New Roman"/>
          <w:sz w:val="20"/>
          <w:szCs w:val="20"/>
        </w:rPr>
        <w:t xml:space="preserve">the </w:t>
      </w:r>
      <w:r w:rsidRPr="00294DFC">
        <w:rPr>
          <w:rFonts w:ascii="Times New Roman" w:hAnsi="Times New Roman" w:cs="Times New Roman"/>
          <w:sz w:val="20"/>
          <w:szCs w:val="20"/>
        </w:rPr>
        <w:t>Typhoon Yagi (Typhoon No. 3) before harvest</w:t>
      </w:r>
      <w:r>
        <w:rPr>
          <w:rFonts w:ascii="Times New Roman" w:hAnsi="Times New Roman" w:cs="Times New Roman"/>
          <w:sz w:val="20"/>
          <w:szCs w:val="20"/>
        </w:rPr>
        <w:t>ing period</w:t>
      </w:r>
      <w:r w:rsidRPr="00294DFC">
        <w:rPr>
          <w:rFonts w:ascii="Times New Roman" w:hAnsi="Times New Roman" w:cs="Times New Roman"/>
          <w:sz w:val="20"/>
          <w:szCs w:val="20"/>
        </w:rPr>
        <w:t>.</w:t>
      </w:r>
      <w:r w:rsidRPr="006A050D">
        <w:rPr>
          <w:rFonts w:ascii="Times New Roman" w:hAnsi="Times New Roman" w:cs="Times New Roman"/>
          <w:spacing w:val="-6"/>
          <w:sz w:val="20"/>
          <w:szCs w:val="20"/>
          <w:lang w:val="it-IT"/>
        </w:rPr>
        <w:t xml:space="preserve"> </w:t>
      </w:r>
    </w:p>
  </w:footnote>
  <w:footnote w:id="3">
    <w:p w14:paraId="374B44EC" w14:textId="3179C6F3" w:rsidR="00EA2A5B" w:rsidRPr="00C62BC1" w:rsidRDefault="00EA2A5B" w:rsidP="007E2634">
      <w:pPr>
        <w:pStyle w:val="NoSpacing"/>
        <w:spacing w:after="40"/>
        <w:ind w:left="142" w:hanging="142"/>
        <w:jc w:val="both"/>
        <w:rPr>
          <w:rFonts w:ascii="Times New Roman" w:hAnsi="Times New Roman" w:cs="Times New Roman"/>
          <w:sz w:val="20"/>
          <w:szCs w:val="20"/>
          <w:lang w:val="it-IT"/>
        </w:rPr>
      </w:pPr>
      <w:r w:rsidRPr="00C62BC1">
        <w:rPr>
          <w:rStyle w:val="FootnoteReference"/>
          <w:rFonts w:ascii="Times New Roman" w:hAnsi="Times New Roman" w:cs="Times New Roman"/>
          <w:sz w:val="20"/>
          <w:szCs w:val="20"/>
        </w:rPr>
        <w:footnoteRef/>
      </w:r>
      <w:r w:rsidRPr="00C62BC1">
        <w:rPr>
          <w:rFonts w:ascii="Times New Roman" w:hAnsi="Times New Roman" w:cs="Times New Roman"/>
          <w:sz w:val="20"/>
          <w:szCs w:val="20"/>
          <w:lang w:val="it-IT"/>
        </w:rPr>
        <w:t xml:space="preserve"> </w:t>
      </w:r>
      <w:r>
        <w:rPr>
          <w:rFonts w:ascii="Times New Roman" w:hAnsi="Times New Roman" w:cs="Times New Roman"/>
          <w:sz w:val="20"/>
          <w:szCs w:val="20"/>
          <w:lang w:val="it-IT"/>
        </w:rPr>
        <w:t xml:space="preserve">Several localities recorded the yiels of winter-spring rice was as follows: </w:t>
      </w:r>
      <w:r w:rsidRPr="00294DFC">
        <w:rPr>
          <w:rFonts w:ascii="Times New Roman" w:hAnsi="Times New Roman" w:cs="Times New Roman"/>
          <w:sz w:val="20"/>
          <w:szCs w:val="20"/>
          <w:lang w:val="it-IT"/>
        </w:rPr>
        <w:t xml:space="preserve">Hung Yen </w:t>
      </w:r>
      <w:r w:rsidR="00F60ECF">
        <w:rPr>
          <w:rFonts w:ascii="Times New Roman" w:hAnsi="Times New Roman" w:cs="Times New Roman"/>
          <w:sz w:val="20"/>
          <w:szCs w:val="20"/>
          <w:lang w:val="it-IT"/>
        </w:rPr>
        <w:t xml:space="preserve">with </w:t>
      </w:r>
      <w:r w:rsidRPr="00294DFC">
        <w:rPr>
          <w:rFonts w:ascii="Times New Roman" w:hAnsi="Times New Roman" w:cs="Times New Roman"/>
          <w:sz w:val="20"/>
          <w:szCs w:val="20"/>
          <w:lang w:val="it-IT"/>
        </w:rPr>
        <w:t>59.2 quintals/hectare</w:t>
      </w:r>
      <w:r>
        <w:rPr>
          <w:rFonts w:ascii="Times New Roman" w:hAnsi="Times New Roman" w:cs="Times New Roman"/>
          <w:sz w:val="20"/>
          <w:szCs w:val="20"/>
          <w:lang w:val="it-IT"/>
        </w:rPr>
        <w:t xml:space="preserve"> (up </w:t>
      </w:r>
      <w:r w:rsidRPr="00294DFC">
        <w:rPr>
          <w:rFonts w:ascii="Times New Roman" w:hAnsi="Times New Roman" w:cs="Times New Roman"/>
          <w:sz w:val="20"/>
          <w:szCs w:val="20"/>
          <w:lang w:val="it-IT"/>
        </w:rPr>
        <w:t>15.2 quintals/hectare</w:t>
      </w:r>
      <w:r>
        <w:rPr>
          <w:rFonts w:ascii="Times New Roman" w:hAnsi="Times New Roman" w:cs="Times New Roman"/>
          <w:sz w:val="20"/>
          <w:szCs w:val="20"/>
          <w:lang w:val="it-IT"/>
        </w:rPr>
        <w:t>)</w:t>
      </w:r>
      <w:r w:rsidRPr="00294DFC">
        <w:rPr>
          <w:rFonts w:ascii="Times New Roman" w:hAnsi="Times New Roman" w:cs="Times New Roman"/>
          <w:sz w:val="20"/>
          <w:szCs w:val="20"/>
          <w:lang w:val="it-IT"/>
        </w:rPr>
        <w:t>; Hai Phong</w:t>
      </w:r>
      <w:r w:rsidR="00F60ECF">
        <w:rPr>
          <w:rFonts w:ascii="Times New Roman" w:hAnsi="Times New Roman" w:cs="Times New Roman"/>
          <w:sz w:val="20"/>
          <w:szCs w:val="20"/>
          <w:lang w:val="it-IT"/>
        </w:rPr>
        <w:t xml:space="preserve"> with</w:t>
      </w:r>
      <w:r w:rsidRPr="00294DFC">
        <w:rPr>
          <w:rFonts w:ascii="Times New Roman" w:hAnsi="Times New Roman" w:cs="Times New Roman"/>
          <w:sz w:val="20"/>
          <w:szCs w:val="20"/>
          <w:lang w:val="it-IT"/>
        </w:rPr>
        <w:t xml:space="preserve"> 57.8 quintals/hectare</w:t>
      </w:r>
      <w:r>
        <w:rPr>
          <w:rFonts w:ascii="Times New Roman" w:hAnsi="Times New Roman" w:cs="Times New Roman"/>
          <w:sz w:val="20"/>
          <w:szCs w:val="20"/>
          <w:lang w:val="it-IT"/>
        </w:rPr>
        <w:t xml:space="preserve"> (up </w:t>
      </w:r>
      <w:r w:rsidRPr="00294DFC">
        <w:rPr>
          <w:rFonts w:ascii="Times New Roman" w:hAnsi="Times New Roman" w:cs="Times New Roman"/>
          <w:sz w:val="20"/>
          <w:szCs w:val="20"/>
          <w:lang w:val="it-IT"/>
        </w:rPr>
        <w:t>13.1 quintals/hectare</w:t>
      </w:r>
      <w:r>
        <w:rPr>
          <w:rFonts w:ascii="Times New Roman" w:hAnsi="Times New Roman" w:cs="Times New Roman"/>
          <w:sz w:val="20"/>
          <w:szCs w:val="20"/>
          <w:lang w:val="it-IT"/>
        </w:rPr>
        <w:t>)</w:t>
      </w:r>
      <w:r w:rsidRPr="00294DFC">
        <w:rPr>
          <w:rFonts w:ascii="Times New Roman" w:hAnsi="Times New Roman" w:cs="Times New Roman"/>
          <w:sz w:val="20"/>
          <w:szCs w:val="20"/>
          <w:lang w:val="it-IT"/>
        </w:rPr>
        <w:t>; Ha</w:t>
      </w:r>
      <w:r>
        <w:rPr>
          <w:rFonts w:ascii="Times New Roman" w:hAnsi="Times New Roman" w:cs="Times New Roman"/>
          <w:sz w:val="20"/>
          <w:szCs w:val="20"/>
          <w:lang w:val="it-IT"/>
        </w:rPr>
        <w:t xml:space="preserve"> N</w:t>
      </w:r>
      <w:r w:rsidRPr="00294DFC">
        <w:rPr>
          <w:rFonts w:ascii="Times New Roman" w:hAnsi="Times New Roman" w:cs="Times New Roman"/>
          <w:sz w:val="20"/>
          <w:szCs w:val="20"/>
          <w:lang w:val="it-IT"/>
        </w:rPr>
        <w:t xml:space="preserve">oi </w:t>
      </w:r>
      <w:r w:rsidR="00F60ECF">
        <w:rPr>
          <w:rFonts w:ascii="Times New Roman" w:hAnsi="Times New Roman" w:cs="Times New Roman"/>
          <w:sz w:val="20"/>
          <w:szCs w:val="20"/>
          <w:lang w:val="it-IT"/>
        </w:rPr>
        <w:t xml:space="preserve">with </w:t>
      </w:r>
      <w:r>
        <w:rPr>
          <w:rFonts w:ascii="Times New Roman" w:hAnsi="Times New Roman" w:cs="Times New Roman"/>
          <w:sz w:val="20"/>
          <w:szCs w:val="20"/>
          <w:lang w:val="it-IT"/>
        </w:rPr>
        <w:t>55.8 quintals/hectare (up</w:t>
      </w:r>
      <w:r w:rsidRPr="00294DFC">
        <w:rPr>
          <w:rFonts w:ascii="Times New Roman" w:hAnsi="Times New Roman" w:cs="Times New Roman"/>
          <w:sz w:val="20"/>
          <w:szCs w:val="20"/>
          <w:lang w:val="it-IT"/>
        </w:rPr>
        <w:t xml:space="preserve"> 6.6 quintals/hectare</w:t>
      </w:r>
      <w:r>
        <w:rPr>
          <w:rFonts w:ascii="Times New Roman" w:hAnsi="Times New Roman" w:cs="Times New Roman"/>
          <w:sz w:val="20"/>
          <w:szCs w:val="20"/>
          <w:lang w:val="it-IT"/>
        </w:rPr>
        <w:t>)</w:t>
      </w:r>
      <w:r w:rsidRPr="00294DFC">
        <w:rPr>
          <w:rFonts w:ascii="Times New Roman" w:hAnsi="Times New Roman" w:cs="Times New Roman"/>
          <w:sz w:val="20"/>
          <w:szCs w:val="20"/>
          <w:lang w:val="it-IT"/>
        </w:rPr>
        <w:t>.</w:t>
      </w:r>
    </w:p>
  </w:footnote>
  <w:footnote w:id="4">
    <w:p w14:paraId="0C93736F" w14:textId="3519484D" w:rsidR="00EA2A5B" w:rsidRPr="006A050D" w:rsidRDefault="00EA2A5B" w:rsidP="00C93D47">
      <w:pPr>
        <w:pStyle w:val="FootnoteText"/>
        <w:spacing w:after="40"/>
        <w:ind w:left="142" w:hanging="142"/>
        <w:jc w:val="both"/>
        <w:rPr>
          <w:lang w:val="en-US"/>
        </w:rPr>
      </w:pPr>
      <w:r w:rsidRPr="006A050D">
        <w:rPr>
          <w:rStyle w:val="FootnoteReference"/>
        </w:rPr>
        <w:footnoteRef/>
      </w:r>
      <w:r w:rsidRPr="006A050D">
        <w:t xml:space="preserve"> </w:t>
      </w:r>
      <w:r>
        <w:rPr>
          <w:lang w:val="en-US"/>
        </w:rPr>
        <w:t xml:space="preserve">Due to heavy rain, some </w:t>
      </w:r>
      <w:r w:rsidRPr="00F2470A">
        <w:rPr>
          <w:lang w:val="en-GB"/>
        </w:rPr>
        <w:t>localities</w:t>
      </w:r>
      <w:r>
        <w:rPr>
          <w:lang w:val="en-GB"/>
        </w:rPr>
        <w:t xml:space="preserve"> were recorded with a slow af</w:t>
      </w:r>
      <w:r w:rsidRPr="00F2470A">
        <w:rPr>
          <w:lang w:val="en-GB"/>
        </w:rPr>
        <w:t>forest</w:t>
      </w:r>
      <w:r>
        <w:rPr>
          <w:lang w:val="en-GB"/>
        </w:rPr>
        <w:t>ation progress and a year-on-year drop in afforestation was as follows:</w:t>
      </w:r>
      <w:r w:rsidRPr="00F2470A">
        <w:rPr>
          <w:lang w:val="en-GB"/>
        </w:rPr>
        <w:t xml:space="preserve"> Khanh Hoa (64.0%); Gia Lai (29.1%); Quang Ngai (17.5%); and Lang Son (</w:t>
      </w:r>
      <w:r>
        <w:rPr>
          <w:lang w:val="en-GB"/>
        </w:rPr>
        <w:t>10.5%), respectively.</w:t>
      </w:r>
    </w:p>
  </w:footnote>
  <w:footnote w:id="5">
    <w:p w14:paraId="257D6BFB" w14:textId="7E87E209" w:rsidR="00EA2A5B" w:rsidRPr="006A050D" w:rsidRDefault="00EA2A5B" w:rsidP="00E768AE">
      <w:pPr>
        <w:pStyle w:val="FootnoteText"/>
        <w:spacing w:after="40"/>
        <w:ind w:left="142" w:hanging="142"/>
        <w:jc w:val="both"/>
        <w:rPr>
          <w:color w:val="FF0000"/>
          <w:lang w:val="en-US"/>
        </w:rPr>
      </w:pPr>
      <w:r w:rsidRPr="006A050D">
        <w:rPr>
          <w:rStyle w:val="FootnoteReference"/>
        </w:rPr>
        <w:footnoteRef/>
      </w:r>
      <w:r w:rsidRPr="006A050D">
        <w:t xml:space="preserve"> </w:t>
      </w:r>
      <w:r>
        <w:rPr>
          <w:lang w:val="en-US"/>
        </w:rPr>
        <w:t xml:space="preserve">Localities showed an increase and </w:t>
      </w:r>
      <w:r w:rsidRPr="006F77E2">
        <w:rPr>
          <w:lang w:val="en-US"/>
        </w:rPr>
        <w:t xml:space="preserve">recorded </w:t>
      </w:r>
      <w:r>
        <w:rPr>
          <w:lang w:val="en-US"/>
        </w:rPr>
        <w:t xml:space="preserve">with </w:t>
      </w:r>
      <w:r w:rsidRPr="006F77E2">
        <w:rPr>
          <w:lang w:val="en-US"/>
        </w:rPr>
        <w:t>high</w:t>
      </w:r>
      <w:r>
        <w:rPr>
          <w:lang w:val="en-US"/>
        </w:rPr>
        <w:t xml:space="preserve"> wood </w:t>
      </w:r>
      <w:r w:rsidRPr="006F77E2">
        <w:rPr>
          <w:lang w:val="en-US"/>
        </w:rPr>
        <w:t>production</w:t>
      </w:r>
      <w:r>
        <w:rPr>
          <w:lang w:val="en-US"/>
        </w:rPr>
        <w:t xml:space="preserve"> such as </w:t>
      </w:r>
      <w:r w:rsidRPr="006F77E2">
        <w:rPr>
          <w:lang w:val="en-US"/>
        </w:rPr>
        <w:t>Tuyen Quang (6.1%), Thai Nguyen (7.0%), and Thanh Hoa (8.3%)</w:t>
      </w:r>
      <w:r>
        <w:rPr>
          <w:lang w:val="en-US"/>
        </w:rPr>
        <w:t>, respectively</w:t>
      </w:r>
      <w:r w:rsidRPr="006F77E2">
        <w:rPr>
          <w:lang w:val="en-US"/>
        </w:rPr>
        <w:t>.</w:t>
      </w:r>
    </w:p>
  </w:footnote>
  <w:footnote w:id="6">
    <w:p w14:paraId="7DC27F2E" w14:textId="6B191256" w:rsidR="00EA2A5B" w:rsidRPr="006A050D" w:rsidRDefault="00EA2A5B" w:rsidP="00DD4746">
      <w:pPr>
        <w:pStyle w:val="FootnoteText"/>
        <w:spacing w:after="40"/>
        <w:ind w:left="142" w:hanging="142"/>
        <w:jc w:val="both"/>
      </w:pPr>
      <w:r w:rsidRPr="006A050D">
        <w:rPr>
          <w:rStyle w:val="FootnoteReference"/>
        </w:rPr>
        <w:footnoteRef/>
      </w:r>
      <w:r>
        <w:t xml:space="preserve"> </w:t>
      </w:r>
      <w:r>
        <w:rPr>
          <w:lang w:val="en-US"/>
        </w:rPr>
        <w:t xml:space="preserve">Figures released by </w:t>
      </w:r>
      <w:r w:rsidRPr="006F77E2">
        <w:t>Ministry of Agriculture and Environment as of November 15, 2025.</w:t>
      </w:r>
    </w:p>
  </w:footnote>
  <w:footnote w:id="7">
    <w:p w14:paraId="5EEFD7B4" w14:textId="706CD8D5" w:rsidR="00EA2A5B" w:rsidRPr="006A050D" w:rsidRDefault="00EA2A5B" w:rsidP="005A52CB">
      <w:pPr>
        <w:pStyle w:val="FootnoteText"/>
        <w:spacing w:after="40"/>
        <w:ind w:left="142" w:hanging="142"/>
        <w:jc w:val="both"/>
        <w:rPr>
          <w:lang w:val="vi-VN"/>
        </w:rPr>
      </w:pPr>
      <w:r w:rsidRPr="006A050D">
        <w:rPr>
          <w:rStyle w:val="FootnoteReference"/>
        </w:rPr>
        <w:footnoteRef/>
      </w:r>
      <w:r w:rsidRPr="006A050D">
        <w:t xml:space="preserve"> </w:t>
      </w:r>
      <w:r w:rsidRPr="00BD2F14">
        <w:rPr>
          <w:lang w:val="vi-VN"/>
        </w:rPr>
        <w:t xml:space="preserve">Compiled by reports of localities: The price of raw pangasius in the Mekong </w:t>
      </w:r>
      <w:r>
        <w:rPr>
          <w:lang w:val="en-US"/>
        </w:rPr>
        <w:t xml:space="preserve">River </w:t>
      </w:r>
      <w:r w:rsidRPr="00BD2F14">
        <w:rPr>
          <w:lang w:val="vi-VN"/>
        </w:rPr>
        <w:t xml:space="preserve">Delta maintained </w:t>
      </w:r>
      <w:r>
        <w:rPr>
          <w:lang w:val="en-US"/>
        </w:rPr>
        <w:t xml:space="preserve">from </w:t>
      </w:r>
      <w:r w:rsidRPr="00BD2F14">
        <w:rPr>
          <w:lang w:val="vi-VN"/>
        </w:rPr>
        <w:t xml:space="preserve"> 2</w:t>
      </w:r>
      <w:r>
        <w:rPr>
          <w:lang w:val="en-US"/>
        </w:rPr>
        <w:t>9</w:t>
      </w:r>
      <w:r w:rsidRPr="00BD2F14">
        <w:rPr>
          <w:lang w:val="vi-VN"/>
        </w:rPr>
        <w:t>,500 VND/kg - 3</w:t>
      </w:r>
      <w:r>
        <w:rPr>
          <w:lang w:val="en-US"/>
        </w:rPr>
        <w:t>1</w:t>
      </w:r>
      <w:r>
        <w:rPr>
          <w:lang w:val="vi-VN"/>
        </w:rPr>
        <w:t xml:space="preserve">,000 VND/kg, an increase of </w:t>
      </w:r>
      <w:r>
        <w:rPr>
          <w:lang w:val="en-US"/>
        </w:rPr>
        <w:t>1</w:t>
      </w:r>
      <w:r w:rsidRPr="00BD2F14">
        <w:rPr>
          <w:lang w:val="vi-VN"/>
        </w:rPr>
        <w:t xml:space="preserve">,000 VND/kg compared to the </w:t>
      </w:r>
      <w:r>
        <w:rPr>
          <w:lang w:val="en-US"/>
        </w:rPr>
        <w:t xml:space="preserve">previous month and a year-on-year increase of </w:t>
      </w:r>
      <w:r w:rsidRPr="00BD2F14">
        <w:rPr>
          <w:lang w:val="en-US"/>
        </w:rPr>
        <w:t>3</w:t>
      </w:r>
      <w:r>
        <w:rPr>
          <w:lang w:val="en-US"/>
        </w:rPr>
        <w:t>,</w:t>
      </w:r>
      <w:r w:rsidRPr="00BD2F14">
        <w:rPr>
          <w:lang w:val="en-US"/>
        </w:rPr>
        <w:t xml:space="preserve">000 </w:t>
      </w:r>
      <w:r>
        <w:rPr>
          <w:lang w:val="en-US"/>
        </w:rPr>
        <w:t>VND</w:t>
      </w:r>
      <w:r w:rsidRPr="00BD2F14">
        <w:rPr>
          <w:lang w:val="en-US"/>
        </w:rPr>
        <w:t>/kg</w:t>
      </w:r>
      <w:r w:rsidRPr="00BD2F14">
        <w:rPr>
          <w:lang w:val="vi-VN"/>
        </w:rPr>
        <w:t xml:space="preserve">. </w:t>
      </w:r>
      <w:r w:rsidRPr="006A050D">
        <w:rPr>
          <w:lang w:val="en-US"/>
        </w:rPr>
        <w:t xml:space="preserve"> </w:t>
      </w:r>
    </w:p>
  </w:footnote>
  <w:footnote w:id="8">
    <w:p w14:paraId="6E03B65E" w14:textId="77777777" w:rsidR="00EA2A5B" w:rsidRPr="006A050D" w:rsidRDefault="00EA2A5B" w:rsidP="000D4591">
      <w:pPr>
        <w:pStyle w:val="FootnoteText"/>
        <w:spacing w:after="40"/>
        <w:ind w:left="142" w:hanging="142"/>
        <w:jc w:val="both"/>
      </w:pPr>
      <w:r>
        <w:rPr>
          <w:rStyle w:val="FootnoteReference"/>
        </w:rPr>
        <w:footnoteRef/>
      </w:r>
      <w:r>
        <w:t xml:space="preserve"> The IIP in November 2024 saw a year-on-year increase of 7.9%. </w:t>
      </w:r>
    </w:p>
  </w:footnote>
  <w:footnote w:id="9">
    <w:p w14:paraId="1F781961" w14:textId="77777777" w:rsidR="00EA2A5B" w:rsidRPr="006A050D" w:rsidRDefault="00EA2A5B" w:rsidP="000D4591">
      <w:pPr>
        <w:pStyle w:val="FootnoteText"/>
        <w:spacing w:after="40"/>
        <w:ind w:left="142" w:hanging="142"/>
        <w:jc w:val="both"/>
      </w:pPr>
      <w:r>
        <w:rPr>
          <w:rStyle w:val="FootnoteReference"/>
        </w:rPr>
        <w:footnoteRef/>
      </w:r>
      <w:r>
        <w:t xml:space="preserve"> The local month-on-month changes in IIP in November for the large-shared industrial sector provinces and municipalities were as follows: Quang Ninh up 13.2%; Vinh Long up 8.6%; Hai Phong up 4.2%; Can Tho up 4.0%; Bac Ninh up 2.6%; Ho Chi Minh city up 2.0%; Dong Nai up 1.9%, Da Nang up 1.9%; and Quang Ngai down 6.6%. </w:t>
      </w:r>
    </w:p>
  </w:footnote>
  <w:footnote w:id="10">
    <w:p w14:paraId="5D7260FF" w14:textId="25E29923" w:rsidR="00EA2A5B" w:rsidRPr="006A050D" w:rsidRDefault="00EA2A5B" w:rsidP="000D4591">
      <w:pPr>
        <w:spacing w:after="40"/>
        <w:ind w:left="198" w:hanging="198"/>
        <w:jc w:val="both"/>
        <w:rPr>
          <w:sz w:val="20"/>
          <w:szCs w:val="20"/>
        </w:rPr>
      </w:pPr>
      <w:r>
        <w:rPr>
          <w:rStyle w:val="FootnoteReference"/>
          <w:rFonts w:eastAsia="DengXian Light"/>
          <w:sz w:val="20"/>
          <w:szCs w:val="20"/>
        </w:rPr>
        <w:footnoteRef/>
      </w:r>
      <w:r>
        <w:rPr>
          <w:color w:val="FF0000"/>
          <w:sz w:val="20"/>
        </w:rPr>
        <w:t xml:space="preserve"> </w:t>
      </w:r>
      <w:r>
        <w:rPr>
          <w:sz w:val="20"/>
          <w:shd w:val="clear" w:color="auto" w:fill="FFFFFF"/>
        </w:rPr>
        <w:t xml:space="preserve">The provinces and municipalities recorded high </w:t>
      </w:r>
      <w:r w:rsidR="00FE4438">
        <w:rPr>
          <w:sz w:val="20"/>
          <w:shd w:val="clear" w:color="auto" w:fill="FFFFFF"/>
        </w:rPr>
        <w:t xml:space="preserve">year-on-year </w:t>
      </w:r>
      <w:r>
        <w:rPr>
          <w:sz w:val="20"/>
          <w:shd w:val="clear" w:color="auto" w:fill="FFFFFF"/>
        </w:rPr>
        <w:t xml:space="preserve">increase in IIP of the manufacturing for </w:t>
      </w:r>
      <w:r w:rsidR="00FE4438">
        <w:rPr>
          <w:sz w:val="20"/>
          <w:shd w:val="clear" w:color="auto" w:fill="FFFFFF"/>
        </w:rPr>
        <w:t xml:space="preserve">the </w:t>
      </w:r>
      <w:r>
        <w:rPr>
          <w:sz w:val="20"/>
          <w:shd w:val="clear" w:color="auto" w:fill="FFFFFF"/>
        </w:rPr>
        <w:t xml:space="preserve">11 months of 2025 were as follows: Quang Ninh (33.8%); Phu Tho (28.8%); Ninh Binh (23.4%); Thanh Hoa (17.5%); Bac Ninh (16.9%); and Hai Phong (16.9%). The provinces and municipalities recorded high </w:t>
      </w:r>
      <w:r w:rsidR="00FE4438">
        <w:rPr>
          <w:sz w:val="20"/>
          <w:shd w:val="clear" w:color="auto" w:fill="FFFFFF"/>
        </w:rPr>
        <w:t xml:space="preserve">year-on-year </w:t>
      </w:r>
      <w:r>
        <w:rPr>
          <w:sz w:val="20"/>
          <w:shd w:val="clear" w:color="auto" w:fill="FFFFFF"/>
        </w:rPr>
        <w:t>increase in IIP of the electricity generation and distribution were as follows: Hue city (32.0%); Nghe An (25.3%); and Dong Nai (10.2%).</w:t>
      </w:r>
    </w:p>
  </w:footnote>
  <w:footnote w:id="11">
    <w:p w14:paraId="080010C6" w14:textId="4E5B1254" w:rsidR="00EA2A5B" w:rsidRPr="006A050D" w:rsidRDefault="00EA2A5B" w:rsidP="000D4591">
      <w:pPr>
        <w:spacing w:after="40"/>
        <w:ind w:left="198" w:hanging="198"/>
        <w:jc w:val="both"/>
        <w:rPr>
          <w:sz w:val="20"/>
          <w:szCs w:val="20"/>
        </w:rPr>
      </w:pPr>
      <w:r>
        <w:rPr>
          <w:rStyle w:val="FootnoteReference"/>
          <w:rFonts w:eastAsia="DengXian Light"/>
          <w:sz w:val="20"/>
          <w:szCs w:val="20"/>
        </w:rPr>
        <w:footnoteRef/>
      </w:r>
      <w:r>
        <w:rPr>
          <w:sz w:val="20"/>
        </w:rPr>
        <w:t xml:space="preserve"> The provinces and municipalities recorded slight </w:t>
      </w:r>
      <w:r w:rsidR="00FE4438">
        <w:rPr>
          <w:sz w:val="20"/>
        </w:rPr>
        <w:t xml:space="preserve">year-on-year </w:t>
      </w:r>
      <w:r>
        <w:rPr>
          <w:sz w:val="20"/>
        </w:rPr>
        <w:t xml:space="preserve">increase in IIP of the manufacturing for </w:t>
      </w:r>
      <w:r w:rsidR="00FE4438">
        <w:rPr>
          <w:sz w:val="20"/>
        </w:rPr>
        <w:t xml:space="preserve">the </w:t>
      </w:r>
      <w:r>
        <w:rPr>
          <w:sz w:val="20"/>
        </w:rPr>
        <w:t>11 months of 2025 were as follows: Ha Tinh (5.1%); Lang Son (4.7%); Cao Bang (0.5%). The provinces and municipalities recorded slight increases or even decrease in IIP of the electricity generation and distribution for 11 months of 2025 were as follows: Khanh Hoa (up 2.2%); Lam Dong (up 1.6%); Ho Chi Minh (down 29.7%). The provinces and municipalities recorded a year-on-year decrease in IIP of the manufacturing for 11 months of 2025 were as follows: Quang Tri 10.9%; Tuyen Quang 4.8%; Ho Chi Minh City 1.8%; Hanoi 1.7%.</w:t>
      </w:r>
    </w:p>
  </w:footnote>
  <w:footnote w:id="12">
    <w:p w14:paraId="201CAB26" w14:textId="77777777" w:rsidR="00EA2A5B" w:rsidRPr="006A050D" w:rsidRDefault="00EA2A5B" w:rsidP="007B0517">
      <w:pPr>
        <w:pStyle w:val="FootnoteText"/>
        <w:spacing w:after="40"/>
        <w:ind w:left="198" w:hanging="198"/>
        <w:jc w:val="both"/>
        <w:rPr>
          <w:lang w:val="vi-VN"/>
        </w:rPr>
      </w:pPr>
      <w:r w:rsidRPr="006A050D">
        <w:rPr>
          <w:rStyle w:val="FootnoteReference"/>
        </w:rPr>
        <w:footnoteRef/>
      </w:r>
      <w:r w:rsidRPr="006A050D">
        <w:rPr>
          <w:lang w:val="vi-VN"/>
        </w:rPr>
        <w:t xml:space="preserve"> </w:t>
      </w:r>
      <w:r w:rsidRPr="006A050D">
        <w:rPr>
          <w:spacing w:val="-2"/>
          <w:lang w:val="vi-VN"/>
        </w:rPr>
        <w:t xml:space="preserve">Of which, the additional registered capital of </w:t>
      </w:r>
      <w:r>
        <w:rPr>
          <w:spacing w:val="-2"/>
          <w:lang w:val="en-US"/>
        </w:rPr>
        <w:t>active</w:t>
      </w:r>
      <w:r w:rsidRPr="006A050D">
        <w:rPr>
          <w:spacing w:val="-2"/>
          <w:lang w:val="vi-VN"/>
        </w:rPr>
        <w:t xml:space="preserve"> enterprises in the </w:t>
      </w:r>
      <w:r>
        <w:rPr>
          <w:spacing w:val="-2"/>
          <w:lang w:val="en-US"/>
        </w:rPr>
        <w:t xml:space="preserve">11 </w:t>
      </w:r>
      <w:r w:rsidRPr="006A050D">
        <w:rPr>
          <w:spacing w:val="-2"/>
          <w:lang w:val="vi-VN"/>
        </w:rPr>
        <w:t>months of 2025 reached nearly 3.9 million billion VND (</w:t>
      </w:r>
      <w:r w:rsidRPr="00D417F2">
        <w:rPr>
          <w:spacing w:val="-2"/>
          <w:lang w:val="en-US"/>
        </w:rPr>
        <w:t>a year-on-year increase of</w:t>
      </w:r>
      <w:r w:rsidRPr="006A050D">
        <w:rPr>
          <w:spacing w:val="-2"/>
          <w:lang w:val="vi-VN"/>
        </w:rPr>
        <w:t xml:space="preserve"> 197.3%).</w:t>
      </w:r>
    </w:p>
  </w:footnote>
  <w:footnote w:id="13">
    <w:p w14:paraId="02FE08A1" w14:textId="77777777" w:rsidR="00EA2A5B" w:rsidRPr="006A050D" w:rsidRDefault="00EA2A5B" w:rsidP="007B0517">
      <w:pPr>
        <w:pStyle w:val="FootnoteText"/>
        <w:spacing w:after="40"/>
        <w:ind w:left="198" w:hanging="198"/>
        <w:jc w:val="both"/>
        <w:rPr>
          <w:lang w:val="vi-VN"/>
        </w:rPr>
      </w:pPr>
      <w:r w:rsidRPr="006A050D">
        <w:rPr>
          <w:rStyle w:val="FootnoteReference"/>
        </w:rPr>
        <w:footnoteRef/>
      </w:r>
      <w:r w:rsidRPr="006A050D">
        <w:rPr>
          <w:lang w:val="vi-VN"/>
        </w:rPr>
        <w:t xml:space="preserve"> </w:t>
      </w:r>
      <w:r w:rsidRPr="00715499">
        <w:rPr>
          <w:lang w:val="vi-VN"/>
        </w:rPr>
        <w:t xml:space="preserve">According to the report of the Foreign Investment Department, Ministry of Finance, received on </w:t>
      </w:r>
      <w:r>
        <w:rPr>
          <w:lang w:val="en-US"/>
        </w:rPr>
        <w:t>December</w:t>
      </w:r>
      <w:r w:rsidRPr="00715499">
        <w:rPr>
          <w:lang w:val="vi-VN"/>
        </w:rPr>
        <w:t xml:space="preserve"> 3, 2025</w:t>
      </w:r>
      <w:r w:rsidRPr="006A050D">
        <w:rPr>
          <w:lang w:val="vi-VN"/>
        </w:rPr>
        <w:t>.</w:t>
      </w:r>
    </w:p>
  </w:footnote>
  <w:footnote w:id="14">
    <w:p w14:paraId="6FB18406" w14:textId="77777777" w:rsidR="00EA2A5B" w:rsidRPr="006A050D" w:rsidRDefault="00EA2A5B" w:rsidP="000D4591">
      <w:pPr>
        <w:pStyle w:val="FootnoteText"/>
        <w:spacing w:after="40"/>
        <w:ind w:left="198" w:hanging="198"/>
        <w:jc w:val="both"/>
        <w:rPr>
          <w:color w:val="FF0000"/>
        </w:rPr>
      </w:pPr>
      <w:r>
        <w:rPr>
          <w:rStyle w:val="FootnoteReference"/>
        </w:rPr>
        <w:footnoteRef/>
      </w:r>
      <w:r>
        <w:t xml:space="preserve"> Data received from the State Budget Department - Ministry of Finance on November 30, 2025.</w:t>
      </w:r>
    </w:p>
  </w:footnote>
  <w:footnote w:id="15">
    <w:p w14:paraId="0822BBE4" w14:textId="77777777" w:rsidR="00EA2A5B" w:rsidRPr="006A050D" w:rsidRDefault="00EA2A5B" w:rsidP="000D4591">
      <w:pPr>
        <w:pStyle w:val="FootnoteText"/>
        <w:spacing w:after="40"/>
        <w:ind w:left="198" w:hanging="198"/>
        <w:jc w:val="both"/>
        <w:rPr>
          <w:color w:val="FF0000"/>
        </w:rPr>
      </w:pPr>
      <w:r>
        <w:rPr>
          <w:rStyle w:val="FootnoteReference"/>
        </w:rPr>
        <w:footnoteRef/>
      </w:r>
      <w:r>
        <w:t xml:space="preserve"> These results were underpinned by fiscal policies that reduced and extended taxes, fees, charges, and land rental. These measures were designed to help businesses and the public quickly overcome challenges, adapt flexibly, and restore production and business growth. Concurrently, efforts were focused on revenue collection tasks, promoting digital transformation, and applying information technology in tax management.</w:t>
      </w:r>
    </w:p>
  </w:footnote>
  <w:footnote w:id="16">
    <w:p w14:paraId="378EC7E9" w14:textId="77777777" w:rsidR="00EA2A5B" w:rsidRPr="006A050D" w:rsidRDefault="00EA2A5B" w:rsidP="000D4591">
      <w:pPr>
        <w:pStyle w:val="FootnoteText"/>
        <w:spacing w:after="40"/>
        <w:ind w:left="198" w:hanging="198"/>
        <w:jc w:val="both"/>
        <w:rPr>
          <w:color w:val="FF0000"/>
        </w:rPr>
      </w:pPr>
      <w:r>
        <w:rPr>
          <w:rStyle w:val="FootnoteReference"/>
        </w:rPr>
        <w:footnoteRef/>
      </w:r>
      <w:r>
        <w:t xml:space="preserve"> This strong performance was supported by significant domestic revenue streams, including: revenues from land and housing estimated at 505.6 trillion VND, equaling 172.6% of the annual projection and representing a 108.1% increase over the same period in 2024. This was due to the positive recovery of the real estate market, accelerated public investment, and the decisive implementation of the Prime Minister's Official Dispatch No. 124/CĐ-TTg. Capital recovery, dividends, after-tax profits, and net revenue difference of the State Bank of Vietnam (SBV): Estimated at 145.7 trillion VND, equaling 127.1% of the annual projection and rising 19.3% compared to the same period in 2024, driven by an increase in dividend remittances to the state budget.</w:t>
      </w:r>
    </w:p>
  </w:footnote>
  <w:footnote w:id="17">
    <w:p w14:paraId="7B980451" w14:textId="77777777" w:rsidR="00EA2A5B" w:rsidRPr="006A050D" w:rsidRDefault="00EA2A5B" w:rsidP="000D4591">
      <w:pPr>
        <w:pStyle w:val="FootnoteText"/>
        <w:spacing w:after="40"/>
        <w:ind w:left="198" w:hanging="198"/>
        <w:jc w:val="both"/>
        <w:rPr>
          <w:color w:val="FF0000"/>
        </w:rPr>
      </w:pPr>
      <w:r>
        <w:rPr>
          <w:rStyle w:val="FootnoteReference"/>
        </w:rPr>
        <w:footnoteRef/>
      </w:r>
      <w:r>
        <w:t xml:space="preserve"> The central budget utilized its reserve to fund critical and urgent tasks, and to provide support to local authorities for administrative unit rearrangement, as well as for disaster relief efforts.</w:t>
      </w:r>
    </w:p>
  </w:footnote>
  <w:footnote w:id="18">
    <w:p w14:paraId="11EA8CFE" w14:textId="77777777" w:rsidR="00EA2A5B" w:rsidRPr="006A050D" w:rsidRDefault="00EA2A5B" w:rsidP="000D4591">
      <w:pPr>
        <w:pStyle w:val="FootnoteText"/>
        <w:spacing w:after="40"/>
        <w:ind w:left="198" w:hanging="198"/>
        <w:jc w:val="both"/>
        <w:rPr>
          <w:color w:val="FF0000"/>
        </w:rPr>
      </w:pPr>
      <w:r>
        <w:rPr>
          <w:rStyle w:val="FootnoteReference"/>
        </w:rPr>
        <w:footnoteRef/>
      </w:r>
      <w:r>
        <w:t xml:space="preserve"> These efforts were realized through the synchronized deployment of measures aimed at expediting the disbursement of public investment capital, coupled with a rigorous review to ensure that detailed capital allocation plans matched project implementation timelines.</w:t>
      </w:r>
    </w:p>
  </w:footnote>
  <w:footnote w:id="19">
    <w:p w14:paraId="0EBB1A6D" w14:textId="77777777" w:rsidR="00EA2A5B" w:rsidRPr="006A050D" w:rsidRDefault="00EA2A5B" w:rsidP="00A06B07">
      <w:pPr>
        <w:pStyle w:val="FootnoteText"/>
        <w:spacing w:after="40"/>
        <w:ind w:left="198" w:hanging="198"/>
        <w:jc w:val="both"/>
        <w:rPr>
          <w:lang w:val="en-IN"/>
        </w:rPr>
      </w:pPr>
      <w:r w:rsidRPr="006A050D">
        <w:rPr>
          <w:rStyle w:val="FootnoteReference"/>
        </w:rPr>
        <w:footnoteRef/>
      </w:r>
      <w:r w:rsidRPr="006A050D">
        <w:rPr>
          <w:lang w:val="vi-VN"/>
        </w:rPr>
        <w:t xml:space="preserve"> </w:t>
      </w:r>
      <w:r w:rsidRPr="005B049C">
        <w:rPr>
          <w:lang w:val="en-IN"/>
        </w:rPr>
        <w:t>The value of export turnover was calculated at F.O.B price and import turnover was calculated at C.I.F price (including transportation and ins</w:t>
      </w:r>
      <w:r>
        <w:rPr>
          <w:lang w:val="en-IN"/>
        </w:rPr>
        <w:t>urance costs of imported goods)</w:t>
      </w:r>
      <w:r w:rsidRPr="006A050D">
        <w:rPr>
          <w:lang w:val="vi-VN"/>
        </w:rPr>
        <w:t>.</w:t>
      </w:r>
    </w:p>
  </w:footnote>
  <w:footnote w:id="20">
    <w:p w14:paraId="3AF18839" w14:textId="77777777" w:rsidR="00EA2A5B" w:rsidRPr="00C62BC1" w:rsidRDefault="00EA2A5B" w:rsidP="00A06B07">
      <w:pPr>
        <w:spacing w:after="40"/>
        <w:ind w:left="198" w:hanging="198"/>
        <w:jc w:val="both"/>
        <w:rPr>
          <w:rFonts w:eastAsiaTheme="minorHAnsi"/>
          <w:sz w:val="20"/>
          <w:szCs w:val="20"/>
        </w:rPr>
      </w:pPr>
      <w:r w:rsidRPr="006A050D">
        <w:rPr>
          <w:rStyle w:val="FootnoteReference"/>
          <w:sz w:val="20"/>
          <w:szCs w:val="20"/>
        </w:rPr>
        <w:footnoteRef/>
      </w:r>
      <w:r w:rsidRPr="006A050D">
        <w:rPr>
          <w:spacing w:val="-2"/>
          <w:sz w:val="20"/>
          <w:szCs w:val="20"/>
        </w:rPr>
        <w:t xml:space="preserve"> </w:t>
      </w:r>
      <w:r w:rsidRPr="00842E40">
        <w:rPr>
          <w:spacing w:val="-2"/>
          <w:sz w:val="20"/>
          <w:szCs w:val="20"/>
        </w:rPr>
        <w:t xml:space="preserve">The preliminary data of export and import of goods in </w:t>
      </w:r>
      <w:r>
        <w:rPr>
          <w:spacing w:val="-2"/>
          <w:sz w:val="20"/>
          <w:szCs w:val="20"/>
        </w:rPr>
        <w:t>Novem</w:t>
      </w:r>
      <w:r w:rsidRPr="00842E40">
        <w:rPr>
          <w:spacing w:val="-2"/>
          <w:sz w:val="20"/>
          <w:szCs w:val="20"/>
        </w:rPr>
        <w:t>ber 2025 were provided by the Viet Na</w:t>
      </w:r>
      <w:r>
        <w:rPr>
          <w:spacing w:val="-2"/>
          <w:sz w:val="20"/>
          <w:szCs w:val="20"/>
        </w:rPr>
        <w:t xml:space="preserve">m Customs on December </w:t>
      </w:r>
      <w:r w:rsidRPr="00D417F2">
        <w:rPr>
          <w:spacing w:val="-2"/>
          <w:sz w:val="20"/>
          <w:szCs w:val="20"/>
        </w:rPr>
        <w:t>3</w:t>
      </w:r>
      <w:r w:rsidRPr="00D417F2">
        <w:rPr>
          <w:spacing w:val="-2"/>
          <w:sz w:val="20"/>
          <w:szCs w:val="20"/>
          <w:vertAlign w:val="superscript"/>
        </w:rPr>
        <w:t>rd</w:t>
      </w:r>
      <w:r>
        <w:rPr>
          <w:spacing w:val="-2"/>
          <w:sz w:val="20"/>
          <w:szCs w:val="20"/>
        </w:rPr>
        <w:t>, 2025</w:t>
      </w:r>
      <w:r w:rsidRPr="006A050D">
        <w:rPr>
          <w:spacing w:val="-2"/>
          <w:sz w:val="20"/>
          <w:szCs w:val="20"/>
        </w:rPr>
        <w:t>.</w:t>
      </w:r>
    </w:p>
  </w:footnote>
  <w:footnote w:id="21">
    <w:p w14:paraId="5F03D2E0" w14:textId="77777777" w:rsidR="00EA2A5B" w:rsidRPr="00C62BC1" w:rsidRDefault="00EA2A5B" w:rsidP="00A06B07">
      <w:pPr>
        <w:pStyle w:val="FootnoteText"/>
        <w:spacing w:after="40"/>
        <w:ind w:left="198" w:hanging="198"/>
        <w:jc w:val="both"/>
        <w:rPr>
          <w:rFonts w:eastAsiaTheme="minorHAnsi"/>
          <w:bCs/>
        </w:rPr>
      </w:pPr>
      <w:r w:rsidRPr="006A050D">
        <w:rPr>
          <w:rStyle w:val="FootnoteReference"/>
        </w:rPr>
        <w:footnoteRef/>
      </w:r>
      <w:r w:rsidRPr="006A050D">
        <w:rPr>
          <w:lang w:val="vi-VN"/>
        </w:rPr>
        <w:t xml:space="preserve"> </w:t>
      </w:r>
      <w:r w:rsidRPr="006D493F">
        <w:rPr>
          <w:lang w:val="vi-VN"/>
        </w:rPr>
        <w:t xml:space="preserve">Total import and export turnover of goods in </w:t>
      </w:r>
      <w:r>
        <w:rPr>
          <w:lang w:val="en-US"/>
        </w:rPr>
        <w:t xml:space="preserve">eleven </w:t>
      </w:r>
      <w:r w:rsidRPr="006D493F">
        <w:rPr>
          <w:lang w:val="vi-VN"/>
        </w:rPr>
        <w:t xml:space="preserve">months of 2024 reached </w:t>
      </w:r>
      <w:r>
        <w:rPr>
          <w:lang w:val="en-US"/>
        </w:rPr>
        <w:t>716</w:t>
      </w:r>
      <w:r w:rsidRPr="006D493F">
        <w:rPr>
          <w:lang w:val="vi-VN"/>
        </w:rPr>
        <w:t>.</w:t>
      </w:r>
      <w:r>
        <w:rPr>
          <w:lang w:val="en-US"/>
        </w:rPr>
        <w:t>3</w:t>
      </w:r>
      <w:r w:rsidRPr="006D493F">
        <w:rPr>
          <w:lang w:val="vi-VN"/>
        </w:rPr>
        <w:t>7 billion US</w:t>
      </w:r>
      <w:r>
        <w:rPr>
          <w:lang w:val="vi-VN"/>
        </w:rPr>
        <w:t>D, a year-on-year increase of 15.5</w:t>
      </w:r>
      <w:r w:rsidRPr="006D493F">
        <w:rPr>
          <w:lang w:val="vi-VN"/>
        </w:rPr>
        <w:t>%, of whi</w:t>
      </w:r>
      <w:r>
        <w:rPr>
          <w:lang w:val="vi-VN"/>
        </w:rPr>
        <w:t>ch export and import reached 370.37 billion USD, rising by 14.6% and 345.99 billion USD, growing by 16.5</w:t>
      </w:r>
      <w:r w:rsidRPr="006D493F">
        <w:rPr>
          <w:lang w:val="vi-VN"/>
        </w:rPr>
        <w:t>%, respectively.</w:t>
      </w:r>
    </w:p>
  </w:footnote>
  <w:footnote w:id="22">
    <w:p w14:paraId="30BDCD91" w14:textId="77777777" w:rsidR="00EA2A5B" w:rsidRPr="00C62BC1" w:rsidRDefault="00EA2A5B" w:rsidP="00A06B07">
      <w:pPr>
        <w:pStyle w:val="FootnoteText"/>
        <w:spacing w:after="40"/>
        <w:ind w:left="198" w:hanging="198"/>
        <w:jc w:val="both"/>
        <w:rPr>
          <w:rFonts w:eastAsiaTheme="minorHAnsi"/>
        </w:rPr>
      </w:pPr>
      <w:r w:rsidRPr="006A050D">
        <w:rPr>
          <w:rStyle w:val="FootnoteReference"/>
        </w:rPr>
        <w:footnoteRef/>
      </w:r>
      <w:r w:rsidRPr="006A050D">
        <w:t xml:space="preserve"> </w:t>
      </w:r>
      <w:r w:rsidRPr="006D493F">
        <w:rPr>
          <w:lang w:val="en-US"/>
        </w:rPr>
        <w:t xml:space="preserve">The same as the data sent by the Viet Nam Customs to the National Statistics Office on </w:t>
      </w:r>
      <w:r>
        <w:rPr>
          <w:lang w:val="en-US"/>
        </w:rPr>
        <w:t>Novemb</w:t>
      </w:r>
      <w:r w:rsidRPr="006D493F">
        <w:rPr>
          <w:lang w:val="en-US"/>
        </w:rPr>
        <w:t>er 3</w:t>
      </w:r>
      <w:r w:rsidRPr="006D493F">
        <w:rPr>
          <w:vertAlign w:val="superscript"/>
          <w:lang w:val="en-US"/>
        </w:rPr>
        <w:t>rd</w:t>
      </w:r>
      <w:r w:rsidRPr="006D493F">
        <w:rPr>
          <w:lang w:val="en-US"/>
        </w:rPr>
        <w:t>, 2025</w:t>
      </w:r>
      <w:r w:rsidRPr="006A050D">
        <w:rPr>
          <w:bCs/>
          <w:lang w:val="de-DE"/>
        </w:rPr>
        <w:t>.</w:t>
      </w:r>
    </w:p>
  </w:footnote>
  <w:footnote w:id="23">
    <w:p w14:paraId="7C84069E" w14:textId="77777777" w:rsidR="00EA2A5B" w:rsidRPr="00C62BC1" w:rsidRDefault="00EA2A5B" w:rsidP="00A06B07">
      <w:pPr>
        <w:pStyle w:val="FootnoteText"/>
        <w:spacing w:after="40"/>
        <w:ind w:left="198" w:hanging="198"/>
        <w:jc w:val="both"/>
        <w:rPr>
          <w:rFonts w:eastAsiaTheme="minorHAnsi"/>
        </w:rPr>
      </w:pPr>
      <w:r w:rsidRPr="006A050D">
        <w:rPr>
          <w:rStyle w:val="FootnoteReference"/>
        </w:rPr>
        <w:footnoteRef/>
      </w:r>
      <w:r w:rsidRPr="006A050D">
        <w:t xml:space="preserve"> </w:t>
      </w:r>
      <w:r w:rsidRPr="002C3A31">
        <w:rPr>
          <w:lang w:val="en-US"/>
        </w:rPr>
        <w:t xml:space="preserve">The same as the data sent by the Viet Nam Customs to the National Statistics Office on </w:t>
      </w:r>
      <w:r>
        <w:rPr>
          <w:lang w:val="en-US"/>
        </w:rPr>
        <w:t>Novem</w:t>
      </w:r>
      <w:r w:rsidRPr="002C3A31">
        <w:rPr>
          <w:lang w:val="en-US"/>
        </w:rPr>
        <w:t>ber 3</w:t>
      </w:r>
      <w:r w:rsidRPr="002C3A31">
        <w:rPr>
          <w:vertAlign w:val="superscript"/>
          <w:lang w:val="en-US"/>
        </w:rPr>
        <w:t>rd</w:t>
      </w:r>
      <w:r w:rsidRPr="002C3A31">
        <w:rPr>
          <w:lang w:val="en-US"/>
        </w:rPr>
        <w:t>, 2025</w:t>
      </w:r>
      <w:r w:rsidRPr="006A050D">
        <w:rPr>
          <w:bCs/>
          <w:lang w:val="de-DE"/>
        </w:rPr>
        <w:t>.</w:t>
      </w:r>
    </w:p>
  </w:footnote>
  <w:footnote w:id="24">
    <w:p w14:paraId="6FFEDE85" w14:textId="77777777" w:rsidR="00EA2A5B" w:rsidRPr="006A050D" w:rsidRDefault="00EA2A5B" w:rsidP="00A06B07">
      <w:pPr>
        <w:pStyle w:val="FootnoteText"/>
        <w:spacing w:after="40"/>
        <w:ind w:left="198" w:hanging="198"/>
        <w:jc w:val="both"/>
      </w:pPr>
      <w:r w:rsidRPr="006A050D">
        <w:rPr>
          <w:rStyle w:val="FootnoteReference"/>
        </w:rPr>
        <w:footnoteRef/>
      </w:r>
      <w:r w:rsidRPr="006A050D">
        <w:rPr>
          <w:lang w:val="vi-VN"/>
        </w:rPr>
        <w:t xml:space="preserve"> </w:t>
      </w:r>
      <w:r w:rsidRPr="00AC7CA0">
        <w:rPr>
          <w:lang w:val="en-US"/>
        </w:rPr>
        <w:t xml:space="preserve">The same as the data sent by the Viet Nam Customs to the National Statistics Office on </w:t>
      </w:r>
      <w:r>
        <w:rPr>
          <w:lang w:val="en-US"/>
        </w:rPr>
        <w:t>Novem</w:t>
      </w:r>
      <w:r w:rsidRPr="00AC7CA0">
        <w:rPr>
          <w:lang w:val="en-US"/>
        </w:rPr>
        <w:t>ber 3</w:t>
      </w:r>
      <w:r w:rsidRPr="00AC7CA0">
        <w:rPr>
          <w:vertAlign w:val="superscript"/>
          <w:lang w:val="en-US"/>
        </w:rPr>
        <w:t>rd</w:t>
      </w:r>
      <w:r w:rsidRPr="00AC7CA0">
        <w:rPr>
          <w:lang w:val="en-US"/>
        </w:rPr>
        <w:t>, 2025.</w:t>
      </w:r>
    </w:p>
  </w:footnote>
  <w:footnote w:id="25">
    <w:p w14:paraId="2EF080A0" w14:textId="77777777" w:rsidR="00EA2A5B" w:rsidRPr="00581EE1" w:rsidRDefault="00EA2A5B" w:rsidP="00A06B07">
      <w:pPr>
        <w:pStyle w:val="FootnoteText"/>
        <w:jc w:val="both"/>
        <w:rPr>
          <w:lang w:val="en-US"/>
        </w:rPr>
      </w:pPr>
      <w:r>
        <w:rPr>
          <w:rStyle w:val="FootnoteReference"/>
        </w:rPr>
        <w:footnoteRef/>
      </w:r>
      <w:r>
        <w:rPr>
          <w:rStyle w:val="FootnoteReference"/>
        </w:rPr>
        <w:footnoteRef/>
      </w:r>
      <w:r>
        <w:t xml:space="preserve"> </w:t>
      </w:r>
      <w:r w:rsidRPr="00C019EC">
        <w:t xml:space="preserve">The </w:t>
      </w:r>
      <w:r>
        <w:rPr>
          <w:lang w:val="en-US"/>
        </w:rPr>
        <w:t xml:space="preserve">CPI of </w:t>
      </w:r>
      <w:r w:rsidRPr="00C019EC">
        <w:t xml:space="preserve">food </w:t>
      </w:r>
      <w:r>
        <w:rPr>
          <w:lang w:val="en-US"/>
        </w:rPr>
        <w:t xml:space="preserve">group </w:t>
      </w:r>
      <w:r w:rsidRPr="00C019EC">
        <w:t>in November increased by 3.72%</w:t>
      </w:r>
      <w:r>
        <w:rPr>
          <w:lang w:val="en-US"/>
        </w:rPr>
        <w:t xml:space="preserve">, </w:t>
      </w:r>
      <w:r>
        <w:t>3.55%</w:t>
      </w:r>
      <w:r>
        <w:rPr>
          <w:lang w:val="en-US"/>
        </w:rPr>
        <w:t xml:space="preserve">, </w:t>
      </w:r>
      <w:r w:rsidRPr="00C019EC">
        <w:t>3.31%</w:t>
      </w:r>
      <w:r>
        <w:rPr>
          <w:lang w:val="en-US"/>
        </w:rPr>
        <w:t>,</w:t>
      </w:r>
      <w:r>
        <w:t>2.78%</w:t>
      </w:r>
      <w:r>
        <w:rPr>
          <w:lang w:val="en-US"/>
        </w:rPr>
        <w:t xml:space="preserve">, </w:t>
      </w:r>
      <w:r>
        <w:t>2.51%</w:t>
      </w:r>
      <w:r>
        <w:rPr>
          <w:lang w:val="en-US"/>
        </w:rPr>
        <w:t xml:space="preserve">, </w:t>
      </w:r>
      <w:r>
        <w:t>2.34%</w:t>
      </w:r>
      <w:r>
        <w:rPr>
          <w:lang w:val="en-US"/>
        </w:rPr>
        <w:t xml:space="preserve">, </w:t>
      </w:r>
      <w:r>
        <w:t>2.03%</w:t>
      </w:r>
      <w:r>
        <w:rPr>
          <w:lang w:val="en-US"/>
        </w:rPr>
        <w:t xml:space="preserve">, </w:t>
      </w:r>
      <w:r>
        <w:t>1.36%</w:t>
      </w:r>
      <w:r>
        <w:rPr>
          <w:lang w:val="en-US"/>
        </w:rPr>
        <w:t xml:space="preserve"> and </w:t>
      </w:r>
      <w:r>
        <w:t>1.13%</w:t>
      </w:r>
      <w:r>
        <w:rPr>
          <w:lang w:val="en-US"/>
        </w:rPr>
        <w:t xml:space="preserve"> </w:t>
      </w:r>
      <w:r w:rsidRPr="00C019EC">
        <w:t xml:space="preserve">in Gia Lai; Da Nang; Khanh Hoa; Quang Ngai; </w:t>
      </w:r>
      <w:r>
        <w:t>Lam Dong;</w:t>
      </w:r>
      <w:r w:rsidRPr="00C019EC">
        <w:t xml:space="preserve"> Hue; Dak Lak; Dong Nai; and Quang Tri</w:t>
      </w:r>
      <w:r>
        <w:rPr>
          <w:lang w:val="en-US"/>
        </w:rPr>
        <w:t>, respectively</w:t>
      </w:r>
      <w:r w:rsidRPr="00C019EC">
        <w:t>.</w:t>
      </w:r>
    </w:p>
  </w:footnote>
  <w:footnote w:id="26">
    <w:p w14:paraId="5B835875" w14:textId="16DB127C" w:rsidR="00EA2A5B" w:rsidRPr="002157EA" w:rsidRDefault="00EA2A5B" w:rsidP="00A06B07">
      <w:pPr>
        <w:pStyle w:val="FootnoteText"/>
        <w:jc w:val="both"/>
        <w:rPr>
          <w:lang w:val="en-US"/>
        </w:rPr>
      </w:pPr>
      <w:r w:rsidRPr="002157EA">
        <w:rPr>
          <w:rStyle w:val="FootnoteReference"/>
          <w:lang w:val="en-US"/>
        </w:rPr>
        <w:footnoteRef/>
      </w:r>
      <w:r w:rsidRPr="002157EA">
        <w:rPr>
          <w:lang w:val="en-US"/>
        </w:rPr>
        <w:t xml:space="preserve"> Due to the impacts of successive storms and floods causing heavy rains and widespread flooding in many provinces </w:t>
      </w:r>
      <w:r w:rsidR="00752F87">
        <w:rPr>
          <w:lang w:val="en-US"/>
        </w:rPr>
        <w:t>made</w:t>
      </w:r>
      <w:r w:rsidRPr="002157EA">
        <w:rPr>
          <w:lang w:val="en-US"/>
        </w:rPr>
        <w:t xml:space="preserve"> losses of agricultural products and food supply disruption. Prices of fresh, dried, and processed vegetables; processed seafood; fresh seafood; poultry; eggs of all kinds; tea, coffee, and cocoa; sugar and molasses;  milk, butter, and cheese; spice soared by 12.71%; 0.45%; 0.87%; 0.28%; 1.14%; 0.22%; 0.05%; 0.28%; 0.42%, respectively. Besides, some food items saw a drop in price: pork prices fell by 0.42% due to stable prices of cattle feed; prices of organ meat; cakes, jams, and candies; soy and corn milk; butter; chocolate shrunk by 0.25%; 0.17%; 0.39%; 0.29%; 0.38%, respectively.</w:t>
      </w:r>
    </w:p>
  </w:footnote>
  <w:footnote w:id="27">
    <w:p w14:paraId="58E574A4" w14:textId="77777777" w:rsidR="00EA2A5B" w:rsidRPr="002157EA" w:rsidRDefault="00EA2A5B" w:rsidP="00A06B07">
      <w:pPr>
        <w:pStyle w:val="FootnoteText"/>
        <w:jc w:val="both"/>
        <w:rPr>
          <w:lang w:val="en-US"/>
        </w:rPr>
      </w:pPr>
      <w:r w:rsidRPr="002157EA">
        <w:rPr>
          <w:rStyle w:val="FootnoteReference"/>
          <w:lang w:val="en-US"/>
        </w:rPr>
        <w:footnoteRef/>
      </w:r>
      <w:r w:rsidRPr="002157EA">
        <w:rPr>
          <w:lang w:val="en-US"/>
        </w:rPr>
        <w:t xml:space="preserve"> Due to rising prices of input food and services, of which the price of eating out; drinking out; and takeaway fast food edged up 0.30%; 0.37%; 0.51%, respectively.</w:t>
      </w:r>
    </w:p>
  </w:footnote>
  <w:footnote w:id="28">
    <w:p w14:paraId="75B8A63F" w14:textId="77777777" w:rsidR="00EA2A5B" w:rsidRPr="002157EA" w:rsidRDefault="00EA2A5B" w:rsidP="00A06B07">
      <w:pPr>
        <w:pStyle w:val="FootnoteText"/>
        <w:jc w:val="both"/>
        <w:rPr>
          <w:lang w:val="en-US"/>
        </w:rPr>
      </w:pPr>
      <w:r w:rsidRPr="002157EA">
        <w:rPr>
          <w:rStyle w:val="FootnoteReference"/>
          <w:lang w:val="en-US"/>
        </w:rPr>
        <w:footnoteRef/>
      </w:r>
      <w:r w:rsidRPr="002157EA">
        <w:rPr>
          <w:lang w:val="en-US"/>
        </w:rPr>
        <w:t xml:space="preserve"> The prices of domestic rice increased in line with the prices of export rice due to increased import of rice from major markets such as Africa, China, and the Philippines. Therefore, the CIP of rice group soared by 0.17% (regular white rice, premium white rice, glutinous rice, brown rice expanded by 0.15%, 0.10%, 0.72%, and 0.52%, respectively). In addition, some food items witnessed an increase in price, such as: corn, potatoes, cassava, vermicelli, instant cereals, bread, rice noodles, and other similar products, noodles of all kinds up 2.97%, 2.60%, 1.47%, 0.49%, 0.41%, 0.38%, and 0.25%, respectively. Conversely, the CPI of other cereal groups and wheat flour decreased by 0.33%, 0.04%, respectively.</w:t>
      </w:r>
    </w:p>
  </w:footnote>
  <w:footnote w:id="29">
    <w:p w14:paraId="47CEA397" w14:textId="77777777" w:rsidR="00EA2A5B" w:rsidRPr="00770F91" w:rsidRDefault="00EA2A5B" w:rsidP="00A06B07">
      <w:pPr>
        <w:pStyle w:val="FootnoteText"/>
        <w:rPr>
          <w:lang w:val="en-US"/>
        </w:rPr>
      </w:pPr>
      <w:r>
        <w:rPr>
          <w:rStyle w:val="FootnoteReference"/>
        </w:rPr>
        <w:footnoteRef/>
      </w:r>
      <w:r>
        <w:t xml:space="preserve"> </w:t>
      </w:r>
      <w:r w:rsidRPr="00770F91">
        <w:t>The electricity and water price index</w:t>
      </w:r>
      <w:r>
        <w:rPr>
          <w:lang w:val="en-US"/>
        </w:rPr>
        <w:t xml:space="preserve"> in </w:t>
      </w:r>
      <w:r w:rsidRPr="00770F91">
        <w:t xml:space="preserve">November reflects one-month-latency fluctuations compared to other items because it </w:t>
      </w:r>
      <w:r>
        <w:rPr>
          <w:lang w:val="en-US"/>
        </w:rPr>
        <w:t xml:space="preserve">was </w:t>
      </w:r>
      <w:r>
        <w:t>calculated bas</w:t>
      </w:r>
      <w:r>
        <w:rPr>
          <w:lang w:val="en-US"/>
        </w:rPr>
        <w:t>ing</w:t>
      </w:r>
      <w:r w:rsidRPr="00770F91">
        <w:t xml:space="preserve"> on October's revenue and consumption </w:t>
      </w:r>
      <w:r w:rsidRPr="006A762A">
        <w:t>output</w:t>
      </w:r>
      <w:r w:rsidRPr="00770F91">
        <w:t>.</w:t>
      </w:r>
      <w:r>
        <w:rPr>
          <w:lang w:val="en-US"/>
        </w:rPr>
        <w:t xml:space="preserve"> </w:t>
      </w:r>
    </w:p>
  </w:footnote>
  <w:footnote w:id="30">
    <w:p w14:paraId="5D66B67D" w14:textId="77777777" w:rsidR="00EA2A5B" w:rsidRPr="009B21A4" w:rsidRDefault="00EA2A5B" w:rsidP="00A06B07">
      <w:pPr>
        <w:pStyle w:val="FootnoteText"/>
        <w:rPr>
          <w:lang w:val="en-US"/>
        </w:rPr>
      </w:pPr>
      <w:r>
        <w:rPr>
          <w:rStyle w:val="FootnoteReference"/>
        </w:rPr>
        <w:footnoteRef/>
      </w:r>
      <w:r>
        <w:t xml:space="preserve"> </w:t>
      </w:r>
      <w:r w:rsidRPr="009B21A4">
        <w:t>The CPI after excluding prices of food, fresh foodstuff, energy, and State-managed goods, which include healthcare and education services.</w:t>
      </w:r>
    </w:p>
  </w:footnote>
  <w:footnote w:id="31">
    <w:p w14:paraId="5DAE61FB" w14:textId="77777777" w:rsidR="00EA2A5B" w:rsidRPr="006A050D" w:rsidRDefault="00EA2A5B" w:rsidP="00A06B07">
      <w:pPr>
        <w:pStyle w:val="FootnoteText"/>
        <w:spacing w:after="40"/>
        <w:ind w:left="198" w:hanging="198"/>
        <w:jc w:val="both"/>
        <w:rPr>
          <w:lang w:val="vi-VN"/>
        </w:rPr>
      </w:pPr>
      <w:r w:rsidRPr="006A050D">
        <w:rPr>
          <w:rStyle w:val="FootnoteReference"/>
        </w:rPr>
        <w:footnoteRef/>
      </w:r>
      <w:r w:rsidRPr="006A050D">
        <w:t xml:space="preserve"> </w:t>
      </w:r>
      <w:r>
        <w:t>The number of passengers carried by high-speed railway in Ha Noi and Metro in Ho Chi Minh City was added</w:t>
      </w:r>
      <w:r w:rsidRPr="000373DF">
        <w:rPr>
          <w:spacing w:val="-2"/>
          <w:lang w:val="vi-VN"/>
        </w:rPr>
        <w:t>.</w:t>
      </w:r>
    </w:p>
  </w:footnote>
  <w:footnote w:id="32">
    <w:p w14:paraId="05F1BED1" w14:textId="77777777" w:rsidR="00EA2A5B" w:rsidRPr="006A050D" w:rsidRDefault="00EA2A5B" w:rsidP="00A06B07">
      <w:pPr>
        <w:tabs>
          <w:tab w:val="left" w:pos="426"/>
        </w:tabs>
        <w:spacing w:after="40"/>
        <w:ind w:left="198" w:hanging="198"/>
        <w:jc w:val="both"/>
        <w:rPr>
          <w:spacing w:val="-2"/>
          <w:sz w:val="20"/>
          <w:szCs w:val="20"/>
          <w:lang w:val="vi-VN"/>
        </w:rPr>
      </w:pPr>
      <w:r w:rsidRPr="006A050D">
        <w:rPr>
          <w:rStyle w:val="FootnoteReference"/>
          <w:sz w:val="20"/>
          <w:szCs w:val="20"/>
        </w:rPr>
        <w:footnoteRef/>
      </w:r>
      <w:r w:rsidRPr="006A050D">
        <w:rPr>
          <w:sz w:val="20"/>
          <w:szCs w:val="20"/>
          <w:lang w:val="vi-VN"/>
        </w:rPr>
        <w:t xml:space="preserve"> </w:t>
      </w:r>
      <w:r>
        <w:rPr>
          <w:rFonts w:eastAsia="Calibri"/>
          <w:sz w:val="20"/>
          <w:szCs w:val="20"/>
          <w:lang w:eastAsia="x-none"/>
        </w:rPr>
        <w:t>Due to unfavorable weather conditions, the number of seaway passengers reduced, leading to temporary suspension or reduced frequency of many shipping routes</w:t>
      </w:r>
      <w:r w:rsidRPr="006A050D">
        <w:rPr>
          <w:spacing w:val="2"/>
          <w:sz w:val="20"/>
          <w:szCs w:val="20"/>
          <w:lang w:val="vi-VN"/>
        </w:rPr>
        <w:t>.</w:t>
      </w:r>
      <w:r w:rsidRPr="006A050D">
        <w:rPr>
          <w:spacing w:val="-2"/>
          <w:sz w:val="20"/>
          <w:szCs w:val="20"/>
          <w:lang w:val="vi-VN"/>
        </w:rPr>
        <w:t xml:space="preserve"> </w:t>
      </w:r>
    </w:p>
  </w:footnote>
  <w:footnote w:id="33">
    <w:p w14:paraId="2632093B" w14:textId="77777777" w:rsidR="00EA2A5B" w:rsidRPr="006A050D" w:rsidRDefault="00EA2A5B" w:rsidP="00A06B07">
      <w:pPr>
        <w:pStyle w:val="FootnoteText"/>
        <w:spacing w:after="40"/>
        <w:ind w:left="198" w:hanging="198"/>
        <w:jc w:val="both"/>
        <w:rPr>
          <w:lang w:val="vi-VN"/>
        </w:rPr>
      </w:pPr>
      <w:r w:rsidRPr="006A050D">
        <w:rPr>
          <w:rStyle w:val="FootnoteReference"/>
        </w:rPr>
        <w:footnoteRef/>
      </w:r>
      <w:r w:rsidRPr="006A050D">
        <w:rPr>
          <w:spacing w:val="2"/>
          <w:lang w:val="vi-VN"/>
        </w:rPr>
        <w:t xml:space="preserve"> </w:t>
      </w:r>
      <w:r>
        <w:t>According to the reports from the Department of Border Gate, the Border Guard Command, the Ministry of National Defense, and the Immigration Department, the Ministry of Public Security</w:t>
      </w:r>
      <w:r w:rsidRPr="006A050D">
        <w:rPr>
          <w:spacing w:val="2"/>
          <w:lang w:val="vi-VN"/>
        </w:rPr>
        <w:t>.</w:t>
      </w:r>
    </w:p>
  </w:footnote>
  <w:footnote w:id="34">
    <w:p w14:paraId="6898E3D7" w14:textId="77777777" w:rsidR="00EA2A5B" w:rsidRPr="006A050D" w:rsidRDefault="00EA2A5B" w:rsidP="00A06B07">
      <w:pPr>
        <w:pStyle w:val="FootnoteText"/>
        <w:spacing w:after="40"/>
        <w:ind w:left="198" w:hanging="198"/>
        <w:jc w:val="both"/>
        <w:rPr>
          <w:lang w:val="vi-VN"/>
        </w:rPr>
      </w:pPr>
      <w:r w:rsidRPr="006A050D">
        <w:rPr>
          <w:rStyle w:val="FootnoteReference"/>
        </w:rPr>
        <w:footnoteRef/>
      </w:r>
      <w:r w:rsidRPr="006A050D">
        <w:rPr>
          <w:lang w:val="vi-VN"/>
        </w:rPr>
        <w:t xml:space="preserve"> </w:t>
      </w:r>
      <w:r w:rsidRPr="00D417F2">
        <w:rPr>
          <w:lang w:val="en-US"/>
        </w:rPr>
        <w:t xml:space="preserve">The reporting period was from </w:t>
      </w:r>
      <w:r>
        <w:rPr>
          <w:lang w:val="en-US"/>
        </w:rPr>
        <w:t>October</w:t>
      </w:r>
      <w:r w:rsidRPr="00D417F2">
        <w:rPr>
          <w:lang w:val="en-US"/>
        </w:rPr>
        <w:t xml:space="preserve"> 26</w:t>
      </w:r>
      <w:r w:rsidRPr="00705E06">
        <w:rPr>
          <w:vertAlign w:val="superscript"/>
          <w:lang w:val="en-US"/>
        </w:rPr>
        <w:t>th</w:t>
      </w:r>
      <w:r w:rsidRPr="00D417F2">
        <w:rPr>
          <w:lang w:val="en-US"/>
        </w:rPr>
        <w:t xml:space="preserve">, 2025 to </w:t>
      </w:r>
      <w:r>
        <w:rPr>
          <w:lang w:val="en-US"/>
        </w:rPr>
        <w:t>November</w:t>
      </w:r>
      <w:r w:rsidRPr="00D417F2">
        <w:rPr>
          <w:lang w:val="en-US"/>
        </w:rPr>
        <w:t xml:space="preserve"> 25</w:t>
      </w:r>
      <w:r w:rsidRPr="00705E06">
        <w:rPr>
          <w:vertAlign w:val="superscript"/>
          <w:lang w:val="en-US"/>
        </w:rPr>
        <w:t>th</w:t>
      </w:r>
      <w:r w:rsidRPr="006A050D">
        <w:rPr>
          <w:lang w:val="vi-VN"/>
        </w:rPr>
        <w:t>.</w:t>
      </w:r>
    </w:p>
  </w:footnote>
  <w:footnote w:id="35">
    <w:p w14:paraId="7BCE1C89" w14:textId="77777777" w:rsidR="00EA2A5B" w:rsidRPr="00770014" w:rsidRDefault="00EA2A5B" w:rsidP="00A06B07">
      <w:pPr>
        <w:pStyle w:val="FootnoteText"/>
        <w:rPr>
          <w:lang w:val="en-US"/>
        </w:rPr>
      </w:pPr>
      <w:r>
        <w:rPr>
          <w:rStyle w:val="FootnoteReference"/>
        </w:rPr>
        <w:footnoteRef/>
      </w:r>
      <w:r>
        <w:t xml:space="preserve"> A household could select multiple </w:t>
      </w:r>
      <w:r>
        <w:rPr>
          <w:lang w:val="en-US"/>
        </w:rPr>
        <w:t>causes</w:t>
      </w:r>
      <w:r>
        <w:t xml:space="preserve"> </w:t>
      </w:r>
      <w:r w:rsidRPr="00D417F2">
        <w:rPr>
          <w:lang w:val="en-US"/>
        </w:rPr>
        <w:t>leading to decreased income</w:t>
      </w:r>
      <w:r>
        <w:t>.</w:t>
      </w:r>
    </w:p>
  </w:footnote>
  <w:footnote w:id="36">
    <w:p w14:paraId="6226626E" w14:textId="77777777" w:rsidR="00EA2A5B" w:rsidRPr="002157EA" w:rsidRDefault="00EA2A5B" w:rsidP="00A06B07">
      <w:pPr>
        <w:pStyle w:val="FootnoteText"/>
        <w:spacing w:after="40"/>
        <w:ind w:left="198" w:hanging="198"/>
        <w:jc w:val="both"/>
        <w:rPr>
          <w:lang w:val="en-US"/>
        </w:rPr>
      </w:pPr>
      <w:r w:rsidRPr="006A050D">
        <w:rPr>
          <w:rStyle w:val="FootnoteReference"/>
        </w:rPr>
        <w:footnoteRef/>
      </w:r>
      <w:r w:rsidRPr="006A050D">
        <w:t xml:space="preserve"> </w:t>
      </w:r>
      <w:r w:rsidRPr="002157EA">
        <w:rPr>
          <w:lang w:val="en-US"/>
        </w:rPr>
        <w:t>According to a quick report from the Office of the Ministry of Public Security and the Viet Nam Maritime and Waterways Administration (Ministry of Construction) dated November 28, 2025.</w:t>
      </w:r>
    </w:p>
  </w:footnote>
  <w:footnote w:id="37">
    <w:p w14:paraId="759AFF28" w14:textId="77777777" w:rsidR="00EA2A5B" w:rsidRPr="002157EA" w:rsidRDefault="00EA2A5B" w:rsidP="00A06B07">
      <w:pPr>
        <w:pStyle w:val="FootnoteText"/>
        <w:spacing w:after="40"/>
        <w:ind w:left="198" w:hanging="198"/>
        <w:jc w:val="both"/>
        <w:rPr>
          <w:lang w:val="en-US"/>
        </w:rPr>
      </w:pPr>
      <w:r w:rsidRPr="002157EA">
        <w:rPr>
          <w:rStyle w:val="FootnoteReference"/>
          <w:lang w:val="en-US"/>
        </w:rPr>
        <w:footnoteRef/>
      </w:r>
      <w:r w:rsidRPr="002157EA">
        <w:rPr>
          <w:lang w:val="en-US"/>
        </w:rPr>
        <w:t xml:space="preserve"> According to data compiled by Provincial Statistics Offices from the reports of Provincial Departments of Agriculture and Environment and Provincial, Municipal Police Departments.</w:t>
      </w:r>
    </w:p>
  </w:footnote>
  <w:footnote w:id="38">
    <w:p w14:paraId="563BA2A2" w14:textId="77777777" w:rsidR="00EA2A5B" w:rsidRPr="006A050D" w:rsidRDefault="00EA2A5B" w:rsidP="00A06B07">
      <w:pPr>
        <w:pStyle w:val="FootnoteText"/>
        <w:spacing w:after="40"/>
        <w:ind w:left="198" w:hanging="198"/>
        <w:jc w:val="both"/>
      </w:pPr>
      <w:r w:rsidRPr="006A050D">
        <w:rPr>
          <w:rStyle w:val="FootnoteReference"/>
        </w:rPr>
        <w:footnoteRef/>
      </w:r>
      <w:r w:rsidRPr="006A050D">
        <w:t xml:space="preserve"> </w:t>
      </w:r>
      <w:r>
        <w:t xml:space="preserve">According to a quick report from the Ministry of Public Security dated </w:t>
      </w:r>
      <w:r>
        <w:rPr>
          <w:lang w:val="en-US"/>
        </w:rPr>
        <w:t>November</w:t>
      </w:r>
      <w:r>
        <w:t xml:space="preserve"> 23, 2025</w:t>
      </w:r>
      <w:r w:rsidRPr="006A050D">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6334082"/>
      <w:docPartObj>
        <w:docPartGallery w:val="Page Numbers (Top of Page)"/>
        <w:docPartUnique/>
      </w:docPartObj>
    </w:sdtPr>
    <w:sdtEndPr>
      <w:rPr>
        <w:noProof/>
      </w:rPr>
    </w:sdtEndPr>
    <w:sdtContent>
      <w:p w14:paraId="1DE310E9" w14:textId="5BFE4039" w:rsidR="00EA2A5B" w:rsidRDefault="00EA2A5B">
        <w:pPr>
          <w:pStyle w:val="Header"/>
          <w:jc w:val="center"/>
        </w:pPr>
        <w:r>
          <w:fldChar w:fldCharType="begin"/>
        </w:r>
        <w:r>
          <w:instrText xml:space="preserve"> PAGE   \* MERGEFORMAT </w:instrText>
        </w:r>
        <w:r>
          <w:fldChar w:fldCharType="separate"/>
        </w:r>
        <w:r w:rsidR="0069325C">
          <w:rPr>
            <w:noProof/>
          </w:rPr>
          <w:t>3</w:t>
        </w:r>
        <w:r>
          <w:rPr>
            <w:noProof/>
          </w:rPr>
          <w:fldChar w:fldCharType="end"/>
        </w:r>
      </w:p>
    </w:sdtContent>
  </w:sdt>
  <w:p w14:paraId="39289854" w14:textId="77777777" w:rsidR="00EA2A5B" w:rsidRDefault="00EA2A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43B2D"/>
    <w:multiLevelType w:val="hybridMultilevel"/>
    <w:tmpl w:val="45A2BB3C"/>
    <w:lvl w:ilvl="0" w:tplc="6AA8063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3353795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mirrorMargins/>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768"/>
    <w:rsid w:val="00000D47"/>
    <w:rsid w:val="00006881"/>
    <w:rsid w:val="000077A3"/>
    <w:rsid w:val="000121CD"/>
    <w:rsid w:val="000152D2"/>
    <w:rsid w:val="0001673B"/>
    <w:rsid w:val="00021D24"/>
    <w:rsid w:val="000369C9"/>
    <w:rsid w:val="0003748B"/>
    <w:rsid w:val="00045E19"/>
    <w:rsid w:val="00046FE1"/>
    <w:rsid w:val="00047B2D"/>
    <w:rsid w:val="00051F0B"/>
    <w:rsid w:val="00053768"/>
    <w:rsid w:val="00065182"/>
    <w:rsid w:val="00076598"/>
    <w:rsid w:val="00077F57"/>
    <w:rsid w:val="000819C5"/>
    <w:rsid w:val="0008799D"/>
    <w:rsid w:val="000920DD"/>
    <w:rsid w:val="0009370B"/>
    <w:rsid w:val="00096516"/>
    <w:rsid w:val="000A1904"/>
    <w:rsid w:val="000A3C90"/>
    <w:rsid w:val="000A4DD5"/>
    <w:rsid w:val="000A70AE"/>
    <w:rsid w:val="000A74BB"/>
    <w:rsid w:val="000B117F"/>
    <w:rsid w:val="000B380E"/>
    <w:rsid w:val="000B60EE"/>
    <w:rsid w:val="000B6125"/>
    <w:rsid w:val="000C36C3"/>
    <w:rsid w:val="000C3F60"/>
    <w:rsid w:val="000D0664"/>
    <w:rsid w:val="000D4591"/>
    <w:rsid w:val="000D4F84"/>
    <w:rsid w:val="000E13BE"/>
    <w:rsid w:val="000E2DAC"/>
    <w:rsid w:val="000E3814"/>
    <w:rsid w:val="000F2A82"/>
    <w:rsid w:val="000F4316"/>
    <w:rsid w:val="000F5C03"/>
    <w:rsid w:val="00115C03"/>
    <w:rsid w:val="0012442C"/>
    <w:rsid w:val="00141545"/>
    <w:rsid w:val="00143375"/>
    <w:rsid w:val="00150724"/>
    <w:rsid w:val="00150C59"/>
    <w:rsid w:val="001512C4"/>
    <w:rsid w:val="00163059"/>
    <w:rsid w:val="00164CF6"/>
    <w:rsid w:val="00172A13"/>
    <w:rsid w:val="001736C0"/>
    <w:rsid w:val="001855E1"/>
    <w:rsid w:val="00192ED3"/>
    <w:rsid w:val="001930D3"/>
    <w:rsid w:val="00194482"/>
    <w:rsid w:val="001A28E9"/>
    <w:rsid w:val="001A2935"/>
    <w:rsid w:val="001B0CB3"/>
    <w:rsid w:val="001B490B"/>
    <w:rsid w:val="001C09FE"/>
    <w:rsid w:val="001C6EAD"/>
    <w:rsid w:val="001D18E3"/>
    <w:rsid w:val="001E419F"/>
    <w:rsid w:val="001E45D8"/>
    <w:rsid w:val="001E704B"/>
    <w:rsid w:val="001F497D"/>
    <w:rsid w:val="001F753D"/>
    <w:rsid w:val="0020242D"/>
    <w:rsid w:val="002129A8"/>
    <w:rsid w:val="00213996"/>
    <w:rsid w:val="002157EA"/>
    <w:rsid w:val="00215D8A"/>
    <w:rsid w:val="00220517"/>
    <w:rsid w:val="0022251B"/>
    <w:rsid w:val="00227754"/>
    <w:rsid w:val="00230689"/>
    <w:rsid w:val="00234456"/>
    <w:rsid w:val="00237146"/>
    <w:rsid w:val="00237569"/>
    <w:rsid w:val="00242185"/>
    <w:rsid w:val="00243438"/>
    <w:rsid w:val="002503FC"/>
    <w:rsid w:val="00254190"/>
    <w:rsid w:val="00256FF8"/>
    <w:rsid w:val="0026529B"/>
    <w:rsid w:val="00267763"/>
    <w:rsid w:val="00267E54"/>
    <w:rsid w:val="002703C2"/>
    <w:rsid w:val="002734A3"/>
    <w:rsid w:val="00276BC3"/>
    <w:rsid w:val="0028043C"/>
    <w:rsid w:val="00283405"/>
    <w:rsid w:val="0028596C"/>
    <w:rsid w:val="0029187C"/>
    <w:rsid w:val="00292CE1"/>
    <w:rsid w:val="00294DFC"/>
    <w:rsid w:val="002976A5"/>
    <w:rsid w:val="002A0EBE"/>
    <w:rsid w:val="002A1B24"/>
    <w:rsid w:val="002A59FD"/>
    <w:rsid w:val="002A7012"/>
    <w:rsid w:val="002C1B36"/>
    <w:rsid w:val="002C31BC"/>
    <w:rsid w:val="002C3382"/>
    <w:rsid w:val="002E34FB"/>
    <w:rsid w:val="002E77AB"/>
    <w:rsid w:val="002F0924"/>
    <w:rsid w:val="002F1D7A"/>
    <w:rsid w:val="002F518D"/>
    <w:rsid w:val="002F6112"/>
    <w:rsid w:val="002F7BA6"/>
    <w:rsid w:val="00301C9D"/>
    <w:rsid w:val="00306C05"/>
    <w:rsid w:val="00310A59"/>
    <w:rsid w:val="00313FB7"/>
    <w:rsid w:val="00315444"/>
    <w:rsid w:val="00320F23"/>
    <w:rsid w:val="00322F72"/>
    <w:rsid w:val="00325042"/>
    <w:rsid w:val="00331BCF"/>
    <w:rsid w:val="00334D3E"/>
    <w:rsid w:val="00337366"/>
    <w:rsid w:val="003416E5"/>
    <w:rsid w:val="0034650B"/>
    <w:rsid w:val="00350234"/>
    <w:rsid w:val="00356520"/>
    <w:rsid w:val="00364A78"/>
    <w:rsid w:val="0037466C"/>
    <w:rsid w:val="0038501F"/>
    <w:rsid w:val="00393919"/>
    <w:rsid w:val="00394A97"/>
    <w:rsid w:val="003953A6"/>
    <w:rsid w:val="00395A52"/>
    <w:rsid w:val="003A6049"/>
    <w:rsid w:val="003A6C0C"/>
    <w:rsid w:val="003B1AD9"/>
    <w:rsid w:val="003B51D1"/>
    <w:rsid w:val="003C1366"/>
    <w:rsid w:val="003C27A0"/>
    <w:rsid w:val="003C6758"/>
    <w:rsid w:val="003D00BB"/>
    <w:rsid w:val="003D0168"/>
    <w:rsid w:val="003D7EB5"/>
    <w:rsid w:val="003E05C9"/>
    <w:rsid w:val="003E2EA9"/>
    <w:rsid w:val="003E3B7F"/>
    <w:rsid w:val="003E4F89"/>
    <w:rsid w:val="003F243D"/>
    <w:rsid w:val="003F27DD"/>
    <w:rsid w:val="0040324F"/>
    <w:rsid w:val="0041084F"/>
    <w:rsid w:val="004137C2"/>
    <w:rsid w:val="004442D5"/>
    <w:rsid w:val="004449AC"/>
    <w:rsid w:val="0044549D"/>
    <w:rsid w:val="0044652B"/>
    <w:rsid w:val="00446E14"/>
    <w:rsid w:val="004512B2"/>
    <w:rsid w:val="00451302"/>
    <w:rsid w:val="00460807"/>
    <w:rsid w:val="004732C2"/>
    <w:rsid w:val="00474340"/>
    <w:rsid w:val="00474771"/>
    <w:rsid w:val="004778A6"/>
    <w:rsid w:val="004865B8"/>
    <w:rsid w:val="00487CC0"/>
    <w:rsid w:val="00487D5A"/>
    <w:rsid w:val="00492FE2"/>
    <w:rsid w:val="00496C77"/>
    <w:rsid w:val="00497F6C"/>
    <w:rsid w:val="004A00F8"/>
    <w:rsid w:val="004A0551"/>
    <w:rsid w:val="004A1C28"/>
    <w:rsid w:val="004A26B9"/>
    <w:rsid w:val="004A62A5"/>
    <w:rsid w:val="004A67E5"/>
    <w:rsid w:val="004B1320"/>
    <w:rsid w:val="004B5D0B"/>
    <w:rsid w:val="004C502C"/>
    <w:rsid w:val="004D3AFC"/>
    <w:rsid w:val="004E23A5"/>
    <w:rsid w:val="004E5EA8"/>
    <w:rsid w:val="004F69FD"/>
    <w:rsid w:val="004F77BE"/>
    <w:rsid w:val="00500201"/>
    <w:rsid w:val="005062EC"/>
    <w:rsid w:val="00506A65"/>
    <w:rsid w:val="00516337"/>
    <w:rsid w:val="00516F94"/>
    <w:rsid w:val="0052245A"/>
    <w:rsid w:val="00523D4D"/>
    <w:rsid w:val="00523D54"/>
    <w:rsid w:val="00524873"/>
    <w:rsid w:val="005268E1"/>
    <w:rsid w:val="005303FE"/>
    <w:rsid w:val="005373D4"/>
    <w:rsid w:val="00541DDD"/>
    <w:rsid w:val="0054488F"/>
    <w:rsid w:val="00545CB2"/>
    <w:rsid w:val="00547852"/>
    <w:rsid w:val="00547B59"/>
    <w:rsid w:val="00550671"/>
    <w:rsid w:val="00550AA7"/>
    <w:rsid w:val="00552563"/>
    <w:rsid w:val="00554CB7"/>
    <w:rsid w:val="00555A87"/>
    <w:rsid w:val="00562B55"/>
    <w:rsid w:val="00562D83"/>
    <w:rsid w:val="0056523C"/>
    <w:rsid w:val="005653FD"/>
    <w:rsid w:val="005666F3"/>
    <w:rsid w:val="00567AEE"/>
    <w:rsid w:val="00570826"/>
    <w:rsid w:val="005720B5"/>
    <w:rsid w:val="0059213B"/>
    <w:rsid w:val="005952D3"/>
    <w:rsid w:val="00597C48"/>
    <w:rsid w:val="005A1B70"/>
    <w:rsid w:val="005A44E4"/>
    <w:rsid w:val="005A52CB"/>
    <w:rsid w:val="005A791A"/>
    <w:rsid w:val="005B13C3"/>
    <w:rsid w:val="005B7E4F"/>
    <w:rsid w:val="005C152A"/>
    <w:rsid w:val="005C1B20"/>
    <w:rsid w:val="005C3C3F"/>
    <w:rsid w:val="005C51BF"/>
    <w:rsid w:val="005E06B2"/>
    <w:rsid w:val="005E6CD6"/>
    <w:rsid w:val="005F03B9"/>
    <w:rsid w:val="00602005"/>
    <w:rsid w:val="00602DC6"/>
    <w:rsid w:val="0060421C"/>
    <w:rsid w:val="00604D79"/>
    <w:rsid w:val="006056D5"/>
    <w:rsid w:val="00610205"/>
    <w:rsid w:val="0061627F"/>
    <w:rsid w:val="00616B53"/>
    <w:rsid w:val="0062257D"/>
    <w:rsid w:val="00636053"/>
    <w:rsid w:val="00636F24"/>
    <w:rsid w:val="00641365"/>
    <w:rsid w:val="00646268"/>
    <w:rsid w:val="00646990"/>
    <w:rsid w:val="00652EDE"/>
    <w:rsid w:val="00660BB2"/>
    <w:rsid w:val="00660E3A"/>
    <w:rsid w:val="0066385D"/>
    <w:rsid w:val="006639B2"/>
    <w:rsid w:val="0067241E"/>
    <w:rsid w:val="00674BAB"/>
    <w:rsid w:val="0068012E"/>
    <w:rsid w:val="00682182"/>
    <w:rsid w:val="0069325C"/>
    <w:rsid w:val="006A1212"/>
    <w:rsid w:val="006A673C"/>
    <w:rsid w:val="006A6B4B"/>
    <w:rsid w:val="006A7170"/>
    <w:rsid w:val="006A779B"/>
    <w:rsid w:val="006B1136"/>
    <w:rsid w:val="006C0A6E"/>
    <w:rsid w:val="006C2640"/>
    <w:rsid w:val="006C76F1"/>
    <w:rsid w:val="006D01CD"/>
    <w:rsid w:val="006D3AD1"/>
    <w:rsid w:val="006D6E1A"/>
    <w:rsid w:val="006E70F3"/>
    <w:rsid w:val="006F0412"/>
    <w:rsid w:val="006F1E1C"/>
    <w:rsid w:val="006F4A6A"/>
    <w:rsid w:val="006F77E2"/>
    <w:rsid w:val="00704CD6"/>
    <w:rsid w:val="00711068"/>
    <w:rsid w:val="00714FAE"/>
    <w:rsid w:val="007157C0"/>
    <w:rsid w:val="0073107F"/>
    <w:rsid w:val="00733674"/>
    <w:rsid w:val="007344E2"/>
    <w:rsid w:val="007438AE"/>
    <w:rsid w:val="00744A8E"/>
    <w:rsid w:val="00745FB2"/>
    <w:rsid w:val="00750346"/>
    <w:rsid w:val="00750D2B"/>
    <w:rsid w:val="00750D6C"/>
    <w:rsid w:val="00751D7D"/>
    <w:rsid w:val="00752F87"/>
    <w:rsid w:val="00753320"/>
    <w:rsid w:val="00754D51"/>
    <w:rsid w:val="0075695E"/>
    <w:rsid w:val="0075763C"/>
    <w:rsid w:val="00764977"/>
    <w:rsid w:val="007669D5"/>
    <w:rsid w:val="007678A1"/>
    <w:rsid w:val="007701A6"/>
    <w:rsid w:val="007704D3"/>
    <w:rsid w:val="00775C2D"/>
    <w:rsid w:val="00791EB6"/>
    <w:rsid w:val="00796815"/>
    <w:rsid w:val="007A07B6"/>
    <w:rsid w:val="007A1442"/>
    <w:rsid w:val="007A2956"/>
    <w:rsid w:val="007B0517"/>
    <w:rsid w:val="007C44BE"/>
    <w:rsid w:val="007D0954"/>
    <w:rsid w:val="007D6D00"/>
    <w:rsid w:val="007D7DF6"/>
    <w:rsid w:val="007D7F5F"/>
    <w:rsid w:val="007E1453"/>
    <w:rsid w:val="007E2634"/>
    <w:rsid w:val="007E7165"/>
    <w:rsid w:val="007F5238"/>
    <w:rsid w:val="0080366F"/>
    <w:rsid w:val="00804006"/>
    <w:rsid w:val="0080578A"/>
    <w:rsid w:val="00821866"/>
    <w:rsid w:val="00827C63"/>
    <w:rsid w:val="008357AA"/>
    <w:rsid w:val="00840424"/>
    <w:rsid w:val="00844161"/>
    <w:rsid w:val="008524CA"/>
    <w:rsid w:val="00853DE5"/>
    <w:rsid w:val="008629B8"/>
    <w:rsid w:val="00863116"/>
    <w:rsid w:val="00863C02"/>
    <w:rsid w:val="00864E69"/>
    <w:rsid w:val="008854E5"/>
    <w:rsid w:val="00887048"/>
    <w:rsid w:val="00896A26"/>
    <w:rsid w:val="00896F1C"/>
    <w:rsid w:val="008A335C"/>
    <w:rsid w:val="008B2576"/>
    <w:rsid w:val="008B4394"/>
    <w:rsid w:val="008B46EF"/>
    <w:rsid w:val="008B54B0"/>
    <w:rsid w:val="008B5944"/>
    <w:rsid w:val="008D254F"/>
    <w:rsid w:val="008D724C"/>
    <w:rsid w:val="008D7F4B"/>
    <w:rsid w:val="008E3B41"/>
    <w:rsid w:val="008E7575"/>
    <w:rsid w:val="00900A3C"/>
    <w:rsid w:val="00904BDB"/>
    <w:rsid w:val="00904E4F"/>
    <w:rsid w:val="0090544C"/>
    <w:rsid w:val="00910C0B"/>
    <w:rsid w:val="0091355E"/>
    <w:rsid w:val="00914A7A"/>
    <w:rsid w:val="009247C6"/>
    <w:rsid w:val="00924B7C"/>
    <w:rsid w:val="0093386E"/>
    <w:rsid w:val="00943417"/>
    <w:rsid w:val="00944959"/>
    <w:rsid w:val="00945EFF"/>
    <w:rsid w:val="00947651"/>
    <w:rsid w:val="00953F35"/>
    <w:rsid w:val="00954751"/>
    <w:rsid w:val="009727E2"/>
    <w:rsid w:val="00975F95"/>
    <w:rsid w:val="009800EF"/>
    <w:rsid w:val="009808FB"/>
    <w:rsid w:val="0098739D"/>
    <w:rsid w:val="00987AF4"/>
    <w:rsid w:val="00987FCB"/>
    <w:rsid w:val="00990378"/>
    <w:rsid w:val="00995382"/>
    <w:rsid w:val="00996744"/>
    <w:rsid w:val="009B1FB8"/>
    <w:rsid w:val="009B43EB"/>
    <w:rsid w:val="009B7579"/>
    <w:rsid w:val="009C69BB"/>
    <w:rsid w:val="009D1981"/>
    <w:rsid w:val="009D5B4B"/>
    <w:rsid w:val="009D7B71"/>
    <w:rsid w:val="009E1408"/>
    <w:rsid w:val="009E6614"/>
    <w:rsid w:val="009F0173"/>
    <w:rsid w:val="009F1DD5"/>
    <w:rsid w:val="009F4512"/>
    <w:rsid w:val="009F58B2"/>
    <w:rsid w:val="009F755A"/>
    <w:rsid w:val="00A0134C"/>
    <w:rsid w:val="00A01AA1"/>
    <w:rsid w:val="00A0257D"/>
    <w:rsid w:val="00A06B07"/>
    <w:rsid w:val="00A1441B"/>
    <w:rsid w:val="00A14C64"/>
    <w:rsid w:val="00A20310"/>
    <w:rsid w:val="00A2135E"/>
    <w:rsid w:val="00A24A05"/>
    <w:rsid w:val="00A3367A"/>
    <w:rsid w:val="00A457F3"/>
    <w:rsid w:val="00A50685"/>
    <w:rsid w:val="00A51547"/>
    <w:rsid w:val="00A51779"/>
    <w:rsid w:val="00A51D11"/>
    <w:rsid w:val="00A53644"/>
    <w:rsid w:val="00A54EF1"/>
    <w:rsid w:val="00A6046E"/>
    <w:rsid w:val="00A64E0C"/>
    <w:rsid w:val="00A66E09"/>
    <w:rsid w:val="00A76E9E"/>
    <w:rsid w:val="00A815B4"/>
    <w:rsid w:val="00A816F5"/>
    <w:rsid w:val="00A87A96"/>
    <w:rsid w:val="00A87BEE"/>
    <w:rsid w:val="00A91B58"/>
    <w:rsid w:val="00A93031"/>
    <w:rsid w:val="00A94DA6"/>
    <w:rsid w:val="00AA277A"/>
    <w:rsid w:val="00AA4CBA"/>
    <w:rsid w:val="00AA53D3"/>
    <w:rsid w:val="00AA58D2"/>
    <w:rsid w:val="00AA768A"/>
    <w:rsid w:val="00AB60D7"/>
    <w:rsid w:val="00AC3C91"/>
    <w:rsid w:val="00AD05C0"/>
    <w:rsid w:val="00AD256D"/>
    <w:rsid w:val="00AD2CD8"/>
    <w:rsid w:val="00AD54BB"/>
    <w:rsid w:val="00AD63F3"/>
    <w:rsid w:val="00AE0506"/>
    <w:rsid w:val="00AE05A0"/>
    <w:rsid w:val="00AE1773"/>
    <w:rsid w:val="00AF623D"/>
    <w:rsid w:val="00AF7CC6"/>
    <w:rsid w:val="00B13730"/>
    <w:rsid w:val="00B21DD2"/>
    <w:rsid w:val="00B23703"/>
    <w:rsid w:val="00B361A4"/>
    <w:rsid w:val="00B51472"/>
    <w:rsid w:val="00B622D3"/>
    <w:rsid w:val="00B77C39"/>
    <w:rsid w:val="00B77F49"/>
    <w:rsid w:val="00B82106"/>
    <w:rsid w:val="00B84CE3"/>
    <w:rsid w:val="00B93AF6"/>
    <w:rsid w:val="00B976FB"/>
    <w:rsid w:val="00BA0C6E"/>
    <w:rsid w:val="00BA5375"/>
    <w:rsid w:val="00BA6DFA"/>
    <w:rsid w:val="00BB1D65"/>
    <w:rsid w:val="00BB1DDD"/>
    <w:rsid w:val="00BB26E5"/>
    <w:rsid w:val="00BC125D"/>
    <w:rsid w:val="00BC465A"/>
    <w:rsid w:val="00BC5F3B"/>
    <w:rsid w:val="00BC6529"/>
    <w:rsid w:val="00BD2F14"/>
    <w:rsid w:val="00BD5422"/>
    <w:rsid w:val="00BD5E18"/>
    <w:rsid w:val="00BD64F8"/>
    <w:rsid w:val="00BD69E0"/>
    <w:rsid w:val="00BE3F0E"/>
    <w:rsid w:val="00BE4BA9"/>
    <w:rsid w:val="00BE7484"/>
    <w:rsid w:val="00BF1C1A"/>
    <w:rsid w:val="00BF5E15"/>
    <w:rsid w:val="00BF6E54"/>
    <w:rsid w:val="00BF71D9"/>
    <w:rsid w:val="00C00FF6"/>
    <w:rsid w:val="00C03D74"/>
    <w:rsid w:val="00C05051"/>
    <w:rsid w:val="00C25A07"/>
    <w:rsid w:val="00C3296B"/>
    <w:rsid w:val="00C357CC"/>
    <w:rsid w:val="00C359C3"/>
    <w:rsid w:val="00C372A6"/>
    <w:rsid w:val="00C462EE"/>
    <w:rsid w:val="00C53575"/>
    <w:rsid w:val="00C535AB"/>
    <w:rsid w:val="00C547CA"/>
    <w:rsid w:val="00C54E0C"/>
    <w:rsid w:val="00C55484"/>
    <w:rsid w:val="00C600D3"/>
    <w:rsid w:val="00C65D0A"/>
    <w:rsid w:val="00C67D4D"/>
    <w:rsid w:val="00C71D23"/>
    <w:rsid w:val="00C71F18"/>
    <w:rsid w:val="00C7603D"/>
    <w:rsid w:val="00C824C1"/>
    <w:rsid w:val="00C84FB4"/>
    <w:rsid w:val="00C87DEE"/>
    <w:rsid w:val="00C918A8"/>
    <w:rsid w:val="00C93637"/>
    <w:rsid w:val="00C93D47"/>
    <w:rsid w:val="00C94A41"/>
    <w:rsid w:val="00C97E1B"/>
    <w:rsid w:val="00CA16A9"/>
    <w:rsid w:val="00CA1C11"/>
    <w:rsid w:val="00CA2F59"/>
    <w:rsid w:val="00CA6605"/>
    <w:rsid w:val="00CB3816"/>
    <w:rsid w:val="00CB654F"/>
    <w:rsid w:val="00CB6A7A"/>
    <w:rsid w:val="00CC115D"/>
    <w:rsid w:val="00CC1BD7"/>
    <w:rsid w:val="00CC4DB2"/>
    <w:rsid w:val="00CC62E3"/>
    <w:rsid w:val="00CC654E"/>
    <w:rsid w:val="00CD243D"/>
    <w:rsid w:val="00CE3DD6"/>
    <w:rsid w:val="00CF1092"/>
    <w:rsid w:val="00D0358D"/>
    <w:rsid w:val="00D046EB"/>
    <w:rsid w:val="00D056B9"/>
    <w:rsid w:val="00D12536"/>
    <w:rsid w:val="00D13E7A"/>
    <w:rsid w:val="00D14D9D"/>
    <w:rsid w:val="00D20D50"/>
    <w:rsid w:val="00D217B2"/>
    <w:rsid w:val="00D255EB"/>
    <w:rsid w:val="00D32974"/>
    <w:rsid w:val="00D32A32"/>
    <w:rsid w:val="00D32F05"/>
    <w:rsid w:val="00D36B96"/>
    <w:rsid w:val="00D6457E"/>
    <w:rsid w:val="00D67928"/>
    <w:rsid w:val="00D72861"/>
    <w:rsid w:val="00D7570C"/>
    <w:rsid w:val="00D8287C"/>
    <w:rsid w:val="00D82D26"/>
    <w:rsid w:val="00D97BF4"/>
    <w:rsid w:val="00DA3FB3"/>
    <w:rsid w:val="00DA72EC"/>
    <w:rsid w:val="00DB34FC"/>
    <w:rsid w:val="00DB36A3"/>
    <w:rsid w:val="00DB4D00"/>
    <w:rsid w:val="00DC0F95"/>
    <w:rsid w:val="00DC390A"/>
    <w:rsid w:val="00DC40E3"/>
    <w:rsid w:val="00DC7BFE"/>
    <w:rsid w:val="00DD003E"/>
    <w:rsid w:val="00DD4746"/>
    <w:rsid w:val="00DD6C35"/>
    <w:rsid w:val="00DE070D"/>
    <w:rsid w:val="00DE728C"/>
    <w:rsid w:val="00DF42BD"/>
    <w:rsid w:val="00DF7422"/>
    <w:rsid w:val="00E0396B"/>
    <w:rsid w:val="00E04816"/>
    <w:rsid w:val="00E075BF"/>
    <w:rsid w:val="00E10D8A"/>
    <w:rsid w:val="00E11C99"/>
    <w:rsid w:val="00E11F63"/>
    <w:rsid w:val="00E12CC2"/>
    <w:rsid w:val="00E132DF"/>
    <w:rsid w:val="00E215C1"/>
    <w:rsid w:val="00E257F9"/>
    <w:rsid w:val="00E30701"/>
    <w:rsid w:val="00E30E62"/>
    <w:rsid w:val="00E60EC2"/>
    <w:rsid w:val="00E6680C"/>
    <w:rsid w:val="00E66B8C"/>
    <w:rsid w:val="00E768AE"/>
    <w:rsid w:val="00E76B02"/>
    <w:rsid w:val="00E77052"/>
    <w:rsid w:val="00E80885"/>
    <w:rsid w:val="00E9463A"/>
    <w:rsid w:val="00E96D8C"/>
    <w:rsid w:val="00EA1546"/>
    <w:rsid w:val="00EA29E9"/>
    <w:rsid w:val="00EA2A5B"/>
    <w:rsid w:val="00EA3B11"/>
    <w:rsid w:val="00EB6B2C"/>
    <w:rsid w:val="00EC0D81"/>
    <w:rsid w:val="00EC1DB1"/>
    <w:rsid w:val="00EC6378"/>
    <w:rsid w:val="00ED0527"/>
    <w:rsid w:val="00ED5502"/>
    <w:rsid w:val="00EE0213"/>
    <w:rsid w:val="00EE1BAA"/>
    <w:rsid w:val="00EE23A0"/>
    <w:rsid w:val="00EE66B2"/>
    <w:rsid w:val="00EF01E6"/>
    <w:rsid w:val="00EF381D"/>
    <w:rsid w:val="00EF5A46"/>
    <w:rsid w:val="00EF64B7"/>
    <w:rsid w:val="00F004B8"/>
    <w:rsid w:val="00F067A5"/>
    <w:rsid w:val="00F2470A"/>
    <w:rsid w:val="00F27202"/>
    <w:rsid w:val="00F344F5"/>
    <w:rsid w:val="00F36A05"/>
    <w:rsid w:val="00F41C4B"/>
    <w:rsid w:val="00F4248B"/>
    <w:rsid w:val="00F4285B"/>
    <w:rsid w:val="00F4436C"/>
    <w:rsid w:val="00F474BB"/>
    <w:rsid w:val="00F562A4"/>
    <w:rsid w:val="00F572C3"/>
    <w:rsid w:val="00F578DC"/>
    <w:rsid w:val="00F606BE"/>
    <w:rsid w:val="00F60ECF"/>
    <w:rsid w:val="00F63148"/>
    <w:rsid w:val="00F649BD"/>
    <w:rsid w:val="00F64AB4"/>
    <w:rsid w:val="00F661A2"/>
    <w:rsid w:val="00F75336"/>
    <w:rsid w:val="00F7671F"/>
    <w:rsid w:val="00F80636"/>
    <w:rsid w:val="00F82A99"/>
    <w:rsid w:val="00F878EE"/>
    <w:rsid w:val="00F9101B"/>
    <w:rsid w:val="00F93032"/>
    <w:rsid w:val="00F93C5A"/>
    <w:rsid w:val="00F95134"/>
    <w:rsid w:val="00FA1999"/>
    <w:rsid w:val="00FA3380"/>
    <w:rsid w:val="00FA5F38"/>
    <w:rsid w:val="00FB2108"/>
    <w:rsid w:val="00FB73E5"/>
    <w:rsid w:val="00FC03E5"/>
    <w:rsid w:val="00FC0A3A"/>
    <w:rsid w:val="00FC44A7"/>
    <w:rsid w:val="00FC46D8"/>
    <w:rsid w:val="00FC6362"/>
    <w:rsid w:val="00FD03BB"/>
    <w:rsid w:val="00FD1F50"/>
    <w:rsid w:val="00FD472C"/>
    <w:rsid w:val="00FE2CBF"/>
    <w:rsid w:val="00FE4438"/>
    <w:rsid w:val="00FE5A0C"/>
    <w:rsid w:val="00FF3631"/>
    <w:rsid w:val="00FF58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0B077"/>
  <w15:chartTrackingRefBased/>
  <w15:docId w15:val="{D6FA9F95-A63C-4DFC-BAA5-9F4CDCC18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3768"/>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З,C,Geneva 9"/>
    <w:basedOn w:val="Normal"/>
    <w:link w:val="FootnoteTextChar"/>
    <w:uiPriority w:val="99"/>
    <w:qFormat/>
    <w:rsid w:val="00053768"/>
    <w:rPr>
      <w:rFonts w:eastAsia="Calibri"/>
      <w:sz w:val="20"/>
      <w:szCs w:val="20"/>
      <w:lang w:val="x-none" w:eastAsia="x-none"/>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qFormat/>
    <w:rsid w:val="00053768"/>
    <w:rPr>
      <w:rFonts w:ascii="Times New Roman" w:eastAsia="Calibri" w:hAnsi="Times New Roman" w:cs="Times New Roman"/>
      <w:sz w:val="20"/>
      <w:szCs w:val="20"/>
      <w:lang w:val="x-none" w:eastAsia="x-none"/>
    </w:rPr>
  </w:style>
  <w:style w:type="character" w:styleId="FootnoteReference">
    <w:name w:val="footnote reference"/>
    <w:aliases w:val="Footnote,Footnote text,ftref,BVI fnr,BearingPoint,16 Point,Superscript 6 Point,fr,(NECG) Footnote Reference,Footnote + Arial,10 pt,Black,Footnote Text1,f,R,Footnote Text Char Char Char Char Char Char Ch Char Char Char Char Char Char C"/>
    <w:link w:val="CharChar1CharCharCharChar1CharCharCharCharCharCharCharChar"/>
    <w:uiPriority w:val="99"/>
    <w:qFormat/>
    <w:rsid w:val="00053768"/>
    <w:rPr>
      <w:vertAlign w:val="superscript"/>
    </w:rPr>
  </w:style>
  <w:style w:type="paragraph" w:styleId="NormalWeb">
    <w:name w:val="Normal (Web)"/>
    <w:aliases w:val="Обычный (веб)1,Обычный (веб) Знак,Обычный (веб) Знак1,Обычный (веб) Знак Знак, Char Char Char,Char Char Char, Char Char,Char Char Char Char Char Char Char Char Char Char Char Char Char Char Char,Char Cha,Char Char,Char,webb"/>
    <w:basedOn w:val="Normal"/>
    <w:link w:val="NormalWebChar"/>
    <w:uiPriority w:val="99"/>
    <w:qFormat/>
    <w:rsid w:val="00053768"/>
    <w:pPr>
      <w:spacing w:before="100" w:beforeAutospacing="1" w:after="100" w:afterAutospacing="1"/>
    </w:pPr>
    <w:rPr>
      <w:rFonts w:eastAsia="Calibri"/>
      <w:sz w:val="24"/>
      <w:szCs w:val="24"/>
      <w:lang w:val="x-none" w:eastAsia="x-none"/>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053768"/>
    <w:pPr>
      <w:spacing w:after="160" w:line="240" w:lineRule="exact"/>
    </w:pPr>
    <w:rPr>
      <w:rFonts w:asciiTheme="minorHAnsi" w:eastAsiaTheme="minorHAnsi" w:hAnsiTheme="minorHAnsi" w:cstheme="minorBidi"/>
      <w:sz w:val="22"/>
      <w:szCs w:val="22"/>
      <w:vertAlign w:val="superscript"/>
    </w:rPr>
  </w:style>
  <w:style w:type="character" w:customStyle="1" w:styleId="NormalWebChar">
    <w:name w:val="Normal (Web) Char"/>
    <w:aliases w:val="Обычный (веб)1 Char,Обычный (веб) Знак Char,Обычный (веб) Знак1 Char,Обычный (веб) Знак Знак Char, Char Char Char Char,Char Char Char Char, Char Char Char1,Char Char Char Char Char Char Char Char Char Char Char Char Char Char Char Char"/>
    <w:link w:val="NormalWeb"/>
    <w:uiPriority w:val="99"/>
    <w:rsid w:val="00053768"/>
    <w:rPr>
      <w:rFonts w:ascii="Times New Roman" w:eastAsia="Calibri" w:hAnsi="Times New Roman" w:cs="Times New Roman"/>
      <w:sz w:val="24"/>
      <w:szCs w:val="24"/>
      <w:lang w:val="x-none" w:eastAsia="x-none"/>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rsid w:val="008E7575"/>
    <w:pPr>
      <w:spacing w:after="160" w:line="240" w:lineRule="exact"/>
    </w:pPr>
    <w:rPr>
      <w:rFonts w:asciiTheme="minorHAnsi" w:eastAsiaTheme="minorHAnsi" w:hAnsiTheme="minorHAnsi" w:cstheme="minorBidi"/>
      <w:sz w:val="22"/>
      <w:szCs w:val="22"/>
      <w:vertAlign w:val="superscript"/>
    </w:rPr>
  </w:style>
  <w:style w:type="character" w:customStyle="1" w:styleId="normalchar">
    <w:name w:val="normal__char"/>
    <w:basedOn w:val="DefaultParagraphFont"/>
    <w:rsid w:val="008E7575"/>
  </w:style>
  <w:style w:type="paragraph" w:styleId="BalloonText">
    <w:name w:val="Balloon Text"/>
    <w:basedOn w:val="Normal"/>
    <w:link w:val="BalloonTextChar"/>
    <w:uiPriority w:val="99"/>
    <w:semiHidden/>
    <w:unhideWhenUsed/>
    <w:rsid w:val="00567AE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7AEE"/>
    <w:rPr>
      <w:rFonts w:ascii="Segoe UI" w:eastAsia="Times New Roman" w:hAnsi="Segoe UI" w:cs="Segoe UI"/>
      <w:sz w:val="18"/>
      <w:szCs w:val="18"/>
    </w:rPr>
  </w:style>
  <w:style w:type="paragraph" w:styleId="Revision">
    <w:name w:val="Revision"/>
    <w:hidden/>
    <w:uiPriority w:val="99"/>
    <w:semiHidden/>
    <w:rsid w:val="00163059"/>
    <w:pPr>
      <w:spacing w:after="0" w:line="240" w:lineRule="auto"/>
    </w:pPr>
    <w:rPr>
      <w:rFonts w:ascii="Times New Roman" w:eastAsia="Times New Roman" w:hAnsi="Times New Roman" w:cs="Times New Roman"/>
      <w:sz w:val="28"/>
      <w:szCs w:val="28"/>
    </w:rPr>
  </w:style>
  <w:style w:type="character" w:styleId="CommentReference">
    <w:name w:val="annotation reference"/>
    <w:basedOn w:val="DefaultParagraphFont"/>
    <w:uiPriority w:val="99"/>
    <w:semiHidden/>
    <w:unhideWhenUsed/>
    <w:rsid w:val="00750D6C"/>
    <w:rPr>
      <w:sz w:val="16"/>
      <w:szCs w:val="16"/>
    </w:rPr>
  </w:style>
  <w:style w:type="paragraph" w:styleId="CommentText">
    <w:name w:val="annotation text"/>
    <w:basedOn w:val="Normal"/>
    <w:link w:val="CommentTextChar"/>
    <w:uiPriority w:val="99"/>
    <w:unhideWhenUsed/>
    <w:rsid w:val="00750D6C"/>
    <w:rPr>
      <w:sz w:val="20"/>
      <w:szCs w:val="20"/>
    </w:rPr>
  </w:style>
  <w:style w:type="character" w:customStyle="1" w:styleId="CommentTextChar">
    <w:name w:val="Comment Text Char"/>
    <w:basedOn w:val="DefaultParagraphFont"/>
    <w:link w:val="CommentText"/>
    <w:uiPriority w:val="99"/>
    <w:rsid w:val="00750D6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50D6C"/>
    <w:rPr>
      <w:b/>
      <w:bCs/>
    </w:rPr>
  </w:style>
  <w:style w:type="character" w:customStyle="1" w:styleId="CommentSubjectChar">
    <w:name w:val="Comment Subject Char"/>
    <w:basedOn w:val="CommentTextChar"/>
    <w:link w:val="CommentSubject"/>
    <w:uiPriority w:val="99"/>
    <w:semiHidden/>
    <w:rsid w:val="00750D6C"/>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E11C99"/>
    <w:rPr>
      <w:color w:val="0563C1" w:themeColor="hyperlink"/>
      <w:u w:val="single"/>
    </w:rPr>
  </w:style>
  <w:style w:type="table" w:styleId="TableGrid">
    <w:name w:val="Table Grid"/>
    <w:basedOn w:val="TableNormal"/>
    <w:uiPriority w:val="39"/>
    <w:rsid w:val="00E11C99"/>
    <w:pPr>
      <w:spacing w:after="0" w:line="240" w:lineRule="auto"/>
    </w:pPr>
    <w:rPr>
      <w:rFonts w:ascii="Calibri" w:eastAsia="Calibri" w:hAnsi="Calibri" w:cs="Times New Roman"/>
      <w:lang w:val="vi-VN"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
    <w:basedOn w:val="Normal"/>
    <w:link w:val="ListParagraphChar"/>
    <w:uiPriority w:val="34"/>
    <w:qFormat/>
    <w:rsid w:val="00E11C99"/>
    <w:pPr>
      <w:spacing w:after="200" w:line="276" w:lineRule="auto"/>
      <w:ind w:left="720"/>
      <w:contextualSpacing/>
    </w:pPr>
    <w:rPr>
      <w:rFonts w:eastAsia="Calibri"/>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rsid w:val="00E11C99"/>
    <w:rPr>
      <w:rFonts w:ascii="Times New Roman" w:eastAsia="Calibri" w:hAnsi="Times New Roman" w:cs="Times New Roman"/>
      <w:sz w:val="28"/>
      <w:szCs w:val="28"/>
    </w:rPr>
  </w:style>
  <w:style w:type="character" w:styleId="Strong">
    <w:name w:val="Strong"/>
    <w:basedOn w:val="DefaultParagraphFont"/>
    <w:qFormat/>
    <w:rsid w:val="00E11C99"/>
    <w:rPr>
      <w:rFonts w:cs="Times New Roman"/>
      <w:b/>
      <w:bCs/>
    </w:rPr>
  </w:style>
  <w:style w:type="paragraph" w:customStyle="1" w:styleId="Normal1">
    <w:name w:val="Normal1"/>
    <w:basedOn w:val="Normal"/>
    <w:qFormat/>
    <w:rsid w:val="00E11C99"/>
    <w:pPr>
      <w:spacing w:before="100" w:beforeAutospacing="1" w:after="100" w:afterAutospacing="1"/>
    </w:pPr>
    <w:rPr>
      <w:rFonts w:ascii="Calibri" w:hAnsi="Calibri" w:cs="Calibri"/>
      <w:sz w:val="24"/>
      <w:szCs w:val="24"/>
    </w:rPr>
  </w:style>
  <w:style w:type="character" w:customStyle="1" w:styleId="fontstyle01">
    <w:name w:val="fontstyle01"/>
    <w:rsid w:val="00E11C99"/>
    <w:rPr>
      <w:rFonts w:ascii="Times New Roman" w:hAnsi="Times New Roman" w:cs="Times New Roman" w:hint="default"/>
      <w:color w:val="000000"/>
      <w:sz w:val="28"/>
    </w:rPr>
  </w:style>
  <w:style w:type="paragraph" w:customStyle="1" w:styleId="Normal11">
    <w:name w:val="Normal11"/>
    <w:basedOn w:val="Normal"/>
    <w:rsid w:val="00E11C99"/>
    <w:pPr>
      <w:spacing w:before="100" w:beforeAutospacing="1" w:after="100" w:afterAutospacing="1"/>
    </w:pPr>
    <w:rPr>
      <w:rFonts w:ascii="Calibri" w:hAnsi="Calibri" w:cs="Calibri"/>
      <w:sz w:val="24"/>
      <w:szCs w:val="24"/>
    </w:rPr>
  </w:style>
  <w:style w:type="paragraph" w:styleId="BodyTextIndent">
    <w:name w:val="Body Text Indent"/>
    <w:basedOn w:val="Normal"/>
    <w:link w:val="BodyTextIndentChar"/>
    <w:rsid w:val="00E11C99"/>
    <w:pPr>
      <w:ind w:left="360"/>
    </w:pPr>
    <w:rPr>
      <w:rFonts w:ascii=".VnTime" w:hAnsi=".VnTime"/>
    </w:rPr>
  </w:style>
  <w:style w:type="character" w:customStyle="1" w:styleId="BodyTextIndentChar">
    <w:name w:val="Body Text Indent Char"/>
    <w:basedOn w:val="DefaultParagraphFont"/>
    <w:link w:val="BodyTextIndent"/>
    <w:rsid w:val="00E11C99"/>
    <w:rPr>
      <w:rFonts w:ascii=".VnTime" w:eastAsia="Times New Roman" w:hAnsi=".VnTime" w:cs="Times New Roman"/>
      <w:sz w:val="28"/>
      <w:szCs w:val="28"/>
    </w:rPr>
  </w:style>
  <w:style w:type="paragraph" w:styleId="Header">
    <w:name w:val="header"/>
    <w:basedOn w:val="Normal"/>
    <w:link w:val="HeaderChar"/>
    <w:uiPriority w:val="99"/>
    <w:unhideWhenUsed/>
    <w:rsid w:val="008854E5"/>
    <w:pPr>
      <w:tabs>
        <w:tab w:val="center" w:pos="4513"/>
        <w:tab w:val="right" w:pos="9026"/>
      </w:tabs>
    </w:pPr>
  </w:style>
  <w:style w:type="character" w:customStyle="1" w:styleId="HeaderChar">
    <w:name w:val="Header Char"/>
    <w:basedOn w:val="DefaultParagraphFont"/>
    <w:link w:val="Header"/>
    <w:uiPriority w:val="99"/>
    <w:rsid w:val="008854E5"/>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8854E5"/>
    <w:pPr>
      <w:tabs>
        <w:tab w:val="center" w:pos="4513"/>
        <w:tab w:val="right" w:pos="9026"/>
      </w:tabs>
    </w:pPr>
  </w:style>
  <w:style w:type="character" w:customStyle="1" w:styleId="FooterChar">
    <w:name w:val="Footer Char"/>
    <w:basedOn w:val="DefaultParagraphFont"/>
    <w:link w:val="Footer"/>
    <w:uiPriority w:val="99"/>
    <w:rsid w:val="008854E5"/>
    <w:rPr>
      <w:rFonts w:ascii="Times New Roman" w:eastAsia="Times New Roman" w:hAnsi="Times New Roman" w:cs="Times New Roman"/>
      <w:sz w:val="28"/>
      <w:szCs w:val="28"/>
    </w:rPr>
  </w:style>
  <w:style w:type="paragraph" w:styleId="BodyText">
    <w:name w:val="Body Text"/>
    <w:basedOn w:val="Normal"/>
    <w:link w:val="BodyTextChar"/>
    <w:uiPriority w:val="99"/>
    <w:semiHidden/>
    <w:unhideWhenUsed/>
    <w:rsid w:val="00CC4DB2"/>
    <w:pPr>
      <w:spacing w:after="120"/>
    </w:pPr>
  </w:style>
  <w:style w:type="character" w:customStyle="1" w:styleId="BodyTextChar">
    <w:name w:val="Body Text Char"/>
    <w:basedOn w:val="DefaultParagraphFont"/>
    <w:link w:val="BodyText"/>
    <w:uiPriority w:val="99"/>
    <w:semiHidden/>
    <w:rsid w:val="00CC4DB2"/>
    <w:rPr>
      <w:rFonts w:ascii="Times New Roman" w:eastAsia="Times New Roman" w:hAnsi="Times New Roman" w:cs="Times New Roman"/>
      <w:sz w:val="28"/>
      <w:szCs w:val="28"/>
    </w:rPr>
  </w:style>
  <w:style w:type="table" w:customStyle="1" w:styleId="TableGrid1">
    <w:name w:val="Table Grid1"/>
    <w:basedOn w:val="TableNormal"/>
    <w:next w:val="TableGrid"/>
    <w:uiPriority w:val="39"/>
    <w:rsid w:val="00AE05A0"/>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21">
    <w:name w:val="a21"/>
    <w:rsid w:val="00987FCB"/>
    <w:rPr>
      <w:rFonts w:ascii="Arial" w:hAnsi="Arial" w:cs="Arial" w:hint="default"/>
      <w:strike w:val="0"/>
      <w:dstrike w:val="0"/>
      <w:sz w:val="20"/>
      <w:szCs w:val="20"/>
      <w:u w:val="none"/>
      <w:effect w:val="none"/>
    </w:rPr>
  </w:style>
  <w:style w:type="table" w:customStyle="1" w:styleId="TableGrid2">
    <w:name w:val="Table Grid2"/>
    <w:basedOn w:val="TableNormal"/>
    <w:next w:val="TableGrid"/>
    <w:uiPriority w:val="39"/>
    <w:rsid w:val="00EF01E6"/>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552563"/>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D6457E"/>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D20D50"/>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2">
    <w:name w:val="Normal2"/>
    <w:basedOn w:val="Normal"/>
    <w:rsid w:val="007438AE"/>
    <w:pPr>
      <w:spacing w:before="100" w:beforeAutospacing="1" w:after="100" w:afterAutospacing="1"/>
    </w:pPr>
    <w:rPr>
      <w:sz w:val="24"/>
      <w:szCs w:val="24"/>
    </w:rPr>
  </w:style>
  <w:style w:type="table" w:customStyle="1" w:styleId="TableGrid6">
    <w:name w:val="Table Grid6"/>
    <w:basedOn w:val="TableNormal"/>
    <w:next w:val="TableGrid"/>
    <w:uiPriority w:val="39"/>
    <w:rsid w:val="0012442C"/>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53DE5"/>
    <w:pPr>
      <w:spacing w:after="0" w:line="240" w:lineRule="auto"/>
    </w:pPr>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927359">
      <w:bodyDiv w:val="1"/>
      <w:marLeft w:val="0"/>
      <w:marRight w:val="0"/>
      <w:marTop w:val="0"/>
      <w:marBottom w:val="0"/>
      <w:divBdr>
        <w:top w:val="none" w:sz="0" w:space="0" w:color="auto"/>
        <w:left w:val="none" w:sz="0" w:space="0" w:color="auto"/>
        <w:bottom w:val="none" w:sz="0" w:space="0" w:color="auto"/>
        <w:right w:val="none" w:sz="0" w:space="0" w:color="auto"/>
      </w:divBdr>
    </w:div>
    <w:div w:id="211504775">
      <w:bodyDiv w:val="1"/>
      <w:marLeft w:val="0"/>
      <w:marRight w:val="0"/>
      <w:marTop w:val="0"/>
      <w:marBottom w:val="0"/>
      <w:divBdr>
        <w:top w:val="none" w:sz="0" w:space="0" w:color="auto"/>
        <w:left w:val="none" w:sz="0" w:space="0" w:color="auto"/>
        <w:bottom w:val="none" w:sz="0" w:space="0" w:color="auto"/>
        <w:right w:val="none" w:sz="0" w:space="0" w:color="auto"/>
      </w:divBdr>
    </w:div>
    <w:div w:id="225842845">
      <w:bodyDiv w:val="1"/>
      <w:marLeft w:val="0"/>
      <w:marRight w:val="0"/>
      <w:marTop w:val="0"/>
      <w:marBottom w:val="0"/>
      <w:divBdr>
        <w:top w:val="none" w:sz="0" w:space="0" w:color="auto"/>
        <w:left w:val="none" w:sz="0" w:space="0" w:color="auto"/>
        <w:bottom w:val="none" w:sz="0" w:space="0" w:color="auto"/>
        <w:right w:val="none" w:sz="0" w:space="0" w:color="auto"/>
      </w:divBdr>
    </w:div>
    <w:div w:id="269316731">
      <w:bodyDiv w:val="1"/>
      <w:marLeft w:val="0"/>
      <w:marRight w:val="0"/>
      <w:marTop w:val="0"/>
      <w:marBottom w:val="0"/>
      <w:divBdr>
        <w:top w:val="none" w:sz="0" w:space="0" w:color="auto"/>
        <w:left w:val="none" w:sz="0" w:space="0" w:color="auto"/>
        <w:bottom w:val="none" w:sz="0" w:space="0" w:color="auto"/>
        <w:right w:val="none" w:sz="0" w:space="0" w:color="auto"/>
      </w:divBdr>
    </w:div>
    <w:div w:id="389305842">
      <w:bodyDiv w:val="1"/>
      <w:marLeft w:val="0"/>
      <w:marRight w:val="0"/>
      <w:marTop w:val="0"/>
      <w:marBottom w:val="0"/>
      <w:divBdr>
        <w:top w:val="none" w:sz="0" w:space="0" w:color="auto"/>
        <w:left w:val="none" w:sz="0" w:space="0" w:color="auto"/>
        <w:bottom w:val="none" w:sz="0" w:space="0" w:color="auto"/>
        <w:right w:val="none" w:sz="0" w:space="0" w:color="auto"/>
      </w:divBdr>
    </w:div>
    <w:div w:id="834883284">
      <w:bodyDiv w:val="1"/>
      <w:marLeft w:val="0"/>
      <w:marRight w:val="0"/>
      <w:marTop w:val="0"/>
      <w:marBottom w:val="0"/>
      <w:divBdr>
        <w:top w:val="none" w:sz="0" w:space="0" w:color="auto"/>
        <w:left w:val="none" w:sz="0" w:space="0" w:color="auto"/>
        <w:bottom w:val="none" w:sz="0" w:space="0" w:color="auto"/>
        <w:right w:val="none" w:sz="0" w:space="0" w:color="auto"/>
      </w:divBdr>
    </w:div>
    <w:div w:id="840197260">
      <w:bodyDiv w:val="1"/>
      <w:marLeft w:val="0"/>
      <w:marRight w:val="0"/>
      <w:marTop w:val="0"/>
      <w:marBottom w:val="0"/>
      <w:divBdr>
        <w:top w:val="none" w:sz="0" w:space="0" w:color="auto"/>
        <w:left w:val="none" w:sz="0" w:space="0" w:color="auto"/>
        <w:bottom w:val="none" w:sz="0" w:space="0" w:color="auto"/>
        <w:right w:val="none" w:sz="0" w:space="0" w:color="auto"/>
      </w:divBdr>
    </w:div>
    <w:div w:id="964696685">
      <w:bodyDiv w:val="1"/>
      <w:marLeft w:val="0"/>
      <w:marRight w:val="0"/>
      <w:marTop w:val="0"/>
      <w:marBottom w:val="0"/>
      <w:divBdr>
        <w:top w:val="none" w:sz="0" w:space="0" w:color="auto"/>
        <w:left w:val="none" w:sz="0" w:space="0" w:color="auto"/>
        <w:bottom w:val="none" w:sz="0" w:space="0" w:color="auto"/>
        <w:right w:val="none" w:sz="0" w:space="0" w:color="auto"/>
      </w:divBdr>
    </w:div>
    <w:div w:id="1164977474">
      <w:bodyDiv w:val="1"/>
      <w:marLeft w:val="0"/>
      <w:marRight w:val="0"/>
      <w:marTop w:val="0"/>
      <w:marBottom w:val="0"/>
      <w:divBdr>
        <w:top w:val="none" w:sz="0" w:space="0" w:color="auto"/>
        <w:left w:val="none" w:sz="0" w:space="0" w:color="auto"/>
        <w:bottom w:val="none" w:sz="0" w:space="0" w:color="auto"/>
        <w:right w:val="none" w:sz="0" w:space="0" w:color="auto"/>
      </w:divBdr>
    </w:div>
    <w:div w:id="1198665927">
      <w:bodyDiv w:val="1"/>
      <w:marLeft w:val="0"/>
      <w:marRight w:val="0"/>
      <w:marTop w:val="0"/>
      <w:marBottom w:val="0"/>
      <w:divBdr>
        <w:top w:val="none" w:sz="0" w:space="0" w:color="auto"/>
        <w:left w:val="none" w:sz="0" w:space="0" w:color="auto"/>
        <w:bottom w:val="none" w:sz="0" w:space="0" w:color="auto"/>
        <w:right w:val="none" w:sz="0" w:space="0" w:color="auto"/>
      </w:divBdr>
    </w:div>
    <w:div w:id="1227105211">
      <w:bodyDiv w:val="1"/>
      <w:marLeft w:val="0"/>
      <w:marRight w:val="0"/>
      <w:marTop w:val="0"/>
      <w:marBottom w:val="0"/>
      <w:divBdr>
        <w:top w:val="none" w:sz="0" w:space="0" w:color="auto"/>
        <w:left w:val="none" w:sz="0" w:space="0" w:color="auto"/>
        <w:bottom w:val="none" w:sz="0" w:space="0" w:color="auto"/>
        <w:right w:val="none" w:sz="0" w:space="0" w:color="auto"/>
      </w:divBdr>
    </w:div>
    <w:div w:id="1274096600">
      <w:bodyDiv w:val="1"/>
      <w:marLeft w:val="0"/>
      <w:marRight w:val="0"/>
      <w:marTop w:val="0"/>
      <w:marBottom w:val="0"/>
      <w:divBdr>
        <w:top w:val="none" w:sz="0" w:space="0" w:color="auto"/>
        <w:left w:val="none" w:sz="0" w:space="0" w:color="auto"/>
        <w:bottom w:val="none" w:sz="0" w:space="0" w:color="auto"/>
        <w:right w:val="none" w:sz="0" w:space="0" w:color="auto"/>
      </w:divBdr>
    </w:div>
    <w:div w:id="1675648246">
      <w:bodyDiv w:val="1"/>
      <w:marLeft w:val="0"/>
      <w:marRight w:val="0"/>
      <w:marTop w:val="0"/>
      <w:marBottom w:val="0"/>
      <w:divBdr>
        <w:top w:val="none" w:sz="0" w:space="0" w:color="auto"/>
        <w:left w:val="none" w:sz="0" w:space="0" w:color="auto"/>
        <w:bottom w:val="none" w:sz="0" w:space="0" w:color="auto"/>
        <w:right w:val="none" w:sz="0" w:space="0" w:color="auto"/>
      </w:divBdr>
    </w:div>
    <w:div w:id="1730691201">
      <w:bodyDiv w:val="1"/>
      <w:marLeft w:val="0"/>
      <w:marRight w:val="0"/>
      <w:marTop w:val="0"/>
      <w:marBottom w:val="0"/>
      <w:divBdr>
        <w:top w:val="none" w:sz="0" w:space="0" w:color="auto"/>
        <w:left w:val="none" w:sz="0" w:space="0" w:color="auto"/>
        <w:bottom w:val="none" w:sz="0" w:space="0" w:color="auto"/>
        <w:right w:val="none" w:sz="0" w:space="0" w:color="auto"/>
      </w:divBdr>
    </w:div>
    <w:div w:id="1894611125">
      <w:bodyDiv w:val="1"/>
      <w:marLeft w:val="0"/>
      <w:marRight w:val="0"/>
      <w:marTop w:val="0"/>
      <w:marBottom w:val="0"/>
      <w:divBdr>
        <w:top w:val="none" w:sz="0" w:space="0" w:color="auto"/>
        <w:left w:val="none" w:sz="0" w:space="0" w:color="auto"/>
        <w:bottom w:val="none" w:sz="0" w:space="0" w:color="auto"/>
        <w:right w:val="none" w:sz="0" w:space="0" w:color="auto"/>
      </w:divBdr>
    </w:div>
    <w:div w:id="2086418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chart" Target="charts/chart6.xm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image" Target="media/image5.jpeg"/><Relationship Id="rId25" Type="http://schemas.openxmlformats.org/officeDocument/2006/relationships/image" Target="media/image9.jpg"/><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chart" Target="charts/chart9.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chart" Target="charts/chart8.xml"/><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6.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3.xml"/><Relationship Id="rId22" Type="http://schemas.openxmlformats.org/officeDocument/2006/relationships/chart" Target="charts/chart7.xm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10.42.9.250\tkth02\Tram%20Anh\Th&#225;ng%205\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10.42.9.250\tkth02\Tram%20Anh\Th&#225;ng%205\2.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G:\MyDocs\Hai%20Van\DICH_TRANSLATION\NIEN%20GIAM\BAO%20CAO%20THANG-QUY\Thang%2011\Bi&#7875;u%20&#273;&#7891;%20V&#272;T%20T11%202025.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1.xm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G:\MyDocs\Hai%20Van\DICH_TRANSLATION\NIEN%20GIAM\BAO%20CAO%20THANG-QUY\Thang%2011\bi&#7875;u%20&#273;&#7891;%20FDI%20T11%202025.xlsx" TargetMode="External"/></Relationships>
</file>

<file path=word/charts/_rels/chart5.xml.rels><?xml version="1.0" encoding="UTF-8" standalone="yes"?>
<Relationships xmlns="http://schemas.openxmlformats.org/package/2006/relationships"><Relationship Id="rId3" Type="http://schemas.openxmlformats.org/officeDocument/2006/relationships/oleObject" Target="file:///C:\Users\btphuong\Desktop\N&#258;M%202025%20M&#7898;I\b&#225;o%20c&#225;o%20th&#225;ng%209,%2010,11,12,%202025\Th&#225;ng%2011\bi&#7875;u%20&#273;&#7891;%20FDI%202.xlsx" TargetMode="External"/><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oleObject" Target="file:///D:\Bao%20cao\Bao%20cao%20KTXH\Thang%2011%202025\Info\&#272;&#7891;%20th&#7883;%20t&#7893;ng%20m&#7913;c%2010.2025.xlsx" TargetMode="External"/><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oleObject" Target="file:///D:\Bao%20cao\Bao%20cao%20KTXH\Thang%2011%202025\Info\Bi&#7875;u%20&#273;&#7891;%20XNK%20T9.2025.xlsx" TargetMode="External"/><Relationship Id="rId2" Type="http://schemas.microsoft.com/office/2011/relationships/chartColorStyle" Target="colors6.xml"/><Relationship Id="rId1" Type="http://schemas.microsoft.com/office/2011/relationships/chartStyle" Target="style6.xml"/></Relationships>
</file>

<file path=word/charts/_rels/chart8.xml.rels><?xml version="1.0" encoding="UTF-8" standalone="yes"?>
<Relationships xmlns="http://schemas.openxmlformats.org/package/2006/relationships"><Relationship Id="rId3" Type="http://schemas.openxmlformats.org/officeDocument/2006/relationships/oleObject" Target="file:///D:\Bao%20cao\Bao%20cao%20KTXH\Thang%2011%202025\Info\Bi&#7875;u%20&#273;&#7891;%20XNK%20T9.2025.xlsx" TargetMode="External"/><Relationship Id="rId2" Type="http://schemas.microsoft.com/office/2011/relationships/chartColorStyle" Target="colors7.xml"/><Relationship Id="rId1" Type="http://schemas.microsoft.com/office/2011/relationships/chartStyle" Target="style7.xml"/></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spPr>
            <a:solidFill>
              <a:schemeClr val="accent1"/>
            </a:solidFill>
            <a:ln>
              <a:noFill/>
            </a:ln>
            <a:effectLst/>
          </c:spPr>
          <c:invertIfNegative val="0"/>
          <c:dLbls>
            <c:dLbl>
              <c:idx val="0"/>
              <c:layout>
                <c:manualLayout>
                  <c:x val="-2.3285622136217643E-4"/>
                  <c:y val="-0.4140884855760743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E73-43CF-BF16-92946381B59B}"/>
                </c:ext>
              </c:extLst>
            </c:dLbl>
            <c:dLbl>
              <c:idx val="1"/>
              <c:layout>
                <c:manualLayout>
                  <c:x val="0"/>
                  <c:y val="-0.3937315806596378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E73-43CF-BF16-92946381B59B}"/>
                </c:ext>
              </c:extLst>
            </c:dLbl>
            <c:dLbl>
              <c:idx val="2"/>
              <c:layout>
                <c:manualLayout>
                  <c:x val="0"/>
                  <c:y val="-0.3081547228143438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E73-43CF-BF16-92946381B59B}"/>
                </c:ext>
              </c:extLst>
            </c:dLbl>
            <c:dLbl>
              <c:idx val="3"/>
              <c:layout>
                <c:manualLayout>
                  <c:x val="0"/>
                  <c:y val="-0.2695320629300035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E73-43CF-BF16-92946381B59B}"/>
                </c:ext>
              </c:extLst>
            </c:dLbl>
            <c:dLbl>
              <c:idx val="4"/>
              <c:layout>
                <c:manualLayout>
                  <c:x val="-1.7610758148684997E-3"/>
                  <c:y val="-0.267846327401049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E73-43CF-BF16-92946381B59B}"/>
                </c:ext>
              </c:extLst>
            </c:dLbl>
            <c:dLbl>
              <c:idx val="5"/>
              <c:layout>
                <c:manualLayout>
                  <c:x val="-2.3725989915282069E-4"/>
                  <c:y val="-0.2530726277004579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E73-43CF-BF16-92946381B59B}"/>
                </c:ext>
              </c:extLst>
            </c:dLbl>
            <c:dLbl>
              <c:idx val="6"/>
              <c:layout>
                <c:manualLayout>
                  <c:x val="-1.7610758148684997E-3"/>
                  <c:y val="-0.2658800049536353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E73-43CF-BF16-92946381B59B}"/>
                </c:ext>
              </c:extLst>
            </c:dLbl>
            <c:dLbl>
              <c:idx val="7"/>
              <c:layout>
                <c:manualLayout>
                  <c:x val="-1.2914406787373094E-16"/>
                  <c:y val="-0.273551370273489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E73-43CF-BF16-92946381B59B}"/>
                </c:ext>
              </c:extLst>
            </c:dLbl>
            <c:dLbl>
              <c:idx val="8"/>
              <c:layout>
                <c:manualLayout>
                  <c:x val="-3.9968100954295089E-3"/>
                  <c:y val="-0.2484690121041521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E73-43CF-BF16-92946381B59B}"/>
                </c:ext>
              </c:extLst>
            </c:dLbl>
            <c:dLbl>
              <c:idx val="9"/>
              <c:layout>
                <c:manualLayout>
                  <c:x val="-1.7610758148684997E-3"/>
                  <c:y val="-0.2596620776518176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E73-43CF-BF16-92946381B59B}"/>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Sheet1!$A$1:$A$10</c:f>
              <c:strCache>
                <c:ptCount val="10"/>
                <c:pt idx="0">
                  <c:v>Phú Thọ</c:v>
                </c:pt>
                <c:pt idx="1">
                  <c:v>Ninh Bình</c:v>
                </c:pt>
                <c:pt idx="2">
                  <c:v>Bắc Ninh</c:v>
                </c:pt>
                <c:pt idx="3">
                  <c:v>Nghệ An</c:v>
                </c:pt>
                <c:pt idx="4">
                  <c:v>Quảng Ninh</c:v>
                </c:pt>
                <c:pt idx="5">
                  <c:v>Thanh Hóa</c:v>
                </c:pt>
                <c:pt idx="6">
                  <c:v>Hải Phòng</c:v>
                </c:pt>
                <c:pt idx="7">
                  <c:v>Tây Ninh</c:v>
                </c:pt>
                <c:pt idx="8">
                  <c:v>Đồng Nai</c:v>
                </c:pt>
                <c:pt idx="9">
                  <c:v>Huế</c:v>
                </c:pt>
              </c:strCache>
            </c:strRef>
          </c:cat>
          <c:val>
            <c:numRef>
              <c:f>Sheet1!$B$1:$B$10</c:f>
              <c:numCache>
                <c:formatCode>0.0</c:formatCode>
                <c:ptCount val="10"/>
                <c:pt idx="0">
                  <c:v>27.39</c:v>
                </c:pt>
                <c:pt idx="1">
                  <c:v>22.510000000000005</c:v>
                </c:pt>
                <c:pt idx="2">
                  <c:v>16.790000000000006</c:v>
                </c:pt>
                <c:pt idx="3">
                  <c:v>16.459999999999994</c:v>
                </c:pt>
                <c:pt idx="4">
                  <c:v>16.11</c:v>
                </c:pt>
                <c:pt idx="5">
                  <c:v>15.730000000000004</c:v>
                </c:pt>
                <c:pt idx="6">
                  <c:v>15.14</c:v>
                </c:pt>
                <c:pt idx="7">
                  <c:v>14.920000000000002</c:v>
                </c:pt>
                <c:pt idx="8">
                  <c:v>14.700000000000003</c:v>
                </c:pt>
                <c:pt idx="9">
                  <c:v>14.689999999999998</c:v>
                </c:pt>
              </c:numCache>
            </c:numRef>
          </c:val>
          <c:extLst>
            <c:ext xmlns:c16="http://schemas.microsoft.com/office/drawing/2014/chart" uri="{C3380CC4-5D6E-409C-BE32-E72D297353CC}">
              <c16:uniqueId val="{0000000A-7E73-43CF-BF16-92946381B59B}"/>
            </c:ext>
          </c:extLst>
        </c:ser>
        <c:dLbls>
          <c:dLblPos val="ctr"/>
          <c:showLegendKey val="0"/>
          <c:showVal val="1"/>
          <c:showCatName val="0"/>
          <c:showSerName val="0"/>
          <c:showPercent val="0"/>
          <c:showBubbleSize val="0"/>
        </c:dLbls>
        <c:gapWidth val="150"/>
        <c:overlap val="100"/>
        <c:axId val="1908930640"/>
        <c:axId val="1908931728"/>
      </c:barChart>
      <c:catAx>
        <c:axId val="1908930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908931728"/>
        <c:crosses val="autoZero"/>
        <c:auto val="1"/>
        <c:lblAlgn val="ctr"/>
        <c:lblOffset val="100"/>
        <c:noMultiLvlLbl val="0"/>
      </c:catAx>
      <c:valAx>
        <c:axId val="190893172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90893064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spPr>
            <a:solidFill>
              <a:srgbClr val="C00000"/>
            </a:solidFill>
            <a:ln>
              <a:noFill/>
            </a:ln>
            <a:effectLst/>
          </c:spPr>
          <c:invertIfNegative val="0"/>
          <c:dLbls>
            <c:dLbl>
              <c:idx val="0"/>
              <c:layout>
                <c:manualLayout>
                  <c:x val="-5.0509382242499646E-3"/>
                  <c:y val="-0.2778622637410384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4A4-4C13-8EDA-3C0127DCBEBD}"/>
                </c:ext>
              </c:extLst>
            </c:dLbl>
            <c:dLbl>
              <c:idx val="1"/>
              <c:layout>
                <c:manualLayout>
                  <c:x val="-5.4703827679633841E-3"/>
                  <c:y val="-0.3085162213653939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4A4-4C13-8EDA-3C0127DCBEBD}"/>
                </c:ext>
              </c:extLst>
            </c:dLbl>
            <c:dLbl>
              <c:idx val="2"/>
              <c:layout>
                <c:manualLayout>
                  <c:x val="-2.4669004120324595E-3"/>
                  <c:y val="-0.3119650137440306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4A4-4C13-8EDA-3C0127DCBEBD}"/>
                </c:ext>
              </c:extLst>
            </c:dLbl>
            <c:dLbl>
              <c:idx val="3"/>
              <c:layout>
                <c:manualLayout>
                  <c:x val="-4.8660331981951578E-3"/>
                  <c:y val="-0.3291698054219557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4A4-4C13-8EDA-3C0127DCBEBD}"/>
                </c:ext>
              </c:extLst>
            </c:dLbl>
            <c:dLbl>
              <c:idx val="4"/>
              <c:layout>
                <c:manualLayout>
                  <c:x val="-2.097884511789139E-4"/>
                  <c:y val="-0.3589232107825447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4A4-4C13-8EDA-3C0127DCBEBD}"/>
                </c:ext>
              </c:extLst>
            </c:dLbl>
            <c:dLbl>
              <c:idx val="5"/>
              <c:layout>
                <c:manualLayout>
                  <c:x val="4.8540336950414313E-3"/>
                  <c:y val="-0.38076308433275757"/>
                </c:manualLayout>
              </c:layout>
              <c:spPr>
                <a:noFill/>
                <a:ln>
                  <a:noFill/>
                </a:ln>
                <a:effectLst/>
              </c:spPr>
              <c:txPr>
                <a:bodyPr rot="0" spcFirstLastPara="1" vertOverflow="ellipsis" vert="horz" wrap="square" lIns="38100" tIns="19050" rIns="38100" bIns="19050" anchor="ctr" anchorCtr="1">
                  <a:noAutofit/>
                </a:bodyPr>
                <a:lstStyle/>
                <a:p>
                  <a:pPr>
                    <a:defRPr sz="8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extLst>
                <c:ext xmlns:c15="http://schemas.microsoft.com/office/drawing/2012/chart" uri="{CE6537A1-D6FC-4f65-9D91-7224C49458BB}">
                  <c15:layout>
                    <c:manualLayout>
                      <c:w val="7.2052297810599755E-2"/>
                      <c:h val="8.356687328977494E-2"/>
                    </c:manualLayout>
                  </c15:layout>
                </c:ext>
                <c:ext xmlns:c16="http://schemas.microsoft.com/office/drawing/2014/chart" uri="{C3380CC4-5D6E-409C-BE32-E72D297353CC}">
                  <c16:uniqueId val="{00000005-64A4-4C13-8EDA-3C0127DCBEBD}"/>
                </c:ext>
              </c:extLst>
            </c:dLbl>
            <c:dLbl>
              <c:idx val="6"/>
              <c:layout>
                <c:manualLayout>
                  <c:x val="-5.0428643469491901E-3"/>
                  <c:y val="-0.4148724229715903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4A4-4C13-8EDA-3C0127DCBEBD}"/>
                </c:ext>
              </c:extLst>
            </c:dLbl>
            <c:dLbl>
              <c:idx val="7"/>
              <c:layout>
                <c:manualLayout>
                  <c:x val="-6.7317606479220355E-4"/>
                  <c:y val="-0.4091673536566302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4A4-4C13-8EDA-3C0127DCBEBD}"/>
                </c:ext>
              </c:extLst>
            </c:dLbl>
            <c:dLbl>
              <c:idx val="8"/>
              <c:layout>
                <c:manualLayout>
                  <c:x val="6.7327290118165397E-4"/>
                  <c:y val="-0.3826671664096367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4A4-4C13-8EDA-3C0127DCBEBD}"/>
                </c:ext>
              </c:extLst>
            </c:dLbl>
            <c:dLbl>
              <c:idx val="9"/>
              <c:layout>
                <c:manualLayout>
                  <c:x val="7.8999642435167853E-4"/>
                  <c:y val="-0.4002996255231607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4A4-4C13-8EDA-3C0127DCBEBD}"/>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Sheet1!$A$16:$A$25</c:f>
              <c:strCache>
                <c:ptCount val="10"/>
                <c:pt idx="0">
                  <c:v>Lâm Đồng</c:v>
                </c:pt>
                <c:pt idx="1">
                  <c:v>Vĩnh Long</c:v>
                </c:pt>
                <c:pt idx="2">
                  <c:v>Lạng Sơn </c:v>
                </c:pt>
                <c:pt idx="3">
                  <c:v>Khánh Hòa</c:v>
                </c:pt>
                <c:pt idx="4">
                  <c:v>Cao Bằng</c:v>
                </c:pt>
                <c:pt idx="5">
                  <c:v>Hà Tĩnh</c:v>
                </c:pt>
                <c:pt idx="6">
                  <c:v> Hà Nội</c:v>
                </c:pt>
                <c:pt idx="7">
                  <c:v>Tuyên Quang</c:v>
                </c:pt>
                <c:pt idx="8">
                  <c:v>Quảng Trị</c:v>
                </c:pt>
                <c:pt idx="9">
                  <c:v>TP. Hồ Chí Minh</c:v>
                </c:pt>
              </c:strCache>
            </c:strRef>
          </c:cat>
          <c:val>
            <c:numRef>
              <c:f>Sheet1!$B$16:$B$25</c:f>
              <c:numCache>
                <c:formatCode>0.0</c:formatCode>
                <c:ptCount val="10"/>
                <c:pt idx="0">
                  <c:v>4.269999999999996</c:v>
                </c:pt>
                <c:pt idx="1">
                  <c:v>6.0100000000000051</c:v>
                </c:pt>
                <c:pt idx="2">
                  <c:v>6.1500000000000057</c:v>
                </c:pt>
                <c:pt idx="3">
                  <c:v>6.2399999999999949</c:v>
                </c:pt>
                <c:pt idx="4">
                  <c:v>6.5</c:v>
                </c:pt>
                <c:pt idx="5">
                  <c:v>6.6400000000000006</c:v>
                </c:pt>
                <c:pt idx="6">
                  <c:v>7.019999999999996</c:v>
                </c:pt>
                <c:pt idx="7">
                  <c:v>7.0600000000000023</c:v>
                </c:pt>
                <c:pt idx="8">
                  <c:v>8.1500000000000057</c:v>
                </c:pt>
                <c:pt idx="9">
                  <c:v>8.2900000000000063</c:v>
                </c:pt>
              </c:numCache>
            </c:numRef>
          </c:val>
          <c:extLst>
            <c:ext xmlns:c16="http://schemas.microsoft.com/office/drawing/2014/chart" uri="{C3380CC4-5D6E-409C-BE32-E72D297353CC}">
              <c16:uniqueId val="{0000000A-64A4-4C13-8EDA-3C0127DCBEBD}"/>
            </c:ext>
          </c:extLst>
        </c:ser>
        <c:dLbls>
          <c:dLblPos val="ctr"/>
          <c:showLegendKey val="0"/>
          <c:showVal val="1"/>
          <c:showCatName val="0"/>
          <c:showSerName val="0"/>
          <c:showPercent val="0"/>
          <c:showBubbleSize val="0"/>
        </c:dLbls>
        <c:gapWidth val="150"/>
        <c:overlap val="100"/>
        <c:axId val="1908933904"/>
        <c:axId val="1908936624"/>
      </c:barChart>
      <c:catAx>
        <c:axId val="1908933904"/>
        <c:scaling>
          <c:orientation val="minMax"/>
        </c:scaling>
        <c:delete val="0"/>
        <c:axPos val="b"/>
        <c:numFmt formatCode="General" sourceLinked="1"/>
        <c:majorTickMark val="none"/>
        <c:minorTickMark val="none"/>
        <c:tickLblPos val="low"/>
        <c:spPr>
          <a:noFill/>
          <a:ln w="9525" cap="flat" cmpd="sng" algn="ctr">
            <a:noFill/>
            <a:round/>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908936624"/>
        <c:crosses val="autoZero"/>
        <c:auto val="1"/>
        <c:lblAlgn val="ctr"/>
        <c:lblOffset val="100"/>
        <c:noMultiLvlLbl val="0"/>
      </c:catAx>
      <c:valAx>
        <c:axId val="190893662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90893390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6294158198993559E-2"/>
          <c:y val="0.12987602195116291"/>
          <c:w val="0.89996767604437333"/>
          <c:h val="0.66574137320055682"/>
        </c:manualLayout>
      </c:layout>
      <c:barChart>
        <c:barDir val="col"/>
        <c:grouping val="clustered"/>
        <c:varyColors val="0"/>
        <c:ser>
          <c:idx val="0"/>
          <c:order val="0"/>
          <c:tx>
            <c:strRef>
              <c:f>'Hình 7. Địa phương'!$D$4</c:f>
              <c:strCache>
                <c:ptCount val="1"/>
                <c:pt idx="0">
                  <c:v>State budget investment in 11 months of 2024</c:v>
                </c:pt>
              </c:strCache>
            </c:strRef>
          </c:tx>
          <c:spPr>
            <a:solidFill>
              <a:srgbClr val="CFB09D"/>
            </a:solidFill>
            <a:ln>
              <a:noFill/>
            </a:ln>
            <a:effectLst/>
          </c:spPr>
          <c:invertIfNegative val="0"/>
          <c:cat>
            <c:strRef>
              <c:f>'Hình 7. Địa phương'!$C$5:$C$26</c:f>
              <c:strCache>
                <c:ptCount val="9"/>
                <c:pt idx="0">
                  <c:v>Ho Chi Minh City</c:v>
                </c:pt>
                <c:pt idx="1">
                  <c:v>Ha Noi</c:v>
                </c:pt>
                <c:pt idx="2">
                  <c:v>Ninh Binh</c:v>
                </c:pt>
                <c:pt idx="3">
                  <c:v>Hung Yen</c:v>
                </c:pt>
                <c:pt idx="4">
                  <c:v>Hai Phong</c:v>
                </c:pt>
                <c:pt idx="5">
                  <c:v>Dong Nai</c:v>
                </c:pt>
                <c:pt idx="6">
                  <c:v>Can Tho</c:v>
                </c:pt>
                <c:pt idx="7">
                  <c:v>Phu Tho</c:v>
                </c:pt>
                <c:pt idx="8">
                  <c:v>Thanh Hoa</c:v>
                </c:pt>
              </c:strCache>
            </c:strRef>
          </c:cat>
          <c:val>
            <c:numRef>
              <c:f>'Hình 7. Địa phương'!$D$5:$D$13</c:f>
              <c:numCache>
                <c:formatCode>0.0</c:formatCode>
                <c:ptCount val="9"/>
                <c:pt idx="0">
                  <c:v>79929.413939999999</c:v>
                </c:pt>
                <c:pt idx="1">
                  <c:v>62466.237000000001</c:v>
                </c:pt>
                <c:pt idx="2">
                  <c:v>20011.365000000002</c:v>
                </c:pt>
                <c:pt idx="3">
                  <c:v>22964.095000000001</c:v>
                </c:pt>
                <c:pt idx="4">
                  <c:v>23904.218000000001</c:v>
                </c:pt>
                <c:pt idx="5">
                  <c:v>15311.406999999999</c:v>
                </c:pt>
                <c:pt idx="6">
                  <c:v>19120.861000000001</c:v>
                </c:pt>
                <c:pt idx="7">
                  <c:v>19167.294000000002</c:v>
                </c:pt>
                <c:pt idx="8">
                  <c:v>11490.464</c:v>
                </c:pt>
              </c:numCache>
            </c:numRef>
          </c:val>
          <c:extLst>
            <c:ext xmlns:c16="http://schemas.microsoft.com/office/drawing/2014/chart" uri="{C3380CC4-5D6E-409C-BE32-E72D297353CC}">
              <c16:uniqueId val="{00000000-BDC3-4712-BBE3-CB3E59FD6690}"/>
            </c:ext>
          </c:extLst>
        </c:ser>
        <c:ser>
          <c:idx val="1"/>
          <c:order val="1"/>
          <c:tx>
            <c:strRef>
              <c:f>'Hình 7. Địa phương'!$E$4</c:f>
              <c:strCache>
                <c:ptCount val="1"/>
                <c:pt idx="0">
                  <c:v>State budget investment in 11 months of 2025</c:v>
                </c:pt>
              </c:strCache>
            </c:strRef>
          </c:tx>
          <c:spPr>
            <a:solidFill>
              <a:srgbClr val="C84863"/>
            </a:solidFill>
            <a:ln>
              <a:noFill/>
            </a:ln>
            <a:effectLst/>
          </c:spPr>
          <c:invertIfNegative val="0"/>
          <c:dLbls>
            <c:dLbl>
              <c:idx val="2"/>
              <c:layout>
                <c:manualLayout>
                  <c:x val="1.3714284068777314E-2"/>
                  <c:y val="-2.560655269667337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DC3-4712-BBE3-CB3E59FD6690}"/>
                </c:ext>
              </c:extLst>
            </c:dLbl>
            <c:dLbl>
              <c:idx val="8"/>
              <c:layout>
                <c:manualLayout>
                  <c:x val="0"/>
                  <c:y val="-2.008032128514070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DC3-4712-BBE3-CB3E59FD6690}"/>
                </c:ext>
              </c:extLst>
            </c:dLbl>
            <c:numFmt formatCode="#,##0.0" sourceLinked="0"/>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'Hình 7. Địa phương'!$C$5:$C$26</c:f>
              <c:strCache>
                <c:ptCount val="9"/>
                <c:pt idx="0">
                  <c:v>Ho Chi Minh City</c:v>
                </c:pt>
                <c:pt idx="1">
                  <c:v>Ha Noi</c:v>
                </c:pt>
                <c:pt idx="2">
                  <c:v>Ninh Binh</c:v>
                </c:pt>
                <c:pt idx="3">
                  <c:v>Hung Yen</c:v>
                </c:pt>
                <c:pt idx="4">
                  <c:v>Hai Phong</c:v>
                </c:pt>
                <c:pt idx="5">
                  <c:v>Dong Nai</c:v>
                </c:pt>
                <c:pt idx="6">
                  <c:v>Can Tho</c:v>
                </c:pt>
                <c:pt idx="7">
                  <c:v>Phu Tho</c:v>
                </c:pt>
                <c:pt idx="8">
                  <c:v>Thanh Hoa</c:v>
                </c:pt>
              </c:strCache>
            </c:strRef>
          </c:cat>
          <c:val>
            <c:numRef>
              <c:f>'Hình 7. Địa phương'!$E$5:$E$13</c:f>
              <c:numCache>
                <c:formatCode>0.0</c:formatCode>
                <c:ptCount val="9"/>
                <c:pt idx="0">
                  <c:v>114930.03276999999</c:v>
                </c:pt>
                <c:pt idx="1">
                  <c:v>79717.373000000007</c:v>
                </c:pt>
                <c:pt idx="2">
                  <c:v>45987.069000000003</c:v>
                </c:pt>
                <c:pt idx="3">
                  <c:v>35551.460450000006</c:v>
                </c:pt>
                <c:pt idx="4">
                  <c:v>28957.832999999999</c:v>
                </c:pt>
                <c:pt idx="5">
                  <c:v>23301.304</c:v>
                </c:pt>
                <c:pt idx="6">
                  <c:v>22480.402999999998</c:v>
                </c:pt>
                <c:pt idx="7">
                  <c:v>21871.805</c:v>
                </c:pt>
                <c:pt idx="8">
                  <c:v>16061.985000000001</c:v>
                </c:pt>
              </c:numCache>
            </c:numRef>
          </c:val>
          <c:extLst>
            <c:ext xmlns:c16="http://schemas.microsoft.com/office/drawing/2014/chart" uri="{C3380CC4-5D6E-409C-BE32-E72D297353CC}">
              <c16:uniqueId val="{00000003-BDC3-4712-BBE3-CB3E59FD6690}"/>
            </c:ext>
          </c:extLst>
        </c:ser>
        <c:dLbls>
          <c:showLegendKey val="0"/>
          <c:showVal val="0"/>
          <c:showCatName val="0"/>
          <c:showSerName val="0"/>
          <c:showPercent val="0"/>
          <c:showBubbleSize val="0"/>
        </c:dLbls>
        <c:gapWidth val="36"/>
        <c:axId val="1071631488"/>
        <c:axId val="1071632032"/>
      </c:barChart>
      <c:catAx>
        <c:axId val="1071631488"/>
        <c:scaling>
          <c:orientation val="minMax"/>
        </c:scaling>
        <c:delete val="0"/>
        <c:axPos val="b"/>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071632032"/>
        <c:crosses val="autoZero"/>
        <c:auto val="1"/>
        <c:lblAlgn val="ctr"/>
        <c:lblOffset val="100"/>
        <c:noMultiLvlLbl val="0"/>
      </c:catAx>
      <c:valAx>
        <c:axId val="1071632032"/>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1071631488"/>
        <c:crosses val="autoZero"/>
        <c:crossBetween val="between"/>
      </c:valAx>
      <c:spPr>
        <a:noFill/>
        <a:ln>
          <a:noFill/>
        </a:ln>
        <a:effectLst/>
      </c:spPr>
    </c:plotArea>
    <c:legend>
      <c:legendPos val="b"/>
      <c:layout>
        <c:manualLayout>
          <c:xMode val="edge"/>
          <c:yMode val="edge"/>
          <c:x val="9.8974536306017394E-2"/>
          <c:y val="0.8907966715509098"/>
          <c:w val="0.79532792856957735"/>
          <c:h val="3.9670390664644672E-2"/>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0" cap="flat" cmpd="sng" algn="ctr">
      <a:solidFill>
        <a:schemeClr val="tx1">
          <a:lumMod val="15000"/>
          <a:lumOff val="85000"/>
        </a:schemeClr>
      </a:solidFill>
      <a:round/>
    </a:ln>
    <a:effectLst/>
  </c:spPr>
  <c:txPr>
    <a:bodyPr/>
    <a:lstStyle/>
    <a:p>
      <a:pPr>
        <a:defRPr b="1"/>
      </a:pPr>
      <a:endParaRPr lang="en-US"/>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248964776558304"/>
          <c:y val="2.3068050749711605E-2"/>
          <c:w val="0.81632143903237475"/>
          <c:h val="0.68828706100318771"/>
        </c:manualLayout>
      </c:layout>
      <c:barChart>
        <c:barDir val="bar"/>
        <c:grouping val="stacked"/>
        <c:varyColors val="0"/>
        <c:ser>
          <c:idx val="0"/>
          <c:order val="0"/>
          <c:tx>
            <c:strRef>
              <c:f>'04. FDI SO SANH '!$A$6</c:f>
              <c:strCache>
                <c:ptCount val="1"/>
                <c:pt idx="0">
                  <c:v>    Newly licencsed capital</c:v>
                </c:pt>
              </c:strCache>
            </c:strRef>
          </c:tx>
          <c:invertIfNegative val="0"/>
          <c:dLbls>
            <c:dLbl>
              <c:idx val="0"/>
              <c:layout>
                <c:manualLayout>
                  <c:x val="-2.8828823375408787E-2"/>
                  <c:y val="-7.638800644811996E-17"/>
                </c:manualLayout>
              </c:layout>
              <c:tx>
                <c:rich>
                  <a:bodyPr/>
                  <a:lstStyle/>
                  <a:p>
                    <a:r>
                      <a:rPr lang="en-US"/>
                      <a:t>14.06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A029-4564-A198-EE2D42309F2C}"/>
                </c:ext>
              </c:extLst>
            </c:dLbl>
            <c:dLbl>
              <c:idx val="1"/>
              <c:tx>
                <c:rich>
                  <a:bodyPr/>
                  <a:lstStyle/>
                  <a:p>
                    <a:r>
                      <a:rPr lang="en-US"/>
                      <a:t>11.52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A029-4564-A198-EE2D42309F2C}"/>
                </c:ext>
              </c:extLst>
            </c:dLbl>
            <c:dLbl>
              <c:idx val="2"/>
              <c:tx>
                <c:rich>
                  <a:bodyPr/>
                  <a:lstStyle/>
                  <a:p>
                    <a:r>
                      <a:rPr lang="en-US"/>
                      <a:t>17.27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A029-4564-A198-EE2D42309F2C}"/>
                </c:ext>
              </c:extLst>
            </c:dLbl>
            <c:dLbl>
              <c:idx val="3"/>
              <c:layout>
                <c:manualLayout>
                  <c:x val="-1.9219215583605901E-2"/>
                  <c:y val="-3.819400322405998E-17"/>
                </c:manualLayout>
              </c:layout>
              <c:tx>
                <c:rich>
                  <a:bodyPr/>
                  <a:lstStyle/>
                  <a:p>
                    <a:r>
                      <a:rPr lang="en-US"/>
                      <a:t>17.39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A029-4564-A198-EE2D42309F2C}"/>
                </c:ext>
              </c:extLst>
            </c:dLbl>
            <c:dLbl>
              <c:idx val="4"/>
              <c:tx>
                <c:rich>
                  <a:bodyPr/>
                  <a:lstStyle/>
                  <a:p>
                    <a:r>
                      <a:rPr lang="en-US"/>
                      <a:t>15.96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A029-4564-A198-EE2D42309F2C}"/>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'04. FDI SO SANH '!$B$5:$F$5</c:f>
              <c:numCache>
                <c:formatCode>General</c:formatCode>
                <c:ptCount val="5"/>
                <c:pt idx="0">
                  <c:v>2021</c:v>
                </c:pt>
                <c:pt idx="1">
                  <c:v>2022</c:v>
                </c:pt>
                <c:pt idx="2">
                  <c:v>2023</c:v>
                </c:pt>
                <c:pt idx="3">
                  <c:v>2024</c:v>
                </c:pt>
                <c:pt idx="4">
                  <c:v>2025</c:v>
                </c:pt>
              </c:numCache>
            </c:numRef>
          </c:cat>
          <c:val>
            <c:numRef>
              <c:f>'04. FDI SO SANH '!$B$6:$F$6</c:f>
              <c:numCache>
                <c:formatCode>0.00</c:formatCode>
                <c:ptCount val="5"/>
                <c:pt idx="0">
                  <c:v>14.057753528659999</c:v>
                </c:pt>
                <c:pt idx="1">
                  <c:v>11.521124461189995</c:v>
                </c:pt>
                <c:pt idx="2">
                  <c:v>17.273936603379994</c:v>
                </c:pt>
                <c:pt idx="3">
                  <c:v>17.387185001999992</c:v>
                </c:pt>
                <c:pt idx="4">
                  <c:v>15.956700484060001</c:v>
                </c:pt>
              </c:numCache>
            </c:numRef>
          </c:val>
          <c:extLst>
            <c:ext xmlns:c16="http://schemas.microsoft.com/office/drawing/2014/chart" uri="{C3380CC4-5D6E-409C-BE32-E72D297353CC}">
              <c16:uniqueId val="{00000005-A029-4564-A198-EE2D42309F2C}"/>
            </c:ext>
          </c:extLst>
        </c:ser>
        <c:ser>
          <c:idx val="1"/>
          <c:order val="1"/>
          <c:tx>
            <c:strRef>
              <c:f>'04. FDI SO SANH '!$A$7</c:f>
              <c:strCache>
                <c:ptCount val="1"/>
                <c:pt idx="0">
                  <c:v>Adjusting registered capital</c:v>
                </c:pt>
              </c:strCache>
            </c:strRef>
          </c:tx>
          <c:invertIfNegative val="0"/>
          <c:dLbls>
            <c:dLbl>
              <c:idx val="0"/>
              <c:tx>
                <c:rich>
                  <a:bodyPr/>
                  <a:lstStyle/>
                  <a:p>
                    <a:r>
                      <a:rPr lang="en-US"/>
                      <a:t>8.02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A029-4564-A198-EE2D42309F2C}"/>
                </c:ext>
              </c:extLst>
            </c:dLbl>
            <c:dLbl>
              <c:idx val="1"/>
              <c:layout>
                <c:manualLayout>
                  <c:x val="3.6036029219260982E-2"/>
                  <c:y val="-7.638800644811996E-17"/>
                </c:manualLayout>
              </c:layout>
              <c:tx>
                <c:rich>
                  <a:bodyPr/>
                  <a:lstStyle/>
                  <a:p>
                    <a:r>
                      <a:rPr lang="en-US"/>
                      <a:t>9.54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A029-4564-A198-EE2D42309F2C}"/>
                </c:ext>
              </c:extLst>
            </c:dLbl>
            <c:dLbl>
              <c:idx val="2"/>
              <c:layout>
                <c:manualLayout>
                  <c:x val="-2.8828823375408787E-2"/>
                  <c:y val="-3.819400322405998E-17"/>
                </c:manualLayout>
              </c:layout>
              <c:tx>
                <c:rich>
                  <a:bodyPr wrap="square" lIns="38100" tIns="19050" rIns="38100" bIns="19050" anchor="ctr">
                    <a:noAutofit/>
                  </a:bodyPr>
                  <a:lstStyle/>
                  <a:p>
                    <a:pPr>
                      <a:defRPr/>
                    </a:pPr>
                    <a:r>
                      <a:rPr lang="en-US"/>
                      <a:t>7.07</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7.2240226574878524E-2"/>
                      <c:h val="6.3354330708661422E-2"/>
                    </c:manualLayout>
                  </c15:layout>
                  <c15:showDataLabelsRange val="0"/>
                </c:ext>
                <c:ext xmlns:c16="http://schemas.microsoft.com/office/drawing/2014/chart" uri="{C3380CC4-5D6E-409C-BE32-E72D297353CC}">
                  <c16:uniqueId val="{00000008-A029-4564-A198-EE2D42309F2C}"/>
                </c:ext>
              </c:extLst>
            </c:dLbl>
            <c:dLbl>
              <c:idx val="3"/>
              <c:layout>
                <c:manualLayout>
                  <c:x val="-9.6096077918029297E-3"/>
                  <c:y val="-8.3333333333333714E-3"/>
                </c:manualLayout>
              </c:layout>
              <c:tx>
                <c:rich>
                  <a:bodyPr/>
                  <a:lstStyle/>
                  <a:p>
                    <a:r>
                      <a:rPr lang="en-US"/>
                      <a:t>9.93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A029-4564-A198-EE2D42309F2C}"/>
                </c:ext>
              </c:extLst>
            </c:dLbl>
            <c:dLbl>
              <c:idx val="4"/>
              <c:tx>
                <c:rich>
                  <a:bodyPr/>
                  <a:lstStyle/>
                  <a:p>
                    <a:r>
                      <a:rPr lang="en-US"/>
                      <a:t>11.62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A029-4564-A198-EE2D42309F2C}"/>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'04. FDI SO SANH '!$B$5:$F$5</c:f>
              <c:numCache>
                <c:formatCode>General</c:formatCode>
                <c:ptCount val="5"/>
                <c:pt idx="0">
                  <c:v>2021</c:v>
                </c:pt>
                <c:pt idx="1">
                  <c:v>2022</c:v>
                </c:pt>
                <c:pt idx="2">
                  <c:v>2023</c:v>
                </c:pt>
                <c:pt idx="3">
                  <c:v>2024</c:v>
                </c:pt>
                <c:pt idx="4">
                  <c:v>2025</c:v>
                </c:pt>
              </c:numCache>
            </c:numRef>
          </c:cat>
          <c:val>
            <c:numRef>
              <c:f>'04. FDI SO SANH '!$B$7:$F$7</c:f>
              <c:numCache>
                <c:formatCode>0.00</c:formatCode>
                <c:ptCount val="5"/>
                <c:pt idx="0">
                  <c:v>8.0218116528131258</c:v>
                </c:pt>
                <c:pt idx="1">
                  <c:v>9.5359460126887523</c:v>
                </c:pt>
                <c:pt idx="2">
                  <c:v>7.0606370731158519</c:v>
                </c:pt>
                <c:pt idx="3">
                  <c:v>9.9317590687958877</c:v>
                </c:pt>
                <c:pt idx="4">
                  <c:v>11.617240785406747</c:v>
                </c:pt>
              </c:numCache>
            </c:numRef>
          </c:val>
          <c:extLst>
            <c:ext xmlns:c16="http://schemas.microsoft.com/office/drawing/2014/chart" uri="{C3380CC4-5D6E-409C-BE32-E72D297353CC}">
              <c16:uniqueId val="{0000000B-A029-4564-A198-EE2D42309F2C}"/>
            </c:ext>
          </c:extLst>
        </c:ser>
        <c:ser>
          <c:idx val="2"/>
          <c:order val="2"/>
          <c:tx>
            <c:strRef>
              <c:f>'04. FDI SO SANH '!$A$8</c:f>
              <c:strCache>
                <c:ptCount val="1"/>
                <c:pt idx="0">
                  <c:v>Capital contribution and purchasing shares</c:v>
                </c:pt>
              </c:strCache>
            </c:strRef>
          </c:tx>
          <c:invertIfNegative val="0"/>
          <c:dLbls>
            <c:dLbl>
              <c:idx val="0"/>
              <c:tx>
                <c:rich>
                  <a:bodyPr/>
                  <a:lstStyle/>
                  <a:p>
                    <a:r>
                      <a:rPr lang="en-US"/>
                      <a:t>4.38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A029-4564-A198-EE2D42309F2C}"/>
                </c:ext>
              </c:extLst>
            </c:dLbl>
            <c:dLbl>
              <c:idx val="1"/>
              <c:tx>
                <c:rich>
                  <a:bodyPr/>
                  <a:lstStyle/>
                  <a:p>
                    <a:r>
                      <a:rPr lang="en-US" baseline="0"/>
                      <a:t>4,08</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A029-4564-A198-EE2D42309F2C}"/>
                </c:ext>
              </c:extLst>
            </c:dLbl>
            <c:dLbl>
              <c:idx val="2"/>
              <c:layout>
                <c:manualLayout>
                  <c:x val="-1.2012009739753662E-2"/>
                  <c:y val="-3.819400322405998E-17"/>
                </c:manualLayout>
              </c:layout>
              <c:tx>
                <c:rich>
                  <a:bodyPr/>
                  <a:lstStyle/>
                  <a:p>
                    <a:r>
                      <a:rPr lang="en-US"/>
                      <a:t>6.73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E-A029-4564-A198-EE2D42309F2C}"/>
                </c:ext>
              </c:extLst>
            </c:dLbl>
            <c:dLbl>
              <c:idx val="3"/>
              <c:layout>
                <c:manualLayout>
                  <c:x val="1.2012009739753573E-2"/>
                  <c:y val="-8.3333333333333714E-3"/>
                </c:manualLayout>
              </c:layout>
              <c:tx>
                <c:rich>
                  <a:bodyPr wrap="square" lIns="38100" tIns="19050" rIns="38100" bIns="19050" anchor="ctr">
                    <a:noAutofit/>
                  </a:bodyPr>
                  <a:lstStyle/>
                  <a:p>
                    <a:pPr>
                      <a:defRPr/>
                    </a:pPr>
                    <a:r>
                      <a:rPr lang="en-US"/>
                      <a:t>4.06</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showDataLabelsRange val="0"/>
                </c:ext>
                <c:ext xmlns:c16="http://schemas.microsoft.com/office/drawing/2014/chart" uri="{C3380CC4-5D6E-409C-BE32-E72D297353CC}">
                  <c16:uniqueId val="{0000000F-A029-4564-A198-EE2D42309F2C}"/>
                </c:ext>
              </c:extLst>
            </c:dLbl>
            <c:dLbl>
              <c:idx val="4"/>
              <c:layout>
                <c:manualLayout>
                  <c:x val="2.4024019479507323E-2"/>
                  <c:y val="0"/>
                </c:manualLayout>
              </c:layout>
              <c:tx>
                <c:rich>
                  <a:bodyPr/>
                  <a:lstStyle/>
                  <a:p>
                    <a:r>
                      <a:rPr lang="en-US"/>
                      <a:t>6.11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0-A029-4564-A198-EE2D42309F2C}"/>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'04. FDI SO SANH '!$B$5:$F$5</c:f>
              <c:numCache>
                <c:formatCode>General</c:formatCode>
                <c:ptCount val="5"/>
                <c:pt idx="0">
                  <c:v>2021</c:v>
                </c:pt>
                <c:pt idx="1">
                  <c:v>2022</c:v>
                </c:pt>
                <c:pt idx="2">
                  <c:v>2023</c:v>
                </c:pt>
                <c:pt idx="3">
                  <c:v>2024</c:v>
                </c:pt>
                <c:pt idx="4">
                  <c:v>2025</c:v>
                </c:pt>
              </c:numCache>
            </c:numRef>
          </c:cat>
          <c:val>
            <c:numRef>
              <c:f>'04. FDI SO SANH '!$B$8:$F$8</c:f>
              <c:numCache>
                <c:formatCode>0.00</c:formatCode>
                <c:ptCount val="5"/>
                <c:pt idx="0">
                  <c:v>4.3831517401630418</c:v>
                </c:pt>
                <c:pt idx="1">
                  <c:v>4.0781715694799994</c:v>
                </c:pt>
                <c:pt idx="2">
                  <c:v>6.7348597343279764</c:v>
                </c:pt>
                <c:pt idx="3">
                  <c:v>4.0593142223912615</c:v>
                </c:pt>
                <c:pt idx="4">
                  <c:v>6.1172789364900009</c:v>
                </c:pt>
              </c:numCache>
            </c:numRef>
          </c:val>
          <c:extLst>
            <c:ext xmlns:c16="http://schemas.microsoft.com/office/drawing/2014/chart" uri="{C3380CC4-5D6E-409C-BE32-E72D297353CC}">
              <c16:uniqueId val="{00000011-A029-4564-A198-EE2D42309F2C}"/>
            </c:ext>
          </c:extLst>
        </c:ser>
        <c:dLbls>
          <c:showLegendKey val="0"/>
          <c:showVal val="0"/>
          <c:showCatName val="0"/>
          <c:showSerName val="0"/>
          <c:showPercent val="0"/>
          <c:showBubbleSize val="0"/>
        </c:dLbls>
        <c:gapWidth val="150"/>
        <c:overlap val="100"/>
        <c:axId val="-1874218784"/>
        <c:axId val="-1874232928"/>
      </c:barChart>
      <c:catAx>
        <c:axId val="-1874218784"/>
        <c:scaling>
          <c:orientation val="minMax"/>
        </c:scaling>
        <c:delete val="0"/>
        <c:axPos val="l"/>
        <c:numFmt formatCode="General" sourceLinked="1"/>
        <c:majorTickMark val="out"/>
        <c:minorTickMark val="none"/>
        <c:tickLblPos val="nextTo"/>
        <c:crossAx val="-1874232928"/>
        <c:crosses val="autoZero"/>
        <c:auto val="1"/>
        <c:lblAlgn val="ctr"/>
        <c:lblOffset val="100"/>
        <c:noMultiLvlLbl val="0"/>
      </c:catAx>
      <c:valAx>
        <c:axId val="-1874232928"/>
        <c:scaling>
          <c:orientation val="minMax"/>
        </c:scaling>
        <c:delete val="0"/>
        <c:axPos val="b"/>
        <c:majorGridlines/>
        <c:numFmt formatCode="0.00" sourceLinked="1"/>
        <c:majorTickMark val="out"/>
        <c:minorTickMark val="none"/>
        <c:tickLblPos val="nextTo"/>
        <c:crossAx val="-1874218784"/>
        <c:crosses val="autoZero"/>
        <c:crossBetween val="between"/>
      </c:valAx>
    </c:plotArea>
    <c:legend>
      <c:legendPos val="b"/>
      <c:layout>
        <c:manualLayout>
          <c:xMode val="edge"/>
          <c:yMode val="edge"/>
          <c:x val="9.1657292838395205E-3"/>
          <c:y val="0.80354673057172199"/>
          <c:w val="0.97950403926781893"/>
          <c:h val="0.16746776218190118"/>
        </c:manualLayout>
      </c:layout>
      <c:overlay val="0"/>
    </c:legend>
    <c:plotVisOnly val="1"/>
    <c:dispBlanksAs val="gap"/>
    <c:showDLblsOverMax val="0"/>
  </c:chart>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Sheet1!$B$4:$F$4</c:f>
              <c:numCache>
                <c:formatCode>General</c:formatCode>
                <c:ptCount val="5"/>
                <c:pt idx="0">
                  <c:v>2021</c:v>
                </c:pt>
                <c:pt idx="1">
                  <c:v>2022</c:v>
                </c:pt>
                <c:pt idx="2">
                  <c:v>2023</c:v>
                </c:pt>
                <c:pt idx="3">
                  <c:v>2024</c:v>
                </c:pt>
                <c:pt idx="4">
                  <c:v>2025</c:v>
                </c:pt>
              </c:numCache>
            </c:numRef>
          </c:cat>
          <c:val>
            <c:numRef>
              <c:f>Sheet1!$B$5:$F$5</c:f>
              <c:numCache>
                <c:formatCode>0.00</c:formatCode>
                <c:ptCount val="5"/>
                <c:pt idx="0">
                  <c:v>17.100000000000001</c:v>
                </c:pt>
                <c:pt idx="1">
                  <c:v>19.684200000000001</c:v>
                </c:pt>
                <c:pt idx="2">
                  <c:v>20.25</c:v>
                </c:pt>
                <c:pt idx="3">
                  <c:v>21.68</c:v>
                </c:pt>
                <c:pt idx="4">
                  <c:v>23.6</c:v>
                </c:pt>
              </c:numCache>
            </c:numRef>
          </c:val>
          <c:extLst>
            <c:ext xmlns:c16="http://schemas.microsoft.com/office/drawing/2014/chart" uri="{C3380CC4-5D6E-409C-BE32-E72D297353CC}">
              <c16:uniqueId val="{00000000-17FC-4290-92A7-4DAC2C9FA3F4}"/>
            </c:ext>
          </c:extLst>
        </c:ser>
        <c:dLbls>
          <c:showLegendKey val="0"/>
          <c:showVal val="0"/>
          <c:showCatName val="0"/>
          <c:showSerName val="0"/>
          <c:showPercent val="0"/>
          <c:showBubbleSize val="0"/>
        </c:dLbls>
        <c:gapWidth val="219"/>
        <c:overlap val="-27"/>
        <c:axId val="108849792"/>
        <c:axId val="108971136"/>
      </c:barChart>
      <c:catAx>
        <c:axId val="108849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08971136"/>
        <c:crosses val="autoZero"/>
        <c:auto val="1"/>
        <c:lblAlgn val="ctr"/>
        <c:lblOffset val="100"/>
        <c:noMultiLvlLbl val="0"/>
      </c:catAx>
      <c:valAx>
        <c:axId val="108971136"/>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1088497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081714785651793"/>
          <c:y val="0.12037037037037036"/>
          <c:w val="0.80369903762029749"/>
          <c:h val="0.6682349081364829"/>
        </c:manualLayout>
      </c:layout>
      <c:barChart>
        <c:barDir val="col"/>
        <c:grouping val="clustered"/>
        <c:varyColors val="0"/>
        <c:ser>
          <c:idx val="0"/>
          <c:order val="0"/>
          <c:tx>
            <c:strRef>
              <c:f>EN!$A$4</c:f>
              <c:strCache>
                <c:ptCount val="1"/>
                <c:pt idx="0">
                  <c:v>Total (Trillion dongs)</c:v>
                </c:pt>
              </c:strCache>
            </c:strRef>
          </c:tx>
          <c:spPr>
            <a:solidFill>
              <a:srgbClr val="EC7C30"/>
            </a:solidFill>
            <a:ln>
              <a:noFill/>
            </a:ln>
            <a:effectLst/>
          </c:spPr>
          <c:invertIfNegative val="0"/>
          <c:dLbls>
            <c:dLbl>
              <c:idx val="0"/>
              <c:layout>
                <c:manualLayout>
                  <c:x val="-2.8482426957776776E-3"/>
                  <c:y val="-4.999825021872265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72A-42F9-93D0-21217F929B6C}"/>
                </c:ext>
              </c:extLst>
            </c:dLbl>
            <c:dLbl>
              <c:idx val="1"/>
              <c:layout>
                <c:manualLayout>
                  <c:x val="2.2997245248420638E-2"/>
                  <c:y val="6.481539807524100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72A-42F9-93D0-21217F929B6C}"/>
                </c:ext>
              </c:extLst>
            </c:dLbl>
            <c:dLbl>
              <c:idx val="2"/>
              <c:layout>
                <c:manualLayout>
                  <c:x val="8.9914420169899846E-3"/>
                  <c:y val="-9.444269466316750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72A-42F9-93D0-21217F929B6C}"/>
                </c:ext>
              </c:extLst>
            </c:dLbl>
            <c:dLbl>
              <c:idx val="3"/>
              <c:layout>
                <c:manualLayout>
                  <c:x val="-2.8301876278204077E-3"/>
                  <c:y val="-4.259317585301857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72A-42F9-93D0-21217F929B6C}"/>
                </c:ext>
              </c:extLst>
            </c:dLbl>
            <c:dLbl>
              <c:idx val="4"/>
              <c:layout>
                <c:manualLayout>
                  <c:x val="-3.5218527620353191E-5"/>
                  <c:y val="-3.333333333333333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172A-42F9-93D0-21217F929B6C}"/>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2">
                        <a:lumMod val="7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accent2"/>
                      </a:solidFill>
                      <a:round/>
                    </a:ln>
                    <a:effectLst/>
                  </c:spPr>
                </c15:leaderLines>
              </c:ext>
            </c:extLst>
          </c:dLbls>
          <c:cat>
            <c:numRef>
              <c:f>EN!$B$3:$F$3</c:f>
              <c:numCache>
                <c:formatCode>General</c:formatCode>
                <c:ptCount val="5"/>
                <c:pt idx="0">
                  <c:v>2021</c:v>
                </c:pt>
                <c:pt idx="1">
                  <c:v>2022</c:v>
                </c:pt>
                <c:pt idx="2">
                  <c:v>2023</c:v>
                </c:pt>
                <c:pt idx="3">
                  <c:v>2024</c:v>
                </c:pt>
                <c:pt idx="4">
                  <c:v>2025</c:v>
                </c:pt>
              </c:numCache>
            </c:numRef>
          </c:cat>
          <c:val>
            <c:numRef>
              <c:f>EN!$B$4:$F$4</c:f>
              <c:numCache>
                <c:formatCode>_(* #,##0.0_);_(* \(#,##0.0\);_(* "-"??_);_(@_)</c:formatCode>
                <c:ptCount val="5"/>
                <c:pt idx="0">
                  <c:v>3998.2</c:v>
                </c:pt>
                <c:pt idx="1">
                  <c:v>4870.8999999999996</c:v>
                </c:pt>
                <c:pt idx="2">
                  <c:v>5367.6</c:v>
                </c:pt>
                <c:pt idx="3">
                  <c:v>5844</c:v>
                </c:pt>
                <c:pt idx="4">
                  <c:v>6377.7</c:v>
                </c:pt>
              </c:numCache>
            </c:numRef>
          </c:val>
          <c:extLst>
            <c:ext xmlns:c16="http://schemas.microsoft.com/office/drawing/2014/chart" uri="{C3380CC4-5D6E-409C-BE32-E72D297353CC}">
              <c16:uniqueId val="{00000000-172A-42F9-93D0-21217F929B6C}"/>
            </c:ext>
          </c:extLst>
        </c:ser>
        <c:dLbls>
          <c:showLegendKey val="0"/>
          <c:showVal val="0"/>
          <c:showCatName val="0"/>
          <c:showSerName val="0"/>
          <c:showPercent val="0"/>
          <c:showBubbleSize val="0"/>
        </c:dLbls>
        <c:gapWidth val="105"/>
        <c:overlap val="-15"/>
        <c:axId val="1908937712"/>
        <c:axId val="2066849216"/>
      </c:barChart>
      <c:lineChart>
        <c:grouping val="standard"/>
        <c:varyColors val="0"/>
        <c:ser>
          <c:idx val="1"/>
          <c:order val="1"/>
          <c:tx>
            <c:strRef>
              <c:f>EN!$A$5</c:f>
              <c:strCache>
                <c:ptCount val="1"/>
                <c:pt idx="0">
                  <c:v>Growth rate year-on-year (%)</c:v>
                </c:pt>
              </c:strCache>
            </c:strRef>
          </c:tx>
          <c:spPr>
            <a:ln w="28575" cap="rnd">
              <a:solidFill>
                <a:srgbClr val="002060"/>
              </a:solidFill>
              <a:round/>
            </a:ln>
            <a:effectLst/>
          </c:spPr>
          <c:marker>
            <c:symbol val="circle"/>
            <c:size val="6"/>
            <c:spPr>
              <a:solidFill>
                <a:srgbClr val="002060"/>
              </a:solidFill>
              <a:ln w="9525">
                <a:noFill/>
              </a:ln>
              <a:effectLst/>
            </c:spPr>
          </c:marker>
          <c:dLbls>
            <c:dLbl>
              <c:idx val="0"/>
              <c:layout>
                <c:manualLayout>
                  <c:x val="-5.0218722659667564E-2"/>
                  <c:y val="4.50001749781276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72A-42F9-93D0-21217F929B6C}"/>
                </c:ext>
              </c:extLst>
            </c:dLbl>
            <c:dLbl>
              <c:idx val="1"/>
              <c:layout>
                <c:manualLayout>
                  <c:x val="-5.3559574421492902E-2"/>
                  <c:y val="-6.333333333333333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72A-42F9-93D0-21217F929B6C}"/>
                </c:ext>
              </c:extLst>
            </c:dLbl>
            <c:dLbl>
              <c:idx val="2"/>
              <c:layout>
                <c:manualLayout>
                  <c:x val="-5.3012950258452499E-2"/>
                  <c:y val="6.24074074074074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72A-42F9-93D0-21217F929B6C}"/>
                </c:ext>
              </c:extLst>
            </c:dLbl>
            <c:dLbl>
              <c:idx val="3"/>
              <c:layout>
                <c:manualLayout>
                  <c:x val="-4.1666666666666664E-2"/>
                  <c:y val="5.55555555555555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72A-42F9-93D0-21217F929B6C}"/>
                </c:ext>
              </c:extLst>
            </c:dLbl>
            <c:dLbl>
              <c:idx val="4"/>
              <c:layout>
                <c:manualLayout>
                  <c:x val="-3.8888888888888994E-2"/>
                  <c:y val="6.48148148148148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72A-42F9-93D0-21217F929B6C}"/>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rgbClr val="00206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rgbClr val="002060"/>
                      </a:solidFill>
                      <a:round/>
                    </a:ln>
                    <a:effectLst/>
                  </c:spPr>
                </c15:leaderLines>
              </c:ext>
            </c:extLst>
          </c:dLbls>
          <c:cat>
            <c:numRef>
              <c:f>EN!$B$3:$F$3</c:f>
              <c:numCache>
                <c:formatCode>General</c:formatCode>
                <c:ptCount val="5"/>
                <c:pt idx="0">
                  <c:v>2021</c:v>
                </c:pt>
                <c:pt idx="1">
                  <c:v>2022</c:v>
                </c:pt>
                <c:pt idx="2">
                  <c:v>2023</c:v>
                </c:pt>
                <c:pt idx="3">
                  <c:v>2024</c:v>
                </c:pt>
                <c:pt idx="4">
                  <c:v>2025</c:v>
                </c:pt>
              </c:numCache>
            </c:numRef>
          </c:cat>
          <c:val>
            <c:numRef>
              <c:f>EN!$B$5:$F$5</c:f>
              <c:numCache>
                <c:formatCode>0.0</c:formatCode>
                <c:ptCount val="5"/>
                <c:pt idx="0">
                  <c:v>-9.3000000000000007</c:v>
                </c:pt>
                <c:pt idx="1">
                  <c:v>21.8</c:v>
                </c:pt>
                <c:pt idx="2">
                  <c:v>10.199999999999999</c:v>
                </c:pt>
                <c:pt idx="3">
                  <c:v>8.9</c:v>
                </c:pt>
                <c:pt idx="4">
                  <c:v>9.1</c:v>
                </c:pt>
              </c:numCache>
            </c:numRef>
          </c:val>
          <c:smooth val="0"/>
          <c:extLst>
            <c:ext xmlns:c16="http://schemas.microsoft.com/office/drawing/2014/chart" uri="{C3380CC4-5D6E-409C-BE32-E72D297353CC}">
              <c16:uniqueId val="{00000001-172A-42F9-93D0-21217F929B6C}"/>
            </c:ext>
          </c:extLst>
        </c:ser>
        <c:dLbls>
          <c:showLegendKey val="0"/>
          <c:showVal val="0"/>
          <c:showCatName val="0"/>
          <c:showSerName val="0"/>
          <c:showPercent val="0"/>
          <c:showBubbleSize val="0"/>
        </c:dLbls>
        <c:marker val="1"/>
        <c:smooth val="0"/>
        <c:axId val="2066853024"/>
        <c:axId val="2066849760"/>
      </c:lineChart>
      <c:catAx>
        <c:axId val="1908937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2066849216"/>
        <c:crosses val="autoZero"/>
        <c:auto val="1"/>
        <c:lblAlgn val="ctr"/>
        <c:lblOffset val="100"/>
        <c:noMultiLvlLbl val="0"/>
      </c:catAx>
      <c:valAx>
        <c:axId val="2066849216"/>
        <c:scaling>
          <c:orientation val="minMax"/>
        </c:scaling>
        <c:delete val="0"/>
        <c:axPos val="l"/>
        <c:majorGridlines>
          <c:spPr>
            <a:ln w="9525" cap="flat" cmpd="sng" algn="ctr">
              <a:solidFill>
                <a:schemeClr val="tx1">
                  <a:lumMod val="15000"/>
                  <a:lumOff val="85000"/>
                </a:schemeClr>
              </a:solidFill>
              <a:round/>
            </a:ln>
            <a:effectLst/>
          </c:spPr>
        </c:majorGridlines>
        <c:numFmt formatCode="_(* #,##0.0_);_(* \(#,##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accent2"/>
                </a:solidFill>
                <a:latin typeface="Arial" panose="020B0604020202020204" pitchFamily="34" charset="0"/>
                <a:ea typeface="+mn-ea"/>
                <a:cs typeface="Arial" panose="020B0604020202020204" pitchFamily="34" charset="0"/>
              </a:defRPr>
            </a:pPr>
            <a:endParaRPr lang="en-US"/>
          </a:p>
        </c:txPr>
        <c:crossAx val="1908937712"/>
        <c:crosses val="autoZero"/>
        <c:crossBetween val="between"/>
      </c:valAx>
      <c:valAx>
        <c:axId val="2066849760"/>
        <c:scaling>
          <c:orientation val="minMax"/>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02060"/>
                </a:solidFill>
                <a:latin typeface="Arial" panose="020B0604020202020204" pitchFamily="34" charset="0"/>
                <a:ea typeface="+mn-ea"/>
                <a:cs typeface="Arial" panose="020B0604020202020204" pitchFamily="34" charset="0"/>
              </a:defRPr>
            </a:pPr>
            <a:endParaRPr lang="en-US"/>
          </a:p>
        </c:txPr>
        <c:crossAx val="2066853024"/>
        <c:crosses val="max"/>
        <c:crossBetween val="between"/>
      </c:valAx>
      <c:catAx>
        <c:axId val="2066853024"/>
        <c:scaling>
          <c:orientation val="minMax"/>
        </c:scaling>
        <c:delete val="1"/>
        <c:axPos val="b"/>
        <c:numFmt formatCode="General" sourceLinked="1"/>
        <c:majorTickMark val="out"/>
        <c:minorTickMark val="none"/>
        <c:tickLblPos val="nextTo"/>
        <c:crossAx val="206684976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900" b="1" i="0" baseline="0">
                <a:solidFill>
                  <a:sysClr val="windowText" lastClr="000000"/>
                </a:solidFill>
                <a:effectLst/>
                <a:latin typeface="Arial" panose="020B0604020202020204" pitchFamily="34" charset="0"/>
                <a:cs typeface="Arial" panose="020B0604020202020204" pitchFamily="34" charset="0"/>
              </a:rPr>
              <a:t>Export and import turnover of goods</a:t>
            </a:r>
          </a:p>
          <a:p>
            <a:pPr>
              <a:defRPr sz="900">
                <a:solidFill>
                  <a:sysClr val="windowText" lastClr="000000"/>
                </a:solidFill>
                <a:latin typeface="Arial" panose="020B0604020202020204" pitchFamily="34" charset="0"/>
                <a:cs typeface="Arial" panose="020B0604020202020204" pitchFamily="34" charset="0"/>
              </a:defRPr>
            </a:pPr>
            <a:r>
              <a:rPr lang="en-US" sz="900" b="1" i="0" baseline="0">
                <a:solidFill>
                  <a:sysClr val="windowText" lastClr="000000"/>
                </a:solidFill>
                <a:effectLst/>
                <a:latin typeface="Arial" panose="020B0604020202020204" pitchFamily="34" charset="0"/>
                <a:cs typeface="Arial" panose="020B0604020202020204" pitchFamily="34" charset="0"/>
              </a:rPr>
              <a:t>(Billion USD)</a:t>
            </a:r>
          </a:p>
        </c:rich>
      </c:tx>
      <c:overlay val="0"/>
      <c:spPr>
        <a:noFill/>
        <a:ln>
          <a:noFill/>
        </a:ln>
        <a:effectLst/>
      </c:spPr>
      <c:txPr>
        <a:bodyPr rot="0" spcFirstLastPara="1" vertOverflow="ellipsis" vert="horz" wrap="square" anchor="ctr" anchorCtr="1"/>
        <a:lstStyle/>
        <a:p>
          <a:pPr>
            <a:defRPr sz="9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stacked"/>
        <c:varyColors val="0"/>
        <c:ser>
          <c:idx val="0"/>
          <c:order val="0"/>
          <c:tx>
            <c:v>Xuất khẩu hàng hóa</c:v>
          </c:tx>
          <c:spPr>
            <a:solidFill>
              <a:srgbClr val="00B050"/>
            </a:solidFill>
            <a:ln w="3175">
              <a:solidFill>
                <a:srgbClr val="00B050"/>
              </a:solidFill>
            </a:ln>
            <a:effectLst/>
          </c:spPr>
          <c:invertIfNegative val="0"/>
          <c:dLbls>
            <c:dLbl>
              <c:idx val="0"/>
              <c:tx>
                <c:rich>
                  <a:bodyPr/>
                  <a:lstStyle/>
                  <a:p>
                    <a:r>
                      <a:rPr lang="en-US"/>
                      <a:t>63.2</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7C26-450C-8649-4FE08FACB8E8}"/>
                </c:ext>
              </c:extLst>
            </c:dLbl>
            <c:dLbl>
              <c:idx val="1"/>
              <c:tx>
                <c:rich>
                  <a:bodyPr/>
                  <a:lstStyle/>
                  <a:p>
                    <a:r>
                      <a:rPr lang="en-US"/>
                      <a:t>138.6</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7C26-450C-8649-4FE08FACB8E8}"/>
                </c:ext>
              </c:extLst>
            </c:dLbl>
            <c:dLbl>
              <c:idx val="2"/>
              <c:tx>
                <c:rich>
                  <a:bodyPr/>
                  <a:lstStyle/>
                  <a:p>
                    <a:r>
                      <a:rPr lang="en-US"/>
                      <a:t>35.0</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7C26-450C-8649-4FE08FACB8E8}"/>
                </c:ext>
              </c:extLst>
            </c:dLbl>
            <c:dLbl>
              <c:idx val="3"/>
              <c:tx>
                <c:rich>
                  <a:bodyPr/>
                  <a:lstStyle/>
                  <a:p>
                    <a:r>
                      <a:rPr lang="en-US"/>
                      <a:t>26.1</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7C26-450C-8649-4FE08FACB8E8}"/>
                </c:ext>
              </c:extLst>
            </c:dLbl>
            <c:dLbl>
              <c:idx val="4"/>
              <c:tx>
                <c:rich>
                  <a:bodyPr/>
                  <a:lstStyle/>
                  <a:p>
                    <a:r>
                      <a:rPr lang="en-US"/>
                      <a:t>51.2</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7C26-450C-8649-4FE08FACB8E8}"/>
                </c:ext>
              </c:extLst>
            </c:dLbl>
            <c:dLbl>
              <c:idx val="5"/>
              <c:tx>
                <c:rich>
                  <a:bodyPr/>
                  <a:lstStyle/>
                  <a:p>
                    <a:r>
                      <a:rPr lang="en-US"/>
                      <a:t>24.4</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7C26-450C-8649-4FE08FACB8E8}"/>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Arial "/>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 EN'!$A$3:$A$8</c:f>
              <c:strCache>
                <c:ptCount val="6"/>
                <c:pt idx="0">
                  <c:v>China, PR</c:v>
                </c:pt>
                <c:pt idx="1">
                  <c:v>United States</c:v>
                </c:pt>
                <c:pt idx="2">
                  <c:v>ASEAN</c:v>
                </c:pt>
                <c:pt idx="3">
                  <c:v>Korea, Rep.</c:v>
                </c:pt>
                <c:pt idx="4">
                  <c:v>EU</c:v>
                </c:pt>
                <c:pt idx="5">
                  <c:v>Japan</c:v>
                </c:pt>
              </c:strCache>
            </c:strRef>
          </c:cat>
          <c:val>
            <c:numRef>
              <c:f>'XNK nước EN'!$B$3:$B$8</c:f>
              <c:numCache>
                <c:formatCode>0.0</c:formatCode>
                <c:ptCount val="6"/>
                <c:pt idx="0">
                  <c:v>63.2</c:v>
                </c:pt>
                <c:pt idx="1">
                  <c:v>138.6</c:v>
                </c:pt>
                <c:pt idx="2">
                  <c:v>35</c:v>
                </c:pt>
                <c:pt idx="3">
                  <c:v>26.1</c:v>
                </c:pt>
                <c:pt idx="4">
                  <c:v>51.2</c:v>
                </c:pt>
                <c:pt idx="5">
                  <c:v>24.4</c:v>
                </c:pt>
              </c:numCache>
            </c:numRef>
          </c:val>
          <c:extLst>
            <c:ext xmlns:c16="http://schemas.microsoft.com/office/drawing/2014/chart" uri="{C3380CC4-5D6E-409C-BE32-E72D297353CC}">
              <c16:uniqueId val="{00000000-6842-46E8-AE20-056D8A064EE5}"/>
            </c:ext>
          </c:extLst>
        </c:ser>
        <c:ser>
          <c:idx val="1"/>
          <c:order val="1"/>
          <c:tx>
            <c:v>Nhập khẩu hàng hóa</c:v>
          </c:tx>
          <c:spPr>
            <a:solidFill>
              <a:srgbClr val="7030A0"/>
            </a:solidFill>
            <a:ln w="3175">
              <a:solidFill>
                <a:srgbClr val="7030A0"/>
              </a:solidFill>
            </a:ln>
            <a:effectLst/>
          </c:spPr>
          <c:invertIfNegative val="0"/>
          <c:dLbls>
            <c:dLbl>
              <c:idx val="0"/>
              <c:layout>
                <c:manualLayout>
                  <c:x val="-3.816752105358907E-3"/>
                  <c:y val="0"/>
                </c:manualLayout>
              </c:layout>
              <c:tx>
                <c:rich>
                  <a:bodyPr/>
                  <a:lstStyle/>
                  <a:p>
                    <a:r>
                      <a:rPr lang="en-US"/>
                      <a:t>167.5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7C26-450C-8649-4FE08FACB8E8}"/>
                </c:ext>
              </c:extLst>
            </c:dLbl>
            <c:dLbl>
              <c:idx val="1"/>
              <c:layout>
                <c:manualLayout>
                  <c:x val="-4.8966670800076898E-17"/>
                  <c:y val="9.2721372276309694E-3"/>
                </c:manualLayout>
              </c:layout>
              <c:tx>
                <c:rich>
                  <a:bodyPr/>
                  <a:lstStyle/>
                  <a:p>
                    <a:r>
                      <a:rPr lang="en-US"/>
                      <a:t>17.0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6842-46E8-AE20-056D8A064EE5}"/>
                </c:ext>
              </c:extLst>
            </c:dLbl>
            <c:dLbl>
              <c:idx val="2"/>
              <c:tx>
                <c:rich>
                  <a:bodyPr/>
                  <a:lstStyle/>
                  <a:p>
                    <a:r>
                      <a:rPr lang="en-US"/>
                      <a:t>47.4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7C26-450C-8649-4FE08FACB8E8}"/>
                </c:ext>
              </c:extLst>
            </c:dLbl>
            <c:dLbl>
              <c:idx val="3"/>
              <c:tx>
                <c:rich>
                  <a:bodyPr/>
                  <a:lstStyle/>
                  <a:p>
                    <a:r>
                      <a:rPr lang="en-US"/>
                      <a:t>54.4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7C26-450C-8649-4FE08FACB8E8}"/>
                </c:ext>
              </c:extLst>
            </c:dLbl>
            <c:dLbl>
              <c:idx val="4"/>
              <c:tx>
                <c:rich>
                  <a:bodyPr/>
                  <a:lstStyle/>
                  <a:p>
                    <a:r>
                      <a:rPr lang="en-US"/>
                      <a:t>15.6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7C26-450C-8649-4FE08FACB8E8}"/>
                </c:ext>
              </c:extLst>
            </c:dLbl>
            <c:dLbl>
              <c:idx val="5"/>
              <c:tx>
                <c:rich>
                  <a:bodyPr/>
                  <a:lstStyle/>
                  <a:p>
                    <a:r>
                      <a:rPr lang="en-US"/>
                      <a:t>22.4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7C26-450C-8649-4FE08FACB8E8}"/>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750" b="1" i="0" u="none" strike="noStrike" kern="1200" baseline="0">
                    <a:solidFill>
                      <a:schemeClr val="bg1"/>
                    </a:solidFill>
                    <a:latin typeface="Arial "/>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 EN'!$A$3:$A$8</c:f>
              <c:strCache>
                <c:ptCount val="6"/>
                <c:pt idx="0">
                  <c:v>China, PR</c:v>
                </c:pt>
                <c:pt idx="1">
                  <c:v>United States</c:v>
                </c:pt>
                <c:pt idx="2">
                  <c:v>ASEAN</c:v>
                </c:pt>
                <c:pt idx="3">
                  <c:v>Korea, Rep.</c:v>
                </c:pt>
                <c:pt idx="4">
                  <c:v>EU</c:v>
                </c:pt>
                <c:pt idx="5">
                  <c:v>Japan</c:v>
                </c:pt>
              </c:strCache>
            </c:strRef>
          </c:cat>
          <c:val>
            <c:numRef>
              <c:f>'XNK nước EN'!$D$3:$D$8</c:f>
              <c:numCache>
                <c:formatCode>0.0</c:formatCode>
                <c:ptCount val="6"/>
                <c:pt idx="0">
                  <c:v>167.5</c:v>
                </c:pt>
                <c:pt idx="1">
                  <c:v>17</c:v>
                </c:pt>
                <c:pt idx="2">
                  <c:v>47.4</c:v>
                </c:pt>
                <c:pt idx="3">
                  <c:v>54.4</c:v>
                </c:pt>
                <c:pt idx="4">
                  <c:v>15.6</c:v>
                </c:pt>
                <c:pt idx="5">
                  <c:v>22.4</c:v>
                </c:pt>
              </c:numCache>
            </c:numRef>
          </c:val>
          <c:extLst>
            <c:ext xmlns:c16="http://schemas.microsoft.com/office/drawing/2014/chart" uri="{C3380CC4-5D6E-409C-BE32-E72D297353CC}">
              <c16:uniqueId val="{00000002-6842-46E8-AE20-056D8A064EE5}"/>
            </c:ext>
          </c:extLst>
        </c:ser>
        <c:dLbls>
          <c:showLegendKey val="0"/>
          <c:showVal val="0"/>
          <c:showCatName val="0"/>
          <c:showSerName val="0"/>
          <c:showPercent val="0"/>
          <c:showBubbleSize val="0"/>
        </c:dLbls>
        <c:gapWidth val="75"/>
        <c:overlap val="100"/>
        <c:axId val="2053671616"/>
        <c:axId val="2053672704"/>
      </c:barChart>
      <c:catAx>
        <c:axId val="2053671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53672704"/>
        <c:crosses val="autoZero"/>
        <c:auto val="1"/>
        <c:lblAlgn val="ctr"/>
        <c:lblOffset val="100"/>
        <c:noMultiLvlLbl val="0"/>
      </c:catAx>
      <c:valAx>
        <c:axId val="20536727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ysClr val="windowText" lastClr="000000"/>
                </a:solidFill>
                <a:latin typeface="Arial "/>
                <a:ea typeface="+mn-ea"/>
                <a:cs typeface="+mn-cs"/>
              </a:defRPr>
            </a:pPr>
            <a:endParaRPr lang="en-US"/>
          </a:p>
        </c:txPr>
        <c:crossAx val="205367161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900" b="1" i="0" baseline="0">
                <a:solidFill>
                  <a:sysClr val="windowText" lastClr="000000"/>
                </a:solidFill>
                <a:effectLst/>
                <a:latin typeface="Arial" panose="020B0604020202020204" pitchFamily="34" charset="0"/>
                <a:cs typeface="Arial" panose="020B0604020202020204" pitchFamily="34" charset="0"/>
              </a:rPr>
              <a:t>Growth rate year-on-year (%)</a:t>
            </a: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v>Xuất khẩu hàng hóa</c:v>
          </c:tx>
          <c:spPr>
            <a:solidFill>
              <a:srgbClr val="00B050"/>
            </a:solidFill>
            <a:ln w="3175">
              <a:solidFill>
                <a:srgbClr val="00B050"/>
              </a:solidFill>
            </a:ln>
            <a:effectLst/>
          </c:spPr>
          <c:invertIfNegative val="0"/>
          <c:dLbls>
            <c:dLbl>
              <c:idx val="0"/>
              <c:tx>
                <c:rich>
                  <a:bodyPr/>
                  <a:lstStyle/>
                  <a:p>
                    <a:r>
                      <a:rPr lang="en-US"/>
                      <a:t>14.5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801D-4E1E-9B38-5DE33633C487}"/>
                </c:ext>
              </c:extLst>
            </c:dLbl>
            <c:dLbl>
              <c:idx val="1"/>
              <c:tx>
                <c:rich>
                  <a:bodyPr/>
                  <a:lstStyle/>
                  <a:p>
                    <a:r>
                      <a:rPr lang="en-US"/>
                      <a:t>27.2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801D-4E1E-9B38-5DE33633C487}"/>
                </c:ext>
              </c:extLst>
            </c:dLbl>
            <c:dLbl>
              <c:idx val="2"/>
              <c:tx>
                <c:rich>
                  <a:bodyPr/>
                  <a:lstStyle/>
                  <a:p>
                    <a:r>
                      <a:rPr lang="en-US"/>
                      <a:t>3.0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801D-4E1E-9B38-5DE33633C487}"/>
                </c:ext>
              </c:extLst>
            </c:dLbl>
            <c:dLbl>
              <c:idx val="3"/>
              <c:tx>
                <c:rich>
                  <a:bodyPr/>
                  <a:lstStyle/>
                  <a:p>
                    <a:r>
                      <a:rPr lang="en-US"/>
                      <a:t>11.5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801D-4E1E-9B38-5DE33633C487}"/>
                </c:ext>
              </c:extLst>
            </c:dLbl>
            <c:dLbl>
              <c:idx val="4"/>
              <c:tx>
                <c:rich>
                  <a:bodyPr/>
                  <a:lstStyle/>
                  <a:p>
                    <a:r>
                      <a:rPr lang="en-US"/>
                      <a:t>7.9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801D-4E1E-9B38-5DE33633C487}"/>
                </c:ext>
              </c:extLst>
            </c:dLbl>
            <c:dLbl>
              <c:idx val="5"/>
              <c:tx>
                <c:rich>
                  <a:bodyPr/>
                  <a:lstStyle/>
                  <a:p>
                    <a:r>
                      <a:rPr lang="en-US"/>
                      <a:t>8.6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801D-4E1E-9B38-5DE33633C487}"/>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750" b="1" i="0" u="none" strike="noStrike" kern="1200" baseline="0">
                    <a:solidFill>
                      <a:schemeClr val="bg2">
                        <a:lumMod val="25000"/>
                      </a:schemeClr>
                    </a:solidFill>
                    <a:latin typeface="Arial "/>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 EN'!$A$3:$A$8</c:f>
              <c:strCache>
                <c:ptCount val="6"/>
                <c:pt idx="0">
                  <c:v>China, PR</c:v>
                </c:pt>
                <c:pt idx="1">
                  <c:v>United States</c:v>
                </c:pt>
                <c:pt idx="2">
                  <c:v>ASEAN</c:v>
                </c:pt>
                <c:pt idx="3">
                  <c:v>Korea, Rep.</c:v>
                </c:pt>
                <c:pt idx="4">
                  <c:v>EU</c:v>
                </c:pt>
                <c:pt idx="5">
                  <c:v>Japan</c:v>
                </c:pt>
              </c:strCache>
            </c:strRef>
          </c:cat>
          <c:val>
            <c:numRef>
              <c:f>'XNK nước EN'!$C$3:$C$8</c:f>
              <c:numCache>
                <c:formatCode>0.0</c:formatCode>
                <c:ptCount val="6"/>
                <c:pt idx="0">
                  <c:v>14.5</c:v>
                </c:pt>
                <c:pt idx="1">
                  <c:v>27.2</c:v>
                </c:pt>
                <c:pt idx="2">
                  <c:v>3</c:v>
                </c:pt>
                <c:pt idx="3">
                  <c:v>11.5</c:v>
                </c:pt>
                <c:pt idx="4">
                  <c:v>7.9</c:v>
                </c:pt>
                <c:pt idx="5">
                  <c:v>8.6</c:v>
                </c:pt>
              </c:numCache>
            </c:numRef>
          </c:val>
          <c:extLst>
            <c:ext xmlns:c16="http://schemas.microsoft.com/office/drawing/2014/chart" uri="{C3380CC4-5D6E-409C-BE32-E72D297353CC}">
              <c16:uniqueId val="{00000000-77B3-45EF-B1BC-C8762BDDCFF2}"/>
            </c:ext>
          </c:extLst>
        </c:ser>
        <c:ser>
          <c:idx val="1"/>
          <c:order val="1"/>
          <c:tx>
            <c:v>Nhập khẩu hàng hóa</c:v>
          </c:tx>
          <c:spPr>
            <a:solidFill>
              <a:srgbClr val="7030A0"/>
            </a:solidFill>
            <a:ln w="3175">
              <a:solidFill>
                <a:srgbClr val="7030A0"/>
              </a:solidFill>
            </a:ln>
            <a:effectLst/>
          </c:spPr>
          <c:invertIfNegative val="0"/>
          <c:dLbls>
            <c:dLbl>
              <c:idx val="0"/>
              <c:tx>
                <c:rich>
                  <a:bodyPr/>
                  <a:lstStyle/>
                  <a:p>
                    <a:r>
                      <a:rPr lang="en-US"/>
                      <a:t>28.2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801D-4E1E-9B38-5DE33633C487}"/>
                </c:ext>
              </c:extLst>
            </c:dLbl>
            <c:dLbl>
              <c:idx val="1"/>
              <c:layout>
                <c:manualLayout>
                  <c:x val="3.5813458100346151E-4"/>
                  <c:y val="-3.7866857551896922E-3"/>
                </c:manualLayout>
              </c:layout>
              <c:tx>
                <c:rich>
                  <a:bodyPr/>
                  <a:lstStyle/>
                  <a:p>
                    <a:r>
                      <a:rPr lang="en-US"/>
                      <a:t>25.2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7333-40E9-A5F8-CEEA04D79C42}"/>
                </c:ext>
              </c:extLst>
            </c:dLbl>
            <c:dLbl>
              <c:idx val="2"/>
              <c:tx>
                <c:rich>
                  <a:bodyPr/>
                  <a:lstStyle/>
                  <a:p>
                    <a:r>
                      <a:rPr lang="en-US"/>
                      <a:t>11.7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801D-4E1E-9B38-5DE33633C487}"/>
                </c:ext>
              </c:extLst>
            </c:dLbl>
            <c:dLbl>
              <c:idx val="3"/>
              <c:tx>
                <c:rich>
                  <a:bodyPr/>
                  <a:lstStyle/>
                  <a:p>
                    <a:r>
                      <a:rPr lang="en-US"/>
                      <a:t>6.3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801D-4E1E-9B38-5DE33633C487}"/>
                </c:ext>
              </c:extLst>
            </c:dLbl>
            <c:dLbl>
              <c:idx val="4"/>
              <c:layout>
                <c:manualLayout>
                  <c:x val="7.6045627376424927E-3"/>
                  <c:y val="1.1364829396325458E-2"/>
                </c:manualLayout>
              </c:layout>
              <c:tx>
                <c:rich>
                  <a:bodyPr/>
                  <a:lstStyle/>
                  <a:p>
                    <a:r>
                      <a:rPr lang="en-US"/>
                      <a:t>2.5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7333-40E9-A5F8-CEEA04D79C42}"/>
                </c:ext>
              </c:extLst>
            </c:dLbl>
            <c:dLbl>
              <c:idx val="5"/>
              <c:tx>
                <c:rich>
                  <a:bodyPr/>
                  <a:lstStyle/>
                  <a:p>
                    <a:r>
                      <a:rPr lang="en-US"/>
                      <a:t>14.1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801D-4E1E-9B38-5DE33633C487}"/>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750" b="1" i="0" u="none" strike="noStrike" kern="1200" baseline="0">
                    <a:solidFill>
                      <a:schemeClr val="bg2">
                        <a:lumMod val="25000"/>
                      </a:schemeClr>
                    </a:solidFill>
                    <a:latin typeface="Arial "/>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 EN'!$A$3:$A$8</c:f>
              <c:strCache>
                <c:ptCount val="6"/>
                <c:pt idx="0">
                  <c:v>China, PR</c:v>
                </c:pt>
                <c:pt idx="1">
                  <c:v>United States</c:v>
                </c:pt>
                <c:pt idx="2">
                  <c:v>ASEAN</c:v>
                </c:pt>
                <c:pt idx="3">
                  <c:v>Korea, Rep.</c:v>
                </c:pt>
                <c:pt idx="4">
                  <c:v>EU</c:v>
                </c:pt>
                <c:pt idx="5">
                  <c:v>Japan</c:v>
                </c:pt>
              </c:strCache>
            </c:strRef>
          </c:cat>
          <c:val>
            <c:numRef>
              <c:f>'XNK nước EN'!$E$3:$E$8</c:f>
              <c:numCache>
                <c:formatCode>0.0</c:formatCode>
                <c:ptCount val="6"/>
                <c:pt idx="0">
                  <c:v>28.2</c:v>
                </c:pt>
                <c:pt idx="1">
                  <c:v>25.2</c:v>
                </c:pt>
                <c:pt idx="2">
                  <c:v>11.7</c:v>
                </c:pt>
                <c:pt idx="3">
                  <c:v>6.3</c:v>
                </c:pt>
                <c:pt idx="4">
                  <c:v>2.5</c:v>
                </c:pt>
                <c:pt idx="5">
                  <c:v>14.1</c:v>
                </c:pt>
              </c:numCache>
            </c:numRef>
          </c:val>
          <c:extLst>
            <c:ext xmlns:c16="http://schemas.microsoft.com/office/drawing/2014/chart" uri="{C3380CC4-5D6E-409C-BE32-E72D297353CC}">
              <c16:uniqueId val="{00000001-77B3-45EF-B1BC-C8762BDDCFF2}"/>
            </c:ext>
          </c:extLst>
        </c:ser>
        <c:dLbls>
          <c:showLegendKey val="0"/>
          <c:showVal val="0"/>
          <c:showCatName val="0"/>
          <c:showSerName val="0"/>
          <c:showPercent val="0"/>
          <c:showBubbleSize val="0"/>
        </c:dLbls>
        <c:gapWidth val="50"/>
        <c:overlap val="-27"/>
        <c:axId val="1902023472"/>
        <c:axId val="1902024016"/>
      </c:barChart>
      <c:catAx>
        <c:axId val="1902023472"/>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902024016"/>
        <c:crosses val="autoZero"/>
        <c:auto val="1"/>
        <c:lblAlgn val="ctr"/>
        <c:lblOffset val="100"/>
        <c:noMultiLvlLbl val="0"/>
      </c:catAx>
      <c:valAx>
        <c:axId val="19020240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
                <a:ea typeface="+mn-ea"/>
                <a:cs typeface="+mn-cs"/>
              </a:defRPr>
            </a:pPr>
            <a:endParaRPr lang="en-US"/>
          </a:p>
        </c:txPr>
        <c:crossAx val="190202347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'Biểu đồ 1'!$B$1</c:f>
              <c:strCache>
                <c:ptCount val="1"/>
                <c:pt idx="0">
                  <c:v>Hình 1. Tốc độ tăng CPI tháng 11/2025 so với tháng trước</c:v>
                </c:pt>
              </c:strCache>
            </c:strRef>
          </c:tx>
          <c:spPr>
            <a:solidFill>
              <a:schemeClr val="accent1"/>
            </a:solidFill>
            <a:ln>
              <a:noFill/>
            </a:ln>
            <a:effectLst/>
          </c:spPr>
          <c:invertIfNegative val="0"/>
          <c:dPt>
            <c:idx val="0"/>
            <c:invertIfNegative val="0"/>
            <c:bubble3D val="0"/>
            <c:spPr>
              <a:solidFill>
                <a:srgbClr val="7030A0"/>
              </a:solidFill>
              <a:ln>
                <a:noFill/>
              </a:ln>
              <a:effectLst/>
            </c:spPr>
            <c:extLst>
              <c:ext xmlns:c16="http://schemas.microsoft.com/office/drawing/2014/chart" uri="{C3380CC4-5D6E-409C-BE32-E72D297353CC}">
                <c16:uniqueId val="{00000001-D780-4022-92E5-71361DFA53E9}"/>
              </c:ext>
            </c:extLst>
          </c:dPt>
          <c:dPt>
            <c:idx val="1"/>
            <c:invertIfNegative val="0"/>
            <c:bubble3D val="0"/>
            <c:spPr>
              <a:solidFill>
                <a:srgbClr val="FF0000"/>
              </a:solidFill>
              <a:ln>
                <a:noFill/>
              </a:ln>
              <a:effectLst/>
            </c:spPr>
            <c:extLst>
              <c:ext xmlns:c16="http://schemas.microsoft.com/office/drawing/2014/chart" uri="{C3380CC4-5D6E-409C-BE32-E72D297353CC}">
                <c16:uniqueId val="{00000006-56EF-4358-B419-587B3C149812}"/>
              </c:ext>
            </c:extLst>
          </c:dPt>
          <c:dPt>
            <c:idx val="2"/>
            <c:invertIfNegative val="0"/>
            <c:bubble3D val="0"/>
            <c:spPr>
              <a:solidFill>
                <a:srgbClr val="FF0000"/>
              </a:solidFill>
              <a:ln>
                <a:noFill/>
              </a:ln>
              <a:effectLst/>
            </c:spPr>
            <c:extLst>
              <c:ext xmlns:c16="http://schemas.microsoft.com/office/drawing/2014/chart" uri="{C3380CC4-5D6E-409C-BE32-E72D297353CC}">
                <c16:uniqueId val="{00000007-56EF-4358-B419-587B3C149812}"/>
              </c:ext>
            </c:extLst>
          </c:dPt>
          <c:dPt>
            <c:idx val="3"/>
            <c:invertIfNegative val="0"/>
            <c:bubble3D val="0"/>
            <c:spPr>
              <a:solidFill>
                <a:srgbClr val="FF0000"/>
              </a:solidFill>
              <a:ln>
                <a:noFill/>
              </a:ln>
              <a:effectLst/>
            </c:spPr>
            <c:extLst>
              <c:ext xmlns:c16="http://schemas.microsoft.com/office/drawing/2014/chart" uri="{C3380CC4-5D6E-409C-BE32-E72D297353CC}">
                <c16:uniqueId val="{00000008-56EF-4358-B419-587B3C149812}"/>
              </c:ext>
            </c:extLst>
          </c:dPt>
          <c:dPt>
            <c:idx val="4"/>
            <c:invertIfNegative val="0"/>
            <c:bubble3D val="0"/>
            <c:spPr>
              <a:solidFill>
                <a:srgbClr val="FF0000"/>
              </a:solidFill>
              <a:ln>
                <a:noFill/>
              </a:ln>
              <a:effectLst/>
            </c:spPr>
            <c:extLst>
              <c:ext xmlns:c16="http://schemas.microsoft.com/office/drawing/2014/chart" uri="{C3380CC4-5D6E-409C-BE32-E72D297353CC}">
                <c16:uniqueId val="{00000009-56EF-4358-B419-587B3C149812}"/>
              </c:ext>
            </c:extLst>
          </c:dPt>
          <c:dPt>
            <c:idx val="5"/>
            <c:invertIfNegative val="0"/>
            <c:bubble3D val="0"/>
            <c:spPr>
              <a:solidFill>
                <a:srgbClr val="FF0000"/>
              </a:solidFill>
              <a:ln>
                <a:noFill/>
              </a:ln>
              <a:effectLst/>
            </c:spPr>
            <c:extLst>
              <c:ext xmlns:c16="http://schemas.microsoft.com/office/drawing/2014/chart" uri="{C3380CC4-5D6E-409C-BE32-E72D297353CC}">
                <c16:uniqueId val="{0000000A-56EF-4358-B419-587B3C149812}"/>
              </c:ext>
            </c:extLst>
          </c:dPt>
          <c:dPt>
            <c:idx val="6"/>
            <c:invertIfNegative val="0"/>
            <c:bubble3D val="0"/>
            <c:spPr>
              <a:solidFill>
                <a:srgbClr val="FF0000"/>
              </a:solidFill>
              <a:ln>
                <a:noFill/>
              </a:ln>
              <a:effectLst/>
            </c:spPr>
            <c:extLst>
              <c:ext xmlns:c16="http://schemas.microsoft.com/office/drawing/2014/chart" uri="{C3380CC4-5D6E-409C-BE32-E72D297353CC}">
                <c16:uniqueId val="{0000000E-56EF-4358-B419-587B3C149812}"/>
              </c:ext>
            </c:extLst>
          </c:dPt>
          <c:dPt>
            <c:idx val="7"/>
            <c:invertIfNegative val="0"/>
            <c:bubble3D val="0"/>
            <c:spPr>
              <a:solidFill>
                <a:srgbClr val="FF0000"/>
              </a:solidFill>
              <a:ln>
                <a:noFill/>
              </a:ln>
              <a:effectLst/>
            </c:spPr>
            <c:extLst>
              <c:ext xmlns:c16="http://schemas.microsoft.com/office/drawing/2014/chart" uri="{C3380CC4-5D6E-409C-BE32-E72D297353CC}">
                <c16:uniqueId val="{0000000D-56EF-4358-B419-587B3C149812}"/>
              </c:ext>
            </c:extLst>
          </c:dPt>
          <c:dPt>
            <c:idx val="8"/>
            <c:invertIfNegative val="0"/>
            <c:bubble3D val="0"/>
            <c:spPr>
              <a:solidFill>
                <a:srgbClr val="FF0000"/>
              </a:solidFill>
              <a:ln>
                <a:noFill/>
              </a:ln>
              <a:effectLst/>
            </c:spPr>
            <c:extLst>
              <c:ext xmlns:c16="http://schemas.microsoft.com/office/drawing/2014/chart" uri="{C3380CC4-5D6E-409C-BE32-E72D297353CC}">
                <c16:uniqueId val="{0000000C-56EF-4358-B419-587B3C149812}"/>
              </c:ext>
            </c:extLst>
          </c:dPt>
          <c:dPt>
            <c:idx val="9"/>
            <c:invertIfNegative val="0"/>
            <c:bubble3D val="0"/>
            <c:spPr>
              <a:solidFill>
                <a:srgbClr val="FF0000"/>
              </a:solidFill>
              <a:ln>
                <a:solidFill>
                  <a:srgbClr val="FF0000"/>
                </a:solidFill>
              </a:ln>
              <a:effectLst/>
            </c:spPr>
            <c:extLst>
              <c:ext xmlns:c16="http://schemas.microsoft.com/office/drawing/2014/chart" uri="{C3380CC4-5D6E-409C-BE32-E72D297353CC}">
                <c16:uniqueId val="{0000000B-56EF-4358-B419-587B3C149812}"/>
              </c:ext>
            </c:extLst>
          </c:dPt>
          <c:dPt>
            <c:idx val="10"/>
            <c:invertIfNegative val="0"/>
            <c:bubble3D val="0"/>
            <c:spPr>
              <a:solidFill>
                <a:srgbClr val="00B050"/>
              </a:solidFill>
              <a:ln>
                <a:solidFill>
                  <a:srgbClr val="00B050"/>
                </a:solidFill>
              </a:ln>
              <a:effectLst/>
            </c:spPr>
            <c:extLst>
              <c:ext xmlns:c16="http://schemas.microsoft.com/office/drawing/2014/chart" uri="{C3380CC4-5D6E-409C-BE32-E72D297353CC}">
                <c16:uniqueId val="{00000003-D780-4022-92E5-71361DFA53E9}"/>
              </c:ext>
            </c:extLst>
          </c:dPt>
          <c:dPt>
            <c:idx val="11"/>
            <c:invertIfNegative val="0"/>
            <c:bubble3D val="0"/>
            <c:spPr>
              <a:solidFill>
                <a:srgbClr val="00B050"/>
              </a:solidFill>
              <a:ln>
                <a:noFill/>
              </a:ln>
              <a:effectLst/>
            </c:spPr>
            <c:extLst>
              <c:ext xmlns:c16="http://schemas.microsoft.com/office/drawing/2014/chart" uri="{C3380CC4-5D6E-409C-BE32-E72D297353CC}">
                <c16:uniqueId val="{00000005-D780-4022-92E5-71361DFA53E9}"/>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'Biểu đồ 1'!$A$2:$A$13</c:f>
              <c:strCache>
                <c:ptCount val="12"/>
                <c:pt idx="0">
                  <c:v>Consumer price index</c:v>
                </c:pt>
                <c:pt idx="1">
                  <c:v>VII. Transport</c:v>
                </c:pt>
                <c:pt idx="2">
                  <c:v>I. Food and foodstuff</c:v>
                </c:pt>
                <c:pt idx="3">
                  <c:v>XI. Other consumer goods and services</c:v>
                </c:pt>
                <c:pt idx="4">
                  <c:v>V. Household equipment and goods</c:v>
                </c:pt>
                <c:pt idx="5">
                  <c:v>III. Garment, hat, footwear</c:v>
                </c:pt>
                <c:pt idx="6">
                  <c:v>II. Beverage and cigarette</c:v>
                </c:pt>
                <c:pt idx="7">
                  <c:v>VI. Medicine and health care services</c:v>
                </c:pt>
                <c:pt idx="8">
                  <c:v>IX. Education </c:v>
                </c:pt>
                <c:pt idx="9">
                  <c:v>X. Culture, entertainments and tourism</c:v>
                </c:pt>
                <c:pt idx="10">
                  <c:v>VIII. Information and communication</c:v>
                </c:pt>
                <c:pt idx="11">
                  <c:v>IV. Housing and construction materials</c:v>
                </c:pt>
              </c:strCache>
            </c:strRef>
          </c:cat>
          <c:val>
            <c:numRef>
              <c:f>'Biểu đồ 1'!$B$2:$B$13</c:f>
              <c:numCache>
                <c:formatCode>0.00%</c:formatCode>
                <c:ptCount val="12"/>
                <c:pt idx="0">
                  <c:v>4.5269999999999304E-3</c:v>
                </c:pt>
                <c:pt idx="1">
                  <c:v>1.0718999999999994E-2</c:v>
                </c:pt>
                <c:pt idx="2">
                  <c:v>9.5229999999999395E-3</c:v>
                </c:pt>
                <c:pt idx="3">
                  <c:v>3.0209999999999582E-3</c:v>
                </c:pt>
                <c:pt idx="4">
                  <c:v>1.664999999999992E-3</c:v>
                </c:pt>
                <c:pt idx="5">
                  <c:v>1.2009999999999365E-3</c:v>
                </c:pt>
                <c:pt idx="6">
                  <c:v>1.0030000000000427E-3</c:v>
                </c:pt>
                <c:pt idx="7">
                  <c:v>6.1499999999995228E-4</c:v>
                </c:pt>
                <c:pt idx="8">
                  <c:v>5.1800000000000066E-4</c:v>
                </c:pt>
                <c:pt idx="9">
                  <c:v>1.4300000000005752E-4</c:v>
                </c:pt>
                <c:pt idx="10">
                  <c:v>-6.2100000000000935E-4</c:v>
                </c:pt>
                <c:pt idx="11">
                  <c:v>-1.0410000000000252E-3</c:v>
                </c:pt>
              </c:numCache>
            </c:numRef>
          </c:val>
          <c:extLst>
            <c:ext xmlns:c16="http://schemas.microsoft.com/office/drawing/2014/chart" uri="{C3380CC4-5D6E-409C-BE32-E72D297353CC}">
              <c16:uniqueId val="{00000006-D780-4022-92E5-71361DFA53E9}"/>
            </c:ext>
          </c:extLst>
        </c:ser>
        <c:dLbls>
          <c:showLegendKey val="0"/>
          <c:showVal val="0"/>
          <c:showCatName val="0"/>
          <c:showSerName val="0"/>
          <c:showPercent val="0"/>
          <c:showBubbleSize val="0"/>
        </c:dLbls>
        <c:gapWidth val="166"/>
        <c:axId val="1994700880"/>
        <c:axId val="2062344640"/>
      </c:barChart>
      <c:catAx>
        <c:axId val="1994700880"/>
        <c:scaling>
          <c:orientation val="minMax"/>
        </c:scaling>
        <c:delete val="0"/>
        <c:axPos val="b"/>
        <c:numFmt formatCode="General" sourceLinked="1"/>
        <c:majorTickMark val="none"/>
        <c:minorTickMark val="none"/>
        <c:tickLblPos val="low"/>
        <c:spPr>
          <a:noFill/>
          <a:ln w="9525" cap="flat" cmpd="sng" algn="ctr">
            <a:solidFill>
              <a:schemeClr val="bg2">
                <a:lumMod val="25000"/>
              </a:schemeClr>
            </a:solidFill>
            <a:round/>
          </a:ln>
          <a:effectLst/>
        </c:spPr>
        <c:txPr>
          <a:bodyPr rot="-60000000" spcFirstLastPara="1" vertOverflow="ellipsis" vert="horz" wrap="square" anchor="ctr" anchorCtr="1"/>
          <a:lstStyle/>
          <a:p>
            <a:pPr>
              <a:defRPr sz="800" b="0" i="1"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62344640"/>
        <c:crosses val="autoZero"/>
        <c:auto val="1"/>
        <c:lblAlgn val="ctr"/>
        <c:lblOffset val="100"/>
        <c:noMultiLvlLbl val="0"/>
      </c:catAx>
      <c:valAx>
        <c:axId val="2062344640"/>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crossAx val="199470088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0.19108</cdr:x>
      <cdr:y>0.10937</cdr:y>
    </cdr:from>
    <cdr:to>
      <cdr:x>0.30113</cdr:x>
      <cdr:y>0.18373</cdr:y>
    </cdr:to>
    <cdr:sp macro="" textlink="">
      <cdr:nvSpPr>
        <cdr:cNvPr id="4" name="Rectangle 3">
          <a:extLst xmlns:a="http://schemas.openxmlformats.org/drawingml/2006/main">
            <a:ext uri="{FF2B5EF4-FFF2-40B4-BE49-F238E27FC236}">
              <a16:creationId xmlns:a16="http://schemas.microsoft.com/office/drawing/2014/main" id="{74DF8E20-E5C2-D015-9566-587CFDFAB363}"/>
            </a:ext>
          </a:extLst>
        </cdr:cNvPr>
        <cdr:cNvSpPr/>
      </cdr:nvSpPr>
      <cdr:spPr>
        <a:xfrm xmlns:a="http://schemas.openxmlformats.org/drawingml/2006/main">
          <a:off x="1130252" y="345854"/>
          <a:ext cx="650923" cy="235171"/>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43,8%</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0.72888</cdr:x>
      <cdr:y>0.51829</cdr:y>
    </cdr:from>
    <cdr:to>
      <cdr:x>0.82126</cdr:x>
      <cdr:y>0.59337</cdr:y>
    </cdr:to>
    <cdr:sp macro="" textlink="">
      <cdr:nvSpPr>
        <cdr:cNvPr id="5" name="Rectangle 4">
          <a:extLst xmlns:a="http://schemas.openxmlformats.org/drawingml/2006/main">
            <a:ext uri="{FF2B5EF4-FFF2-40B4-BE49-F238E27FC236}">
              <a16:creationId xmlns:a16="http://schemas.microsoft.com/office/drawing/2014/main" id="{0880D7C8-9B92-7079-8B94-D704261C72FA}"/>
            </a:ext>
          </a:extLst>
        </cdr:cNvPr>
        <cdr:cNvSpPr/>
      </cdr:nvSpPr>
      <cdr:spPr>
        <a:xfrm xmlns:a="http://schemas.openxmlformats.org/drawingml/2006/main">
          <a:off x="4311349" y="1638973"/>
          <a:ext cx="546401" cy="237452"/>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  17,6%</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0.01753</cdr:x>
      <cdr:y>0.03114</cdr:y>
    </cdr:from>
    <cdr:to>
      <cdr:x>0.11695</cdr:x>
      <cdr:y>0.08644</cdr:y>
    </cdr:to>
    <cdr:sp macro="" textlink="">
      <cdr:nvSpPr>
        <cdr:cNvPr id="6" name="Text Box 1">
          <a:extLst xmlns:a="http://schemas.openxmlformats.org/drawingml/2006/main">
            <a:ext uri="{FF2B5EF4-FFF2-40B4-BE49-F238E27FC236}">
              <a16:creationId xmlns:a16="http://schemas.microsoft.com/office/drawing/2014/main" id="{7CFA4185-AC5D-A44F-2CBB-DC19495B8A69}"/>
            </a:ext>
          </a:extLst>
        </cdr:cNvPr>
        <cdr:cNvSpPr txBox="1"/>
      </cdr:nvSpPr>
      <cdr:spPr>
        <a:xfrm xmlns:a="http://schemas.openxmlformats.org/drawingml/2006/main">
          <a:off x="146088" y="155555"/>
          <a:ext cx="828615" cy="276265"/>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b="1" i="1">
              <a:latin typeface="Arial" panose="020B0604020202020204" pitchFamily="34" charset="0"/>
              <a:cs typeface="Arial" panose="020B0604020202020204" pitchFamily="34" charset="0"/>
            </a:rPr>
            <a:t>Bill. dong</a:t>
          </a:r>
        </a:p>
      </cdr:txBody>
    </cdr:sp>
  </cdr:relSizeAnchor>
  <cdr:relSizeAnchor xmlns:cdr="http://schemas.openxmlformats.org/drawingml/2006/chartDrawing">
    <cdr:from>
      <cdr:x>0.16911</cdr:x>
      <cdr:y>0.12934</cdr:y>
    </cdr:from>
    <cdr:to>
      <cdr:x>0.18829</cdr:x>
      <cdr:y>0.16475</cdr:y>
    </cdr:to>
    <cdr:sp macro="" textlink="">
      <cdr:nvSpPr>
        <cdr:cNvPr id="7" name="Arrow: Right 6">
          <a:extLst xmlns:a="http://schemas.openxmlformats.org/drawingml/2006/main">
            <a:ext uri="{FF2B5EF4-FFF2-40B4-BE49-F238E27FC236}">
              <a16:creationId xmlns:a16="http://schemas.microsoft.com/office/drawing/2014/main" id="{97CF3DA6-C0D4-EEB5-6CEC-E48D4D955573}"/>
            </a:ext>
          </a:extLst>
        </cdr:cNvPr>
        <cdr:cNvSpPr/>
      </cdr:nvSpPr>
      <cdr:spPr>
        <a:xfrm xmlns:a="http://schemas.openxmlformats.org/drawingml/2006/main" rot="16200000">
          <a:off x="1818325" y="536048"/>
          <a:ext cx="153581" cy="203406"/>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0.52733</cdr:x>
      <cdr:y>0.51877</cdr:y>
    </cdr:from>
    <cdr:to>
      <cdr:x>0.54651</cdr:x>
      <cdr:y>0.55418</cdr:y>
    </cdr:to>
    <cdr:sp macro="" textlink="">
      <cdr:nvSpPr>
        <cdr:cNvPr id="11" name="Arrow: Right 10">
          <a:extLst xmlns:a="http://schemas.openxmlformats.org/drawingml/2006/main">
            <a:ext uri="{FF2B5EF4-FFF2-40B4-BE49-F238E27FC236}">
              <a16:creationId xmlns:a16="http://schemas.microsoft.com/office/drawing/2014/main" id="{2069DF1B-87D3-7189-B4C4-DFA2B71A37EC}"/>
            </a:ext>
          </a:extLst>
        </cdr:cNvPr>
        <cdr:cNvSpPr/>
      </cdr:nvSpPr>
      <cdr:spPr>
        <a:xfrm xmlns:a="http://schemas.openxmlformats.org/drawingml/2006/main" rot="16200000">
          <a:off x="5620847" y="2117801"/>
          <a:ext cx="146497" cy="203406"/>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0.42964</cdr:x>
      <cdr:y>0.50398</cdr:y>
    </cdr:from>
    <cdr:to>
      <cdr:x>0.44882</cdr:x>
      <cdr:y>0.53939</cdr:y>
    </cdr:to>
    <cdr:sp macro="" textlink="">
      <cdr:nvSpPr>
        <cdr:cNvPr id="13" name="Arrow: Right 12">
          <a:extLst xmlns:a="http://schemas.openxmlformats.org/drawingml/2006/main">
            <a:ext uri="{FF2B5EF4-FFF2-40B4-BE49-F238E27FC236}">
              <a16:creationId xmlns:a16="http://schemas.microsoft.com/office/drawing/2014/main" id="{B3E23A0A-4E44-37BF-8991-C46BEDBBAFD5}"/>
            </a:ext>
          </a:extLst>
        </cdr:cNvPr>
        <cdr:cNvSpPr/>
      </cdr:nvSpPr>
      <cdr:spPr>
        <a:xfrm xmlns:a="http://schemas.openxmlformats.org/drawingml/2006/main" rot="16200000">
          <a:off x="4584796" y="2056588"/>
          <a:ext cx="146498" cy="203407"/>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0.28043</cdr:x>
      <cdr:y>0.27711</cdr:y>
    </cdr:from>
    <cdr:to>
      <cdr:x>0.37248</cdr:x>
      <cdr:y>0.39912</cdr:y>
    </cdr:to>
    <cdr:sp macro="" textlink="">
      <cdr:nvSpPr>
        <cdr:cNvPr id="14" name="Rectangle 13">
          <a:extLst xmlns:a="http://schemas.openxmlformats.org/drawingml/2006/main">
            <a:ext uri="{FF2B5EF4-FFF2-40B4-BE49-F238E27FC236}">
              <a16:creationId xmlns:a16="http://schemas.microsoft.com/office/drawing/2014/main" id="{DF40C718-A3E0-1AB3-8BEF-853B18AE7F7E}"/>
            </a:ext>
          </a:extLst>
        </cdr:cNvPr>
        <cdr:cNvSpPr/>
      </cdr:nvSpPr>
      <cdr:spPr>
        <a:xfrm xmlns:a="http://schemas.openxmlformats.org/drawingml/2006/main">
          <a:off x="1658754" y="876300"/>
          <a:ext cx="544478" cy="385823"/>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27,6%</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0.34743</cdr:x>
      <cdr:y>0.41966</cdr:y>
    </cdr:from>
    <cdr:to>
      <cdr:x>0.445</cdr:x>
      <cdr:y>0.51978</cdr:y>
    </cdr:to>
    <cdr:sp macro="" textlink="">
      <cdr:nvSpPr>
        <cdr:cNvPr id="15" name="Rectangle 14">
          <a:extLst xmlns:a="http://schemas.openxmlformats.org/drawingml/2006/main">
            <a:ext uri="{FF2B5EF4-FFF2-40B4-BE49-F238E27FC236}">
              <a16:creationId xmlns:a16="http://schemas.microsoft.com/office/drawing/2014/main" id="{E660CB16-97B9-E921-47D7-A315071C218C}"/>
            </a:ext>
          </a:extLst>
        </cdr:cNvPr>
        <cdr:cNvSpPr/>
      </cdr:nvSpPr>
      <cdr:spPr>
        <a:xfrm xmlns:a="http://schemas.openxmlformats.org/drawingml/2006/main">
          <a:off x="2055054" y="1327089"/>
          <a:ext cx="577129" cy="316609"/>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129,8%</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0.44188</cdr:x>
      <cdr:y>0.46582</cdr:y>
    </cdr:from>
    <cdr:to>
      <cdr:x>0.53945</cdr:x>
      <cdr:y>0.54369</cdr:y>
    </cdr:to>
    <cdr:sp macro="" textlink="">
      <cdr:nvSpPr>
        <cdr:cNvPr id="16" name="Rectangle 15">
          <a:extLst xmlns:a="http://schemas.openxmlformats.org/drawingml/2006/main">
            <a:ext uri="{FF2B5EF4-FFF2-40B4-BE49-F238E27FC236}">
              <a16:creationId xmlns:a16="http://schemas.microsoft.com/office/drawing/2014/main" id="{E660CB16-97B9-E921-47D7-A315071C218C}"/>
            </a:ext>
          </a:extLst>
        </cdr:cNvPr>
        <cdr:cNvSpPr/>
      </cdr:nvSpPr>
      <cdr:spPr>
        <a:xfrm xmlns:a="http://schemas.openxmlformats.org/drawingml/2006/main">
          <a:off x="2613733" y="1473055"/>
          <a:ext cx="577129" cy="246248"/>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54,8%</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0.53934</cdr:x>
      <cdr:y>0.49219</cdr:y>
    </cdr:from>
    <cdr:to>
      <cdr:x>0.63691</cdr:x>
      <cdr:y>0.57758</cdr:y>
    </cdr:to>
    <cdr:sp macro="" textlink="">
      <cdr:nvSpPr>
        <cdr:cNvPr id="17" name="Rectangle 16">
          <a:extLst xmlns:a="http://schemas.openxmlformats.org/drawingml/2006/main">
            <a:ext uri="{FF2B5EF4-FFF2-40B4-BE49-F238E27FC236}">
              <a16:creationId xmlns:a16="http://schemas.microsoft.com/office/drawing/2014/main" id="{E660CB16-97B9-E921-47D7-A315071C218C}"/>
            </a:ext>
          </a:extLst>
        </cdr:cNvPr>
        <cdr:cNvSpPr/>
      </cdr:nvSpPr>
      <cdr:spPr>
        <a:xfrm xmlns:a="http://schemas.openxmlformats.org/drawingml/2006/main">
          <a:off x="3190208" y="1556464"/>
          <a:ext cx="577129" cy="270029"/>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21,1%</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0.63799</cdr:x>
      <cdr:y>0.52213</cdr:y>
    </cdr:from>
    <cdr:to>
      <cdr:x>0.73556</cdr:x>
      <cdr:y>0.59804</cdr:y>
    </cdr:to>
    <cdr:sp macro="" textlink="">
      <cdr:nvSpPr>
        <cdr:cNvPr id="18" name="Rectangle 17">
          <a:extLst xmlns:a="http://schemas.openxmlformats.org/drawingml/2006/main">
            <a:ext uri="{FF2B5EF4-FFF2-40B4-BE49-F238E27FC236}">
              <a16:creationId xmlns:a16="http://schemas.microsoft.com/office/drawing/2014/main" id="{E660CB16-97B9-E921-47D7-A315071C218C}"/>
            </a:ext>
          </a:extLst>
        </cdr:cNvPr>
        <cdr:cNvSpPr/>
      </cdr:nvSpPr>
      <cdr:spPr>
        <a:xfrm xmlns:a="http://schemas.openxmlformats.org/drawingml/2006/main">
          <a:off x="3773725" y="1651118"/>
          <a:ext cx="577129" cy="240050"/>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baseline="0">
              <a:solidFill>
                <a:sysClr val="windowText" lastClr="000000"/>
              </a:solidFill>
              <a:latin typeface="Arial" panose="020B0604020202020204" pitchFamily="34" charset="0"/>
              <a:cs typeface="Arial" panose="020B0604020202020204" pitchFamily="34" charset="0"/>
            </a:rPr>
            <a:t>  52</a:t>
          </a:r>
          <a:r>
            <a:rPr lang="en-US" sz="800">
              <a:solidFill>
                <a:sysClr val="windowText" lastClr="000000"/>
              </a:solidFill>
              <a:latin typeface="Arial" panose="020B0604020202020204" pitchFamily="34" charset="0"/>
              <a:cs typeface="Arial" panose="020B0604020202020204" pitchFamily="34" charset="0"/>
            </a:rPr>
            <a:t>,2%</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0.82569</cdr:x>
      <cdr:y>0.52187</cdr:y>
    </cdr:from>
    <cdr:to>
      <cdr:x>0.9337</cdr:x>
      <cdr:y>0.58275</cdr:y>
    </cdr:to>
    <cdr:sp macro="" textlink="">
      <cdr:nvSpPr>
        <cdr:cNvPr id="19" name="Rectangle 18">
          <a:extLst xmlns:a="http://schemas.openxmlformats.org/drawingml/2006/main">
            <a:ext uri="{FF2B5EF4-FFF2-40B4-BE49-F238E27FC236}">
              <a16:creationId xmlns:a16="http://schemas.microsoft.com/office/drawing/2014/main" id="{E660CB16-97B9-E921-47D7-A315071C218C}"/>
            </a:ext>
          </a:extLst>
        </cdr:cNvPr>
        <cdr:cNvSpPr/>
      </cdr:nvSpPr>
      <cdr:spPr>
        <a:xfrm xmlns:a="http://schemas.openxmlformats.org/drawingml/2006/main">
          <a:off x="4883970" y="1650294"/>
          <a:ext cx="638882" cy="192521"/>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14,1%</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0.90679</cdr:x>
      <cdr:y>0.51784</cdr:y>
    </cdr:from>
    <cdr:to>
      <cdr:x>1</cdr:x>
      <cdr:y>0.59036</cdr:y>
    </cdr:to>
    <cdr:sp macro="" textlink="">
      <cdr:nvSpPr>
        <cdr:cNvPr id="20" name="Rectangle 19">
          <a:extLst xmlns:a="http://schemas.openxmlformats.org/drawingml/2006/main">
            <a:ext uri="{FF2B5EF4-FFF2-40B4-BE49-F238E27FC236}">
              <a16:creationId xmlns:a16="http://schemas.microsoft.com/office/drawing/2014/main" id="{E660CB16-97B9-E921-47D7-A315071C218C}"/>
            </a:ext>
          </a:extLst>
        </cdr:cNvPr>
        <cdr:cNvSpPr/>
      </cdr:nvSpPr>
      <cdr:spPr>
        <a:xfrm xmlns:a="http://schemas.openxmlformats.org/drawingml/2006/main">
          <a:off x="5363658" y="1637575"/>
          <a:ext cx="551367" cy="229325"/>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39,8%</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0.26746</cdr:x>
      <cdr:y>0.31533</cdr:y>
    </cdr:from>
    <cdr:to>
      <cdr:x>0.28664</cdr:x>
      <cdr:y>0.35074</cdr:y>
    </cdr:to>
    <cdr:sp macro="" textlink="">
      <cdr:nvSpPr>
        <cdr:cNvPr id="24" name="Arrow: Right 8">
          <a:extLst xmlns:a="http://schemas.openxmlformats.org/drawingml/2006/main">
            <a:ext uri="{FF2B5EF4-FFF2-40B4-BE49-F238E27FC236}">
              <a16:creationId xmlns:a16="http://schemas.microsoft.com/office/drawing/2014/main" id="{08E05CB8-7E44-C7F1-FA8E-A5D415D39D1B}"/>
            </a:ext>
          </a:extLst>
        </cdr:cNvPr>
        <cdr:cNvSpPr/>
      </cdr:nvSpPr>
      <cdr:spPr>
        <a:xfrm xmlns:a="http://schemas.openxmlformats.org/drawingml/2006/main" rot="16200000">
          <a:off x="2867470" y="1228542"/>
          <a:ext cx="141439" cy="203406"/>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0.33462</cdr:x>
      <cdr:y>0.46832</cdr:y>
    </cdr:from>
    <cdr:to>
      <cdr:x>0.3538</cdr:x>
      <cdr:y>0.50374</cdr:y>
    </cdr:to>
    <cdr:sp macro="" textlink="">
      <cdr:nvSpPr>
        <cdr:cNvPr id="25" name="Arrow: Right 8">
          <a:extLst xmlns:a="http://schemas.openxmlformats.org/drawingml/2006/main">
            <a:ext uri="{FF2B5EF4-FFF2-40B4-BE49-F238E27FC236}">
              <a16:creationId xmlns:a16="http://schemas.microsoft.com/office/drawing/2014/main" id="{08E05CB8-7E44-C7F1-FA8E-A5D415D39D1B}"/>
            </a:ext>
          </a:extLst>
        </cdr:cNvPr>
        <cdr:cNvSpPr/>
      </cdr:nvSpPr>
      <cdr:spPr>
        <a:xfrm xmlns:a="http://schemas.openxmlformats.org/drawingml/2006/main" rot="16200000">
          <a:off x="3580700" y="1811862"/>
          <a:ext cx="139454" cy="203407"/>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0.82123</cdr:x>
      <cdr:y>0.5772</cdr:y>
    </cdr:from>
    <cdr:to>
      <cdr:x>0.84041</cdr:x>
      <cdr:y>0.61261</cdr:y>
    </cdr:to>
    <cdr:sp macro="" textlink="">
      <cdr:nvSpPr>
        <cdr:cNvPr id="27" name="Arrow: Right 8">
          <a:extLst xmlns:a="http://schemas.openxmlformats.org/drawingml/2006/main">
            <a:ext uri="{FF2B5EF4-FFF2-40B4-BE49-F238E27FC236}">
              <a16:creationId xmlns:a16="http://schemas.microsoft.com/office/drawing/2014/main" id="{08E05CB8-7E44-C7F1-FA8E-A5D415D39D1B}"/>
            </a:ext>
          </a:extLst>
        </cdr:cNvPr>
        <cdr:cNvSpPr/>
      </cdr:nvSpPr>
      <cdr:spPr>
        <a:xfrm xmlns:a="http://schemas.openxmlformats.org/drawingml/2006/main" rot="16200000">
          <a:off x="7692113" y="2405593"/>
          <a:ext cx="148521" cy="179291"/>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0.63468</cdr:x>
      <cdr:y>0.55178</cdr:y>
    </cdr:from>
    <cdr:to>
      <cdr:x>0.65174</cdr:x>
      <cdr:y>0.58789</cdr:y>
    </cdr:to>
    <cdr:sp macro="" textlink="">
      <cdr:nvSpPr>
        <cdr:cNvPr id="23" name="Arrow: Right 14">
          <a:extLst xmlns:a="http://schemas.openxmlformats.org/drawingml/2006/main">
            <a:ext uri="{FF2B5EF4-FFF2-40B4-BE49-F238E27FC236}">
              <a16:creationId xmlns:a16="http://schemas.microsoft.com/office/drawing/2014/main" id="{4FDFFF9F-F3B4-F68C-E0B9-B14B90A21B49}"/>
            </a:ext>
          </a:extLst>
        </cdr:cNvPr>
        <cdr:cNvSpPr/>
      </cdr:nvSpPr>
      <cdr:spPr>
        <a:xfrm xmlns:a="http://schemas.openxmlformats.org/drawingml/2006/main" rot="16200000">
          <a:off x="6746645" y="2267035"/>
          <a:ext cx="149376" cy="180972"/>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0.7172</cdr:x>
      <cdr:y>0.56091</cdr:y>
    </cdr:from>
    <cdr:to>
      <cdr:x>0.73707</cdr:x>
      <cdr:y>0.60631</cdr:y>
    </cdr:to>
    <cdr:sp macro="" textlink="">
      <cdr:nvSpPr>
        <cdr:cNvPr id="2" name="Arrow: Right 1">
          <a:extLst xmlns:a="http://schemas.openxmlformats.org/drawingml/2006/main">
            <a:ext uri="{FF2B5EF4-FFF2-40B4-BE49-F238E27FC236}">
              <a16:creationId xmlns:a16="http://schemas.microsoft.com/office/drawing/2014/main" id="{31125FEE-AEBF-8667-81E7-4B5BB3A9B097}"/>
            </a:ext>
          </a:extLst>
        </cdr:cNvPr>
        <cdr:cNvSpPr/>
      </cdr:nvSpPr>
      <cdr:spPr>
        <a:xfrm xmlns:a="http://schemas.openxmlformats.org/drawingml/2006/main" rot="16200000">
          <a:off x="7617463" y="2309179"/>
          <a:ext cx="187820" cy="210640"/>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0.92</cdr:x>
      <cdr:y>0.58742</cdr:y>
    </cdr:from>
    <cdr:to>
      <cdr:x>0.93918</cdr:x>
      <cdr:y>0.62283</cdr:y>
    </cdr:to>
    <cdr:sp macro="" textlink="">
      <cdr:nvSpPr>
        <cdr:cNvPr id="3" name="Arrow: Right 2">
          <a:extLst xmlns:a="http://schemas.openxmlformats.org/drawingml/2006/main">
            <a:ext uri="{FF2B5EF4-FFF2-40B4-BE49-F238E27FC236}">
              <a16:creationId xmlns:a16="http://schemas.microsoft.com/office/drawing/2014/main" id="{7E508EF3-CAC5-316D-80D6-EE89FCCD29DD}"/>
            </a:ext>
          </a:extLst>
        </cdr:cNvPr>
        <cdr:cNvSpPr/>
      </cdr:nvSpPr>
      <cdr:spPr>
        <a:xfrm xmlns:a="http://schemas.openxmlformats.org/drawingml/2006/main" rot="16200000">
          <a:off x="9787759" y="2315343"/>
          <a:ext cx="141439" cy="203406"/>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userShapes>
</file>

<file path=word/drawings/drawing2.xml><?xml version="1.0" encoding="utf-8"?>
<c:userShapes xmlns:c="http://schemas.openxmlformats.org/drawingml/2006/chart">
  <cdr:relSizeAnchor xmlns:cdr="http://schemas.openxmlformats.org/drawingml/2006/chartDrawing">
    <cdr:from>
      <cdr:x>0.82523</cdr:x>
      <cdr:y>0.05278</cdr:y>
    </cdr:from>
    <cdr:to>
      <cdr:x>0.94595</cdr:x>
      <cdr:y>0.13373</cdr:y>
    </cdr:to>
    <cdr:sp macro="" textlink="">
      <cdr:nvSpPr>
        <cdr:cNvPr id="2" name="Text Box 2"/>
        <cdr:cNvSpPr txBox="1">
          <a:spLocks xmlns:a="http://schemas.openxmlformats.org/drawingml/2006/main" noChangeArrowheads="1"/>
        </cdr:cNvSpPr>
      </cdr:nvSpPr>
      <cdr:spPr bwMode="auto">
        <a:xfrm xmlns:a="http://schemas.openxmlformats.org/drawingml/2006/main" flipH="1">
          <a:off x="4362451" y="160873"/>
          <a:ext cx="638175" cy="246734"/>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33.69</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0.81971</cdr:x>
      <cdr:y>0.17995</cdr:y>
    </cdr:from>
    <cdr:to>
      <cdr:x>0.95124</cdr:x>
      <cdr:y>0.2609</cdr:y>
    </cdr:to>
    <cdr:sp macro="" textlink="">
      <cdr:nvSpPr>
        <cdr:cNvPr id="3" name="Text Box 2"/>
        <cdr:cNvSpPr txBox="1">
          <a:spLocks xmlns:a="http://schemas.openxmlformats.org/drawingml/2006/main" noChangeArrowheads="1"/>
        </cdr:cNvSpPr>
      </cdr:nvSpPr>
      <cdr:spPr bwMode="auto">
        <a:xfrm xmlns:a="http://schemas.openxmlformats.org/drawingml/2006/main" flipH="1">
          <a:off x="4809557" y="473063"/>
          <a:ext cx="771739" cy="21281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US" sz="1000" b="1">
              <a:effectLst/>
              <a:latin typeface="Arial" panose="020B0604020202020204" pitchFamily="34" charset="0"/>
              <a:ea typeface="Times New Roman" panose="02020603050405020304" pitchFamily="18" charset="0"/>
              <a:cs typeface="Arial" panose="020B0604020202020204" pitchFamily="34" charset="0"/>
            </a:rPr>
            <a:t>31.38</a:t>
          </a:r>
        </a:p>
      </cdr:txBody>
    </cdr:sp>
  </cdr:relSizeAnchor>
  <cdr:relSizeAnchor xmlns:cdr="http://schemas.openxmlformats.org/drawingml/2006/chartDrawing">
    <cdr:from>
      <cdr:x>0.8334</cdr:x>
      <cdr:y>0.32188</cdr:y>
    </cdr:from>
    <cdr:to>
      <cdr:x>0.9397</cdr:x>
      <cdr:y>0.40283</cdr:y>
    </cdr:to>
    <cdr:sp macro="" textlink="">
      <cdr:nvSpPr>
        <cdr:cNvPr id="4" name="Text Box 2"/>
        <cdr:cNvSpPr txBox="1">
          <a:spLocks xmlns:a="http://schemas.openxmlformats.org/drawingml/2006/main" noChangeArrowheads="1"/>
        </cdr:cNvSpPr>
      </cdr:nvSpPr>
      <cdr:spPr bwMode="auto">
        <a:xfrm xmlns:a="http://schemas.openxmlformats.org/drawingml/2006/main" flipH="1">
          <a:off x="4889880" y="846190"/>
          <a:ext cx="623705" cy="21281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US" sz="1000" b="1">
              <a:effectLst/>
              <a:latin typeface="Arial" panose="020B0604020202020204" pitchFamily="34" charset="0"/>
              <a:ea typeface="Times New Roman" panose="02020603050405020304" pitchFamily="18" charset="0"/>
              <a:cs typeface="Arial" panose="020B0604020202020204" pitchFamily="34" charset="0"/>
            </a:rPr>
            <a:t>31.07</a:t>
          </a:r>
        </a:p>
      </cdr:txBody>
    </cdr:sp>
  </cdr:relSizeAnchor>
  <cdr:relSizeAnchor xmlns:cdr="http://schemas.openxmlformats.org/drawingml/2006/chartDrawing">
    <cdr:from>
      <cdr:x>0.82815</cdr:x>
      <cdr:y>0.46367</cdr:y>
    </cdr:from>
    <cdr:to>
      <cdr:x>0.94166</cdr:x>
      <cdr:y>0.54462</cdr:y>
    </cdr:to>
    <cdr:sp macro="" textlink="">
      <cdr:nvSpPr>
        <cdr:cNvPr id="5" name="Text Box 2"/>
        <cdr:cNvSpPr txBox="1">
          <a:spLocks xmlns:a="http://schemas.openxmlformats.org/drawingml/2006/main" noChangeArrowheads="1"/>
        </cdr:cNvSpPr>
      </cdr:nvSpPr>
      <cdr:spPr bwMode="auto">
        <a:xfrm xmlns:a="http://schemas.openxmlformats.org/drawingml/2006/main" flipH="1">
          <a:off x="4859100" y="1218942"/>
          <a:ext cx="666008" cy="21281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25.14</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0.83369</cdr:x>
      <cdr:y>0.59538</cdr:y>
    </cdr:from>
    <cdr:to>
      <cdr:x>0.9364</cdr:x>
      <cdr:y>0.67633</cdr:y>
    </cdr:to>
    <cdr:sp macro="" textlink="">
      <cdr:nvSpPr>
        <cdr:cNvPr id="6" name="Text Box 2"/>
        <cdr:cNvSpPr txBox="1">
          <a:spLocks xmlns:a="http://schemas.openxmlformats.org/drawingml/2006/main" noChangeArrowheads="1"/>
        </cdr:cNvSpPr>
      </cdr:nvSpPr>
      <cdr:spPr bwMode="auto">
        <a:xfrm xmlns:a="http://schemas.openxmlformats.org/drawingml/2006/main" flipH="1">
          <a:off x="4891600" y="1565196"/>
          <a:ext cx="602640" cy="212809"/>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26.46</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44291D-638F-4840-B5A1-D8D91EFBC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8996</Words>
  <Characters>51279</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ltanh</dc:creator>
  <cp:keywords/>
  <dc:description/>
  <cp:lastModifiedBy>Author</cp:lastModifiedBy>
  <cp:revision>3</cp:revision>
  <cp:lastPrinted>2025-09-05T08:44:00Z</cp:lastPrinted>
  <dcterms:created xsi:type="dcterms:W3CDTF">2025-12-15T02:47:00Z</dcterms:created>
  <dcterms:modified xsi:type="dcterms:W3CDTF">2025-12-15T02:48:00Z</dcterms:modified>
</cp:coreProperties>
</file>