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jc w:val="center"/>
        <w:tblLayout w:type="fixed"/>
        <w:tblLook w:val="0000" w:firstRow="0" w:lastRow="0" w:firstColumn="0" w:lastColumn="0" w:noHBand="0" w:noVBand="0"/>
      </w:tblPr>
      <w:tblGrid>
        <w:gridCol w:w="3722"/>
        <w:gridCol w:w="6030"/>
      </w:tblGrid>
      <w:tr w:rsidR="00AE05A0" w:rsidRPr="00207D00" w14:paraId="49AD3D46" w14:textId="77777777" w:rsidTr="00C17636">
        <w:trPr>
          <w:trHeight w:val="1276"/>
          <w:jc w:val="center"/>
        </w:trPr>
        <w:tc>
          <w:tcPr>
            <w:tcW w:w="3722" w:type="dxa"/>
          </w:tcPr>
          <w:p w14:paraId="18096528" w14:textId="25248C02" w:rsidR="00AE05A0" w:rsidRPr="00207D00" w:rsidRDefault="00C17636" w:rsidP="00AE05A0">
            <w:pPr>
              <w:jc w:val="center"/>
              <w:rPr>
                <w:spacing w:val="-6"/>
                <w:sz w:val="26"/>
                <w:szCs w:val="26"/>
              </w:rPr>
            </w:pPr>
            <w:r w:rsidRPr="00207D00">
              <w:rPr>
                <w:spacing w:val="-6"/>
                <w:sz w:val="26"/>
                <w:szCs w:val="26"/>
              </w:rPr>
              <w:t>MINISTRY OF FINANCE</w:t>
            </w:r>
          </w:p>
          <w:p w14:paraId="3B7A7BA9" w14:textId="32816294" w:rsidR="00AE05A0" w:rsidRPr="00207D00" w:rsidRDefault="00C17636" w:rsidP="00AE05A0">
            <w:pPr>
              <w:jc w:val="center"/>
              <w:rPr>
                <w:b/>
                <w:bCs/>
                <w:spacing w:val="-6"/>
                <w:sz w:val="26"/>
                <w:szCs w:val="26"/>
              </w:rPr>
            </w:pPr>
            <w:r w:rsidRPr="00207D00">
              <w:rPr>
                <w:b/>
                <w:bCs/>
                <w:spacing w:val="-6"/>
                <w:sz w:val="26"/>
                <w:szCs w:val="26"/>
              </w:rPr>
              <w:t>NATIONAL STATISTICS OFFICE</w:t>
            </w:r>
          </w:p>
          <w:p w14:paraId="64E6CAD9" w14:textId="77777777" w:rsidR="00AE05A0" w:rsidRPr="00207D00" w:rsidRDefault="00AE05A0" w:rsidP="00AE05A0">
            <w:pPr>
              <w:spacing w:line="144" w:lineRule="auto"/>
              <w:jc w:val="center"/>
              <w:rPr>
                <w:bCs/>
                <w:spacing w:val="-6"/>
                <w:vertAlign w:val="superscript"/>
              </w:rPr>
            </w:pPr>
            <w:r w:rsidRPr="00207D00">
              <w:rPr>
                <w:bCs/>
                <w:spacing w:val="-6"/>
                <w:sz w:val="26"/>
                <w:szCs w:val="26"/>
                <w:vertAlign w:val="superscript"/>
              </w:rPr>
              <w:t>________________</w:t>
            </w:r>
          </w:p>
          <w:p w14:paraId="0500D97A" w14:textId="593CF411" w:rsidR="00AE05A0" w:rsidRPr="00207D00" w:rsidRDefault="00C17636" w:rsidP="00AE05A0">
            <w:pPr>
              <w:spacing w:before="240" w:line="252" w:lineRule="auto"/>
              <w:jc w:val="center"/>
            </w:pPr>
            <w:r w:rsidRPr="00207D00">
              <w:t>No.</w:t>
            </w:r>
            <w:r w:rsidR="00AE05A0" w:rsidRPr="00207D00">
              <w:t>:</w:t>
            </w:r>
            <w:r w:rsidR="00496C77" w:rsidRPr="00207D00">
              <w:t xml:space="preserve"> </w:t>
            </w:r>
            <w:r w:rsidR="00365FC7" w:rsidRPr="00207D00">
              <w:t>52</w:t>
            </w:r>
            <w:r w:rsidR="00AE05A0" w:rsidRPr="00207D00">
              <w:t>/BC-CTK</w:t>
            </w:r>
          </w:p>
        </w:tc>
        <w:tc>
          <w:tcPr>
            <w:tcW w:w="6030" w:type="dxa"/>
          </w:tcPr>
          <w:p w14:paraId="0CA3CD5A" w14:textId="72E059A2" w:rsidR="00AE05A0" w:rsidRPr="00207D00" w:rsidRDefault="00C17636" w:rsidP="00AE05A0">
            <w:pPr>
              <w:jc w:val="center"/>
              <w:rPr>
                <w:b/>
                <w:bCs/>
                <w:sz w:val="26"/>
                <w:szCs w:val="26"/>
              </w:rPr>
            </w:pPr>
            <w:r w:rsidRPr="00207D00">
              <w:rPr>
                <w:b/>
                <w:bCs/>
                <w:sz w:val="26"/>
                <w:szCs w:val="26"/>
              </w:rPr>
              <w:t>SOCIALIST REPUBLIC OF VIETNAM</w:t>
            </w:r>
          </w:p>
          <w:p w14:paraId="0309B9BC" w14:textId="14F79291" w:rsidR="00AE05A0" w:rsidRPr="00207D00" w:rsidRDefault="00C17636" w:rsidP="00AE05A0">
            <w:pPr>
              <w:jc w:val="center"/>
              <w:rPr>
                <w:b/>
                <w:bCs/>
                <w:szCs w:val="24"/>
              </w:rPr>
            </w:pPr>
            <w:r w:rsidRPr="00207D00">
              <w:rPr>
                <w:b/>
                <w:bCs/>
                <w:szCs w:val="24"/>
              </w:rPr>
              <w:t>Independence - Freedom - Happiness</w:t>
            </w:r>
          </w:p>
          <w:p w14:paraId="27271214" w14:textId="77777777" w:rsidR="00AE05A0" w:rsidRPr="00207D00" w:rsidRDefault="00AE05A0" w:rsidP="00AE05A0">
            <w:pPr>
              <w:spacing w:line="144" w:lineRule="auto"/>
              <w:jc w:val="center"/>
              <w:rPr>
                <w:bCs/>
                <w:szCs w:val="24"/>
                <w:vertAlign w:val="superscript"/>
              </w:rPr>
            </w:pPr>
            <w:r w:rsidRPr="00207D00">
              <w:rPr>
                <w:bCs/>
                <w:szCs w:val="24"/>
                <w:vertAlign w:val="superscript"/>
              </w:rPr>
              <w:t>______________________________________</w:t>
            </w:r>
          </w:p>
          <w:p w14:paraId="20ED4643" w14:textId="7882D465" w:rsidR="00AE05A0" w:rsidRPr="00207D00" w:rsidRDefault="00AE05A0" w:rsidP="00C17636">
            <w:pPr>
              <w:spacing w:before="240" w:line="252" w:lineRule="auto"/>
              <w:ind w:hanging="2"/>
              <w:jc w:val="center"/>
              <w:rPr>
                <w:b/>
                <w:bCs/>
                <w:i/>
                <w:iCs/>
              </w:rPr>
            </w:pPr>
            <w:r w:rsidRPr="00207D00">
              <w:rPr>
                <w:i/>
                <w:iCs/>
              </w:rPr>
              <w:t>H</w:t>
            </w:r>
            <w:r w:rsidR="00C17636" w:rsidRPr="00207D00">
              <w:rPr>
                <w:i/>
                <w:iCs/>
              </w:rPr>
              <w:t>a</w:t>
            </w:r>
            <w:r w:rsidRPr="00207D00">
              <w:rPr>
                <w:i/>
                <w:iCs/>
              </w:rPr>
              <w:t xml:space="preserve"> N</w:t>
            </w:r>
            <w:r w:rsidR="00C17636" w:rsidRPr="00207D00">
              <w:rPr>
                <w:i/>
                <w:iCs/>
              </w:rPr>
              <w:t>o</w:t>
            </w:r>
            <w:r w:rsidRPr="00207D00">
              <w:rPr>
                <w:i/>
                <w:iCs/>
              </w:rPr>
              <w:t xml:space="preserve">i, </w:t>
            </w:r>
            <w:r w:rsidR="00BB37F6" w:rsidRPr="00207D00">
              <w:rPr>
                <w:i/>
                <w:iCs/>
              </w:rPr>
              <w:t>6</w:t>
            </w:r>
            <w:r w:rsidR="00C17636" w:rsidRPr="00207D00">
              <w:rPr>
                <w:i/>
                <w:iCs/>
                <w:vertAlign w:val="superscript"/>
              </w:rPr>
              <w:t>th</w:t>
            </w:r>
            <w:r w:rsidR="00C17636" w:rsidRPr="00207D00">
              <w:rPr>
                <w:i/>
                <w:iCs/>
              </w:rPr>
              <w:t xml:space="preserve"> March</w:t>
            </w:r>
            <w:r w:rsidRPr="00207D00">
              <w:rPr>
                <w:i/>
                <w:iCs/>
              </w:rPr>
              <w:t xml:space="preserve"> 202</w:t>
            </w:r>
            <w:r w:rsidR="00937F2E" w:rsidRPr="00207D00">
              <w:rPr>
                <w:i/>
                <w:iCs/>
              </w:rPr>
              <w:t>6</w:t>
            </w:r>
          </w:p>
        </w:tc>
      </w:tr>
    </w:tbl>
    <w:p w14:paraId="68E81A84" w14:textId="77777777" w:rsidR="002A7012" w:rsidRPr="00207D00" w:rsidRDefault="002A7012" w:rsidP="002A7012">
      <w:pPr>
        <w:jc w:val="center"/>
        <w:rPr>
          <w:b/>
          <w:bCs/>
          <w:sz w:val="24"/>
          <w:szCs w:val="48"/>
        </w:rPr>
      </w:pPr>
    </w:p>
    <w:p w14:paraId="2B4E257A" w14:textId="71D7478C" w:rsidR="002A7012" w:rsidRPr="00207D00" w:rsidRDefault="00C17636" w:rsidP="002A7012">
      <w:pPr>
        <w:jc w:val="center"/>
        <w:rPr>
          <w:b/>
          <w:bCs/>
          <w:sz w:val="40"/>
          <w:szCs w:val="40"/>
        </w:rPr>
      </w:pPr>
      <w:r w:rsidRPr="00207D00">
        <w:rPr>
          <w:b/>
          <w:bCs/>
          <w:sz w:val="40"/>
          <w:szCs w:val="40"/>
        </w:rPr>
        <w:t>REPORT</w:t>
      </w:r>
    </w:p>
    <w:p w14:paraId="700085E5" w14:textId="6618307D" w:rsidR="002A7012" w:rsidRPr="00207D00" w:rsidRDefault="00C17636" w:rsidP="002A7012">
      <w:pPr>
        <w:jc w:val="center"/>
        <w:rPr>
          <w:b/>
          <w:bCs/>
          <w:sz w:val="34"/>
          <w:szCs w:val="34"/>
        </w:rPr>
      </w:pPr>
      <w:r w:rsidRPr="00207D00">
        <w:rPr>
          <w:b/>
          <w:bCs/>
          <w:sz w:val="34"/>
          <w:szCs w:val="34"/>
        </w:rPr>
        <w:t>SOCIO-ECONOMIC PERFORMANCE</w:t>
      </w:r>
      <w:r w:rsidR="002A7012" w:rsidRPr="00207D00">
        <w:rPr>
          <w:b/>
          <w:bCs/>
          <w:sz w:val="34"/>
          <w:szCs w:val="34"/>
        </w:rPr>
        <w:t xml:space="preserve"> </w:t>
      </w:r>
      <w:r w:rsidR="002A7012" w:rsidRPr="00207D00">
        <w:rPr>
          <w:b/>
          <w:bCs/>
          <w:sz w:val="34"/>
          <w:szCs w:val="34"/>
        </w:rPr>
        <w:br/>
      </w:r>
      <w:r w:rsidRPr="00207D00">
        <w:rPr>
          <w:b/>
          <w:bCs/>
          <w:sz w:val="34"/>
          <w:szCs w:val="34"/>
        </w:rPr>
        <w:t xml:space="preserve">IN FEBRUARY AND </w:t>
      </w:r>
      <w:r w:rsidR="00E515D5">
        <w:rPr>
          <w:b/>
          <w:bCs/>
          <w:sz w:val="34"/>
          <w:szCs w:val="34"/>
        </w:rPr>
        <w:t xml:space="preserve">THE FIRST </w:t>
      </w:r>
      <w:r w:rsidRPr="00207D00">
        <w:rPr>
          <w:b/>
          <w:bCs/>
          <w:sz w:val="34"/>
          <w:szCs w:val="34"/>
        </w:rPr>
        <w:t>TWO MONTHS OF</w:t>
      </w:r>
      <w:r w:rsidR="002A7012" w:rsidRPr="00207D00">
        <w:rPr>
          <w:b/>
          <w:bCs/>
          <w:sz w:val="34"/>
          <w:szCs w:val="34"/>
        </w:rPr>
        <w:t xml:space="preserve"> 202</w:t>
      </w:r>
      <w:r w:rsidR="00937F2E" w:rsidRPr="00207D00">
        <w:rPr>
          <w:b/>
          <w:bCs/>
          <w:sz w:val="34"/>
          <w:szCs w:val="34"/>
        </w:rPr>
        <w:t>6</w:t>
      </w:r>
    </w:p>
    <w:p w14:paraId="5F1D9475" w14:textId="77777777" w:rsidR="002A7012" w:rsidRPr="00207D00" w:rsidRDefault="002A7012" w:rsidP="002A7012">
      <w:pPr>
        <w:spacing w:before="20"/>
        <w:jc w:val="center"/>
        <w:rPr>
          <w:rFonts w:ascii="Arial" w:hAnsi="Arial" w:cs="Arial"/>
          <w:b/>
          <w:bCs/>
          <w:sz w:val="38"/>
          <w:szCs w:val="52"/>
        </w:rPr>
      </w:pPr>
      <w:r w:rsidRPr="00207D00">
        <w:rPr>
          <w:rFonts w:ascii="Arial" w:hAnsi="Arial" w:cs="Arial"/>
          <w:b/>
          <w:bCs/>
          <w:noProof/>
          <w:sz w:val="50"/>
          <w:szCs w:val="52"/>
        </w:rPr>
        <mc:AlternateContent>
          <mc:Choice Requires="wps">
            <w:drawing>
              <wp:anchor distT="0" distB="0" distL="114300" distR="114300" simplePos="0" relativeHeight="251664384" behindDoc="0" locked="0" layoutInCell="1" allowOverlap="1" wp14:anchorId="2107B36E" wp14:editId="3F7B5A07">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AF00FC"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65235D1B" w14:textId="77777777" w:rsidR="008171C7" w:rsidRPr="00297EFF" w:rsidRDefault="008171C7" w:rsidP="008171C7">
      <w:pPr>
        <w:tabs>
          <w:tab w:val="left" w:pos="720"/>
        </w:tabs>
        <w:spacing w:after="100" w:line="259" w:lineRule="auto"/>
        <w:ind w:firstLine="720"/>
        <w:jc w:val="both"/>
        <w:rPr>
          <w:b/>
        </w:rPr>
      </w:pPr>
      <w:r w:rsidRPr="00297EFF">
        <w:rPr>
          <w:b/>
          <w:bCs/>
        </w:rPr>
        <w:t>1</w:t>
      </w:r>
      <w:r w:rsidRPr="00297EFF">
        <w:rPr>
          <w:b/>
        </w:rPr>
        <w:t xml:space="preserve">. Agriculture, forestry, and fishing </w:t>
      </w:r>
    </w:p>
    <w:p w14:paraId="18B7C32E" w14:textId="02AA41A9" w:rsidR="008171C7" w:rsidRPr="00297EFF" w:rsidRDefault="008171C7" w:rsidP="008171C7">
      <w:pPr>
        <w:spacing w:after="120" w:line="264" w:lineRule="auto"/>
        <w:ind w:firstLine="720"/>
        <w:jc w:val="both"/>
        <w:rPr>
          <w:rFonts w:ascii="Times New Roman Italic" w:hAnsi="Times New Roman Italic"/>
          <w:i/>
          <w:iCs/>
          <w:color w:val="FF0000"/>
          <w:spacing w:val="2"/>
        </w:rPr>
      </w:pPr>
      <w:r w:rsidRPr="00297EFF">
        <w:rPr>
          <w:rFonts w:ascii="Times New Roman Italic" w:hAnsi="Times New Roman Italic"/>
          <w:i/>
          <w:iCs/>
          <w:spacing w:val="2"/>
        </w:rPr>
        <w:t xml:space="preserve">Agricultural production in February focused on cultivating and tending the winter-spring rice and other crops nationwide. Pig farming witnessed a recovery, poultry farming </w:t>
      </w:r>
      <w:r w:rsidR="00802EE4">
        <w:rPr>
          <w:rFonts w:ascii="Times New Roman Italic" w:hAnsi="Times New Roman Italic"/>
          <w:i/>
          <w:iCs/>
          <w:spacing w:val="2"/>
        </w:rPr>
        <w:t>saw</w:t>
      </w:r>
      <w:r w:rsidR="00802EE4" w:rsidRPr="00297EFF">
        <w:rPr>
          <w:rFonts w:ascii="Times New Roman Italic" w:hAnsi="Times New Roman Italic"/>
          <w:i/>
          <w:iCs/>
          <w:spacing w:val="2"/>
        </w:rPr>
        <w:t xml:space="preserve"> </w:t>
      </w:r>
      <w:r w:rsidRPr="00297EFF">
        <w:rPr>
          <w:rFonts w:ascii="Times New Roman Italic" w:hAnsi="Times New Roman Italic"/>
          <w:i/>
          <w:iCs/>
          <w:spacing w:val="2"/>
        </w:rPr>
        <w:t xml:space="preserve">a stability, </w:t>
      </w:r>
      <w:r w:rsidR="00802EE4" w:rsidRPr="00802EE4">
        <w:rPr>
          <w:rFonts w:ascii="Times New Roman Italic" w:hAnsi="Times New Roman Italic"/>
          <w:i/>
          <w:iCs/>
          <w:spacing w:val="2"/>
        </w:rPr>
        <w:t>ensuring food supply for</w:t>
      </w:r>
      <w:r w:rsidR="00802EE4" w:rsidRPr="00802EE4" w:rsidDel="00802EE4">
        <w:rPr>
          <w:rFonts w:ascii="Times New Roman Italic" w:hAnsi="Times New Roman Italic"/>
          <w:i/>
          <w:iCs/>
          <w:spacing w:val="2"/>
        </w:rPr>
        <w:t xml:space="preserve"> </w:t>
      </w:r>
      <w:r w:rsidRPr="00297EFF">
        <w:rPr>
          <w:rFonts w:ascii="Times New Roman Italic" w:hAnsi="Times New Roman Italic"/>
          <w:i/>
          <w:iCs/>
          <w:spacing w:val="2"/>
        </w:rPr>
        <w:t>consumption during the Lunar New Year. The weather in the month was favorable for wood harvesting, forest care and protection; forest management, forest fire prevention and control were strengthened. In February 2026, the prices of pangasius and shrimp remained at a profitable level, encouraging farmers to increase harvesting for domestic consumption and export; fisheries capture saw a downturn tendency due to disruptions caused by the Lunar New Year holiday.</w:t>
      </w:r>
    </w:p>
    <w:p w14:paraId="5CC7848A" w14:textId="77777777" w:rsidR="008171C7" w:rsidRPr="00297EFF" w:rsidRDefault="008171C7" w:rsidP="008171C7">
      <w:pPr>
        <w:pStyle w:val="ListParagraph"/>
        <w:numPr>
          <w:ilvl w:val="0"/>
          <w:numId w:val="3"/>
        </w:numPr>
        <w:tabs>
          <w:tab w:val="left" w:pos="360"/>
          <w:tab w:val="left" w:pos="1134"/>
        </w:tabs>
        <w:spacing w:after="100" w:line="259" w:lineRule="auto"/>
        <w:jc w:val="both"/>
        <w:rPr>
          <w:b/>
          <w:bCs/>
          <w:i/>
          <w:iCs/>
        </w:rPr>
      </w:pPr>
      <w:r w:rsidRPr="00297EFF">
        <w:rPr>
          <w:b/>
          <w:bCs/>
          <w:i/>
          <w:iCs/>
        </w:rPr>
        <w:t>Agriculture</w:t>
      </w:r>
    </w:p>
    <w:p w14:paraId="6D349140" w14:textId="23144E16" w:rsidR="008171C7" w:rsidRPr="00A370C9" w:rsidRDefault="001C38BD" w:rsidP="00A370C9">
      <w:pPr>
        <w:tabs>
          <w:tab w:val="left" w:pos="360"/>
          <w:tab w:val="left" w:pos="1134"/>
        </w:tabs>
        <w:spacing w:after="100" w:line="259" w:lineRule="auto"/>
        <w:ind w:left="720"/>
        <w:jc w:val="both"/>
        <w:rPr>
          <w:b/>
          <w:bCs/>
          <w:i/>
          <w:iCs/>
        </w:rPr>
      </w:pPr>
      <w:r>
        <w:rPr>
          <w:b/>
          <w:bCs/>
          <w:i/>
          <w:iCs/>
        </w:rPr>
        <w:t>S</w:t>
      </w:r>
      <w:r w:rsidR="008171C7" w:rsidRPr="00A370C9">
        <w:rPr>
          <w:b/>
          <w:bCs/>
          <w:i/>
          <w:iCs/>
        </w:rPr>
        <w:t xml:space="preserve">pring </w:t>
      </w:r>
      <w:r w:rsidR="00A370C9">
        <w:rPr>
          <w:b/>
          <w:bCs/>
          <w:i/>
          <w:iCs/>
        </w:rPr>
        <w:t>rice</w:t>
      </w:r>
      <w:r w:rsidRPr="00A370C9">
        <w:rPr>
          <w:b/>
          <w:bCs/>
          <w:i/>
          <w:iCs/>
        </w:rPr>
        <w:t xml:space="preserve"> </w:t>
      </w:r>
    </w:p>
    <w:p w14:paraId="14B52C67" w14:textId="0E775055" w:rsidR="008171C7" w:rsidRPr="00297EFF" w:rsidRDefault="008171C7" w:rsidP="008171C7">
      <w:pPr>
        <w:tabs>
          <w:tab w:val="left" w:pos="720"/>
        </w:tabs>
        <w:spacing w:after="100" w:line="259" w:lineRule="auto"/>
        <w:ind w:firstLine="720"/>
        <w:jc w:val="both"/>
      </w:pPr>
      <w:r w:rsidRPr="00297EFF">
        <w:t>As of February 20</w:t>
      </w:r>
      <w:r w:rsidR="003679D7" w:rsidRPr="00A370C9">
        <w:rPr>
          <w:vertAlign w:val="superscript"/>
        </w:rPr>
        <w:t>th</w:t>
      </w:r>
      <w:r w:rsidRPr="00297EFF">
        <w:t xml:space="preserve">, 2026, the national </w:t>
      </w:r>
      <w:r w:rsidR="00A5362B">
        <w:t>planted</w:t>
      </w:r>
      <w:r w:rsidR="00A5362B" w:rsidRPr="00297EFF">
        <w:t xml:space="preserve"> </w:t>
      </w:r>
      <w:r w:rsidRPr="00297EFF">
        <w:t xml:space="preserve">area of spring </w:t>
      </w:r>
      <w:r w:rsidR="00A370C9">
        <w:t>rice</w:t>
      </w:r>
      <w:r w:rsidR="001D4198" w:rsidRPr="00297EFF">
        <w:t xml:space="preserve"> reached</w:t>
      </w:r>
      <w:r w:rsidRPr="00297EFF">
        <w:t xml:space="preserve"> 2,731.4 thousand hectares, a year-on-year decrease of 58.0 thousand hectares. Of which, </w:t>
      </w:r>
      <w:r w:rsidR="00E47C1D">
        <w:t xml:space="preserve">the </w:t>
      </w:r>
      <w:r w:rsidRPr="00297EFF">
        <w:t xml:space="preserve">Northern localities reached 854.1 thousand hectares, falling by 24.1 thousand hectares; </w:t>
      </w:r>
      <w:r w:rsidR="00E47C1D">
        <w:t xml:space="preserve">the </w:t>
      </w:r>
      <w:r w:rsidRPr="00297EFF">
        <w:t xml:space="preserve">Southern localities reached 1,877.3 thousand hectares, </w:t>
      </w:r>
      <w:r w:rsidR="003679D7">
        <w:t>decreasing</w:t>
      </w:r>
      <w:r w:rsidR="003679D7" w:rsidRPr="00297EFF">
        <w:t xml:space="preserve"> </w:t>
      </w:r>
      <w:r w:rsidRPr="00297EFF">
        <w:t xml:space="preserve">by 33.9 thousand hectares (the Mekong River Delta reached 1,234.1 thousand hectares, showing a decrease of 32.2 thousand hectares). The progress of spring </w:t>
      </w:r>
      <w:r w:rsidR="00A370C9">
        <w:t>rice</w:t>
      </w:r>
      <w:r w:rsidR="001C38BD" w:rsidRPr="00297EFF">
        <w:t xml:space="preserve"> </w:t>
      </w:r>
      <w:r w:rsidRPr="00297EFF">
        <w:t>cultivation in</w:t>
      </w:r>
      <w:r w:rsidR="00E47C1D">
        <w:t xml:space="preserve"> the</w:t>
      </w:r>
      <w:r w:rsidRPr="00297EFF">
        <w:t xml:space="preserve"> Northern localities recorded a slower progress, comparing to the same period last year, </w:t>
      </w:r>
      <w:r w:rsidR="007A3825">
        <w:t>because</w:t>
      </w:r>
      <w:r w:rsidRPr="00297EFF">
        <w:t xml:space="preserve"> localities mainly focused on late spring cultivation to minimize damage to seedlings and newly transplanted rice before the severe cold weather at the beginning of the crop season. In addition, February this year coincided with the Lunar New Year holiday, therefore, some areas were not timely cultivated. Some localities saw a decrease in spring </w:t>
      </w:r>
      <w:r w:rsidR="00A370C9">
        <w:t>rice</w:t>
      </w:r>
      <w:r w:rsidR="001C38BD" w:rsidRPr="00297EFF">
        <w:t xml:space="preserve"> </w:t>
      </w:r>
      <w:r w:rsidRPr="00297EFF">
        <w:t xml:space="preserve">area, comparing to the same period last year, </w:t>
      </w:r>
      <w:r w:rsidR="007A3825">
        <w:t>including</w:t>
      </w:r>
      <w:r w:rsidRPr="00297EFF">
        <w:t xml:space="preserve"> Bac Ninh </w:t>
      </w:r>
      <w:r w:rsidR="007A3825">
        <w:t xml:space="preserve">(a decrease of </w:t>
      </w:r>
      <w:r w:rsidRPr="00297EFF">
        <w:t>19.1 thousand hectares</w:t>
      </w:r>
      <w:r w:rsidR="007A3825">
        <w:t>)</w:t>
      </w:r>
      <w:r w:rsidRPr="00297EFF">
        <w:t xml:space="preserve">; Ninh Binh </w:t>
      </w:r>
      <w:r w:rsidR="007A3825">
        <w:t xml:space="preserve">(a fall of </w:t>
      </w:r>
      <w:r w:rsidRPr="00297EFF">
        <w:t>5.9 thousand hectares</w:t>
      </w:r>
      <w:r w:rsidR="007A3825">
        <w:t>)</w:t>
      </w:r>
      <w:r w:rsidRPr="00297EFF">
        <w:t xml:space="preserve">; Hai Phong </w:t>
      </w:r>
      <w:r w:rsidR="007A3825">
        <w:t xml:space="preserve">(a decline of </w:t>
      </w:r>
      <w:r w:rsidRPr="00297EFF">
        <w:t>1.6 thousand hectares</w:t>
      </w:r>
      <w:r w:rsidR="007A3825">
        <w:t>)</w:t>
      </w:r>
      <w:r w:rsidRPr="00297EFF">
        <w:t xml:space="preserve">. </w:t>
      </w:r>
      <w:r w:rsidR="007A3825">
        <w:t xml:space="preserve">In </w:t>
      </w:r>
      <w:r w:rsidR="00E47C1D">
        <w:t xml:space="preserve">the </w:t>
      </w:r>
      <w:r w:rsidRPr="00297EFF">
        <w:t xml:space="preserve">Southern localities, the cultivation of spring </w:t>
      </w:r>
      <w:r w:rsidR="00A370C9">
        <w:t>rice</w:t>
      </w:r>
      <w:r w:rsidR="001C38BD" w:rsidRPr="00297EFF">
        <w:t xml:space="preserve"> </w:t>
      </w:r>
      <w:r w:rsidRPr="00297EFF">
        <w:t xml:space="preserve">basically completed, with the decrease in cultivation area mainly due to converting a part of inefficient rice fields to other crops for higher economic </w:t>
      </w:r>
      <w:r w:rsidRPr="00297EFF">
        <w:lastRenderedPageBreak/>
        <w:t xml:space="preserve">benefit. Some localities experienced a year-on-year decrease in cultivation area, including Can Tho </w:t>
      </w:r>
      <w:r w:rsidR="007A3825">
        <w:t xml:space="preserve">(a decrease of </w:t>
      </w:r>
      <w:r w:rsidRPr="00297EFF">
        <w:t>14.8 thousand hectares</w:t>
      </w:r>
      <w:r w:rsidR="007A3825">
        <w:t>)</w:t>
      </w:r>
      <w:r w:rsidRPr="00297EFF">
        <w:t xml:space="preserve">; Dong Thap </w:t>
      </w:r>
      <w:r w:rsidR="007A3825">
        <w:t xml:space="preserve">(a downturn of </w:t>
      </w:r>
      <w:r w:rsidRPr="00297EFF">
        <w:t>8.6 thousand hectares</w:t>
      </w:r>
      <w:r w:rsidR="007A3825">
        <w:t>)</w:t>
      </w:r>
      <w:r w:rsidRPr="00297EFF">
        <w:t xml:space="preserve"> and An Giang </w:t>
      </w:r>
      <w:r w:rsidR="007A3825">
        <w:t xml:space="preserve">(a reduction of </w:t>
      </w:r>
      <w:r w:rsidRPr="00297EFF">
        <w:t>5.2 thousand hectares</w:t>
      </w:r>
      <w:r w:rsidR="007A3825">
        <w:t>)</w:t>
      </w:r>
      <w:r w:rsidRPr="00297EFF">
        <w:t>.</w:t>
      </w:r>
    </w:p>
    <w:p w14:paraId="0575317B" w14:textId="60F0CBB8" w:rsidR="008171C7" w:rsidRPr="00297EFF" w:rsidRDefault="008171C7" w:rsidP="008171C7">
      <w:pPr>
        <w:tabs>
          <w:tab w:val="left" w:pos="720"/>
        </w:tabs>
        <w:spacing w:after="100" w:line="259" w:lineRule="auto"/>
        <w:ind w:firstLine="720"/>
        <w:jc w:val="both"/>
      </w:pPr>
      <w:r w:rsidRPr="00297EFF">
        <w:t xml:space="preserve">So far, </w:t>
      </w:r>
      <w:r w:rsidR="00E47C1D">
        <w:t xml:space="preserve">the </w:t>
      </w:r>
      <w:r w:rsidRPr="00297EFF">
        <w:t xml:space="preserve">Southern localities began harvesting some early </w:t>
      </w:r>
      <w:r w:rsidR="001C38BD">
        <w:t xml:space="preserve">paddies </w:t>
      </w:r>
      <w:r w:rsidRPr="00297EFF">
        <w:t xml:space="preserve">with an area of ​​253.1 thousand hectares, showing a year-on-year decrease of 15.6 thousand hectares, mainly due to the impact of heavy rain and delayed crop calendar, resulting in a slower harvest of the spring </w:t>
      </w:r>
      <w:r w:rsidR="00A370C9">
        <w:t>rice</w:t>
      </w:r>
      <w:r w:rsidRPr="00297EFF">
        <w:t>, comparing to the previous year.</w:t>
      </w:r>
    </w:p>
    <w:p w14:paraId="7BF7E8C9" w14:textId="4DEE0A79" w:rsidR="008171C7" w:rsidRPr="00A370C9" w:rsidRDefault="008171C7" w:rsidP="008171C7">
      <w:pPr>
        <w:tabs>
          <w:tab w:val="left" w:pos="720"/>
        </w:tabs>
        <w:spacing w:after="100" w:line="259" w:lineRule="auto"/>
        <w:ind w:firstLine="720"/>
        <w:jc w:val="both"/>
        <w:rPr>
          <w:b/>
          <w:i/>
        </w:rPr>
      </w:pPr>
      <w:r w:rsidRPr="00A370C9">
        <w:rPr>
          <w:b/>
          <w:i/>
        </w:rPr>
        <w:t xml:space="preserve">Winter </w:t>
      </w:r>
      <w:r w:rsidR="00A370C9">
        <w:rPr>
          <w:b/>
          <w:i/>
        </w:rPr>
        <w:t>rice</w:t>
      </w:r>
      <w:r w:rsidR="001C38BD" w:rsidRPr="00A370C9">
        <w:rPr>
          <w:b/>
          <w:i/>
        </w:rPr>
        <w:t xml:space="preserve"> </w:t>
      </w:r>
      <w:r w:rsidRPr="00A370C9">
        <w:rPr>
          <w:b/>
          <w:i/>
        </w:rPr>
        <w:t>in the Mekong River Delta</w:t>
      </w:r>
    </w:p>
    <w:p w14:paraId="70AA748E" w14:textId="5624D143" w:rsidR="008171C7" w:rsidRPr="00297EFF" w:rsidRDefault="008171C7" w:rsidP="008171C7">
      <w:pPr>
        <w:tabs>
          <w:tab w:val="left" w:pos="720"/>
        </w:tabs>
        <w:spacing w:after="100" w:line="259" w:lineRule="auto"/>
        <w:ind w:firstLine="720"/>
        <w:jc w:val="both"/>
      </w:pPr>
      <w:r w:rsidRPr="00297EFF">
        <w:t xml:space="preserve">The </w:t>
      </w:r>
      <w:r w:rsidR="002D3762">
        <w:t>planted</w:t>
      </w:r>
      <w:r w:rsidR="002D3762" w:rsidRPr="00297EFF">
        <w:t xml:space="preserve"> </w:t>
      </w:r>
      <w:r w:rsidRPr="00297EFF">
        <w:t xml:space="preserve">area of winter </w:t>
      </w:r>
      <w:r w:rsidR="00A370C9">
        <w:t>rice</w:t>
      </w:r>
      <w:r w:rsidR="005A1252" w:rsidRPr="00297EFF">
        <w:t xml:space="preserve"> </w:t>
      </w:r>
      <w:r w:rsidRPr="00297EFF">
        <w:t>in</w:t>
      </w:r>
      <w:r w:rsidR="00E47C1D">
        <w:t xml:space="preserve"> the</w:t>
      </w:r>
      <w:r w:rsidRPr="00297EFF">
        <w:t xml:space="preserve"> Mekong River Delta </w:t>
      </w:r>
      <w:r w:rsidR="00942D3F" w:rsidRPr="00297EFF">
        <w:t>was estimated</w:t>
      </w:r>
      <w:r w:rsidRPr="00297EFF">
        <w:t xml:space="preserve"> at 171.7 thousand hectares, a year-on-year decrease of 20.1 thousand hectares, mainly due to heavy rains at the beginning of the season and restructuring of cropping patterns in the region</w:t>
      </w:r>
      <w:r w:rsidR="00503388">
        <w:t>.</w:t>
      </w:r>
      <w:r w:rsidRPr="00297EFF">
        <w:t xml:space="preserve"> </w:t>
      </w:r>
      <w:r w:rsidR="00503388">
        <w:t>O</w:t>
      </w:r>
      <w:r w:rsidR="00503388" w:rsidRPr="00297EFF">
        <w:t xml:space="preserve">f </w:t>
      </w:r>
      <w:r w:rsidRPr="00297EFF">
        <w:t xml:space="preserve">which Can Tho saw a decrease of 10.6 thousand hectares due to shifting from the </w:t>
      </w:r>
      <w:r w:rsidR="005A1252">
        <w:t>winter</w:t>
      </w:r>
      <w:r w:rsidR="005A1252" w:rsidRPr="00297EFF">
        <w:t xml:space="preserve"> </w:t>
      </w:r>
      <w:r w:rsidRPr="00297EFF">
        <w:t xml:space="preserve">crop to the autumn-winter and winter-spring </w:t>
      </w:r>
      <w:r w:rsidR="00A370C9">
        <w:t>rice</w:t>
      </w:r>
      <w:r w:rsidR="005A1252" w:rsidRPr="00297EFF">
        <w:t xml:space="preserve"> </w:t>
      </w:r>
      <w:r w:rsidRPr="00297EFF">
        <w:t>for higher yields; An Giang fell by 7.4 thousand hectares due to converting to shrimp farming and freshwater reservoirs; and Ca Mau decreased by 4.8 thousand hectares due to heavy rains preventing the cultivation.</w:t>
      </w:r>
    </w:p>
    <w:p w14:paraId="5646706F" w14:textId="115F5249" w:rsidR="008171C7" w:rsidRPr="00297EFF" w:rsidRDefault="008171C7" w:rsidP="008171C7">
      <w:pPr>
        <w:tabs>
          <w:tab w:val="left" w:pos="720"/>
        </w:tabs>
        <w:spacing w:after="100" w:line="259" w:lineRule="auto"/>
        <w:ind w:firstLine="720"/>
        <w:jc w:val="both"/>
      </w:pPr>
      <w:r w:rsidRPr="00297EFF">
        <w:t>As of February 20</w:t>
      </w:r>
      <w:r w:rsidR="00942D3F" w:rsidRPr="00A370C9">
        <w:rPr>
          <w:vertAlign w:val="superscript"/>
        </w:rPr>
        <w:t>th</w:t>
      </w:r>
      <w:r w:rsidRPr="00297EFF">
        <w:t xml:space="preserve">, 2026, the provinces in the region basically completed the </w:t>
      </w:r>
      <w:r w:rsidR="00942D3F" w:rsidRPr="00297EFF">
        <w:t xml:space="preserve">winter </w:t>
      </w:r>
      <w:r w:rsidR="00A370C9">
        <w:t>rice</w:t>
      </w:r>
      <w:r w:rsidR="005A1252" w:rsidRPr="00297EFF">
        <w:t xml:space="preserve"> </w:t>
      </w:r>
      <w:r w:rsidRPr="00297EFF">
        <w:t>harvest with an estimated harvested area of ​​168.1 thousand hectares, a year-on-year decrease of 23.7 thousand hectares. Of which</w:t>
      </w:r>
      <w:r w:rsidR="00942D3F">
        <w:t>,</w:t>
      </w:r>
      <w:r w:rsidRPr="00297EFF">
        <w:t xml:space="preserve"> An Giang reached 73.6 thousand hectares, </w:t>
      </w:r>
      <w:r w:rsidR="00942D3F">
        <w:t xml:space="preserve">decreasing </w:t>
      </w:r>
      <w:r w:rsidRPr="00297EFF">
        <w:t>by 7.4 thousand hectares; Ca Mau</w:t>
      </w:r>
      <w:r w:rsidR="00942D3F">
        <w:t xml:space="preserve"> reached</w:t>
      </w:r>
      <w:r w:rsidRPr="00297EFF">
        <w:t xml:space="preserve"> 88.6 thousand hectares, </w:t>
      </w:r>
      <w:r w:rsidR="00942D3F">
        <w:t xml:space="preserve">decreasing </w:t>
      </w:r>
      <w:r w:rsidRPr="00297EFF">
        <w:t>by 2.1 thousand hectares; and Vinh Long reached 5.9 thousand hectares</w:t>
      </w:r>
      <w:r w:rsidR="00942D3F">
        <w:t>,</w:t>
      </w:r>
      <w:r w:rsidRPr="00297EFF">
        <w:t xml:space="preserve"> rising by 0.1 thousand hectares. According to preliminary estimates of the localities, the yield of rice in the region was estimated at 54.1 quintals/hectare, a year-on-year rise of 1.6 quintals/hectare; the production was estimated </w:t>
      </w:r>
      <w:r w:rsidR="00942D3F" w:rsidRPr="00297EFF">
        <w:t>at 909.6</w:t>
      </w:r>
      <w:r w:rsidRPr="00297EFF">
        <w:t xml:space="preserve"> thousand tons, showing a decrease of 97.7 thousand tons, mainly due to the reduction in cultivation area.</w:t>
      </w:r>
    </w:p>
    <w:p w14:paraId="67542E1C" w14:textId="77777777" w:rsidR="008171C7" w:rsidRPr="00297EFF" w:rsidRDefault="008171C7" w:rsidP="008171C7">
      <w:pPr>
        <w:tabs>
          <w:tab w:val="left" w:pos="720"/>
        </w:tabs>
        <w:spacing w:after="100" w:line="259" w:lineRule="auto"/>
        <w:ind w:firstLine="720"/>
        <w:jc w:val="both"/>
        <w:rPr>
          <w:b/>
          <w:i/>
        </w:rPr>
      </w:pPr>
      <w:r w:rsidRPr="00297EFF">
        <w:rPr>
          <w:b/>
          <w:i/>
        </w:rPr>
        <w:t>Annual crops</w:t>
      </w:r>
    </w:p>
    <w:p w14:paraId="2379D592" w14:textId="55781E06" w:rsidR="008171C7" w:rsidRPr="00297EFF" w:rsidRDefault="008171C7" w:rsidP="008171C7">
      <w:pPr>
        <w:tabs>
          <w:tab w:val="left" w:pos="720"/>
        </w:tabs>
        <w:spacing w:after="100" w:line="259" w:lineRule="auto"/>
        <w:ind w:firstLine="720"/>
        <w:jc w:val="both"/>
      </w:pPr>
      <w:r w:rsidRPr="00297EFF">
        <w:t xml:space="preserve">Along with cultivating the spring </w:t>
      </w:r>
      <w:r w:rsidR="00A370C9">
        <w:t>rice</w:t>
      </w:r>
      <w:r w:rsidRPr="00297EFF">
        <w:t xml:space="preserve">, localities </w:t>
      </w:r>
      <w:r w:rsidR="00CF07E8" w:rsidRPr="00297EFF">
        <w:t>nationwide cultivated</w:t>
      </w:r>
      <w:r w:rsidRPr="00297EFF">
        <w:t xml:space="preserve"> other crops. The progress of crops cultivation including maize, sweet potatoes, soybeans, and peanuts was lower</w:t>
      </w:r>
      <w:r w:rsidR="005A1252">
        <w:t xml:space="preserve"> than </w:t>
      </w:r>
      <w:r w:rsidRPr="00297EFF">
        <w:t>the same period last year</w:t>
      </w:r>
      <w:r w:rsidRPr="00297EFF">
        <w:rPr>
          <w:rStyle w:val="FootnoteReference"/>
        </w:rPr>
        <w:footnoteReference w:id="1"/>
      </w:r>
      <w:r w:rsidRPr="00297EFF">
        <w:t>.</w:t>
      </w:r>
    </w:p>
    <w:p w14:paraId="1402FD03" w14:textId="0C995D47" w:rsidR="008171C7" w:rsidRPr="00297EFF" w:rsidRDefault="008171C7" w:rsidP="008171C7">
      <w:pPr>
        <w:pStyle w:val="Normal2"/>
        <w:spacing w:before="60" w:beforeAutospacing="0" w:after="60" w:afterAutospacing="0" w:line="271" w:lineRule="auto"/>
        <w:jc w:val="center"/>
        <w:rPr>
          <w:rFonts w:ascii="Arial" w:hAnsi="Arial" w:cs="Arial"/>
          <w:b/>
        </w:rPr>
      </w:pPr>
      <w:r w:rsidRPr="00297EFF">
        <w:rPr>
          <w:rFonts w:ascii="Arial" w:hAnsi="Arial" w:cs="Arial"/>
          <w:b/>
        </w:rPr>
        <w:t>Figure 1. Cultivat</w:t>
      </w:r>
      <w:r w:rsidR="00A5362B">
        <w:rPr>
          <w:rFonts w:ascii="Arial" w:hAnsi="Arial" w:cs="Arial"/>
          <w:b/>
        </w:rPr>
        <w:t>ion</w:t>
      </w:r>
      <w:r w:rsidRPr="00297EFF">
        <w:rPr>
          <w:rFonts w:ascii="Arial" w:hAnsi="Arial" w:cs="Arial"/>
          <w:b/>
        </w:rPr>
        <w:t xml:space="preserve"> of annual crops </w:t>
      </w:r>
    </w:p>
    <w:p w14:paraId="51B10DB1" w14:textId="216C40F1" w:rsidR="008171C7" w:rsidRPr="00297EFF" w:rsidRDefault="008171C7" w:rsidP="008171C7">
      <w:pPr>
        <w:pStyle w:val="Normal2"/>
        <w:spacing w:before="60" w:beforeAutospacing="0" w:after="60" w:afterAutospacing="0" w:line="271" w:lineRule="auto"/>
        <w:jc w:val="center"/>
      </w:pPr>
      <w:r w:rsidRPr="00297EFF">
        <w:rPr>
          <w:rFonts w:ascii="Arial" w:hAnsi="Arial" w:cs="Arial"/>
          <w:bCs/>
          <w:i/>
          <w:iCs/>
        </w:rPr>
        <w:lastRenderedPageBreak/>
        <w:t>(As of February 20</w:t>
      </w:r>
      <w:r w:rsidR="00A5362B" w:rsidRPr="00A370C9">
        <w:rPr>
          <w:rFonts w:ascii="Arial" w:hAnsi="Arial" w:cs="Arial"/>
          <w:bCs/>
          <w:i/>
          <w:iCs/>
          <w:vertAlign w:val="superscript"/>
        </w:rPr>
        <w:t>th</w:t>
      </w:r>
      <w:r w:rsidRPr="00297EFF">
        <w:rPr>
          <w:rFonts w:ascii="Arial" w:hAnsi="Arial" w:cs="Arial"/>
          <w:bCs/>
          <w:i/>
          <w:iCs/>
        </w:rPr>
        <w:t>, 2026)</w:t>
      </w:r>
      <w:r w:rsidRPr="00297EFF">
        <w:rPr>
          <w:noProof/>
        </w:rPr>
        <w:drawing>
          <wp:inline distT="0" distB="0" distL="0" distR="0" wp14:anchorId="24A6A3E7" wp14:editId="27EA968F">
            <wp:extent cx="5699760" cy="2246755"/>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9760" cy="2246755"/>
                    </a:xfrm>
                    <a:prstGeom prst="rect">
                      <a:avLst/>
                    </a:prstGeom>
                    <a:noFill/>
                    <a:ln>
                      <a:noFill/>
                    </a:ln>
                  </pic:spPr>
                </pic:pic>
              </a:graphicData>
            </a:graphic>
          </wp:inline>
        </w:drawing>
      </w:r>
    </w:p>
    <w:p w14:paraId="10672296" w14:textId="77777777" w:rsidR="008171C7" w:rsidRPr="00297EFF" w:rsidRDefault="008171C7" w:rsidP="008171C7">
      <w:pPr>
        <w:tabs>
          <w:tab w:val="left" w:pos="709"/>
        </w:tabs>
        <w:spacing w:before="60" w:after="120" w:line="264" w:lineRule="auto"/>
        <w:jc w:val="both"/>
        <w:rPr>
          <w:b/>
          <w:i/>
        </w:rPr>
      </w:pPr>
      <w:r w:rsidRPr="00297EFF">
        <w:tab/>
      </w:r>
      <w:r w:rsidRPr="00297EFF">
        <w:rPr>
          <w:b/>
          <w:i/>
        </w:rPr>
        <w:t>Livestock</w:t>
      </w:r>
    </w:p>
    <w:p w14:paraId="5FA67B74" w14:textId="6AB1472F" w:rsidR="008171C7" w:rsidRPr="00297EFF" w:rsidRDefault="008171C7" w:rsidP="008171C7">
      <w:pPr>
        <w:tabs>
          <w:tab w:val="left" w:pos="709"/>
        </w:tabs>
        <w:spacing w:before="60" w:after="120" w:line="264" w:lineRule="auto"/>
        <w:jc w:val="both"/>
      </w:pPr>
      <w:r w:rsidRPr="00297EFF">
        <w:tab/>
        <w:t>Cattle and buffalo farming continued a down trend due to low economic efficiency, unstable selling prices, and high input costs including breeding stock, and labour costs. The trend of restructuring livestock farming in some localities and the livestock repopulation</w:t>
      </w:r>
      <w:r w:rsidR="00A5362B">
        <w:t xml:space="preserve"> were slow</w:t>
      </w:r>
      <w:r w:rsidR="007B384A">
        <w:t xml:space="preserve">, and </w:t>
      </w:r>
      <w:r w:rsidRPr="00297EFF">
        <w:t xml:space="preserve">mainly maintained </w:t>
      </w:r>
      <w:r w:rsidR="00A5362B">
        <w:t xml:space="preserve">in </w:t>
      </w:r>
      <w:r w:rsidRPr="00297EFF">
        <w:t>farms with stable consumption links, causing the reduction in livestock population scale.</w:t>
      </w:r>
    </w:p>
    <w:p w14:paraId="10DAFC5E" w14:textId="08E84720" w:rsidR="008171C7" w:rsidRPr="00297EFF" w:rsidRDefault="008171C7" w:rsidP="008171C7">
      <w:pPr>
        <w:tabs>
          <w:tab w:val="left" w:pos="709"/>
        </w:tabs>
        <w:spacing w:before="60" w:after="120" w:line="264" w:lineRule="auto"/>
        <w:jc w:val="both"/>
      </w:pPr>
      <w:r w:rsidRPr="00297EFF">
        <w:tab/>
        <w:t xml:space="preserve">Pig farming continued its trend of recovering production and repopulation after the Lunar New Year. Pig population in some localities recorded a significant growth thanks to the strong development of farm-based breeding models and effective disease control, including Gia Lai </w:t>
      </w:r>
      <w:r w:rsidR="00E45955">
        <w:t>(</w:t>
      </w:r>
      <w:r w:rsidR="00E45955" w:rsidRPr="00297EFF">
        <w:t>show</w:t>
      </w:r>
      <w:r w:rsidR="00E45955">
        <w:t>ing</w:t>
      </w:r>
      <w:r w:rsidR="00E45955" w:rsidRPr="00297EFF">
        <w:t xml:space="preserve"> </w:t>
      </w:r>
      <w:r w:rsidRPr="00297EFF">
        <w:t>a year-on-year increase of 9.4%</w:t>
      </w:r>
      <w:r w:rsidR="00E45955">
        <w:t>)</w:t>
      </w:r>
      <w:r w:rsidRPr="00297EFF">
        <w:t xml:space="preserve">; Lam Dong </w:t>
      </w:r>
      <w:r w:rsidR="00E45955">
        <w:t>(+</w:t>
      </w:r>
      <w:r w:rsidRPr="00297EFF">
        <w:t>7.5%</w:t>
      </w:r>
      <w:r w:rsidR="00E45955">
        <w:t>)</w:t>
      </w:r>
      <w:r w:rsidRPr="00297EFF">
        <w:t xml:space="preserve">; Lao Cai </w:t>
      </w:r>
      <w:r w:rsidR="00E45955">
        <w:t>(+</w:t>
      </w:r>
      <w:r w:rsidRPr="00297EFF">
        <w:t>6.8%</w:t>
      </w:r>
      <w:r w:rsidR="00E45955">
        <w:t>)</w:t>
      </w:r>
      <w:r w:rsidRPr="00297EFF">
        <w:t xml:space="preserve">; Ho Chi Minh City </w:t>
      </w:r>
      <w:r w:rsidR="00E45955">
        <w:t>(+</w:t>
      </w:r>
      <w:r w:rsidRPr="00297EFF">
        <w:t>3.8%</w:t>
      </w:r>
      <w:r w:rsidR="00E45955">
        <w:t>)</w:t>
      </w:r>
      <w:r w:rsidRPr="00297EFF">
        <w:t xml:space="preserve">; Dak Lak </w:t>
      </w:r>
      <w:r w:rsidR="00E45955">
        <w:t>(+</w:t>
      </w:r>
      <w:r w:rsidRPr="00297EFF">
        <w:t>2.8%</w:t>
      </w:r>
      <w:r w:rsidR="00E45955">
        <w:t>)</w:t>
      </w:r>
      <w:r w:rsidRPr="00297EFF">
        <w:t xml:space="preserve">; and Dong Nai </w:t>
      </w:r>
      <w:r w:rsidR="00E45955">
        <w:t>(+</w:t>
      </w:r>
      <w:r w:rsidRPr="00297EFF">
        <w:t>2.4%</w:t>
      </w:r>
      <w:r w:rsidR="00E45955">
        <w:t>)</w:t>
      </w:r>
      <w:r w:rsidRPr="00297EFF">
        <w:t>. However, the potential risks of African swine fever outbreaks remained high, especially during the changing weather period. Localities continued implementing comprehensive and effective disease prevention and control measures.</w:t>
      </w:r>
    </w:p>
    <w:p w14:paraId="3C1052DA" w14:textId="24BC468E" w:rsidR="008171C7" w:rsidRPr="00297EFF" w:rsidRDefault="008171C7" w:rsidP="008171C7">
      <w:pPr>
        <w:tabs>
          <w:tab w:val="left" w:pos="709"/>
        </w:tabs>
        <w:spacing w:before="60" w:after="120" w:line="264" w:lineRule="auto"/>
        <w:jc w:val="both"/>
      </w:pPr>
      <w:r w:rsidRPr="00297EFF">
        <w:tab/>
        <w:t xml:space="preserve">Poultry farming maintained a stable growth thanks to short breeding cycle, quick capital turnover, and high demand for poultry meat and eggs during the Lunar New Year. Large-scale, concentrated farming establishments continued expanding production, ensuring supply for the market. Several localities saw significant increase in poultry numbers, comparing to the same period last year, including Nghe An </w:t>
      </w:r>
      <w:r w:rsidR="001037D8">
        <w:t>(+</w:t>
      </w:r>
      <w:r w:rsidRPr="00297EFF">
        <w:t>7.4%</w:t>
      </w:r>
      <w:r w:rsidR="001037D8">
        <w:t>)</w:t>
      </w:r>
      <w:r w:rsidRPr="00297EFF">
        <w:t xml:space="preserve">, Thanh Hoa </w:t>
      </w:r>
      <w:r w:rsidR="001037D8">
        <w:t>(+</w:t>
      </w:r>
      <w:r w:rsidRPr="00297EFF">
        <w:t>5.8%</w:t>
      </w:r>
      <w:r w:rsidR="001037D8">
        <w:t>)</w:t>
      </w:r>
      <w:r w:rsidRPr="00297EFF">
        <w:t xml:space="preserve">, Tay Ninh </w:t>
      </w:r>
      <w:r w:rsidR="001037D8">
        <w:t>(+</w:t>
      </w:r>
      <w:r w:rsidRPr="00297EFF">
        <w:t>3.6%</w:t>
      </w:r>
      <w:r w:rsidR="001037D8">
        <w:t>)</w:t>
      </w:r>
      <w:r w:rsidRPr="00297EFF">
        <w:t xml:space="preserve">, and Dong Nai </w:t>
      </w:r>
      <w:r w:rsidR="001037D8">
        <w:t>(+</w:t>
      </w:r>
      <w:r w:rsidRPr="00297EFF">
        <w:t>2.8%</w:t>
      </w:r>
      <w:r w:rsidR="001037D8">
        <w:t>)</w:t>
      </w:r>
      <w:r w:rsidRPr="00297EFF">
        <w:t>.</w:t>
      </w:r>
    </w:p>
    <w:p w14:paraId="59475195" w14:textId="77777777" w:rsidR="008171C7" w:rsidRPr="00297EFF" w:rsidRDefault="008171C7" w:rsidP="008171C7">
      <w:pPr>
        <w:tabs>
          <w:tab w:val="left" w:pos="900"/>
        </w:tabs>
        <w:spacing w:after="40"/>
        <w:jc w:val="center"/>
        <w:rPr>
          <w:rFonts w:ascii="Arial" w:hAnsi="Arial" w:cs="Arial"/>
          <w:b/>
          <w:sz w:val="24"/>
        </w:rPr>
      </w:pPr>
      <w:r w:rsidRPr="00297EFF">
        <w:rPr>
          <w:rFonts w:ascii="Arial" w:hAnsi="Arial" w:cs="Arial"/>
          <w:b/>
          <w:sz w:val="24"/>
        </w:rPr>
        <w:t>Figure 2. Year-on-year growth rate of livestock and poultry number</w:t>
      </w:r>
    </w:p>
    <w:p w14:paraId="2011998C" w14:textId="77777777" w:rsidR="008171C7" w:rsidRPr="00297EFF" w:rsidRDefault="008171C7" w:rsidP="008171C7">
      <w:pPr>
        <w:tabs>
          <w:tab w:val="left" w:pos="900"/>
        </w:tabs>
        <w:spacing w:after="40"/>
        <w:jc w:val="center"/>
        <w:rPr>
          <w:rFonts w:ascii="Arial" w:hAnsi="Arial" w:cs="Arial"/>
          <w:b/>
          <w:sz w:val="24"/>
        </w:rPr>
      </w:pPr>
      <w:r w:rsidRPr="00297EFF">
        <w:rPr>
          <w:rFonts w:ascii="Arial" w:hAnsi="Arial" w:cs="Arial"/>
          <w:b/>
          <w:sz w:val="24"/>
        </w:rPr>
        <w:t>at the end of February 2026</w:t>
      </w:r>
    </w:p>
    <w:p w14:paraId="5E3C5039" w14:textId="77777777" w:rsidR="008171C7" w:rsidRPr="00297EFF" w:rsidRDefault="008171C7" w:rsidP="008171C7">
      <w:pPr>
        <w:tabs>
          <w:tab w:val="left" w:pos="709"/>
        </w:tabs>
        <w:spacing w:before="60" w:after="120" w:line="264" w:lineRule="auto"/>
        <w:jc w:val="center"/>
        <w:rPr>
          <w:b/>
        </w:rPr>
      </w:pPr>
      <w:r w:rsidRPr="00297EFF">
        <w:rPr>
          <w:noProof/>
        </w:rPr>
        <w:lastRenderedPageBreak/>
        <w:drawing>
          <wp:inline distT="0" distB="0" distL="0" distR="0" wp14:anchorId="6D9EA3EB" wp14:editId="7A036282">
            <wp:extent cx="5699760" cy="1516796"/>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9760" cy="1516796"/>
                    </a:xfrm>
                    <a:prstGeom prst="rect">
                      <a:avLst/>
                    </a:prstGeom>
                    <a:noFill/>
                    <a:ln>
                      <a:noFill/>
                    </a:ln>
                  </pic:spPr>
                </pic:pic>
              </a:graphicData>
            </a:graphic>
          </wp:inline>
        </w:drawing>
      </w:r>
    </w:p>
    <w:p w14:paraId="4ADE75AB" w14:textId="495DEF93" w:rsidR="008171C7" w:rsidRPr="00297EFF" w:rsidRDefault="008171C7" w:rsidP="008171C7">
      <w:pPr>
        <w:tabs>
          <w:tab w:val="left" w:pos="709"/>
        </w:tabs>
        <w:spacing w:before="60" w:after="120" w:line="264" w:lineRule="auto"/>
        <w:jc w:val="both"/>
      </w:pPr>
      <w:r w:rsidRPr="00297EFF">
        <w:tab/>
        <w:t>As of February 28</w:t>
      </w:r>
      <w:r w:rsidR="00847D06" w:rsidRPr="00A370C9">
        <w:rPr>
          <w:vertAlign w:val="superscript"/>
        </w:rPr>
        <w:t>th</w:t>
      </w:r>
      <w:r w:rsidRPr="00297EFF">
        <w:t>, 2026, the country was no longer recorded with</w:t>
      </w:r>
      <w:r w:rsidR="005769DA">
        <w:t xml:space="preserve"> the</w:t>
      </w:r>
      <w:r w:rsidRPr="00297EFF">
        <w:t xml:space="preserve"> </w:t>
      </w:r>
      <w:r w:rsidR="005769DA" w:rsidRPr="000B65D1">
        <w:t>porcine reproductive and respiratory syndrome</w:t>
      </w:r>
      <w:r w:rsidR="005769DA" w:rsidRPr="00297EFF" w:rsidDel="005769DA">
        <w:t xml:space="preserve"> </w:t>
      </w:r>
      <w:r w:rsidRPr="00297EFF">
        <w:t xml:space="preserve">and foot-and-mouth disease; the avian influenza was still reported in localities such as in Nghe An, Ha Tinh, Khanh Hoa; </w:t>
      </w:r>
      <w:r w:rsidR="00847D06">
        <w:t>t</w:t>
      </w:r>
      <w:r w:rsidR="00847D06" w:rsidRPr="00297EFF">
        <w:t xml:space="preserve">he </w:t>
      </w:r>
      <w:r w:rsidRPr="00297EFF">
        <w:t>lumpy skin disease still occurred in Da Nang,</w:t>
      </w:r>
      <w:r w:rsidR="00847D06">
        <w:t xml:space="preserve"> </w:t>
      </w:r>
      <w:r w:rsidRPr="00297EFF">
        <w:t xml:space="preserve">Quang Ngai; </w:t>
      </w:r>
      <w:r w:rsidR="00847D06">
        <w:t>a</w:t>
      </w:r>
      <w:r w:rsidR="00847D06" w:rsidRPr="00297EFF">
        <w:t xml:space="preserve">nd </w:t>
      </w:r>
      <w:r w:rsidRPr="00297EFF">
        <w:t>African swine fever occurred in 15 localities that where the outbreak has not yet passed the 21-day</w:t>
      </w:r>
      <w:r w:rsidR="00847D06">
        <w:t xml:space="preserve"> </w:t>
      </w:r>
      <w:r w:rsidR="00847D06" w:rsidRPr="000B65D1">
        <w:t>quarantine period</w:t>
      </w:r>
      <w:r w:rsidRPr="00297EFF">
        <w:t>.</w:t>
      </w:r>
    </w:p>
    <w:p w14:paraId="53550E97" w14:textId="77777777" w:rsidR="008171C7" w:rsidRPr="00297EFF" w:rsidRDefault="008171C7" w:rsidP="008171C7">
      <w:pPr>
        <w:spacing w:after="120" w:line="264" w:lineRule="auto"/>
        <w:ind w:firstLine="720"/>
        <w:jc w:val="both"/>
        <w:rPr>
          <w:b/>
          <w:i/>
          <w:iCs/>
        </w:rPr>
      </w:pPr>
      <w:r w:rsidRPr="00297EFF">
        <w:rPr>
          <w:b/>
          <w:i/>
          <w:iCs/>
        </w:rPr>
        <w:t>b) Forestry</w:t>
      </w:r>
    </w:p>
    <w:p w14:paraId="011D9F29" w14:textId="33BCBF08" w:rsidR="008171C7" w:rsidRPr="00297EFF" w:rsidRDefault="008171C7" w:rsidP="008171C7">
      <w:pPr>
        <w:spacing w:after="120" w:line="264" w:lineRule="auto"/>
        <w:ind w:firstLine="720"/>
        <w:jc w:val="both"/>
      </w:pPr>
      <w:r w:rsidRPr="00297EFF">
        <w:t xml:space="preserve">The area of ​​newly planted forests nationwide in February 2026 </w:t>
      </w:r>
      <w:r w:rsidR="005769DA" w:rsidRPr="00297EFF">
        <w:t>was estimated</w:t>
      </w:r>
      <w:r w:rsidRPr="00297EFF">
        <w:t xml:space="preserve"> at 11.8 thousand hectares, showing a year-on-year decrease of 1.4%; the number of scattered forests planted reached 7.0 million trees, showing a year-on-year decrease</w:t>
      </w:r>
      <w:r w:rsidRPr="00297EFF">
        <w:rPr>
          <w:rStyle w:val="FootnoteReference"/>
          <w:shd w:val="clear" w:color="auto" w:fill="FFFFFF"/>
        </w:rPr>
        <w:footnoteReference w:id="2"/>
      </w:r>
      <w:r w:rsidRPr="00297EFF">
        <w:t xml:space="preserve"> of 5.8%. Wood production was estimated at 1,381.9 thousand m</w:t>
      </w:r>
      <w:r w:rsidRPr="00A370C9">
        <w:rPr>
          <w:vertAlign w:val="superscript"/>
        </w:rPr>
        <w:t>3</w:t>
      </w:r>
      <w:r w:rsidRPr="00297EFF">
        <w:t>, growing by 4.1%. Thanks to dry weather facilitating an increase of harvesting of mature wood, satisfying the raw material needs of wood processing factories. Some localities saw a significant increase in wood harvesting, comparing to the same period in 2025, including Ha Tinh growing by 3.5 times; Gia Lai 76.8%; and Quang Tri 69.0%.</w:t>
      </w:r>
    </w:p>
    <w:p w14:paraId="686F9560" w14:textId="7DED67CE" w:rsidR="008171C7" w:rsidRPr="00297EFF" w:rsidRDefault="008171C7" w:rsidP="008171C7">
      <w:pPr>
        <w:spacing w:after="120" w:line="264" w:lineRule="auto"/>
        <w:ind w:firstLine="720"/>
        <w:jc w:val="both"/>
      </w:pPr>
      <w:r w:rsidRPr="00297EFF">
        <w:t xml:space="preserve">Generally, in the first two months of 2026, the area of ​​newly planted forests nationwide was estimated at 21.7 thousand hectares, showing a year-on-year growth of 4.5%; </w:t>
      </w:r>
      <w:r w:rsidR="00010B1A">
        <w:t>the n</w:t>
      </w:r>
      <w:r w:rsidR="00010B1A" w:rsidRPr="00297EFF">
        <w:t xml:space="preserve">umber </w:t>
      </w:r>
      <w:r w:rsidRPr="00297EFF">
        <w:t xml:space="preserve">of scattered forest trees planted reached 10.9 million trees, falling by 3.9%; </w:t>
      </w:r>
      <w:r w:rsidR="00010B1A">
        <w:t>the w</w:t>
      </w:r>
      <w:r w:rsidR="00010B1A" w:rsidRPr="00297EFF">
        <w:t xml:space="preserve">ood </w:t>
      </w:r>
      <w:r w:rsidRPr="00297EFF">
        <w:t>production reached 2,634.3 thousand m3, rising by 0.9%.</w:t>
      </w:r>
    </w:p>
    <w:p w14:paraId="1BC26789" w14:textId="77777777" w:rsidR="008171C7" w:rsidRPr="00297EFF" w:rsidRDefault="008171C7" w:rsidP="008171C7">
      <w:pPr>
        <w:spacing w:after="120" w:line="264" w:lineRule="auto"/>
        <w:ind w:firstLine="720"/>
        <w:jc w:val="both"/>
      </w:pPr>
      <w:r w:rsidRPr="00297EFF">
        <w:t>In February 2026</w:t>
      </w:r>
      <w:r w:rsidRPr="00297EFF">
        <w:rPr>
          <w:rStyle w:val="FootnoteReference"/>
        </w:rPr>
        <w:footnoteReference w:id="3"/>
      </w:r>
      <w:r w:rsidRPr="00297EFF">
        <w:t>, the damaged forest area was 31.9 hectares, a year-on-year decrease of 56.4%. Of this, the damaged forest area by forest fire was 0.1 hectares, a decrease of 99.4%; and the area of ​​forest destroyed by logging was 31.8 hectares, falling by 43.2%.</w:t>
      </w:r>
    </w:p>
    <w:p w14:paraId="0C0AA1AE" w14:textId="77777777" w:rsidR="008171C7" w:rsidRPr="00297EFF" w:rsidRDefault="008171C7" w:rsidP="008171C7">
      <w:pPr>
        <w:spacing w:after="120" w:line="264" w:lineRule="auto"/>
        <w:ind w:firstLine="720"/>
        <w:jc w:val="both"/>
        <w:rPr>
          <w:b/>
          <w:bCs/>
          <w:i/>
          <w:iCs/>
        </w:rPr>
      </w:pPr>
      <w:r w:rsidRPr="00297EFF">
        <w:rPr>
          <w:b/>
          <w:bCs/>
          <w:i/>
          <w:iCs/>
        </w:rPr>
        <w:t>c) Fishing</w:t>
      </w:r>
    </w:p>
    <w:p w14:paraId="0EE93873" w14:textId="23C884FE" w:rsidR="008171C7" w:rsidRPr="00297EFF" w:rsidRDefault="008171C7" w:rsidP="008171C7">
      <w:pPr>
        <w:spacing w:after="120" w:line="264" w:lineRule="auto"/>
        <w:ind w:firstLine="720"/>
        <w:jc w:val="both"/>
      </w:pPr>
      <w:r w:rsidRPr="00297EFF">
        <w:t xml:space="preserve">Capture fisheries and aquaculture production in February 2026 reached 665.4 thousand tons, a year-on-year climb of 2.3%, of which, fish reached 489.3 </w:t>
      </w:r>
      <w:r w:rsidRPr="00297EFF">
        <w:lastRenderedPageBreak/>
        <w:t>thousand tons</w:t>
      </w:r>
      <w:r w:rsidR="00DE1F18">
        <w:t xml:space="preserve"> (+</w:t>
      </w:r>
      <w:r w:rsidRPr="00297EFF">
        <w:t>2.0%</w:t>
      </w:r>
      <w:r w:rsidR="00DE1F18">
        <w:t>)</w:t>
      </w:r>
      <w:r w:rsidRPr="00297EFF">
        <w:t xml:space="preserve">; shrimp reached 73.3 thousand tons, </w:t>
      </w:r>
      <w:r w:rsidR="00DE1F18">
        <w:t>(+</w:t>
      </w:r>
      <w:r w:rsidRPr="00297EFF">
        <w:t>5.8%</w:t>
      </w:r>
      <w:r w:rsidR="00DE1F18">
        <w:t>)</w:t>
      </w:r>
      <w:r w:rsidRPr="00297EFF">
        <w:t xml:space="preserve">; and other aquatic products reached 102.8 thousand tons </w:t>
      </w:r>
      <w:r w:rsidR="00DE1F18">
        <w:t>(+</w:t>
      </w:r>
      <w:r w:rsidRPr="00297EFF">
        <w:t>1.2%</w:t>
      </w:r>
      <w:r w:rsidR="00DE1F18">
        <w:t>)</w:t>
      </w:r>
      <w:r w:rsidRPr="00297EFF">
        <w:t>.</w:t>
      </w:r>
    </w:p>
    <w:p w14:paraId="24275C03" w14:textId="58F9F943" w:rsidR="008171C7" w:rsidRPr="00297EFF" w:rsidRDefault="008171C7" w:rsidP="008171C7">
      <w:pPr>
        <w:spacing w:after="120" w:line="264" w:lineRule="auto"/>
        <w:ind w:firstLine="720"/>
        <w:jc w:val="both"/>
      </w:pPr>
      <w:r w:rsidRPr="00A370C9">
        <w:rPr>
          <w:i/>
        </w:rPr>
        <w:t>Aquaculture production</w:t>
      </w:r>
      <w:r w:rsidRPr="00297EFF">
        <w:t xml:space="preserve"> in the month was estimated at 381.4 thousand tons, a year-on-year growth of 5.2%, of which fish reached 271.8 thousand tons, rising by 5.1%; shrimp reached at 62.3 thousand tons, rising by 7.4%; and other aquatic products reached 47.3 thousand tons, rising </w:t>
      </w:r>
      <w:r w:rsidR="00300757">
        <w:t xml:space="preserve">by </w:t>
      </w:r>
      <w:r w:rsidRPr="00297EFF">
        <w:t>3.3%.</w:t>
      </w:r>
    </w:p>
    <w:p w14:paraId="15019677" w14:textId="5EA2CC94" w:rsidR="008171C7" w:rsidRPr="00297EFF" w:rsidRDefault="008171C7" w:rsidP="008171C7">
      <w:pPr>
        <w:spacing w:after="120" w:line="264" w:lineRule="auto"/>
        <w:ind w:firstLine="720"/>
        <w:jc w:val="both"/>
      </w:pPr>
      <w:r w:rsidRPr="00297EFF">
        <w:t xml:space="preserve"> Pangasius production in February 2026 was estimated at 128.6 thousand tons, a year-on-year growth of 5.7%, due to </w:t>
      </w:r>
      <w:r w:rsidR="00300757">
        <w:t xml:space="preserve">rising </w:t>
      </w:r>
      <w:r w:rsidRPr="00297EFF">
        <w:t>raw pangasius prices</w:t>
      </w:r>
      <w:r w:rsidR="00300757">
        <w:t xml:space="preserve"> and favorable market conditions</w:t>
      </w:r>
      <w:r w:rsidRPr="00297EFF">
        <w:t xml:space="preserve"> encouraging farmers to raise fish</w:t>
      </w:r>
      <w:r w:rsidRPr="00297EFF">
        <w:rPr>
          <w:rStyle w:val="FootnoteReference"/>
        </w:rPr>
        <w:footnoteReference w:id="4"/>
      </w:r>
      <w:r w:rsidRPr="00297EFF">
        <w:t>.</w:t>
      </w:r>
    </w:p>
    <w:p w14:paraId="78F60F9F" w14:textId="77777777" w:rsidR="008171C7" w:rsidRPr="00297EFF" w:rsidRDefault="008171C7" w:rsidP="008171C7">
      <w:pPr>
        <w:spacing w:after="120" w:line="264" w:lineRule="auto"/>
        <w:ind w:firstLine="720"/>
        <w:jc w:val="both"/>
      </w:pPr>
      <w:r w:rsidRPr="00297EFF">
        <w:t>Shrimp production in the month was estimated at 62.3 thousand tons, showing a year-on-year growth of 7.4% due to higher raw shrimp prices and increased processing and export demand of enterprises during the Lunar New Year</w:t>
      </w:r>
      <w:r w:rsidRPr="00297EFF">
        <w:rPr>
          <w:rStyle w:val="FootnoteReference"/>
          <w:bCs/>
        </w:rPr>
        <w:footnoteReference w:id="5"/>
      </w:r>
      <w:r w:rsidRPr="00297EFF">
        <w:t>. White leg shrimp production was estimated at 39.6 thousand tons, showing a growth of 8.5%; tiger shrimp production reached 17.7 thousand tons, rising by 6.0%.</w:t>
      </w:r>
    </w:p>
    <w:p w14:paraId="12C2300A" w14:textId="268F2E79" w:rsidR="008171C7" w:rsidRPr="00297EFF" w:rsidRDefault="008171C7" w:rsidP="008171C7">
      <w:pPr>
        <w:spacing w:after="120" w:line="264" w:lineRule="auto"/>
        <w:ind w:firstLine="720"/>
        <w:jc w:val="both"/>
      </w:pPr>
      <w:r w:rsidRPr="00297EFF">
        <w:t xml:space="preserve">In February 2026, </w:t>
      </w:r>
      <w:r w:rsidRPr="00A370C9">
        <w:rPr>
          <w:i/>
        </w:rPr>
        <w:t>the capture fisheries production</w:t>
      </w:r>
      <w:r w:rsidRPr="00297EFF">
        <w:t xml:space="preserve"> was estimated at 284.0 thousand tons, showing a year-on-year decline of 1.4%, of which fish reached 217.5 thousand tons, falling by 1.5%; shrimp reached 11.0 thousand tons, falling by 2.7%; and other aquatic products reached 55.5 thousand tons, falling by 0.5%. Marine capture fisheries production was estimated at 266.9 thousand tons, falling by 1.3%, of which fish reached 205.2 thousand tons, declining by 1.5%; shrimp reached 9.8 thousand tons, falling by 3.0%; and other aquatic products reached 51.9 thousand tons, falling by 0.4%.</w:t>
      </w:r>
    </w:p>
    <w:p w14:paraId="3EB9AB0D" w14:textId="77777777" w:rsidR="008171C7" w:rsidRPr="00297EFF" w:rsidRDefault="008171C7" w:rsidP="008171C7">
      <w:pPr>
        <w:tabs>
          <w:tab w:val="left" w:pos="900"/>
        </w:tabs>
        <w:spacing w:after="40"/>
        <w:jc w:val="center"/>
        <w:rPr>
          <w:rFonts w:ascii="Arial" w:hAnsi="Arial" w:cs="Arial"/>
          <w:b/>
          <w:sz w:val="24"/>
        </w:rPr>
      </w:pPr>
      <w:r w:rsidRPr="00297EFF">
        <w:rPr>
          <w:rFonts w:ascii="Arial" w:hAnsi="Arial" w:cs="Arial"/>
          <w:b/>
          <w:sz w:val="24"/>
        </w:rPr>
        <w:t>Figure 3. Capture fisheries and aquaculture production</w:t>
      </w:r>
    </w:p>
    <w:p w14:paraId="73E3ED22" w14:textId="5DF6903A" w:rsidR="008171C7" w:rsidRPr="00297EFF" w:rsidRDefault="008171C7" w:rsidP="008171C7">
      <w:pPr>
        <w:tabs>
          <w:tab w:val="left" w:pos="900"/>
        </w:tabs>
        <w:spacing w:after="40"/>
        <w:jc w:val="center"/>
        <w:rPr>
          <w:rFonts w:ascii="Arial" w:hAnsi="Arial" w:cs="Arial"/>
          <w:b/>
          <w:sz w:val="24"/>
        </w:rPr>
      </w:pPr>
      <w:r w:rsidRPr="00297EFF">
        <w:rPr>
          <w:rFonts w:ascii="Arial" w:hAnsi="Arial" w:cs="Arial"/>
          <w:b/>
          <w:sz w:val="24"/>
        </w:rPr>
        <w:t xml:space="preserve"> in </w:t>
      </w:r>
      <w:r w:rsidR="007B1669">
        <w:rPr>
          <w:rFonts w:ascii="Arial" w:hAnsi="Arial" w:cs="Arial"/>
          <w:b/>
          <w:sz w:val="24"/>
        </w:rPr>
        <w:t xml:space="preserve">the first 2 months of </w:t>
      </w:r>
      <w:r w:rsidRPr="00297EFF">
        <w:rPr>
          <w:rFonts w:ascii="Arial" w:hAnsi="Arial" w:cs="Arial"/>
          <w:b/>
          <w:sz w:val="24"/>
        </w:rPr>
        <w:t>2026 (Y-o-Y)</w:t>
      </w:r>
    </w:p>
    <w:p w14:paraId="0A0D2246" w14:textId="77777777" w:rsidR="008171C7" w:rsidRPr="00297EFF" w:rsidRDefault="008171C7" w:rsidP="008171C7">
      <w:pPr>
        <w:spacing w:before="100" w:beforeAutospacing="1" w:after="100" w:afterAutospacing="1"/>
        <w:jc w:val="center"/>
        <w:rPr>
          <w:sz w:val="24"/>
          <w:szCs w:val="24"/>
        </w:rPr>
      </w:pPr>
      <w:r w:rsidRPr="00297EFF">
        <w:rPr>
          <w:noProof/>
        </w:rPr>
        <w:drawing>
          <wp:inline distT="0" distB="0" distL="0" distR="0" wp14:anchorId="6EE7040B" wp14:editId="2F930CB6">
            <wp:extent cx="5699760" cy="1819467"/>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9760" cy="1819467"/>
                    </a:xfrm>
                    <a:prstGeom prst="rect">
                      <a:avLst/>
                    </a:prstGeom>
                    <a:noFill/>
                    <a:ln>
                      <a:noFill/>
                    </a:ln>
                  </pic:spPr>
                </pic:pic>
              </a:graphicData>
            </a:graphic>
          </wp:inline>
        </w:drawing>
      </w:r>
    </w:p>
    <w:p w14:paraId="34E880B7" w14:textId="77777777" w:rsidR="008171C7" w:rsidRPr="00297EFF" w:rsidRDefault="008171C7" w:rsidP="008171C7">
      <w:pPr>
        <w:rPr>
          <w:sz w:val="24"/>
          <w:szCs w:val="24"/>
        </w:rPr>
      </w:pPr>
    </w:p>
    <w:p w14:paraId="219C7403" w14:textId="28CD73C7" w:rsidR="009379C9" w:rsidRPr="00207D00" w:rsidRDefault="008171C7" w:rsidP="00A370C9">
      <w:pPr>
        <w:widowControl w:val="0"/>
        <w:spacing w:before="120" w:after="120" w:line="252" w:lineRule="auto"/>
        <w:ind w:firstLine="720"/>
        <w:jc w:val="both"/>
        <w:rPr>
          <w:spacing w:val="4"/>
        </w:rPr>
      </w:pPr>
      <w:r w:rsidRPr="00297EFF">
        <w:t xml:space="preserve">Generally, in the first two months of 2026, fishery production was estimated to reach 1,279.2 thousand tons, showing a year-on-year growth </w:t>
      </w:r>
      <w:r w:rsidR="00A370C9" w:rsidRPr="00297EFF">
        <w:t>of 2.9</w:t>
      </w:r>
      <w:r w:rsidRPr="00297EFF">
        <w:t>%, of which fish reached 946.9 thousand tons, rising by 2.7%; shrimp reached 132.6 thousand tons, rising by 6.0%; and other aquatic products reached 199.7 thousand tons, increasing by 2.1%.</w:t>
      </w:r>
    </w:p>
    <w:p w14:paraId="273556AA" w14:textId="77777777" w:rsidR="00850A4A" w:rsidRPr="00207D00" w:rsidRDefault="00850A4A" w:rsidP="00850A4A">
      <w:pPr>
        <w:widowControl w:val="0"/>
        <w:spacing w:before="120" w:after="120" w:line="264" w:lineRule="auto"/>
        <w:ind w:firstLine="720"/>
        <w:jc w:val="both"/>
        <w:rPr>
          <w:b/>
          <w:bCs/>
        </w:rPr>
      </w:pPr>
      <w:r w:rsidRPr="00207D00">
        <w:rPr>
          <w:b/>
        </w:rPr>
        <w:t>2. Industrial production</w:t>
      </w:r>
    </w:p>
    <w:p w14:paraId="444A7E57" w14:textId="5707EAB8" w:rsidR="00850A4A" w:rsidRPr="00207D00" w:rsidRDefault="00850A4A" w:rsidP="00850A4A">
      <w:pPr>
        <w:widowControl w:val="0"/>
        <w:shd w:val="clear" w:color="auto" w:fill="FFFFFF"/>
        <w:spacing w:after="120" w:line="264" w:lineRule="auto"/>
        <w:ind w:firstLine="720"/>
        <w:jc w:val="both"/>
        <w:rPr>
          <w:i/>
        </w:rPr>
      </w:pPr>
      <w:r w:rsidRPr="00207D00">
        <w:rPr>
          <w:i/>
        </w:rPr>
        <w:t xml:space="preserve">The Lunar New Year took place in February 2026, so the number of working days </w:t>
      </w:r>
      <w:r w:rsidR="00E515D5">
        <w:rPr>
          <w:i/>
        </w:rPr>
        <w:t>wa</w:t>
      </w:r>
      <w:r w:rsidR="00E515D5" w:rsidRPr="00207D00">
        <w:rPr>
          <w:i/>
        </w:rPr>
        <w:t xml:space="preserve">s </w:t>
      </w:r>
      <w:r w:rsidRPr="00207D00">
        <w:rPr>
          <w:i/>
        </w:rPr>
        <w:t>fewer compared to the previous month and the same period last year, the Index of Industrial Production (IIP) was estimated to decrease by 18.4%</w:t>
      </w:r>
      <w:r w:rsidRPr="00207D00">
        <w:rPr>
          <w:rStyle w:val="FootnoteReference"/>
          <w:i/>
        </w:rPr>
        <w:footnoteReference w:id="6"/>
      </w:r>
      <w:r w:rsidRPr="00207D00">
        <w:rPr>
          <w:i/>
        </w:rPr>
        <w:t xml:space="preserve"> month-on-month and grow by 1.0% year-on-year. Generally, for the first 2 months of 2026, the IIP grew by 10.4% over the same period last year.</w:t>
      </w:r>
    </w:p>
    <w:p w14:paraId="78DDAD7D" w14:textId="12D4358F" w:rsidR="00850A4A" w:rsidRPr="00207D00" w:rsidRDefault="00850A4A" w:rsidP="00850A4A">
      <w:pPr>
        <w:widowControl w:val="0"/>
        <w:shd w:val="clear" w:color="auto" w:fill="FFFFFF"/>
        <w:tabs>
          <w:tab w:val="left" w:pos="8931"/>
        </w:tabs>
        <w:spacing w:after="120" w:line="264" w:lineRule="auto"/>
        <w:ind w:firstLine="720"/>
        <w:jc w:val="both"/>
      </w:pPr>
      <w:r w:rsidRPr="00207D00">
        <w:rPr>
          <w:i/>
        </w:rPr>
        <w:t>In February</w:t>
      </w:r>
      <w:r w:rsidR="00E515D5">
        <w:rPr>
          <w:i/>
        </w:rPr>
        <w:t xml:space="preserve"> 2026</w:t>
      </w:r>
      <w:r w:rsidRPr="00207D00">
        <w:rPr>
          <w:i/>
        </w:rPr>
        <w:t>, the IIP</w:t>
      </w:r>
      <w:r w:rsidRPr="00207D00">
        <w:t xml:space="preserve"> of the manufacturing recorded a year-on-year increase of 2.3%; the mining and quarrying decreased by 5.3%; the water supply, sewerage, waste management and remediation activities reduced by 5.6%; and the electricity supply reduced by 4.5%.  </w:t>
      </w:r>
    </w:p>
    <w:p w14:paraId="6B55851A" w14:textId="77777777" w:rsidR="00850A4A" w:rsidRPr="00207D00" w:rsidRDefault="00850A4A" w:rsidP="00850A4A">
      <w:pPr>
        <w:widowControl w:val="0"/>
        <w:shd w:val="clear" w:color="auto" w:fill="FFFFFF"/>
        <w:tabs>
          <w:tab w:val="left" w:pos="8931"/>
        </w:tabs>
        <w:spacing w:after="120" w:line="264" w:lineRule="auto"/>
        <w:ind w:firstLine="720"/>
        <w:jc w:val="both"/>
        <w:rPr>
          <w:spacing w:val="-2"/>
        </w:rPr>
      </w:pPr>
      <w:r w:rsidRPr="00207D00">
        <w:rPr>
          <w:i/>
          <w:iCs/>
        </w:rPr>
        <w:t>Generally, for the first 2 months of 2026</w:t>
      </w:r>
      <w:r w:rsidRPr="00207D00">
        <w:t>, the IIP was estimated to grow by 10.4% over the same period last year (the corresponding figure in 2025 was 7.5%). Specifically, the manufacturing grew by 11.5% (the corresponding figure in 2025 was 9.1%), contributing 8.9 percentage points to the overall growth; the electricity supply rose by 6.3% (versus 4.3% in 2025), contributing 0.6 percentage points; the water supply, sewerage, waste management and remediation activities increased by 2.1% (versus 12.9% in 2025), contributing 0.03 percentage points; the mining and quarrying grew by 5.4% (5.2% decline in the same period of 2025), contributing 0.9 percentage points.</w:t>
      </w:r>
    </w:p>
    <w:p w14:paraId="4AE0177A" w14:textId="36409832" w:rsidR="00850A4A" w:rsidRPr="00207D00" w:rsidRDefault="00850A4A" w:rsidP="00850A4A">
      <w:pPr>
        <w:widowControl w:val="0"/>
        <w:shd w:val="clear" w:color="auto" w:fill="FFFFFF"/>
        <w:tabs>
          <w:tab w:val="left" w:pos="8931"/>
        </w:tabs>
        <w:spacing w:after="120" w:line="264" w:lineRule="auto"/>
        <w:ind w:firstLine="720"/>
        <w:jc w:val="both"/>
      </w:pPr>
      <w:r w:rsidRPr="00456724">
        <w:rPr>
          <w:iCs/>
        </w:rPr>
        <w:t>In the first 2 months of 2026, the IIP of several key 2-digit activities experienced a year-on-year increase as follows:</w:t>
      </w:r>
      <w:r w:rsidRPr="00207D00">
        <w:t xml:space="preserve"> manufacture of other non-metallic mineral products </w:t>
      </w:r>
      <w:r w:rsidR="00456724">
        <w:t>(</w:t>
      </w:r>
      <w:r w:rsidR="00295ACC">
        <w:t>+</w:t>
      </w:r>
      <w:r w:rsidRPr="00207D00">
        <w:t>33.1%</w:t>
      </w:r>
      <w:r w:rsidR="00456724">
        <w:t>)</w:t>
      </w:r>
      <w:r w:rsidRPr="00207D00">
        <w:t xml:space="preserve">; manufacture of basic metals </w:t>
      </w:r>
      <w:r w:rsidR="00456724">
        <w:t>(</w:t>
      </w:r>
      <w:r w:rsidR="00295ACC">
        <w:t>+</w:t>
      </w:r>
      <w:r w:rsidRPr="00207D00">
        <w:t>27.9%</w:t>
      </w:r>
      <w:r w:rsidR="00456724">
        <w:t>)</w:t>
      </w:r>
      <w:r w:rsidRPr="00207D00">
        <w:t xml:space="preserve">; manufacture of beverages </w:t>
      </w:r>
      <w:r w:rsidR="00456724">
        <w:t>(</w:t>
      </w:r>
      <w:r w:rsidR="00295ACC">
        <w:t>+</w:t>
      </w:r>
      <w:r w:rsidRPr="00207D00">
        <w:t>20.9%</w:t>
      </w:r>
      <w:r w:rsidR="00456724">
        <w:t>)</w:t>
      </w:r>
      <w:r w:rsidRPr="00207D00">
        <w:t xml:space="preserve">; manufacture of paper and paper products </w:t>
      </w:r>
      <w:r w:rsidR="00456724">
        <w:t>(</w:t>
      </w:r>
      <w:r w:rsidR="00295ACC">
        <w:t>+</w:t>
      </w:r>
      <w:r w:rsidRPr="00207D00">
        <w:t>20.4%</w:t>
      </w:r>
      <w:r w:rsidR="00456724">
        <w:t>)</w:t>
      </w:r>
      <w:r w:rsidRPr="00207D00">
        <w:t xml:space="preserve">; manufacture of motor vehicles </w:t>
      </w:r>
      <w:r w:rsidR="00456724">
        <w:t>(</w:t>
      </w:r>
      <w:r w:rsidR="00295ACC">
        <w:t>+</w:t>
      </w:r>
      <w:r w:rsidRPr="00207D00">
        <w:t>20.3%</w:t>
      </w:r>
      <w:r w:rsidR="00456724">
        <w:t>)</w:t>
      </w:r>
      <w:r w:rsidRPr="00207D00">
        <w:t xml:space="preserve">;  manufacture of chemicals and chemical products </w:t>
      </w:r>
      <w:r w:rsidR="00456724">
        <w:t>(</w:t>
      </w:r>
      <w:r w:rsidR="00295ACC">
        <w:t>+</w:t>
      </w:r>
      <w:r w:rsidRPr="00207D00">
        <w:t>20.1%</w:t>
      </w:r>
      <w:r w:rsidR="00456724">
        <w:t>)</w:t>
      </w:r>
      <w:r w:rsidRPr="00207D00">
        <w:t>; manufacture of wood and products of wood</w:t>
      </w:r>
      <w:r w:rsidR="00A370C9" w:rsidRPr="00EF5431">
        <w:t xml:space="preserve"> </w:t>
      </w:r>
      <w:r w:rsidR="00EF5431" w:rsidRPr="00EF5431">
        <w:t>and cork</w:t>
      </w:r>
      <w:r w:rsidRPr="00207D00">
        <w:t xml:space="preserve"> </w:t>
      </w:r>
      <w:r w:rsidR="00456724">
        <w:t>(</w:t>
      </w:r>
      <w:r w:rsidR="00295ACC">
        <w:t>+</w:t>
      </w:r>
      <w:r w:rsidRPr="00207D00">
        <w:t>13.4%</w:t>
      </w:r>
      <w:r w:rsidR="00456724">
        <w:t>)</w:t>
      </w:r>
      <w:r w:rsidRPr="00207D00">
        <w:t xml:space="preserve">; manufacture of food products </w:t>
      </w:r>
      <w:r w:rsidR="00456724">
        <w:t>(</w:t>
      </w:r>
      <w:r w:rsidR="00295ACC">
        <w:t>+</w:t>
      </w:r>
      <w:r w:rsidRPr="00207D00">
        <w:t>13.2%</w:t>
      </w:r>
      <w:r w:rsidR="00456724">
        <w:t>)</w:t>
      </w:r>
      <w:r w:rsidRPr="00207D00">
        <w:t xml:space="preserve">; manufacture of wearing apparels </w:t>
      </w:r>
      <w:r w:rsidR="00456724">
        <w:t>(</w:t>
      </w:r>
      <w:r w:rsidR="00295ACC">
        <w:t>+</w:t>
      </w:r>
      <w:r w:rsidRPr="00207D00">
        <w:t>11.6%</w:t>
      </w:r>
      <w:r w:rsidR="00456724">
        <w:t>)</w:t>
      </w:r>
      <w:r w:rsidRPr="00207D00">
        <w:t xml:space="preserve">; manufacture of textiles </w:t>
      </w:r>
      <w:r w:rsidR="00456724">
        <w:t>(</w:t>
      </w:r>
      <w:r w:rsidR="00295ACC">
        <w:t>+</w:t>
      </w:r>
      <w:r w:rsidRPr="00207D00">
        <w:t>10.5%</w:t>
      </w:r>
      <w:r w:rsidR="00456724">
        <w:t>)</w:t>
      </w:r>
      <w:r w:rsidRPr="00207D00">
        <w:t xml:space="preserve">; manufacture of furniture </w:t>
      </w:r>
      <w:r w:rsidR="008840B4">
        <w:t>(</w:t>
      </w:r>
      <w:r w:rsidR="00295ACC">
        <w:t>+</w:t>
      </w:r>
      <w:r w:rsidRPr="00207D00">
        <w:t>10.2%</w:t>
      </w:r>
      <w:r w:rsidR="008840B4">
        <w:t>)</w:t>
      </w:r>
      <w:r w:rsidRPr="00207D00">
        <w:t xml:space="preserve">; manufacture of rubber and plastic products </w:t>
      </w:r>
      <w:r w:rsidR="00917E6C">
        <w:t>(</w:t>
      </w:r>
      <w:r w:rsidR="00295ACC">
        <w:t>+</w:t>
      </w:r>
      <w:r w:rsidRPr="00207D00">
        <w:t>9.3%</w:t>
      </w:r>
      <w:r w:rsidR="00917E6C">
        <w:t>)</w:t>
      </w:r>
      <w:r w:rsidRPr="00207D00">
        <w:t xml:space="preserve">; manufacture of computer, electronic and optical products </w:t>
      </w:r>
      <w:r w:rsidR="00917E6C">
        <w:t>(</w:t>
      </w:r>
      <w:r w:rsidR="00295ACC">
        <w:t>+</w:t>
      </w:r>
      <w:r w:rsidRPr="00207D00">
        <w:t>8.0%</w:t>
      </w:r>
      <w:r w:rsidR="00917E6C">
        <w:t>)</w:t>
      </w:r>
      <w:r w:rsidRPr="00207D00">
        <w:t xml:space="preserve">. Conversely, </w:t>
      </w:r>
      <w:r w:rsidRPr="00207D00">
        <w:lastRenderedPageBreak/>
        <w:t xml:space="preserve">the IIP for some activities decreased as follows: mining of coal and lignite </w:t>
      </w:r>
      <w:r w:rsidR="00295ACC">
        <w:t>(-</w:t>
      </w:r>
      <w:r w:rsidRPr="00207D00">
        <w:t>3.4%</w:t>
      </w:r>
      <w:r w:rsidR="00295ACC">
        <w:t>)</w:t>
      </w:r>
      <w:r w:rsidRPr="00207D00">
        <w:t xml:space="preserve">; manufacture of other transport equipment </w:t>
      </w:r>
      <w:r w:rsidR="00295ACC">
        <w:t>(-</w:t>
      </w:r>
      <w:r w:rsidRPr="00207D00">
        <w:t>2.7%</w:t>
      </w:r>
      <w:r w:rsidR="00295ACC">
        <w:t>)</w:t>
      </w:r>
      <w:r w:rsidRPr="00207D00">
        <w:t>.</w:t>
      </w:r>
    </w:p>
    <w:p w14:paraId="11F185DB" w14:textId="669C19AA" w:rsidR="00850A4A" w:rsidRPr="00207D00" w:rsidRDefault="00850A4A" w:rsidP="00850A4A">
      <w:pPr>
        <w:shd w:val="clear" w:color="auto" w:fill="FFFFFF"/>
        <w:tabs>
          <w:tab w:val="left" w:pos="8931"/>
        </w:tabs>
        <w:spacing w:before="120" w:after="120" w:line="252" w:lineRule="auto"/>
        <w:jc w:val="center"/>
        <w:rPr>
          <w:rFonts w:ascii="Arial" w:hAnsi="Arial" w:cs="Arial"/>
          <w:b/>
          <w:sz w:val="24"/>
          <w:szCs w:val="22"/>
        </w:rPr>
      </w:pPr>
      <w:r w:rsidRPr="00207D00">
        <w:rPr>
          <w:rFonts w:ascii="Arial" w:hAnsi="Arial"/>
          <w:b/>
          <w:sz w:val="24"/>
        </w:rPr>
        <w:t xml:space="preserve">Table 1. Year-on-year IIP growth rate for </w:t>
      </w:r>
      <w:r w:rsidR="00EF5431" w:rsidRPr="00207D00">
        <w:rPr>
          <w:rFonts w:ascii="Arial" w:hAnsi="Arial"/>
          <w:b/>
          <w:sz w:val="24"/>
        </w:rPr>
        <w:t xml:space="preserve">several key industrial activities </w:t>
      </w:r>
      <w:r w:rsidR="00EF5431">
        <w:rPr>
          <w:rFonts w:ascii="Arial" w:hAnsi="Arial"/>
          <w:b/>
          <w:sz w:val="24"/>
        </w:rPr>
        <w:br/>
        <w:t xml:space="preserve">in </w:t>
      </w:r>
      <w:r w:rsidRPr="00207D00">
        <w:rPr>
          <w:rFonts w:ascii="Arial" w:hAnsi="Arial"/>
          <w:b/>
          <w:sz w:val="24"/>
        </w:rPr>
        <w:t>the first 2 months of</w:t>
      </w:r>
      <w:r w:rsidR="00EF5431">
        <w:rPr>
          <w:rFonts w:ascii="Arial" w:hAnsi="Arial"/>
          <w:b/>
          <w:sz w:val="24"/>
        </w:rPr>
        <w:t xml:space="preserve"> the years</w:t>
      </w:r>
      <w:r w:rsidRPr="00207D00">
        <w:rPr>
          <w:rFonts w:ascii="Arial" w:hAnsi="Arial"/>
          <w:b/>
          <w:sz w:val="24"/>
        </w:rPr>
        <w:t xml:space="preserve"> 2022 - 2026 </w:t>
      </w:r>
    </w:p>
    <w:p w14:paraId="79A8D090" w14:textId="77777777" w:rsidR="00850A4A" w:rsidRPr="00207D00" w:rsidRDefault="00850A4A" w:rsidP="00850A4A">
      <w:pPr>
        <w:shd w:val="clear" w:color="auto" w:fill="FFFFFF"/>
        <w:tabs>
          <w:tab w:val="left" w:pos="8931"/>
        </w:tabs>
        <w:spacing w:before="60"/>
        <w:jc w:val="right"/>
        <w:rPr>
          <w:rFonts w:ascii="Arial" w:hAnsi="Arial" w:cs="Arial"/>
          <w:b/>
          <w:bCs/>
          <w:i/>
          <w:iCs/>
          <w:sz w:val="20"/>
          <w:szCs w:val="20"/>
        </w:rPr>
      </w:pPr>
      <w:r w:rsidRPr="00207D00">
        <w:rPr>
          <w:rFonts w:ascii="Arial" w:hAnsi="Arial"/>
          <w:b/>
          <w:i/>
          <w:sz w:val="20"/>
        </w:rPr>
        <w:t xml:space="preserve">   %</w:t>
      </w:r>
    </w:p>
    <w:tbl>
      <w:tblPr>
        <w:tblW w:w="9023" w:type="dxa"/>
        <w:jc w:val="center"/>
        <w:tblBorders>
          <w:top w:val="single" w:sz="4" w:space="0" w:color="auto"/>
        </w:tblBorders>
        <w:tblLook w:val="04A0" w:firstRow="1" w:lastRow="0" w:firstColumn="1" w:lastColumn="0" w:noHBand="0" w:noVBand="1"/>
      </w:tblPr>
      <w:tblGrid>
        <w:gridCol w:w="4796"/>
        <w:gridCol w:w="844"/>
        <w:gridCol w:w="845"/>
        <w:gridCol w:w="891"/>
        <w:gridCol w:w="802"/>
        <w:gridCol w:w="845"/>
      </w:tblGrid>
      <w:tr w:rsidR="00850A4A" w:rsidRPr="00207D00" w14:paraId="48B692FC" w14:textId="77777777" w:rsidTr="00D563AA">
        <w:trPr>
          <w:trHeight w:val="559"/>
          <w:jc w:val="center"/>
        </w:trPr>
        <w:tc>
          <w:tcPr>
            <w:tcW w:w="4796" w:type="dxa"/>
            <w:tcBorders>
              <w:top w:val="single" w:sz="4" w:space="0" w:color="auto"/>
              <w:left w:val="nil"/>
              <w:bottom w:val="nil"/>
              <w:right w:val="nil"/>
            </w:tcBorders>
            <w:shd w:val="clear" w:color="auto" w:fill="FFFFFF"/>
            <w:hideMark/>
          </w:tcPr>
          <w:p w14:paraId="5C561261" w14:textId="77777777" w:rsidR="00850A4A" w:rsidRPr="00207D00" w:rsidRDefault="00850A4A" w:rsidP="00D563AA">
            <w:pPr>
              <w:jc w:val="center"/>
              <w:rPr>
                <w:rFonts w:ascii="Arial" w:hAnsi="Arial" w:cs="Arial"/>
                <w:b/>
                <w:bCs/>
                <w:sz w:val="20"/>
                <w:szCs w:val="20"/>
              </w:rPr>
            </w:pPr>
            <w:r w:rsidRPr="00207D00">
              <w:rPr>
                <w:rFonts w:ascii="Arial" w:hAnsi="Arial" w:cs="Arial"/>
                <w:b/>
                <w:bCs/>
                <w:sz w:val="20"/>
                <w:szCs w:val="20"/>
              </w:rPr>
              <w:t> </w:t>
            </w:r>
          </w:p>
        </w:tc>
        <w:tc>
          <w:tcPr>
            <w:tcW w:w="844" w:type="dxa"/>
            <w:tcBorders>
              <w:top w:val="single" w:sz="4" w:space="0" w:color="auto"/>
              <w:left w:val="nil"/>
              <w:bottom w:val="single" w:sz="4" w:space="0" w:color="auto"/>
              <w:right w:val="nil"/>
            </w:tcBorders>
            <w:vAlign w:val="center"/>
            <w:hideMark/>
          </w:tcPr>
          <w:p w14:paraId="6D0C0CFF" w14:textId="77777777" w:rsidR="00850A4A" w:rsidRPr="00207D00" w:rsidRDefault="00850A4A" w:rsidP="00D563AA">
            <w:pPr>
              <w:jc w:val="center"/>
              <w:rPr>
                <w:rFonts w:ascii="Arial" w:hAnsi="Arial" w:cs="Arial"/>
                <w:b/>
                <w:bCs/>
                <w:sz w:val="20"/>
                <w:szCs w:val="20"/>
              </w:rPr>
            </w:pPr>
            <w:r w:rsidRPr="00207D00">
              <w:rPr>
                <w:rFonts w:ascii="Arial" w:hAnsi="Arial" w:cs="Arial"/>
                <w:b/>
                <w:bCs/>
                <w:sz w:val="20"/>
                <w:szCs w:val="20"/>
              </w:rPr>
              <w:t>2022</w:t>
            </w:r>
          </w:p>
        </w:tc>
        <w:tc>
          <w:tcPr>
            <w:tcW w:w="845" w:type="dxa"/>
            <w:tcBorders>
              <w:top w:val="single" w:sz="4" w:space="0" w:color="auto"/>
              <w:left w:val="nil"/>
              <w:bottom w:val="single" w:sz="4" w:space="0" w:color="auto"/>
              <w:right w:val="nil"/>
            </w:tcBorders>
            <w:vAlign w:val="center"/>
            <w:hideMark/>
          </w:tcPr>
          <w:p w14:paraId="025B72D9" w14:textId="77777777" w:rsidR="00850A4A" w:rsidRPr="00207D00" w:rsidRDefault="00850A4A" w:rsidP="00D563AA">
            <w:pPr>
              <w:jc w:val="center"/>
              <w:rPr>
                <w:rFonts w:ascii="Arial" w:hAnsi="Arial" w:cs="Arial"/>
                <w:b/>
                <w:bCs/>
                <w:sz w:val="20"/>
                <w:szCs w:val="20"/>
              </w:rPr>
            </w:pPr>
            <w:r w:rsidRPr="00207D00">
              <w:rPr>
                <w:rFonts w:ascii="Arial" w:hAnsi="Arial" w:cs="Arial"/>
                <w:b/>
                <w:bCs/>
                <w:sz w:val="20"/>
                <w:szCs w:val="20"/>
              </w:rPr>
              <w:t>2023</w:t>
            </w:r>
          </w:p>
        </w:tc>
        <w:tc>
          <w:tcPr>
            <w:tcW w:w="891" w:type="dxa"/>
            <w:tcBorders>
              <w:top w:val="single" w:sz="4" w:space="0" w:color="auto"/>
              <w:left w:val="nil"/>
              <w:bottom w:val="single" w:sz="4" w:space="0" w:color="auto"/>
              <w:right w:val="nil"/>
            </w:tcBorders>
            <w:vAlign w:val="center"/>
            <w:hideMark/>
          </w:tcPr>
          <w:p w14:paraId="0951AB01" w14:textId="77777777" w:rsidR="00850A4A" w:rsidRPr="00207D00" w:rsidRDefault="00850A4A" w:rsidP="00D563AA">
            <w:pPr>
              <w:jc w:val="center"/>
              <w:rPr>
                <w:rFonts w:ascii="Arial" w:hAnsi="Arial" w:cs="Arial"/>
                <w:b/>
                <w:bCs/>
                <w:sz w:val="20"/>
                <w:szCs w:val="20"/>
              </w:rPr>
            </w:pPr>
            <w:r w:rsidRPr="00207D00">
              <w:rPr>
                <w:rFonts w:ascii="Arial" w:hAnsi="Arial" w:cs="Arial"/>
                <w:b/>
                <w:bCs/>
                <w:sz w:val="20"/>
                <w:szCs w:val="20"/>
              </w:rPr>
              <w:t>2024</w:t>
            </w:r>
          </w:p>
        </w:tc>
        <w:tc>
          <w:tcPr>
            <w:tcW w:w="802" w:type="dxa"/>
            <w:tcBorders>
              <w:top w:val="single" w:sz="4" w:space="0" w:color="auto"/>
              <w:left w:val="nil"/>
              <w:bottom w:val="single" w:sz="4" w:space="0" w:color="auto"/>
              <w:right w:val="nil"/>
            </w:tcBorders>
            <w:vAlign w:val="center"/>
            <w:hideMark/>
          </w:tcPr>
          <w:p w14:paraId="1D19F360" w14:textId="77777777" w:rsidR="00850A4A" w:rsidRPr="00207D00" w:rsidRDefault="00850A4A" w:rsidP="00D563AA">
            <w:pPr>
              <w:jc w:val="center"/>
              <w:rPr>
                <w:rFonts w:ascii="Arial" w:hAnsi="Arial" w:cs="Arial"/>
                <w:b/>
                <w:bCs/>
                <w:sz w:val="20"/>
                <w:szCs w:val="20"/>
              </w:rPr>
            </w:pPr>
            <w:r w:rsidRPr="00207D00">
              <w:rPr>
                <w:rFonts w:ascii="Arial" w:hAnsi="Arial" w:cs="Arial"/>
                <w:b/>
                <w:bCs/>
                <w:sz w:val="20"/>
                <w:szCs w:val="20"/>
              </w:rPr>
              <w:t>2025</w:t>
            </w:r>
          </w:p>
        </w:tc>
        <w:tc>
          <w:tcPr>
            <w:tcW w:w="845" w:type="dxa"/>
            <w:tcBorders>
              <w:top w:val="single" w:sz="4" w:space="0" w:color="auto"/>
              <w:left w:val="nil"/>
              <w:bottom w:val="single" w:sz="4" w:space="0" w:color="auto"/>
              <w:right w:val="nil"/>
            </w:tcBorders>
            <w:vAlign w:val="center"/>
            <w:hideMark/>
          </w:tcPr>
          <w:p w14:paraId="079A6237" w14:textId="77777777" w:rsidR="00850A4A" w:rsidRPr="00207D00" w:rsidRDefault="00850A4A" w:rsidP="00D563AA">
            <w:pPr>
              <w:jc w:val="center"/>
              <w:rPr>
                <w:rFonts w:ascii="Arial" w:hAnsi="Arial" w:cs="Arial"/>
                <w:b/>
                <w:bCs/>
                <w:sz w:val="20"/>
                <w:szCs w:val="20"/>
              </w:rPr>
            </w:pPr>
            <w:r w:rsidRPr="00207D00">
              <w:rPr>
                <w:rFonts w:ascii="Arial" w:hAnsi="Arial" w:cs="Arial"/>
                <w:b/>
                <w:bCs/>
                <w:sz w:val="20"/>
                <w:szCs w:val="20"/>
              </w:rPr>
              <w:t>2026</w:t>
            </w:r>
          </w:p>
        </w:tc>
      </w:tr>
      <w:tr w:rsidR="00850A4A" w:rsidRPr="00207D00" w14:paraId="794D3D3A" w14:textId="77777777" w:rsidTr="00D563AA">
        <w:trPr>
          <w:trHeight w:val="300"/>
          <w:jc w:val="center"/>
        </w:trPr>
        <w:tc>
          <w:tcPr>
            <w:tcW w:w="4796" w:type="dxa"/>
            <w:tcBorders>
              <w:top w:val="nil"/>
              <w:left w:val="nil"/>
              <w:bottom w:val="nil"/>
              <w:right w:val="nil"/>
            </w:tcBorders>
            <w:shd w:val="clear" w:color="auto" w:fill="FFFFFF"/>
            <w:noWrap/>
            <w:hideMark/>
          </w:tcPr>
          <w:p w14:paraId="1F31BC2E" w14:textId="0D91702B" w:rsidR="00850A4A" w:rsidRPr="00207D00" w:rsidRDefault="00EF5431" w:rsidP="008C34F4">
            <w:pPr>
              <w:rPr>
                <w:rFonts w:ascii="Arial" w:hAnsi="Arial" w:cs="Arial"/>
                <w:sz w:val="20"/>
                <w:szCs w:val="20"/>
              </w:rPr>
            </w:pPr>
            <w:r w:rsidRPr="00207D00">
              <w:rPr>
                <w:rFonts w:ascii="Arial" w:hAnsi="Arial" w:cs="Arial"/>
                <w:sz w:val="20"/>
                <w:szCs w:val="20"/>
              </w:rPr>
              <w:t xml:space="preserve">Mining </w:t>
            </w:r>
            <w:r w:rsidR="00850A4A" w:rsidRPr="00207D00">
              <w:rPr>
                <w:rFonts w:ascii="Arial" w:hAnsi="Arial" w:cs="Arial"/>
                <w:sz w:val="20"/>
                <w:szCs w:val="20"/>
              </w:rPr>
              <w:t>of coal and lignite</w:t>
            </w:r>
          </w:p>
        </w:tc>
        <w:tc>
          <w:tcPr>
            <w:tcW w:w="844" w:type="dxa"/>
            <w:tcBorders>
              <w:top w:val="nil"/>
              <w:left w:val="nil"/>
              <w:bottom w:val="nil"/>
              <w:right w:val="nil"/>
            </w:tcBorders>
            <w:hideMark/>
          </w:tcPr>
          <w:p w14:paraId="520CFEC9"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2,6</w:t>
            </w:r>
          </w:p>
        </w:tc>
        <w:tc>
          <w:tcPr>
            <w:tcW w:w="845" w:type="dxa"/>
            <w:tcBorders>
              <w:top w:val="nil"/>
              <w:left w:val="nil"/>
              <w:bottom w:val="nil"/>
              <w:right w:val="nil"/>
            </w:tcBorders>
            <w:hideMark/>
          </w:tcPr>
          <w:p w14:paraId="57974933"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2,0</w:t>
            </w:r>
          </w:p>
        </w:tc>
        <w:tc>
          <w:tcPr>
            <w:tcW w:w="891" w:type="dxa"/>
            <w:tcBorders>
              <w:top w:val="nil"/>
              <w:left w:val="nil"/>
              <w:bottom w:val="nil"/>
              <w:right w:val="nil"/>
            </w:tcBorders>
            <w:hideMark/>
          </w:tcPr>
          <w:p w14:paraId="61DFFDBF"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2,5</w:t>
            </w:r>
          </w:p>
        </w:tc>
        <w:tc>
          <w:tcPr>
            <w:tcW w:w="802" w:type="dxa"/>
            <w:tcBorders>
              <w:top w:val="nil"/>
              <w:left w:val="nil"/>
              <w:bottom w:val="nil"/>
              <w:right w:val="nil"/>
            </w:tcBorders>
            <w:hideMark/>
          </w:tcPr>
          <w:p w14:paraId="69166884"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6,3</w:t>
            </w:r>
          </w:p>
        </w:tc>
        <w:tc>
          <w:tcPr>
            <w:tcW w:w="845" w:type="dxa"/>
            <w:tcBorders>
              <w:top w:val="nil"/>
              <w:left w:val="nil"/>
              <w:bottom w:val="nil"/>
              <w:right w:val="nil"/>
            </w:tcBorders>
            <w:hideMark/>
          </w:tcPr>
          <w:p w14:paraId="1BB491E2"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-3,4</w:t>
            </w:r>
          </w:p>
        </w:tc>
      </w:tr>
      <w:tr w:rsidR="00850A4A" w:rsidRPr="00207D00" w14:paraId="61147356" w14:textId="77777777" w:rsidTr="00D563AA">
        <w:trPr>
          <w:trHeight w:val="300"/>
          <w:jc w:val="center"/>
        </w:trPr>
        <w:tc>
          <w:tcPr>
            <w:tcW w:w="4796" w:type="dxa"/>
            <w:tcBorders>
              <w:top w:val="nil"/>
              <w:left w:val="nil"/>
              <w:bottom w:val="nil"/>
              <w:right w:val="nil"/>
            </w:tcBorders>
            <w:shd w:val="clear" w:color="auto" w:fill="FFFFFF"/>
            <w:noWrap/>
            <w:hideMark/>
          </w:tcPr>
          <w:p w14:paraId="2332C7C4" w14:textId="10AD991A"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food products</w:t>
            </w:r>
          </w:p>
        </w:tc>
        <w:tc>
          <w:tcPr>
            <w:tcW w:w="844" w:type="dxa"/>
            <w:tcBorders>
              <w:top w:val="nil"/>
              <w:left w:val="nil"/>
              <w:bottom w:val="nil"/>
              <w:right w:val="nil"/>
            </w:tcBorders>
            <w:hideMark/>
          </w:tcPr>
          <w:p w14:paraId="6E26810B"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6,2</w:t>
            </w:r>
          </w:p>
        </w:tc>
        <w:tc>
          <w:tcPr>
            <w:tcW w:w="845" w:type="dxa"/>
            <w:tcBorders>
              <w:top w:val="nil"/>
              <w:left w:val="nil"/>
              <w:bottom w:val="nil"/>
              <w:right w:val="nil"/>
            </w:tcBorders>
            <w:hideMark/>
          </w:tcPr>
          <w:p w14:paraId="563170D7"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1,2</w:t>
            </w:r>
          </w:p>
        </w:tc>
        <w:tc>
          <w:tcPr>
            <w:tcW w:w="891" w:type="dxa"/>
            <w:tcBorders>
              <w:top w:val="nil"/>
              <w:left w:val="nil"/>
              <w:bottom w:val="nil"/>
              <w:right w:val="nil"/>
            </w:tcBorders>
            <w:hideMark/>
          </w:tcPr>
          <w:p w14:paraId="41C2CD09"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4,2</w:t>
            </w:r>
          </w:p>
        </w:tc>
        <w:tc>
          <w:tcPr>
            <w:tcW w:w="802" w:type="dxa"/>
            <w:tcBorders>
              <w:top w:val="nil"/>
              <w:left w:val="nil"/>
              <w:bottom w:val="nil"/>
              <w:right w:val="nil"/>
            </w:tcBorders>
            <w:hideMark/>
          </w:tcPr>
          <w:p w14:paraId="69409F72"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7,7</w:t>
            </w:r>
          </w:p>
        </w:tc>
        <w:tc>
          <w:tcPr>
            <w:tcW w:w="845" w:type="dxa"/>
            <w:tcBorders>
              <w:top w:val="nil"/>
              <w:left w:val="nil"/>
              <w:bottom w:val="nil"/>
              <w:right w:val="nil"/>
            </w:tcBorders>
            <w:hideMark/>
          </w:tcPr>
          <w:p w14:paraId="6F31B5B2"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13,2</w:t>
            </w:r>
          </w:p>
        </w:tc>
      </w:tr>
      <w:tr w:rsidR="00850A4A" w:rsidRPr="00207D00" w14:paraId="02FFE1F4" w14:textId="77777777" w:rsidTr="00D563AA">
        <w:trPr>
          <w:trHeight w:val="303"/>
          <w:jc w:val="center"/>
        </w:trPr>
        <w:tc>
          <w:tcPr>
            <w:tcW w:w="4796" w:type="dxa"/>
            <w:tcBorders>
              <w:top w:val="nil"/>
              <w:left w:val="nil"/>
              <w:bottom w:val="nil"/>
              <w:right w:val="nil"/>
            </w:tcBorders>
            <w:shd w:val="clear" w:color="auto" w:fill="FFFFFF"/>
            <w:hideMark/>
          </w:tcPr>
          <w:p w14:paraId="689985E1" w14:textId="53A88EB3"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beverages</w:t>
            </w:r>
          </w:p>
        </w:tc>
        <w:tc>
          <w:tcPr>
            <w:tcW w:w="844" w:type="dxa"/>
            <w:tcBorders>
              <w:top w:val="nil"/>
              <w:left w:val="nil"/>
              <w:bottom w:val="nil"/>
              <w:right w:val="nil"/>
            </w:tcBorders>
            <w:hideMark/>
          </w:tcPr>
          <w:p w14:paraId="64B1E832"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1,5</w:t>
            </w:r>
          </w:p>
        </w:tc>
        <w:tc>
          <w:tcPr>
            <w:tcW w:w="845" w:type="dxa"/>
            <w:tcBorders>
              <w:top w:val="nil"/>
              <w:left w:val="nil"/>
              <w:bottom w:val="nil"/>
              <w:right w:val="nil"/>
            </w:tcBorders>
            <w:hideMark/>
          </w:tcPr>
          <w:p w14:paraId="1825AFBE"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12,7</w:t>
            </w:r>
          </w:p>
        </w:tc>
        <w:tc>
          <w:tcPr>
            <w:tcW w:w="891" w:type="dxa"/>
            <w:tcBorders>
              <w:top w:val="nil"/>
              <w:left w:val="nil"/>
              <w:bottom w:val="nil"/>
              <w:right w:val="nil"/>
            </w:tcBorders>
            <w:hideMark/>
          </w:tcPr>
          <w:p w14:paraId="78D3BCE0"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-3,5</w:t>
            </w:r>
          </w:p>
        </w:tc>
        <w:tc>
          <w:tcPr>
            <w:tcW w:w="802" w:type="dxa"/>
            <w:tcBorders>
              <w:top w:val="nil"/>
              <w:left w:val="nil"/>
              <w:bottom w:val="nil"/>
              <w:right w:val="nil"/>
            </w:tcBorders>
            <w:hideMark/>
          </w:tcPr>
          <w:p w14:paraId="6E01C7B2"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-1,1</w:t>
            </w:r>
          </w:p>
        </w:tc>
        <w:tc>
          <w:tcPr>
            <w:tcW w:w="845" w:type="dxa"/>
            <w:tcBorders>
              <w:top w:val="nil"/>
              <w:left w:val="nil"/>
              <w:bottom w:val="nil"/>
              <w:right w:val="nil"/>
            </w:tcBorders>
            <w:hideMark/>
          </w:tcPr>
          <w:p w14:paraId="5556EE46"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20,9</w:t>
            </w:r>
          </w:p>
        </w:tc>
      </w:tr>
      <w:tr w:rsidR="00850A4A" w:rsidRPr="00207D00" w14:paraId="1BD95454" w14:textId="77777777" w:rsidTr="00D563AA">
        <w:trPr>
          <w:trHeight w:val="300"/>
          <w:jc w:val="center"/>
        </w:trPr>
        <w:tc>
          <w:tcPr>
            <w:tcW w:w="4796" w:type="dxa"/>
            <w:tcBorders>
              <w:top w:val="nil"/>
              <w:left w:val="nil"/>
              <w:bottom w:val="nil"/>
              <w:right w:val="nil"/>
            </w:tcBorders>
            <w:shd w:val="clear" w:color="auto" w:fill="FFFFFF"/>
            <w:noWrap/>
            <w:hideMark/>
          </w:tcPr>
          <w:p w14:paraId="2D8BFE0C" w14:textId="6D6CDA68"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textiles</w:t>
            </w:r>
          </w:p>
        </w:tc>
        <w:tc>
          <w:tcPr>
            <w:tcW w:w="844" w:type="dxa"/>
            <w:tcBorders>
              <w:top w:val="nil"/>
              <w:left w:val="nil"/>
              <w:bottom w:val="nil"/>
              <w:right w:val="nil"/>
            </w:tcBorders>
            <w:hideMark/>
          </w:tcPr>
          <w:p w14:paraId="6E9DD2DF"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5,3</w:t>
            </w:r>
          </w:p>
        </w:tc>
        <w:tc>
          <w:tcPr>
            <w:tcW w:w="845" w:type="dxa"/>
            <w:tcBorders>
              <w:top w:val="nil"/>
              <w:left w:val="nil"/>
              <w:bottom w:val="nil"/>
              <w:right w:val="nil"/>
            </w:tcBorders>
            <w:hideMark/>
          </w:tcPr>
          <w:p w14:paraId="37AFB4EA"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-9,9</w:t>
            </w:r>
          </w:p>
        </w:tc>
        <w:tc>
          <w:tcPr>
            <w:tcW w:w="891" w:type="dxa"/>
            <w:tcBorders>
              <w:top w:val="nil"/>
              <w:left w:val="nil"/>
              <w:bottom w:val="nil"/>
              <w:right w:val="nil"/>
            </w:tcBorders>
            <w:hideMark/>
          </w:tcPr>
          <w:p w14:paraId="6ABC513E"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18,0</w:t>
            </w:r>
          </w:p>
        </w:tc>
        <w:tc>
          <w:tcPr>
            <w:tcW w:w="802" w:type="dxa"/>
            <w:tcBorders>
              <w:top w:val="nil"/>
              <w:left w:val="nil"/>
              <w:bottom w:val="nil"/>
              <w:right w:val="nil"/>
            </w:tcBorders>
            <w:hideMark/>
          </w:tcPr>
          <w:p w14:paraId="5585A85D"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10,2</w:t>
            </w:r>
          </w:p>
        </w:tc>
        <w:tc>
          <w:tcPr>
            <w:tcW w:w="845" w:type="dxa"/>
            <w:tcBorders>
              <w:top w:val="nil"/>
              <w:left w:val="nil"/>
              <w:bottom w:val="nil"/>
              <w:right w:val="nil"/>
            </w:tcBorders>
            <w:hideMark/>
          </w:tcPr>
          <w:p w14:paraId="0398E6C2"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10,5</w:t>
            </w:r>
          </w:p>
        </w:tc>
      </w:tr>
      <w:tr w:rsidR="00850A4A" w:rsidRPr="00207D00" w14:paraId="463C6BC6" w14:textId="77777777" w:rsidTr="00D563AA">
        <w:trPr>
          <w:trHeight w:val="300"/>
          <w:jc w:val="center"/>
        </w:trPr>
        <w:tc>
          <w:tcPr>
            <w:tcW w:w="4796" w:type="dxa"/>
            <w:tcBorders>
              <w:top w:val="nil"/>
              <w:left w:val="nil"/>
              <w:bottom w:val="nil"/>
              <w:right w:val="nil"/>
            </w:tcBorders>
            <w:shd w:val="clear" w:color="auto" w:fill="FFFFFF"/>
            <w:noWrap/>
            <w:hideMark/>
          </w:tcPr>
          <w:p w14:paraId="7B84E8AA" w14:textId="1C788A33"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wearing apparels</w:t>
            </w:r>
          </w:p>
        </w:tc>
        <w:tc>
          <w:tcPr>
            <w:tcW w:w="844" w:type="dxa"/>
            <w:tcBorders>
              <w:top w:val="nil"/>
              <w:left w:val="nil"/>
              <w:bottom w:val="nil"/>
              <w:right w:val="nil"/>
            </w:tcBorders>
            <w:hideMark/>
          </w:tcPr>
          <w:p w14:paraId="34DEACE8"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25,7</w:t>
            </w:r>
          </w:p>
        </w:tc>
        <w:tc>
          <w:tcPr>
            <w:tcW w:w="845" w:type="dxa"/>
            <w:tcBorders>
              <w:top w:val="nil"/>
              <w:left w:val="nil"/>
              <w:bottom w:val="nil"/>
              <w:right w:val="nil"/>
            </w:tcBorders>
            <w:hideMark/>
          </w:tcPr>
          <w:p w14:paraId="5D9C1087"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-14,0</w:t>
            </w:r>
          </w:p>
        </w:tc>
        <w:tc>
          <w:tcPr>
            <w:tcW w:w="891" w:type="dxa"/>
            <w:tcBorders>
              <w:top w:val="nil"/>
              <w:left w:val="nil"/>
              <w:bottom w:val="nil"/>
              <w:right w:val="nil"/>
            </w:tcBorders>
            <w:hideMark/>
          </w:tcPr>
          <w:p w14:paraId="4732F97D"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4,1</w:t>
            </w:r>
          </w:p>
        </w:tc>
        <w:tc>
          <w:tcPr>
            <w:tcW w:w="802" w:type="dxa"/>
            <w:tcBorders>
              <w:top w:val="nil"/>
              <w:left w:val="nil"/>
              <w:bottom w:val="nil"/>
              <w:right w:val="nil"/>
            </w:tcBorders>
            <w:hideMark/>
          </w:tcPr>
          <w:p w14:paraId="099A0036"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13,3</w:t>
            </w:r>
          </w:p>
        </w:tc>
        <w:tc>
          <w:tcPr>
            <w:tcW w:w="845" w:type="dxa"/>
            <w:tcBorders>
              <w:top w:val="nil"/>
              <w:left w:val="nil"/>
              <w:bottom w:val="nil"/>
              <w:right w:val="nil"/>
            </w:tcBorders>
            <w:hideMark/>
          </w:tcPr>
          <w:p w14:paraId="7406DC40"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11,6</w:t>
            </w:r>
          </w:p>
        </w:tc>
      </w:tr>
      <w:tr w:rsidR="00850A4A" w:rsidRPr="00207D00" w14:paraId="6B330E5F" w14:textId="77777777" w:rsidTr="00D563AA">
        <w:trPr>
          <w:trHeight w:val="300"/>
          <w:jc w:val="center"/>
        </w:trPr>
        <w:tc>
          <w:tcPr>
            <w:tcW w:w="4796" w:type="dxa"/>
            <w:tcBorders>
              <w:top w:val="nil"/>
              <w:left w:val="nil"/>
              <w:bottom w:val="nil"/>
              <w:right w:val="nil"/>
            </w:tcBorders>
            <w:shd w:val="clear" w:color="auto" w:fill="FFFFFF"/>
            <w:noWrap/>
            <w:hideMark/>
          </w:tcPr>
          <w:p w14:paraId="16FF73C2" w14:textId="602768F5" w:rsidR="00850A4A" w:rsidRPr="00207D00" w:rsidRDefault="00EF5431" w:rsidP="00D563AA">
            <w:pPr>
              <w:rPr>
                <w:rFonts w:ascii="Arial" w:hAnsi="Arial" w:cs="Arial"/>
                <w:sz w:val="20"/>
                <w:szCs w:val="20"/>
              </w:rPr>
            </w:pPr>
            <w:r w:rsidRPr="00EF5431">
              <w:rPr>
                <w:rFonts w:ascii="Arial" w:hAnsi="Arial" w:cs="Arial"/>
                <w:sz w:val="20"/>
                <w:szCs w:val="20"/>
              </w:rPr>
              <w:t>Manufacture of wood and products of wood and cork, (except furniture); manufacture of articles of straw and plaiting materials</w:t>
            </w:r>
          </w:p>
        </w:tc>
        <w:tc>
          <w:tcPr>
            <w:tcW w:w="844" w:type="dxa"/>
            <w:tcBorders>
              <w:top w:val="nil"/>
              <w:left w:val="nil"/>
              <w:bottom w:val="nil"/>
              <w:right w:val="nil"/>
            </w:tcBorders>
            <w:hideMark/>
          </w:tcPr>
          <w:p w14:paraId="6108915F"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-1,2</w:t>
            </w:r>
          </w:p>
        </w:tc>
        <w:tc>
          <w:tcPr>
            <w:tcW w:w="845" w:type="dxa"/>
            <w:tcBorders>
              <w:top w:val="nil"/>
              <w:left w:val="nil"/>
              <w:bottom w:val="nil"/>
              <w:right w:val="nil"/>
            </w:tcBorders>
            <w:hideMark/>
          </w:tcPr>
          <w:p w14:paraId="20BDD6AF"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3,9</w:t>
            </w:r>
          </w:p>
        </w:tc>
        <w:tc>
          <w:tcPr>
            <w:tcW w:w="891" w:type="dxa"/>
            <w:tcBorders>
              <w:top w:val="nil"/>
              <w:left w:val="nil"/>
              <w:bottom w:val="nil"/>
              <w:right w:val="nil"/>
            </w:tcBorders>
            <w:hideMark/>
          </w:tcPr>
          <w:p w14:paraId="2DE1C401"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3,5</w:t>
            </w:r>
          </w:p>
        </w:tc>
        <w:tc>
          <w:tcPr>
            <w:tcW w:w="802" w:type="dxa"/>
            <w:tcBorders>
              <w:top w:val="nil"/>
              <w:left w:val="nil"/>
              <w:bottom w:val="nil"/>
              <w:right w:val="nil"/>
            </w:tcBorders>
            <w:hideMark/>
          </w:tcPr>
          <w:p w14:paraId="49291854"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14,6</w:t>
            </w:r>
          </w:p>
        </w:tc>
        <w:tc>
          <w:tcPr>
            <w:tcW w:w="845" w:type="dxa"/>
            <w:tcBorders>
              <w:top w:val="nil"/>
              <w:left w:val="nil"/>
              <w:bottom w:val="nil"/>
              <w:right w:val="nil"/>
            </w:tcBorders>
            <w:hideMark/>
          </w:tcPr>
          <w:p w14:paraId="489730AC"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13,4</w:t>
            </w:r>
          </w:p>
        </w:tc>
      </w:tr>
      <w:tr w:rsidR="00850A4A" w:rsidRPr="00207D00" w14:paraId="3C129FAD" w14:textId="77777777" w:rsidTr="00D563AA">
        <w:trPr>
          <w:trHeight w:val="300"/>
          <w:jc w:val="center"/>
        </w:trPr>
        <w:tc>
          <w:tcPr>
            <w:tcW w:w="4796" w:type="dxa"/>
            <w:tcBorders>
              <w:top w:val="nil"/>
              <w:left w:val="nil"/>
              <w:bottom w:val="nil"/>
              <w:right w:val="nil"/>
            </w:tcBorders>
            <w:shd w:val="clear" w:color="auto" w:fill="FFFFFF"/>
            <w:noWrap/>
            <w:hideMark/>
          </w:tcPr>
          <w:p w14:paraId="20BB5530" w14:textId="7BC36EA1"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paper and paper products</w:t>
            </w:r>
          </w:p>
        </w:tc>
        <w:tc>
          <w:tcPr>
            <w:tcW w:w="844" w:type="dxa"/>
            <w:tcBorders>
              <w:top w:val="nil"/>
              <w:left w:val="nil"/>
              <w:bottom w:val="nil"/>
              <w:right w:val="nil"/>
            </w:tcBorders>
            <w:hideMark/>
          </w:tcPr>
          <w:p w14:paraId="4DBFE3E2"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2,9</w:t>
            </w:r>
          </w:p>
        </w:tc>
        <w:tc>
          <w:tcPr>
            <w:tcW w:w="845" w:type="dxa"/>
            <w:tcBorders>
              <w:top w:val="nil"/>
              <w:left w:val="nil"/>
              <w:bottom w:val="nil"/>
              <w:right w:val="nil"/>
            </w:tcBorders>
            <w:hideMark/>
          </w:tcPr>
          <w:p w14:paraId="55963FF3"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-13,2</w:t>
            </w:r>
          </w:p>
        </w:tc>
        <w:tc>
          <w:tcPr>
            <w:tcW w:w="891" w:type="dxa"/>
            <w:tcBorders>
              <w:top w:val="nil"/>
              <w:left w:val="nil"/>
              <w:bottom w:val="nil"/>
              <w:right w:val="nil"/>
            </w:tcBorders>
            <w:hideMark/>
          </w:tcPr>
          <w:p w14:paraId="002027DF"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10,6</w:t>
            </w:r>
          </w:p>
        </w:tc>
        <w:tc>
          <w:tcPr>
            <w:tcW w:w="802" w:type="dxa"/>
            <w:tcBorders>
              <w:top w:val="nil"/>
              <w:left w:val="nil"/>
              <w:bottom w:val="nil"/>
              <w:right w:val="nil"/>
            </w:tcBorders>
            <w:hideMark/>
          </w:tcPr>
          <w:p w14:paraId="6CA63A46"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6,2</w:t>
            </w:r>
          </w:p>
        </w:tc>
        <w:tc>
          <w:tcPr>
            <w:tcW w:w="845" w:type="dxa"/>
            <w:tcBorders>
              <w:top w:val="nil"/>
              <w:left w:val="nil"/>
              <w:bottom w:val="nil"/>
              <w:right w:val="nil"/>
            </w:tcBorders>
            <w:hideMark/>
          </w:tcPr>
          <w:p w14:paraId="40168C56"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20,4</w:t>
            </w:r>
          </w:p>
        </w:tc>
      </w:tr>
      <w:tr w:rsidR="00850A4A" w:rsidRPr="00207D00" w14:paraId="3997A85D" w14:textId="77777777" w:rsidTr="00D563AA">
        <w:trPr>
          <w:trHeight w:val="300"/>
          <w:jc w:val="center"/>
        </w:trPr>
        <w:tc>
          <w:tcPr>
            <w:tcW w:w="4796" w:type="dxa"/>
            <w:tcBorders>
              <w:top w:val="nil"/>
              <w:left w:val="nil"/>
              <w:bottom w:val="nil"/>
              <w:right w:val="nil"/>
            </w:tcBorders>
            <w:shd w:val="clear" w:color="auto" w:fill="FFFFFF"/>
            <w:noWrap/>
            <w:hideMark/>
          </w:tcPr>
          <w:p w14:paraId="318480EC" w14:textId="01E5CC39"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chemicals and chemical products</w:t>
            </w:r>
          </w:p>
        </w:tc>
        <w:tc>
          <w:tcPr>
            <w:tcW w:w="844" w:type="dxa"/>
            <w:tcBorders>
              <w:top w:val="nil"/>
              <w:left w:val="nil"/>
              <w:bottom w:val="nil"/>
              <w:right w:val="nil"/>
            </w:tcBorders>
            <w:hideMark/>
          </w:tcPr>
          <w:p w14:paraId="4352A5BE"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-0,3</w:t>
            </w:r>
          </w:p>
        </w:tc>
        <w:tc>
          <w:tcPr>
            <w:tcW w:w="845" w:type="dxa"/>
            <w:tcBorders>
              <w:top w:val="nil"/>
              <w:left w:val="nil"/>
              <w:bottom w:val="nil"/>
              <w:right w:val="nil"/>
            </w:tcBorders>
            <w:hideMark/>
          </w:tcPr>
          <w:p w14:paraId="54AD32DA"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-2,0</w:t>
            </w:r>
          </w:p>
        </w:tc>
        <w:tc>
          <w:tcPr>
            <w:tcW w:w="891" w:type="dxa"/>
            <w:tcBorders>
              <w:top w:val="nil"/>
              <w:left w:val="nil"/>
              <w:bottom w:val="nil"/>
              <w:right w:val="nil"/>
            </w:tcBorders>
            <w:hideMark/>
          </w:tcPr>
          <w:p w14:paraId="1384C451"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42,6</w:t>
            </w:r>
          </w:p>
        </w:tc>
        <w:tc>
          <w:tcPr>
            <w:tcW w:w="802" w:type="dxa"/>
            <w:tcBorders>
              <w:top w:val="nil"/>
              <w:left w:val="nil"/>
              <w:bottom w:val="nil"/>
              <w:right w:val="nil"/>
            </w:tcBorders>
            <w:hideMark/>
          </w:tcPr>
          <w:p w14:paraId="676C1936"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2,2</w:t>
            </w:r>
          </w:p>
        </w:tc>
        <w:tc>
          <w:tcPr>
            <w:tcW w:w="845" w:type="dxa"/>
            <w:tcBorders>
              <w:top w:val="nil"/>
              <w:left w:val="nil"/>
              <w:bottom w:val="nil"/>
              <w:right w:val="nil"/>
            </w:tcBorders>
            <w:hideMark/>
          </w:tcPr>
          <w:p w14:paraId="391018E4"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20,1</w:t>
            </w:r>
          </w:p>
        </w:tc>
      </w:tr>
      <w:tr w:rsidR="00850A4A" w:rsidRPr="00207D00" w14:paraId="2CCFAE7A" w14:textId="77777777" w:rsidTr="00D563AA">
        <w:trPr>
          <w:trHeight w:val="300"/>
          <w:jc w:val="center"/>
        </w:trPr>
        <w:tc>
          <w:tcPr>
            <w:tcW w:w="4796" w:type="dxa"/>
            <w:tcBorders>
              <w:top w:val="nil"/>
              <w:left w:val="nil"/>
              <w:bottom w:val="nil"/>
              <w:right w:val="nil"/>
            </w:tcBorders>
            <w:shd w:val="clear" w:color="auto" w:fill="FFFFFF"/>
            <w:noWrap/>
            <w:hideMark/>
          </w:tcPr>
          <w:p w14:paraId="0A22C0D8" w14:textId="72112E5C"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rubber and plastic products</w:t>
            </w:r>
          </w:p>
        </w:tc>
        <w:tc>
          <w:tcPr>
            <w:tcW w:w="844" w:type="dxa"/>
            <w:tcBorders>
              <w:top w:val="nil"/>
              <w:left w:val="nil"/>
              <w:bottom w:val="nil"/>
              <w:right w:val="nil"/>
            </w:tcBorders>
            <w:hideMark/>
          </w:tcPr>
          <w:p w14:paraId="724CD5C3"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-16,5</w:t>
            </w:r>
          </w:p>
        </w:tc>
        <w:tc>
          <w:tcPr>
            <w:tcW w:w="845" w:type="dxa"/>
            <w:tcBorders>
              <w:top w:val="nil"/>
              <w:left w:val="nil"/>
              <w:bottom w:val="nil"/>
              <w:right w:val="nil"/>
            </w:tcBorders>
            <w:hideMark/>
          </w:tcPr>
          <w:p w14:paraId="08B19BFE"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9,6</w:t>
            </w:r>
          </w:p>
        </w:tc>
        <w:tc>
          <w:tcPr>
            <w:tcW w:w="891" w:type="dxa"/>
            <w:tcBorders>
              <w:top w:val="nil"/>
              <w:left w:val="nil"/>
              <w:bottom w:val="nil"/>
              <w:right w:val="nil"/>
            </w:tcBorders>
            <w:hideMark/>
          </w:tcPr>
          <w:p w14:paraId="20BA2662"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24,0</w:t>
            </w:r>
          </w:p>
        </w:tc>
        <w:tc>
          <w:tcPr>
            <w:tcW w:w="802" w:type="dxa"/>
            <w:tcBorders>
              <w:top w:val="nil"/>
              <w:left w:val="nil"/>
              <w:bottom w:val="nil"/>
              <w:right w:val="nil"/>
            </w:tcBorders>
            <w:hideMark/>
          </w:tcPr>
          <w:p w14:paraId="205F3F8A"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12,8</w:t>
            </w:r>
          </w:p>
        </w:tc>
        <w:tc>
          <w:tcPr>
            <w:tcW w:w="845" w:type="dxa"/>
            <w:tcBorders>
              <w:top w:val="nil"/>
              <w:left w:val="nil"/>
              <w:bottom w:val="nil"/>
              <w:right w:val="nil"/>
            </w:tcBorders>
            <w:hideMark/>
          </w:tcPr>
          <w:p w14:paraId="011564FB"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9,3</w:t>
            </w:r>
          </w:p>
        </w:tc>
      </w:tr>
      <w:tr w:rsidR="00850A4A" w:rsidRPr="00207D00" w14:paraId="4F4F05A6" w14:textId="77777777" w:rsidTr="00D563AA">
        <w:trPr>
          <w:trHeight w:val="300"/>
          <w:jc w:val="center"/>
        </w:trPr>
        <w:tc>
          <w:tcPr>
            <w:tcW w:w="4796" w:type="dxa"/>
            <w:tcBorders>
              <w:top w:val="nil"/>
              <w:left w:val="nil"/>
              <w:bottom w:val="nil"/>
              <w:right w:val="nil"/>
            </w:tcBorders>
            <w:shd w:val="clear" w:color="auto" w:fill="FFFFFF"/>
            <w:noWrap/>
            <w:hideMark/>
          </w:tcPr>
          <w:p w14:paraId="36654820" w14:textId="79F01F7F"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other non-metallic mineral products</w:t>
            </w:r>
          </w:p>
        </w:tc>
        <w:tc>
          <w:tcPr>
            <w:tcW w:w="844" w:type="dxa"/>
            <w:tcBorders>
              <w:top w:val="nil"/>
              <w:left w:val="nil"/>
              <w:bottom w:val="nil"/>
              <w:right w:val="nil"/>
            </w:tcBorders>
            <w:hideMark/>
          </w:tcPr>
          <w:p w14:paraId="668CD5BE"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8,4</w:t>
            </w:r>
          </w:p>
        </w:tc>
        <w:tc>
          <w:tcPr>
            <w:tcW w:w="845" w:type="dxa"/>
            <w:tcBorders>
              <w:top w:val="nil"/>
              <w:left w:val="nil"/>
              <w:bottom w:val="nil"/>
              <w:right w:val="nil"/>
            </w:tcBorders>
            <w:hideMark/>
          </w:tcPr>
          <w:p w14:paraId="43F0C193"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-10,7</w:t>
            </w:r>
          </w:p>
        </w:tc>
        <w:tc>
          <w:tcPr>
            <w:tcW w:w="891" w:type="dxa"/>
            <w:tcBorders>
              <w:top w:val="nil"/>
              <w:left w:val="nil"/>
              <w:bottom w:val="nil"/>
              <w:right w:val="nil"/>
            </w:tcBorders>
            <w:hideMark/>
          </w:tcPr>
          <w:p w14:paraId="063EFF4B"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-0,2</w:t>
            </w:r>
          </w:p>
        </w:tc>
        <w:tc>
          <w:tcPr>
            <w:tcW w:w="802" w:type="dxa"/>
            <w:tcBorders>
              <w:top w:val="nil"/>
              <w:left w:val="nil"/>
              <w:bottom w:val="nil"/>
              <w:right w:val="nil"/>
            </w:tcBorders>
            <w:hideMark/>
          </w:tcPr>
          <w:p w14:paraId="39D4A063"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7,1</w:t>
            </w:r>
          </w:p>
        </w:tc>
        <w:tc>
          <w:tcPr>
            <w:tcW w:w="845" w:type="dxa"/>
            <w:tcBorders>
              <w:top w:val="nil"/>
              <w:left w:val="nil"/>
              <w:bottom w:val="nil"/>
              <w:right w:val="nil"/>
            </w:tcBorders>
            <w:hideMark/>
          </w:tcPr>
          <w:p w14:paraId="2D19BC06"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33,1</w:t>
            </w:r>
          </w:p>
        </w:tc>
      </w:tr>
      <w:tr w:rsidR="00850A4A" w:rsidRPr="00207D00" w14:paraId="23702A3A" w14:textId="77777777" w:rsidTr="00D563AA">
        <w:trPr>
          <w:trHeight w:val="300"/>
          <w:jc w:val="center"/>
        </w:trPr>
        <w:tc>
          <w:tcPr>
            <w:tcW w:w="4796" w:type="dxa"/>
            <w:tcBorders>
              <w:top w:val="nil"/>
              <w:left w:val="nil"/>
              <w:bottom w:val="nil"/>
              <w:right w:val="nil"/>
            </w:tcBorders>
            <w:shd w:val="clear" w:color="auto" w:fill="FFFFFF"/>
            <w:noWrap/>
            <w:hideMark/>
          </w:tcPr>
          <w:p w14:paraId="2598987C" w14:textId="59D15786"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basic metals</w:t>
            </w:r>
          </w:p>
        </w:tc>
        <w:tc>
          <w:tcPr>
            <w:tcW w:w="844" w:type="dxa"/>
            <w:tcBorders>
              <w:top w:val="nil"/>
              <w:left w:val="nil"/>
              <w:bottom w:val="nil"/>
              <w:right w:val="nil"/>
            </w:tcBorders>
            <w:hideMark/>
          </w:tcPr>
          <w:p w14:paraId="6A1E8517"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2,9</w:t>
            </w:r>
          </w:p>
        </w:tc>
        <w:tc>
          <w:tcPr>
            <w:tcW w:w="845" w:type="dxa"/>
            <w:tcBorders>
              <w:top w:val="nil"/>
              <w:left w:val="nil"/>
              <w:bottom w:val="nil"/>
              <w:right w:val="nil"/>
            </w:tcBorders>
            <w:hideMark/>
          </w:tcPr>
          <w:p w14:paraId="2FE4BE77"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-8,4</w:t>
            </w:r>
          </w:p>
        </w:tc>
        <w:tc>
          <w:tcPr>
            <w:tcW w:w="891" w:type="dxa"/>
            <w:tcBorders>
              <w:top w:val="nil"/>
              <w:left w:val="nil"/>
              <w:bottom w:val="nil"/>
              <w:right w:val="nil"/>
            </w:tcBorders>
            <w:hideMark/>
          </w:tcPr>
          <w:p w14:paraId="756B9F6A"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19,8</w:t>
            </w:r>
          </w:p>
        </w:tc>
        <w:tc>
          <w:tcPr>
            <w:tcW w:w="802" w:type="dxa"/>
            <w:tcBorders>
              <w:top w:val="nil"/>
              <w:left w:val="nil"/>
              <w:bottom w:val="nil"/>
              <w:right w:val="nil"/>
            </w:tcBorders>
            <w:hideMark/>
          </w:tcPr>
          <w:p w14:paraId="3CCF8A96"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-0,3</w:t>
            </w:r>
          </w:p>
        </w:tc>
        <w:tc>
          <w:tcPr>
            <w:tcW w:w="845" w:type="dxa"/>
            <w:tcBorders>
              <w:top w:val="nil"/>
              <w:left w:val="nil"/>
              <w:bottom w:val="nil"/>
              <w:right w:val="nil"/>
            </w:tcBorders>
            <w:hideMark/>
          </w:tcPr>
          <w:p w14:paraId="010477AF"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27,9</w:t>
            </w:r>
          </w:p>
        </w:tc>
      </w:tr>
      <w:tr w:rsidR="00850A4A" w:rsidRPr="00207D00" w14:paraId="64189E50" w14:textId="77777777" w:rsidTr="00D563AA">
        <w:trPr>
          <w:trHeight w:val="300"/>
          <w:jc w:val="center"/>
        </w:trPr>
        <w:tc>
          <w:tcPr>
            <w:tcW w:w="4796" w:type="dxa"/>
            <w:tcBorders>
              <w:top w:val="nil"/>
              <w:left w:val="nil"/>
              <w:bottom w:val="nil"/>
              <w:right w:val="nil"/>
            </w:tcBorders>
            <w:shd w:val="clear" w:color="auto" w:fill="FFFFFF"/>
            <w:noWrap/>
            <w:hideMark/>
          </w:tcPr>
          <w:p w14:paraId="2110A8A6" w14:textId="58030275"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computer, electronic and optical products</w:t>
            </w:r>
          </w:p>
        </w:tc>
        <w:tc>
          <w:tcPr>
            <w:tcW w:w="844" w:type="dxa"/>
            <w:tcBorders>
              <w:top w:val="nil"/>
              <w:left w:val="nil"/>
              <w:bottom w:val="nil"/>
              <w:right w:val="nil"/>
            </w:tcBorders>
            <w:hideMark/>
          </w:tcPr>
          <w:p w14:paraId="1722A26A"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4,9</w:t>
            </w:r>
          </w:p>
        </w:tc>
        <w:tc>
          <w:tcPr>
            <w:tcW w:w="845" w:type="dxa"/>
            <w:tcBorders>
              <w:top w:val="nil"/>
              <w:left w:val="nil"/>
              <w:bottom w:val="nil"/>
              <w:right w:val="nil"/>
            </w:tcBorders>
            <w:hideMark/>
          </w:tcPr>
          <w:p w14:paraId="26BD7DE2"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-2,1</w:t>
            </w:r>
          </w:p>
        </w:tc>
        <w:tc>
          <w:tcPr>
            <w:tcW w:w="891" w:type="dxa"/>
            <w:tcBorders>
              <w:top w:val="nil"/>
              <w:left w:val="nil"/>
              <w:bottom w:val="nil"/>
              <w:right w:val="nil"/>
            </w:tcBorders>
            <w:hideMark/>
          </w:tcPr>
          <w:p w14:paraId="4E93203A"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-1,8</w:t>
            </w:r>
          </w:p>
        </w:tc>
        <w:tc>
          <w:tcPr>
            <w:tcW w:w="802" w:type="dxa"/>
            <w:tcBorders>
              <w:top w:val="nil"/>
              <w:left w:val="nil"/>
              <w:bottom w:val="nil"/>
              <w:right w:val="nil"/>
            </w:tcBorders>
            <w:hideMark/>
          </w:tcPr>
          <w:p w14:paraId="7D484073"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10,1</w:t>
            </w:r>
          </w:p>
        </w:tc>
        <w:tc>
          <w:tcPr>
            <w:tcW w:w="845" w:type="dxa"/>
            <w:tcBorders>
              <w:top w:val="nil"/>
              <w:left w:val="nil"/>
              <w:bottom w:val="nil"/>
              <w:right w:val="nil"/>
            </w:tcBorders>
            <w:hideMark/>
          </w:tcPr>
          <w:p w14:paraId="57DD692C"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8,0</w:t>
            </w:r>
          </w:p>
        </w:tc>
      </w:tr>
      <w:tr w:rsidR="00850A4A" w:rsidRPr="00207D00" w14:paraId="1B65A011" w14:textId="77777777" w:rsidTr="00D563AA">
        <w:trPr>
          <w:trHeight w:val="300"/>
          <w:jc w:val="center"/>
        </w:trPr>
        <w:tc>
          <w:tcPr>
            <w:tcW w:w="4796" w:type="dxa"/>
            <w:tcBorders>
              <w:top w:val="nil"/>
              <w:left w:val="nil"/>
              <w:bottom w:val="nil"/>
              <w:right w:val="nil"/>
            </w:tcBorders>
            <w:shd w:val="clear" w:color="auto" w:fill="FFFFFF"/>
            <w:noWrap/>
            <w:hideMark/>
          </w:tcPr>
          <w:p w14:paraId="1F7E6165" w14:textId="62F27311" w:rsidR="00850A4A" w:rsidRPr="00207D00" w:rsidRDefault="00EF5431" w:rsidP="008C34F4">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motor vehicles</w:t>
            </w:r>
          </w:p>
        </w:tc>
        <w:tc>
          <w:tcPr>
            <w:tcW w:w="844" w:type="dxa"/>
            <w:tcBorders>
              <w:top w:val="nil"/>
              <w:left w:val="nil"/>
              <w:bottom w:val="nil"/>
              <w:right w:val="nil"/>
            </w:tcBorders>
            <w:hideMark/>
          </w:tcPr>
          <w:p w14:paraId="4E6B1C9C"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7,0</w:t>
            </w:r>
          </w:p>
        </w:tc>
        <w:tc>
          <w:tcPr>
            <w:tcW w:w="845" w:type="dxa"/>
            <w:tcBorders>
              <w:top w:val="nil"/>
              <w:left w:val="nil"/>
              <w:bottom w:val="nil"/>
              <w:right w:val="nil"/>
            </w:tcBorders>
            <w:hideMark/>
          </w:tcPr>
          <w:p w14:paraId="7E3559FF"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-11,8</w:t>
            </w:r>
          </w:p>
        </w:tc>
        <w:tc>
          <w:tcPr>
            <w:tcW w:w="891" w:type="dxa"/>
            <w:tcBorders>
              <w:top w:val="nil"/>
              <w:left w:val="nil"/>
              <w:bottom w:val="nil"/>
              <w:right w:val="nil"/>
            </w:tcBorders>
            <w:hideMark/>
          </w:tcPr>
          <w:p w14:paraId="5FCA76DC"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1,6</w:t>
            </w:r>
          </w:p>
        </w:tc>
        <w:tc>
          <w:tcPr>
            <w:tcW w:w="802" w:type="dxa"/>
            <w:tcBorders>
              <w:top w:val="nil"/>
              <w:left w:val="nil"/>
              <w:bottom w:val="nil"/>
              <w:right w:val="nil"/>
            </w:tcBorders>
            <w:hideMark/>
          </w:tcPr>
          <w:p w14:paraId="753EAD10"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46,3</w:t>
            </w:r>
          </w:p>
        </w:tc>
        <w:tc>
          <w:tcPr>
            <w:tcW w:w="845" w:type="dxa"/>
            <w:tcBorders>
              <w:top w:val="nil"/>
              <w:left w:val="nil"/>
              <w:bottom w:val="nil"/>
              <w:right w:val="nil"/>
            </w:tcBorders>
            <w:hideMark/>
          </w:tcPr>
          <w:p w14:paraId="0082222C"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20,3</w:t>
            </w:r>
          </w:p>
        </w:tc>
      </w:tr>
      <w:tr w:rsidR="00850A4A" w:rsidRPr="00207D00" w14:paraId="1C61DAB5" w14:textId="77777777" w:rsidTr="00D563AA">
        <w:trPr>
          <w:trHeight w:val="300"/>
          <w:jc w:val="center"/>
        </w:trPr>
        <w:tc>
          <w:tcPr>
            <w:tcW w:w="4796" w:type="dxa"/>
            <w:tcBorders>
              <w:top w:val="nil"/>
              <w:left w:val="nil"/>
              <w:bottom w:val="nil"/>
              <w:right w:val="nil"/>
            </w:tcBorders>
            <w:shd w:val="clear" w:color="auto" w:fill="FFFFFF"/>
            <w:noWrap/>
            <w:hideMark/>
          </w:tcPr>
          <w:p w14:paraId="24BA7ADB" w14:textId="5198EF8C"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other transport equipment</w:t>
            </w:r>
          </w:p>
        </w:tc>
        <w:tc>
          <w:tcPr>
            <w:tcW w:w="844" w:type="dxa"/>
            <w:tcBorders>
              <w:top w:val="nil"/>
              <w:left w:val="nil"/>
              <w:bottom w:val="nil"/>
              <w:right w:val="nil"/>
            </w:tcBorders>
            <w:hideMark/>
          </w:tcPr>
          <w:p w14:paraId="2107D7E6"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8,3</w:t>
            </w:r>
          </w:p>
        </w:tc>
        <w:tc>
          <w:tcPr>
            <w:tcW w:w="845" w:type="dxa"/>
            <w:tcBorders>
              <w:top w:val="nil"/>
              <w:left w:val="nil"/>
              <w:bottom w:val="nil"/>
              <w:right w:val="nil"/>
            </w:tcBorders>
            <w:hideMark/>
          </w:tcPr>
          <w:p w14:paraId="44F25474"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-10,0</w:t>
            </w:r>
          </w:p>
        </w:tc>
        <w:tc>
          <w:tcPr>
            <w:tcW w:w="891" w:type="dxa"/>
            <w:tcBorders>
              <w:top w:val="nil"/>
              <w:left w:val="nil"/>
              <w:bottom w:val="nil"/>
              <w:right w:val="nil"/>
            </w:tcBorders>
            <w:hideMark/>
          </w:tcPr>
          <w:p w14:paraId="1F9EC9AF"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-6,9</w:t>
            </w:r>
          </w:p>
        </w:tc>
        <w:tc>
          <w:tcPr>
            <w:tcW w:w="802" w:type="dxa"/>
            <w:tcBorders>
              <w:top w:val="nil"/>
              <w:left w:val="nil"/>
              <w:bottom w:val="nil"/>
              <w:right w:val="nil"/>
            </w:tcBorders>
            <w:hideMark/>
          </w:tcPr>
          <w:p w14:paraId="29AC1126"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12,9</w:t>
            </w:r>
          </w:p>
        </w:tc>
        <w:tc>
          <w:tcPr>
            <w:tcW w:w="845" w:type="dxa"/>
            <w:tcBorders>
              <w:top w:val="nil"/>
              <w:left w:val="nil"/>
              <w:bottom w:val="nil"/>
              <w:right w:val="nil"/>
            </w:tcBorders>
            <w:hideMark/>
          </w:tcPr>
          <w:p w14:paraId="491A98B9"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-2,7</w:t>
            </w:r>
          </w:p>
        </w:tc>
      </w:tr>
      <w:tr w:rsidR="00850A4A" w:rsidRPr="00207D00" w14:paraId="22AC650F" w14:textId="77777777" w:rsidTr="00D563AA">
        <w:trPr>
          <w:trHeight w:val="300"/>
          <w:jc w:val="center"/>
        </w:trPr>
        <w:tc>
          <w:tcPr>
            <w:tcW w:w="4796" w:type="dxa"/>
            <w:tcBorders>
              <w:top w:val="nil"/>
              <w:left w:val="nil"/>
              <w:bottom w:val="single" w:sz="4" w:space="0" w:color="auto"/>
              <w:right w:val="nil"/>
            </w:tcBorders>
            <w:shd w:val="clear" w:color="auto" w:fill="FFFFFF"/>
            <w:noWrap/>
            <w:hideMark/>
          </w:tcPr>
          <w:p w14:paraId="71102200" w14:textId="49478EFB" w:rsidR="00850A4A" w:rsidRPr="00207D00" w:rsidRDefault="00EF5431" w:rsidP="00D563AA">
            <w:pPr>
              <w:rPr>
                <w:rFonts w:ascii="Arial" w:hAnsi="Arial" w:cs="Arial"/>
                <w:sz w:val="20"/>
                <w:szCs w:val="20"/>
              </w:rPr>
            </w:pPr>
            <w:r w:rsidRPr="00207D00">
              <w:rPr>
                <w:rFonts w:ascii="Arial" w:hAnsi="Arial" w:cs="Arial"/>
                <w:sz w:val="20"/>
                <w:szCs w:val="20"/>
              </w:rPr>
              <w:t xml:space="preserve">Manufacture </w:t>
            </w:r>
            <w:r w:rsidR="00850A4A" w:rsidRPr="00207D00">
              <w:rPr>
                <w:rFonts w:ascii="Arial" w:hAnsi="Arial" w:cs="Arial"/>
                <w:sz w:val="20"/>
                <w:szCs w:val="20"/>
              </w:rPr>
              <w:t>of furniture</w:t>
            </w:r>
          </w:p>
        </w:tc>
        <w:tc>
          <w:tcPr>
            <w:tcW w:w="844" w:type="dxa"/>
            <w:tcBorders>
              <w:top w:val="nil"/>
              <w:left w:val="nil"/>
              <w:bottom w:val="single" w:sz="4" w:space="0" w:color="auto"/>
              <w:right w:val="nil"/>
            </w:tcBorders>
            <w:hideMark/>
          </w:tcPr>
          <w:p w14:paraId="12F54873"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1,5</w:t>
            </w:r>
          </w:p>
        </w:tc>
        <w:tc>
          <w:tcPr>
            <w:tcW w:w="845" w:type="dxa"/>
            <w:tcBorders>
              <w:top w:val="nil"/>
              <w:left w:val="nil"/>
              <w:bottom w:val="single" w:sz="4" w:space="0" w:color="auto"/>
              <w:right w:val="nil"/>
            </w:tcBorders>
            <w:hideMark/>
          </w:tcPr>
          <w:p w14:paraId="66E90D5C"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-9,1</w:t>
            </w:r>
          </w:p>
        </w:tc>
        <w:tc>
          <w:tcPr>
            <w:tcW w:w="891" w:type="dxa"/>
            <w:tcBorders>
              <w:top w:val="nil"/>
              <w:left w:val="nil"/>
              <w:bottom w:val="single" w:sz="4" w:space="0" w:color="auto"/>
              <w:right w:val="nil"/>
            </w:tcBorders>
            <w:hideMark/>
          </w:tcPr>
          <w:p w14:paraId="15B27B5C"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20,4</w:t>
            </w:r>
          </w:p>
        </w:tc>
        <w:tc>
          <w:tcPr>
            <w:tcW w:w="802" w:type="dxa"/>
            <w:tcBorders>
              <w:top w:val="nil"/>
              <w:left w:val="nil"/>
              <w:bottom w:val="single" w:sz="4" w:space="0" w:color="auto"/>
              <w:right w:val="nil"/>
            </w:tcBorders>
            <w:hideMark/>
          </w:tcPr>
          <w:p w14:paraId="7B333257"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14,7</w:t>
            </w:r>
          </w:p>
        </w:tc>
        <w:tc>
          <w:tcPr>
            <w:tcW w:w="845" w:type="dxa"/>
            <w:tcBorders>
              <w:top w:val="nil"/>
              <w:left w:val="nil"/>
              <w:bottom w:val="single" w:sz="4" w:space="0" w:color="auto"/>
              <w:right w:val="nil"/>
            </w:tcBorders>
            <w:hideMark/>
          </w:tcPr>
          <w:p w14:paraId="761F1D1A" w14:textId="77777777" w:rsidR="00850A4A" w:rsidRPr="00207D00" w:rsidRDefault="00850A4A" w:rsidP="00D563AA">
            <w:pPr>
              <w:jc w:val="right"/>
              <w:rPr>
                <w:rFonts w:ascii="Arial" w:hAnsi="Arial" w:cs="Arial"/>
                <w:sz w:val="20"/>
                <w:szCs w:val="20"/>
              </w:rPr>
            </w:pPr>
            <w:r w:rsidRPr="00207D00">
              <w:rPr>
                <w:rFonts w:ascii="Arial" w:hAnsi="Arial" w:cs="Arial"/>
                <w:sz w:val="20"/>
                <w:szCs w:val="20"/>
              </w:rPr>
              <w:t>10,2</w:t>
            </w:r>
          </w:p>
        </w:tc>
      </w:tr>
    </w:tbl>
    <w:p w14:paraId="4AADB89B" w14:textId="0A353AE1" w:rsidR="00850A4A" w:rsidRPr="00207D00" w:rsidRDefault="00D563AA" w:rsidP="00850A4A">
      <w:pPr>
        <w:shd w:val="clear" w:color="auto" w:fill="FFFFFF"/>
        <w:spacing w:before="120" w:after="120" w:line="264" w:lineRule="auto"/>
        <w:ind w:firstLine="720"/>
        <w:jc w:val="both"/>
      </w:pPr>
      <w:r w:rsidRPr="00D563AA">
        <w:t xml:space="preserve">The IIP </w:t>
      </w:r>
      <w:r>
        <w:t>i</w:t>
      </w:r>
      <w:r w:rsidRPr="00D563AA">
        <w:t xml:space="preserve">n </w:t>
      </w:r>
      <w:r w:rsidR="00850A4A" w:rsidRPr="00D563AA">
        <w:t>the first 2 months of 2026 experienced a year-on-year increase in all 34 provinces and municipalities</w:t>
      </w:r>
      <w:r w:rsidR="00850A4A" w:rsidRPr="00207D00">
        <w:t>. Several provinces saw a fairly high growth rate in the IIP thanks to the manufacturing and the surge in the electricity supply</w:t>
      </w:r>
      <w:r w:rsidR="00850A4A" w:rsidRPr="00207D00">
        <w:rPr>
          <w:rFonts w:eastAsia="DengXian Light"/>
          <w:vertAlign w:val="superscript"/>
        </w:rPr>
        <w:footnoteReference w:id="7"/>
      </w:r>
      <w:r w:rsidR="00850A4A" w:rsidRPr="00207D00">
        <w:t xml:space="preserve">. Conversely, the IIP in several provinces and municipalities nudged up due to </w:t>
      </w:r>
      <w:r w:rsidR="00D36007">
        <w:t>s</w:t>
      </w:r>
      <w:r w:rsidR="00850A4A" w:rsidRPr="00207D00">
        <w:t>low growth or decrease in the manufacturing, the mining and quarrying, and the electricity supply</w:t>
      </w:r>
      <w:r w:rsidR="00850A4A" w:rsidRPr="00207D00">
        <w:rPr>
          <w:rFonts w:eastAsia="DengXian Light"/>
          <w:vertAlign w:val="superscript"/>
        </w:rPr>
        <w:footnoteReference w:id="8"/>
      </w:r>
      <w:r w:rsidR="00850A4A" w:rsidRPr="00207D00">
        <w:t xml:space="preserve">.  </w:t>
      </w:r>
    </w:p>
    <w:p w14:paraId="058FE914" w14:textId="76AF5EC9" w:rsidR="00850A4A" w:rsidRPr="00207D00" w:rsidRDefault="00850A4A" w:rsidP="00850A4A">
      <w:pPr>
        <w:shd w:val="clear" w:color="auto" w:fill="FFFFFF"/>
        <w:jc w:val="center"/>
        <w:rPr>
          <w:rFonts w:ascii="Arial" w:hAnsi="Arial" w:cs="Arial"/>
          <w:b/>
          <w:bCs/>
          <w:sz w:val="24"/>
          <w:szCs w:val="24"/>
        </w:rPr>
      </w:pPr>
      <w:r w:rsidRPr="00207D00">
        <w:rPr>
          <w:rFonts w:ascii="Arial" w:hAnsi="Arial"/>
          <w:b/>
          <w:sz w:val="24"/>
        </w:rPr>
        <w:t xml:space="preserve">Figure 4. Year-on-year IIP growth rate for some localities </w:t>
      </w:r>
      <w:r w:rsidRPr="00207D00">
        <w:rPr>
          <w:rFonts w:ascii="Arial" w:hAnsi="Arial"/>
          <w:b/>
          <w:sz w:val="24"/>
        </w:rPr>
        <w:br/>
        <w:t>(</w:t>
      </w:r>
      <w:r w:rsidR="00D36007">
        <w:rPr>
          <w:rFonts w:ascii="Arial" w:hAnsi="Arial"/>
          <w:b/>
          <w:sz w:val="24"/>
        </w:rPr>
        <w:t xml:space="preserve">in the first </w:t>
      </w:r>
      <w:r w:rsidRPr="00207D00">
        <w:rPr>
          <w:rFonts w:ascii="Arial" w:hAnsi="Arial"/>
          <w:b/>
          <w:sz w:val="24"/>
        </w:rPr>
        <w:t>2</w:t>
      </w:r>
      <w:r w:rsidR="00D36007">
        <w:rPr>
          <w:rFonts w:ascii="Arial" w:hAnsi="Arial"/>
          <w:b/>
          <w:sz w:val="24"/>
        </w:rPr>
        <w:t xml:space="preserve"> </w:t>
      </w:r>
      <w:r w:rsidRPr="00207D00">
        <w:rPr>
          <w:rFonts w:ascii="Arial" w:hAnsi="Arial"/>
          <w:b/>
          <w:sz w:val="24"/>
        </w:rPr>
        <w:t>month</w:t>
      </w:r>
      <w:r w:rsidR="00D36007">
        <w:rPr>
          <w:rFonts w:ascii="Arial" w:hAnsi="Arial"/>
          <w:b/>
          <w:sz w:val="24"/>
        </w:rPr>
        <w:t>s</w:t>
      </w:r>
      <w:r w:rsidRPr="00207D00">
        <w:rPr>
          <w:rFonts w:ascii="Arial" w:hAnsi="Arial"/>
          <w:b/>
          <w:sz w:val="24"/>
        </w:rPr>
        <w:t>, 2026) (%)</w:t>
      </w:r>
    </w:p>
    <w:p w14:paraId="7CED64C7" w14:textId="77777777" w:rsidR="00850A4A" w:rsidRPr="00207D00" w:rsidRDefault="00850A4A" w:rsidP="00850A4A">
      <w:pPr>
        <w:shd w:val="clear" w:color="auto" w:fill="FFFFFF"/>
        <w:jc w:val="center"/>
        <w:rPr>
          <w:rFonts w:ascii="Arial" w:hAnsi="Arial" w:cs="Arial"/>
          <w:b/>
          <w:bCs/>
          <w:sz w:val="24"/>
          <w:szCs w:val="24"/>
        </w:rPr>
      </w:pPr>
    </w:p>
    <w:p w14:paraId="3A400F31" w14:textId="77777777" w:rsidR="00850A4A" w:rsidRPr="00207D00" w:rsidRDefault="00850A4A" w:rsidP="00850A4A">
      <w:pPr>
        <w:shd w:val="clear" w:color="auto" w:fill="FFFFFF"/>
        <w:jc w:val="center"/>
        <w:rPr>
          <w:rFonts w:ascii="Arial" w:hAnsi="Arial" w:cs="Arial"/>
          <w:b/>
          <w:bCs/>
          <w:sz w:val="14"/>
          <w:szCs w:val="14"/>
        </w:rPr>
      </w:pPr>
    </w:p>
    <w:tbl>
      <w:tblPr>
        <w:tblStyle w:val="TableGrid"/>
        <w:tblW w:w="93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9"/>
        <w:gridCol w:w="4427"/>
      </w:tblGrid>
      <w:tr w:rsidR="00850A4A" w:rsidRPr="00207D00" w14:paraId="5C1B94AD" w14:textId="77777777" w:rsidTr="00D563AA">
        <w:trPr>
          <w:trHeight w:val="3400"/>
          <w:jc w:val="center"/>
        </w:trPr>
        <w:tc>
          <w:tcPr>
            <w:tcW w:w="4806" w:type="dxa"/>
            <w:hideMark/>
          </w:tcPr>
          <w:p w14:paraId="4693B007" w14:textId="77777777" w:rsidR="00850A4A" w:rsidRPr="00207D00" w:rsidRDefault="00850A4A" w:rsidP="00D563AA">
            <w:pPr>
              <w:jc w:val="center"/>
              <w:rPr>
                <w:rFonts w:ascii="Arial" w:hAnsi="Arial" w:cs="Arial"/>
                <w:b/>
                <w:bCs/>
                <w:sz w:val="18"/>
                <w:szCs w:val="18"/>
                <w:lang w:val="en-US"/>
              </w:rPr>
            </w:pPr>
            <w:r w:rsidRPr="00207D00">
              <w:rPr>
                <w:rFonts w:ascii="Arial" w:hAnsi="Arial"/>
                <w:b/>
                <w:sz w:val="18"/>
                <w:lang w:val="en-US"/>
              </w:rPr>
              <w:lastRenderedPageBreak/>
              <w:t>Top 10 localities by IIP growth rate</w:t>
            </w:r>
          </w:p>
          <w:p w14:paraId="2AD4E598" w14:textId="77777777" w:rsidR="00850A4A" w:rsidRPr="00207D00" w:rsidRDefault="00850A4A" w:rsidP="00D563AA">
            <w:pPr>
              <w:jc w:val="center"/>
              <w:rPr>
                <w:rFonts w:ascii="Arial" w:hAnsi="Arial" w:cs="Arial"/>
                <w:b/>
                <w:bCs/>
                <w:sz w:val="24"/>
                <w:szCs w:val="24"/>
                <w:lang w:val="en-US"/>
              </w:rPr>
            </w:pPr>
            <w:r w:rsidRPr="00207D00">
              <w:rPr>
                <w:rFonts w:ascii="Arial" w:hAnsi="Arial" w:cs="Arial"/>
                <w:b/>
                <w:bCs/>
                <w:noProof/>
                <w:sz w:val="24"/>
                <w:szCs w:val="24"/>
              </w:rPr>
              <w:drawing>
                <wp:inline distT="0" distB="0" distL="0" distR="0" wp14:anchorId="5B29F72B" wp14:editId="73FC20D5">
                  <wp:extent cx="3113631" cy="17811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6-03-09 100649.png"/>
                          <pic:cNvPicPr/>
                        </pic:nvPicPr>
                        <pic:blipFill>
                          <a:blip r:embed="rId11">
                            <a:extLst>
                              <a:ext uri="{28A0092B-C50C-407E-A947-70E740481C1C}">
                                <a14:useLocalDpi xmlns:a14="http://schemas.microsoft.com/office/drawing/2010/main" val="0"/>
                              </a:ext>
                            </a:extLst>
                          </a:blip>
                          <a:stretch>
                            <a:fillRect/>
                          </a:stretch>
                        </pic:blipFill>
                        <pic:spPr>
                          <a:xfrm>
                            <a:off x="0" y="0"/>
                            <a:ext cx="3143516" cy="1798271"/>
                          </a:xfrm>
                          <a:prstGeom prst="rect">
                            <a:avLst/>
                          </a:prstGeom>
                        </pic:spPr>
                      </pic:pic>
                    </a:graphicData>
                  </a:graphic>
                </wp:inline>
              </w:drawing>
            </w:r>
          </w:p>
        </w:tc>
        <w:tc>
          <w:tcPr>
            <w:tcW w:w="4523" w:type="dxa"/>
            <w:hideMark/>
          </w:tcPr>
          <w:p w14:paraId="4478C505" w14:textId="77777777" w:rsidR="00850A4A" w:rsidRPr="00207D00" w:rsidRDefault="00850A4A" w:rsidP="00D563AA">
            <w:pPr>
              <w:jc w:val="center"/>
              <w:rPr>
                <w:rFonts w:ascii="Arial" w:hAnsi="Arial" w:cs="Arial"/>
                <w:b/>
                <w:bCs/>
                <w:spacing w:val="-4"/>
                <w:sz w:val="18"/>
                <w:szCs w:val="18"/>
                <w:lang w:val="en-US"/>
              </w:rPr>
            </w:pPr>
            <w:r w:rsidRPr="00207D00">
              <w:rPr>
                <w:rFonts w:ascii="Arial" w:hAnsi="Arial"/>
                <w:b/>
                <w:sz w:val="18"/>
                <w:lang w:val="en-US"/>
              </w:rPr>
              <w:t>Bottom 10 localities by IIP growth rate</w:t>
            </w:r>
          </w:p>
          <w:p w14:paraId="682B319F" w14:textId="77777777" w:rsidR="00850A4A" w:rsidRPr="00207D00" w:rsidRDefault="00850A4A" w:rsidP="00D563AA">
            <w:pPr>
              <w:jc w:val="center"/>
              <w:rPr>
                <w:rFonts w:ascii="Arial" w:hAnsi="Arial" w:cs="Arial"/>
                <w:b/>
                <w:bCs/>
                <w:sz w:val="24"/>
                <w:szCs w:val="24"/>
                <w:lang w:val="en-US"/>
              </w:rPr>
            </w:pPr>
            <w:r w:rsidRPr="00207D00">
              <w:rPr>
                <w:rFonts w:ascii="Arial" w:hAnsi="Arial" w:cs="Arial"/>
                <w:b/>
                <w:bCs/>
                <w:noProof/>
                <w:sz w:val="24"/>
                <w:szCs w:val="24"/>
              </w:rPr>
              <w:drawing>
                <wp:inline distT="0" distB="0" distL="0" distR="0" wp14:anchorId="2A848105" wp14:editId="38565730">
                  <wp:extent cx="2673985"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6-03-09 101052.png"/>
                          <pic:cNvPicPr/>
                        </pic:nvPicPr>
                        <pic:blipFill>
                          <a:blip r:embed="rId12">
                            <a:extLst>
                              <a:ext uri="{28A0092B-C50C-407E-A947-70E740481C1C}">
                                <a14:useLocalDpi xmlns:a14="http://schemas.microsoft.com/office/drawing/2010/main" val="0"/>
                              </a:ext>
                            </a:extLst>
                          </a:blip>
                          <a:stretch>
                            <a:fillRect/>
                          </a:stretch>
                        </pic:blipFill>
                        <pic:spPr>
                          <a:xfrm>
                            <a:off x="0" y="0"/>
                            <a:ext cx="2696721" cy="1844350"/>
                          </a:xfrm>
                          <a:prstGeom prst="rect">
                            <a:avLst/>
                          </a:prstGeom>
                        </pic:spPr>
                      </pic:pic>
                    </a:graphicData>
                  </a:graphic>
                </wp:inline>
              </w:drawing>
            </w:r>
          </w:p>
        </w:tc>
      </w:tr>
    </w:tbl>
    <w:p w14:paraId="29238A9D" w14:textId="065833B2" w:rsidR="00850A4A" w:rsidRPr="00207D00" w:rsidRDefault="00850A4A" w:rsidP="00850A4A">
      <w:pPr>
        <w:shd w:val="clear" w:color="auto" w:fill="FFFFFF"/>
        <w:spacing w:after="120" w:line="259" w:lineRule="auto"/>
        <w:ind w:firstLine="720"/>
        <w:jc w:val="both"/>
      </w:pPr>
      <w:r w:rsidRPr="00D36007">
        <w:rPr>
          <w:iCs/>
        </w:rPr>
        <w:t>Several key industrial products</w:t>
      </w:r>
      <w:r w:rsidRPr="00D36007">
        <w:t xml:space="preserve"> </w:t>
      </w:r>
      <w:r w:rsidRPr="00207D00">
        <w:t xml:space="preserve">in the first 2 months in 2026 witnessed year-on-year </w:t>
      </w:r>
      <w:r w:rsidR="00526BD3" w:rsidRPr="00207D00">
        <w:t>increase</w:t>
      </w:r>
      <w:r w:rsidR="00526BD3">
        <w:t xml:space="preserve"> </w:t>
      </w:r>
      <w:r w:rsidR="00526BD3" w:rsidRPr="00207D00">
        <w:t>as</w:t>
      </w:r>
      <w:r w:rsidRPr="00207D00">
        <w:t xml:space="preserve"> follows: Cement </w:t>
      </w:r>
      <w:r w:rsidR="00994DEA">
        <w:t>(+</w:t>
      </w:r>
      <w:r w:rsidRPr="00207D00">
        <w:t>30.5%</w:t>
      </w:r>
      <w:r w:rsidR="00994DEA">
        <w:t>)</w:t>
      </w:r>
      <w:r w:rsidRPr="00207D00">
        <w:t xml:space="preserve">; </w:t>
      </w:r>
      <w:r w:rsidRPr="00207D00">
        <w:rPr>
          <w:color w:val="000000"/>
        </w:rPr>
        <w:t>chemical paint</w:t>
      </w:r>
      <w:r w:rsidRPr="00207D00">
        <w:t xml:space="preserve"> </w:t>
      </w:r>
      <w:r w:rsidR="00994DEA">
        <w:t>(+</w:t>
      </w:r>
      <w:r w:rsidRPr="00207D00">
        <w:t>27.5%</w:t>
      </w:r>
      <w:r w:rsidR="00994DEA">
        <w:t>)</w:t>
      </w:r>
      <w:r w:rsidRPr="00207D00">
        <w:t xml:space="preserve">; steel bar, angle bar </w:t>
      </w:r>
      <w:r w:rsidR="00994DEA">
        <w:t>(+</w:t>
      </w:r>
      <w:r w:rsidRPr="00207D00">
        <w:t>25.7%</w:t>
      </w:r>
      <w:r w:rsidR="00994DEA">
        <w:t>)</w:t>
      </w:r>
      <w:r w:rsidRPr="00207D00">
        <w:t xml:space="preserve">; processed seafood </w:t>
      </w:r>
      <w:r w:rsidR="00994DEA">
        <w:t>(+</w:t>
      </w:r>
      <w:r w:rsidRPr="00207D00">
        <w:t>24.8%</w:t>
      </w:r>
      <w:r w:rsidR="00994DEA">
        <w:t>)</w:t>
      </w:r>
      <w:r w:rsidRPr="00207D00">
        <w:t xml:space="preserve">; </w:t>
      </w:r>
      <w:r w:rsidR="00994DEA" w:rsidRPr="00994DEA">
        <w:t>automobiles</w:t>
      </w:r>
      <w:r w:rsidR="00994DEA" w:rsidRPr="00994DEA" w:rsidDel="00994DEA">
        <w:t xml:space="preserve"> </w:t>
      </w:r>
      <w:r w:rsidR="00994DEA">
        <w:t>(+</w:t>
      </w:r>
      <w:r w:rsidRPr="00207D00">
        <w:t>24.0%</w:t>
      </w:r>
      <w:r w:rsidR="00994DEA">
        <w:t>)</w:t>
      </w:r>
      <w:r w:rsidRPr="00207D00">
        <w:t xml:space="preserve">; motorbike </w:t>
      </w:r>
      <w:r w:rsidR="00994DEA">
        <w:t>(+</w:t>
      </w:r>
      <w:r w:rsidRPr="00207D00">
        <w:t>22.5%</w:t>
      </w:r>
      <w:r w:rsidR="00994DEA">
        <w:t>)</w:t>
      </w:r>
      <w:r w:rsidRPr="00207D00">
        <w:t xml:space="preserve">; beer </w:t>
      </w:r>
      <w:r w:rsidR="003C1778">
        <w:t>(+</w:t>
      </w:r>
      <w:r w:rsidRPr="00207D00">
        <w:t xml:space="preserve">18.1%; phone components </w:t>
      </w:r>
      <w:r w:rsidR="003C1778">
        <w:t>(+</w:t>
      </w:r>
      <w:r w:rsidRPr="00207D00">
        <w:t>15.4%</w:t>
      </w:r>
      <w:r w:rsidR="003C1778">
        <w:t>)</w:t>
      </w:r>
      <w:r w:rsidRPr="00207D00">
        <w:t xml:space="preserve">. Conversely, some industrial products experienced a year-on-year reduction, </w:t>
      </w:r>
      <w:r w:rsidR="003E59E1">
        <w:t xml:space="preserve">including </w:t>
      </w:r>
      <w:r w:rsidR="003E59E1" w:rsidRPr="00207D00">
        <w:t>u</w:t>
      </w:r>
      <w:r w:rsidRPr="00207D00">
        <w:t>rea fertilizer (</w:t>
      </w:r>
      <w:r w:rsidR="003E59E1">
        <w:t>-</w:t>
      </w:r>
      <w:r w:rsidRPr="00207D00">
        <w:t>16.7%); anthracite (6.1%); mobile phones (</w:t>
      </w:r>
      <w:r w:rsidR="003E59E1">
        <w:t>-</w:t>
      </w:r>
      <w:r w:rsidRPr="00207D00">
        <w:t>4.4%); fabrics from natural yarn (</w:t>
      </w:r>
      <w:r w:rsidR="003E59E1">
        <w:t>-</w:t>
      </w:r>
      <w:r w:rsidRPr="00207D00">
        <w:t>4.2%); NPK fertilizer</w:t>
      </w:r>
      <w:r w:rsidR="003E59E1">
        <w:t>s</w:t>
      </w:r>
      <w:r w:rsidRPr="00207D00">
        <w:t xml:space="preserve"> (</w:t>
      </w:r>
      <w:r w:rsidR="003E59E1">
        <w:t>-</w:t>
      </w:r>
      <w:r w:rsidRPr="00207D00">
        <w:t>3.9%); alumin (</w:t>
      </w:r>
      <w:r w:rsidR="003E59E1">
        <w:t>-</w:t>
      </w:r>
      <w:r w:rsidRPr="00207D00">
        <w:t>0.5%).</w:t>
      </w:r>
    </w:p>
    <w:p w14:paraId="60D0462E" w14:textId="646DF23E" w:rsidR="009379C9" w:rsidRPr="00207D00" w:rsidRDefault="00850A4A" w:rsidP="00850A4A">
      <w:pPr>
        <w:spacing w:after="120" w:line="288" w:lineRule="auto"/>
        <w:ind w:firstLine="720"/>
        <w:jc w:val="both"/>
        <w:rPr>
          <w:b/>
          <w:bCs/>
        </w:rPr>
      </w:pPr>
      <w:r w:rsidRPr="003E59E1">
        <w:rPr>
          <w:iCs/>
        </w:rPr>
        <w:t>The number of employees in industrial enterprises</w:t>
      </w:r>
      <w:r w:rsidRPr="003E59E1">
        <w:t xml:space="preserve"> as of February 1</w:t>
      </w:r>
      <w:r w:rsidR="003E59E1" w:rsidRPr="00A370C9">
        <w:rPr>
          <w:vertAlign w:val="superscript"/>
        </w:rPr>
        <w:t>st</w:t>
      </w:r>
      <w:r w:rsidRPr="003E59E1">
        <w:t>, 2026</w:t>
      </w:r>
      <w:r w:rsidRPr="00207D00">
        <w:t xml:space="preserve"> saw a month-on-month growth of 0.2% and year-on-year increase of 4.0%. Among them, the number of employees in the state-owned enterprises saw a 0.1% month-on-month decrease and 3.0% year-over-year decrease; the non-state enterprises increased by 0.2% and decreased by 0.2%, respectively; while the FDI enterprises rose by 0.3% and 5.9%, respectively. By kind of economic activity, the number of employees in the mining was unchanged over previous month and saw a year-on-year increase of 1.0%. The manufacturing saw an increase of 0.2% and 4.1%, respectively. The electricity, gas, steam and air conditioning supply was increased by 0.1% month-on-month and saw a year-on-year increase of 2.6%. Meanwhile water supply, sewerage, waste management, and remediation activities recorded a slight </w:t>
      </w:r>
      <w:r w:rsidR="00E47C1D" w:rsidRPr="00207D00">
        <w:t xml:space="preserve">month-on-month </w:t>
      </w:r>
      <w:r w:rsidRPr="00207D00">
        <w:t xml:space="preserve">decrease of 0.1% and </w:t>
      </w:r>
      <w:r w:rsidR="00E47C1D">
        <w:t xml:space="preserve">a </w:t>
      </w:r>
      <w:r w:rsidR="00E47C1D" w:rsidRPr="00207D00">
        <w:t>year-on-year</w:t>
      </w:r>
      <w:r w:rsidR="00E47C1D" w:rsidRPr="00207D00">
        <w:t xml:space="preserve"> </w:t>
      </w:r>
      <w:r w:rsidRPr="00207D00">
        <w:t>increase of 4.3%.</w:t>
      </w:r>
    </w:p>
    <w:p w14:paraId="49F43586" w14:textId="7B579C10" w:rsidR="00ED4876" w:rsidRPr="00207D00" w:rsidRDefault="00ED4876" w:rsidP="00ED4876">
      <w:pPr>
        <w:spacing w:after="120" w:line="264" w:lineRule="auto"/>
        <w:ind w:firstLine="720"/>
        <w:jc w:val="both"/>
        <w:rPr>
          <w:b/>
        </w:rPr>
      </w:pPr>
      <w:r w:rsidRPr="00207D00">
        <w:rPr>
          <w:b/>
          <w:bCs/>
        </w:rPr>
        <w:t xml:space="preserve">3. </w:t>
      </w:r>
      <w:r w:rsidR="00C17636" w:rsidRPr="00207D00">
        <w:rPr>
          <w:b/>
        </w:rPr>
        <w:t>Business registration status</w:t>
      </w:r>
    </w:p>
    <w:p w14:paraId="03966897" w14:textId="32B938D6" w:rsidR="00C17636" w:rsidRPr="00207D00" w:rsidRDefault="00C17636" w:rsidP="00C17636">
      <w:pPr>
        <w:spacing w:after="120" w:line="264" w:lineRule="auto"/>
        <w:ind w:firstLine="720"/>
        <w:jc w:val="both"/>
      </w:pPr>
      <w:bookmarkStart w:id="0" w:name="_Hlk89176061"/>
      <w:r w:rsidRPr="00207D00">
        <w:t xml:space="preserve">In February, the whole country had 11.3 thousand </w:t>
      </w:r>
      <w:r w:rsidRPr="00207D00">
        <w:rPr>
          <w:spacing w:val="-2"/>
        </w:rPr>
        <w:t>newly established enterprises with a registered capital</w:t>
      </w:r>
      <w:r w:rsidRPr="00207D00">
        <w:t xml:space="preserve"> of nearly 132.8 trillion VND and registered employees of nearly 59.4 thousand employees, </w:t>
      </w:r>
      <w:r w:rsidRPr="00207D00">
        <w:rPr>
          <w:spacing w:val="-2"/>
        </w:rPr>
        <w:t xml:space="preserve">a month-on-month </w:t>
      </w:r>
      <w:r w:rsidRPr="00207D00">
        <w:t xml:space="preserve">decrease of 53.2%, 26.6%, </w:t>
      </w:r>
      <w:r w:rsidR="00D95EC0" w:rsidRPr="00207D00">
        <w:t>and 45.1</w:t>
      </w:r>
      <w:r w:rsidRPr="00207D00">
        <w:t xml:space="preserve">% </w:t>
      </w:r>
      <w:r w:rsidRPr="00207D00">
        <w:rPr>
          <w:spacing w:val="-2"/>
        </w:rPr>
        <w:t>in the number of enterprises, in the registered capital</w:t>
      </w:r>
      <w:r w:rsidR="00164564">
        <w:rPr>
          <w:spacing w:val="-2"/>
        </w:rPr>
        <w:t>,</w:t>
      </w:r>
      <w:r w:rsidRPr="00207D00">
        <w:rPr>
          <w:spacing w:val="-2"/>
        </w:rPr>
        <w:t xml:space="preserve"> and in the number of employees, </w:t>
      </w:r>
      <w:r w:rsidRPr="00207D00">
        <w:t xml:space="preserve">respectively. </w:t>
      </w:r>
      <w:r w:rsidRPr="00207D00">
        <w:rPr>
          <w:spacing w:val="-2"/>
        </w:rPr>
        <w:t>In comparison with the same period last year</w:t>
      </w:r>
      <w:r w:rsidRPr="00207D00">
        <w:t xml:space="preserve">, there were an increase of 11.6% in the number of </w:t>
      </w:r>
      <w:r w:rsidRPr="00207D00">
        <w:rPr>
          <w:spacing w:val="-2"/>
        </w:rPr>
        <w:t>enterprises</w:t>
      </w:r>
      <w:r w:rsidRPr="00207D00">
        <w:t xml:space="preserve">, a decrease of 2.6% in registered capital, and an increase of 0.4% in the number of employees. The average registered capital </w:t>
      </w:r>
      <w:r w:rsidRPr="00207D00">
        <w:rPr>
          <w:spacing w:val="-2"/>
        </w:rPr>
        <w:t xml:space="preserve">a newly established enterprises </w:t>
      </w:r>
      <w:r w:rsidRPr="00207D00">
        <w:t xml:space="preserve">in </w:t>
      </w:r>
      <w:r w:rsidRPr="00207D00">
        <w:lastRenderedPageBreak/>
        <w:t xml:space="preserve">February reached 11.7 billion VND, </w:t>
      </w:r>
      <w:r w:rsidRPr="00207D00">
        <w:rPr>
          <w:spacing w:val="-2"/>
        </w:rPr>
        <w:t>a month-on-month</w:t>
      </w:r>
      <w:r w:rsidRPr="00207D00">
        <w:t xml:space="preserve"> increase of 56.9%</w:t>
      </w:r>
      <w:r w:rsidR="00164564">
        <w:t>,</w:t>
      </w:r>
      <w:r w:rsidRPr="00207D00">
        <w:t xml:space="preserve"> and </w:t>
      </w:r>
      <w:r w:rsidRPr="00207D00">
        <w:rPr>
          <w:spacing w:val="-2"/>
          <w:shd w:val="clear" w:color="auto" w:fill="FFFFFF"/>
        </w:rPr>
        <w:t>a year-on-year</w:t>
      </w:r>
      <w:r w:rsidRPr="00207D00">
        <w:t xml:space="preserve"> decrease of 12.8%. In addition, </w:t>
      </w:r>
      <w:r w:rsidRPr="00207D00">
        <w:rPr>
          <w:spacing w:val="-2"/>
        </w:rPr>
        <w:t xml:space="preserve">the country had </w:t>
      </w:r>
      <w:r w:rsidRPr="00207D00">
        <w:t xml:space="preserve">nearly 6.2 thousand </w:t>
      </w:r>
      <w:r w:rsidRPr="00207D00">
        <w:rPr>
          <w:spacing w:val="-2"/>
        </w:rPr>
        <w:t>resumed operation enterprises</w:t>
      </w:r>
      <w:r w:rsidRPr="00207D00">
        <w:t xml:space="preserve">, </w:t>
      </w:r>
      <w:r w:rsidRPr="00207D00">
        <w:rPr>
          <w:spacing w:val="-2"/>
        </w:rPr>
        <w:t>a month-on-month</w:t>
      </w:r>
      <w:r w:rsidRPr="00207D00">
        <w:t xml:space="preserve"> decrease of 74.9%</w:t>
      </w:r>
      <w:r w:rsidR="00164564">
        <w:t>,</w:t>
      </w:r>
      <w:r w:rsidRPr="00207D00">
        <w:t xml:space="preserve"> and </w:t>
      </w:r>
      <w:r w:rsidRPr="00207D00">
        <w:rPr>
          <w:spacing w:val="-2"/>
          <w:shd w:val="clear" w:color="auto" w:fill="FFFFFF"/>
        </w:rPr>
        <w:t>a year-on-year</w:t>
      </w:r>
      <w:r w:rsidRPr="00207D00">
        <w:t xml:space="preserve"> decrease of 12.6%.</w:t>
      </w:r>
    </w:p>
    <w:p w14:paraId="3C371A3C" w14:textId="77777777" w:rsidR="00C17636" w:rsidRPr="00207D00" w:rsidRDefault="00C17636" w:rsidP="00C17636">
      <w:pPr>
        <w:spacing w:after="120" w:line="264" w:lineRule="auto"/>
        <w:ind w:firstLine="720"/>
        <w:jc w:val="both"/>
      </w:pPr>
      <w:r w:rsidRPr="00207D00">
        <w:t xml:space="preserve">In February, there were 4,257 enterprises temporarily suspending </w:t>
      </w:r>
      <w:r w:rsidRPr="00207D00">
        <w:rPr>
          <w:spacing w:val="-2"/>
        </w:rPr>
        <w:t>for a definite time</w:t>
      </w:r>
      <w:r w:rsidRPr="00207D00">
        <w:t xml:space="preserve">, </w:t>
      </w:r>
      <w:r w:rsidRPr="00207D00">
        <w:rPr>
          <w:spacing w:val="-2"/>
        </w:rPr>
        <w:t>a month-on-month</w:t>
      </w:r>
      <w:r w:rsidRPr="00207D00">
        <w:t xml:space="preserve"> decrease of 92.2% and </w:t>
      </w:r>
      <w:r w:rsidRPr="00207D00">
        <w:rPr>
          <w:spacing w:val="-2"/>
          <w:shd w:val="clear" w:color="auto" w:fill="FFFFFF"/>
        </w:rPr>
        <w:t xml:space="preserve">a year-on-year </w:t>
      </w:r>
      <w:r w:rsidRPr="00207D00">
        <w:t>increase of 19.8%; 3,492 enterprises suspended operation waiting for dissolution procedures, a decrease of 52.2% and an increase of 17.5%; and 3,290 enterprises completed procedures for dissolution, a decrease of 28.6% and an increase of 89.4%.</w:t>
      </w:r>
    </w:p>
    <w:p w14:paraId="28F63E2C" w14:textId="5C4111BE" w:rsidR="00C17636" w:rsidRPr="00207D00" w:rsidRDefault="00C17636" w:rsidP="00C17636">
      <w:pPr>
        <w:spacing w:after="120" w:line="264" w:lineRule="auto"/>
        <w:ind w:firstLine="720"/>
        <w:jc w:val="both"/>
        <w:rPr>
          <w:spacing w:val="-4"/>
        </w:rPr>
      </w:pPr>
      <w:r w:rsidRPr="00207D00">
        <w:rPr>
          <w:spacing w:val="-4"/>
        </w:rPr>
        <w:t xml:space="preserve">In the first two months of 2026, </w:t>
      </w:r>
      <w:r w:rsidRPr="00207D00">
        <w:rPr>
          <w:spacing w:val="-2"/>
        </w:rPr>
        <w:t xml:space="preserve">the whole country had </w:t>
      </w:r>
      <w:r w:rsidRPr="00207D00">
        <w:rPr>
          <w:spacing w:val="-4"/>
        </w:rPr>
        <w:t xml:space="preserve">nearly 35.5 thousand </w:t>
      </w:r>
      <w:r w:rsidRPr="00207D00">
        <w:rPr>
          <w:spacing w:val="-2"/>
        </w:rPr>
        <w:t xml:space="preserve">newly </w:t>
      </w:r>
      <w:r w:rsidRPr="00207D00">
        <w:rPr>
          <w:spacing w:val="-4"/>
        </w:rPr>
        <w:t>registered</w:t>
      </w:r>
      <w:r w:rsidRPr="00207D00">
        <w:rPr>
          <w:spacing w:val="-2"/>
        </w:rPr>
        <w:t xml:space="preserve"> enterprises with a registered capital </w:t>
      </w:r>
      <w:r w:rsidRPr="00207D00">
        <w:rPr>
          <w:spacing w:val="-4"/>
        </w:rPr>
        <w:t>of nearly 313.7 trillion VND</w:t>
      </w:r>
      <w:r w:rsidR="00164564">
        <w:rPr>
          <w:spacing w:val="-4"/>
        </w:rPr>
        <w:t>,</w:t>
      </w:r>
      <w:r w:rsidRPr="00207D00">
        <w:rPr>
          <w:spacing w:val="-4"/>
        </w:rPr>
        <w:t xml:space="preserve"> and a </w:t>
      </w:r>
      <w:r w:rsidR="00A370C9" w:rsidRPr="00207D00">
        <w:rPr>
          <w:spacing w:val="-4"/>
        </w:rPr>
        <w:t xml:space="preserve">total registered </w:t>
      </w:r>
      <w:r w:rsidR="00A370C9" w:rsidRPr="00207D00">
        <w:rPr>
          <w:spacing w:val="-2"/>
        </w:rPr>
        <w:t>employee of over 167.5 thousand employees</w:t>
      </w:r>
      <w:r w:rsidRPr="00207D00">
        <w:rPr>
          <w:spacing w:val="-4"/>
        </w:rPr>
        <w:t xml:space="preserve">, </w:t>
      </w:r>
      <w:r w:rsidRPr="00207D00">
        <w:rPr>
          <w:spacing w:val="-2"/>
        </w:rPr>
        <w:t>a year-on-year</w:t>
      </w:r>
      <w:r w:rsidRPr="00207D00">
        <w:rPr>
          <w:spacing w:val="-4"/>
        </w:rPr>
        <w:t xml:space="preserve"> increase of 70.7%, 36.1% 19.1% </w:t>
      </w:r>
      <w:r w:rsidRPr="00207D00">
        <w:rPr>
          <w:spacing w:val="-2"/>
        </w:rPr>
        <w:t>in the number of enterprises, in the registered capital</w:t>
      </w:r>
      <w:r w:rsidR="00164564">
        <w:rPr>
          <w:spacing w:val="-2"/>
        </w:rPr>
        <w:t>,</w:t>
      </w:r>
      <w:r w:rsidRPr="00207D00">
        <w:rPr>
          <w:spacing w:val="-2"/>
        </w:rPr>
        <w:t xml:space="preserve"> and in the number of employees, </w:t>
      </w:r>
      <w:r w:rsidRPr="00207D00">
        <w:t>respectively</w:t>
      </w:r>
      <w:r w:rsidRPr="00207D00">
        <w:rPr>
          <w:spacing w:val="-4"/>
        </w:rPr>
        <w:t xml:space="preserve">. The average registered capital </w:t>
      </w:r>
      <w:r w:rsidRPr="00207D00">
        <w:rPr>
          <w:spacing w:val="-2"/>
        </w:rPr>
        <w:t>of a newly established enterprises</w:t>
      </w:r>
      <w:r w:rsidRPr="00207D00" w:rsidDel="00BC27B5">
        <w:rPr>
          <w:spacing w:val="-4"/>
        </w:rPr>
        <w:t xml:space="preserve"> </w:t>
      </w:r>
      <w:r w:rsidRPr="00207D00">
        <w:rPr>
          <w:spacing w:val="-4"/>
        </w:rPr>
        <w:t xml:space="preserve">in the first two months of 2026 reached 8.8 billion VND, </w:t>
      </w:r>
      <w:r w:rsidRPr="00207D00">
        <w:rPr>
          <w:spacing w:val="-2"/>
        </w:rPr>
        <w:t xml:space="preserve">a year-on-year </w:t>
      </w:r>
      <w:r w:rsidRPr="00207D00">
        <w:rPr>
          <w:spacing w:val="-4"/>
        </w:rPr>
        <w:t xml:space="preserve">decrease of 20.3%. The total </w:t>
      </w:r>
      <w:r w:rsidRPr="00207D00">
        <w:rPr>
          <w:spacing w:val="-2"/>
          <w:shd w:val="clear" w:color="auto" w:fill="FFFFFF"/>
        </w:rPr>
        <w:t xml:space="preserve">registered capital added </w:t>
      </w:r>
      <w:r w:rsidRPr="00207D00">
        <w:rPr>
          <w:spacing w:val="-4"/>
        </w:rPr>
        <w:t xml:space="preserve">to the economy in the two months of 2026 was nearly 851.9 trillion VND, </w:t>
      </w:r>
      <w:r w:rsidRPr="00207D00">
        <w:rPr>
          <w:spacing w:val="-2"/>
        </w:rPr>
        <w:t>a year-on-year</w:t>
      </w:r>
      <w:r w:rsidRPr="00207D00">
        <w:rPr>
          <w:spacing w:val="-4"/>
        </w:rPr>
        <w:t xml:space="preserve"> increase of 20.1%</w:t>
      </w:r>
      <w:r w:rsidRPr="00207D00">
        <w:rPr>
          <w:rStyle w:val="FootnoteReference"/>
          <w:spacing w:val="-4"/>
        </w:rPr>
        <w:footnoteReference w:id="9"/>
      </w:r>
      <w:r w:rsidRPr="00207D00">
        <w:rPr>
          <w:spacing w:val="-4"/>
        </w:rPr>
        <w:t xml:space="preserve">. In addition, </w:t>
      </w:r>
      <w:r w:rsidRPr="00207D00">
        <w:rPr>
          <w:spacing w:val="-2"/>
        </w:rPr>
        <w:t xml:space="preserve">the country had </w:t>
      </w:r>
      <w:r w:rsidRPr="00207D00">
        <w:rPr>
          <w:spacing w:val="-4"/>
        </w:rPr>
        <w:t xml:space="preserve">29 thousand </w:t>
      </w:r>
      <w:r w:rsidRPr="00207D00">
        <w:rPr>
          <w:spacing w:val="-2"/>
        </w:rPr>
        <w:t xml:space="preserve">resumed operation enterprises </w:t>
      </w:r>
      <w:r w:rsidRPr="00207D00">
        <w:rPr>
          <w:spacing w:val="-4"/>
        </w:rPr>
        <w:t>(</w:t>
      </w:r>
      <w:r w:rsidRPr="00207D00">
        <w:rPr>
          <w:spacing w:val="-2"/>
        </w:rPr>
        <w:t>a year-on-year</w:t>
      </w:r>
      <w:r w:rsidRPr="00207D00">
        <w:rPr>
          <w:spacing w:val="-4"/>
        </w:rPr>
        <w:t xml:space="preserve"> decrease of 0.2%), bringing the total number of newly </w:t>
      </w:r>
      <w:r w:rsidRPr="00207D00">
        <w:rPr>
          <w:spacing w:val="-2"/>
        </w:rPr>
        <w:t>established</w:t>
      </w:r>
      <w:r w:rsidRPr="00207D00">
        <w:rPr>
          <w:spacing w:val="-4"/>
        </w:rPr>
        <w:t xml:space="preserve"> and </w:t>
      </w:r>
      <w:r w:rsidRPr="00207D00">
        <w:t>resumed</w:t>
      </w:r>
      <w:r w:rsidRPr="00207D00">
        <w:rPr>
          <w:spacing w:val="-4"/>
        </w:rPr>
        <w:t xml:space="preserve"> operation enterprises in the first two months of 2026 to nearly 64.5 thousand enterprises, </w:t>
      </w:r>
      <w:r w:rsidRPr="00207D00">
        <w:rPr>
          <w:spacing w:val="-2"/>
        </w:rPr>
        <w:t>a year-on-year</w:t>
      </w:r>
      <w:r w:rsidRPr="00207D00">
        <w:rPr>
          <w:spacing w:val="-4"/>
        </w:rPr>
        <w:t xml:space="preserve"> increase of 29.4%. On average, there were 32.2 newly </w:t>
      </w:r>
      <w:r w:rsidRPr="00207D00">
        <w:rPr>
          <w:spacing w:val="-2"/>
        </w:rPr>
        <w:t>established</w:t>
      </w:r>
      <w:r w:rsidRPr="00207D00">
        <w:rPr>
          <w:spacing w:val="-4"/>
        </w:rPr>
        <w:t xml:space="preserve"> and </w:t>
      </w:r>
      <w:r w:rsidRPr="00207D00">
        <w:t>resumed</w:t>
      </w:r>
      <w:r w:rsidRPr="00207D00">
        <w:rPr>
          <w:spacing w:val="-4"/>
        </w:rPr>
        <w:t xml:space="preserve"> operation enterprises per month.</w:t>
      </w:r>
    </w:p>
    <w:p w14:paraId="09BBF7AD" w14:textId="7CA5F91F" w:rsidR="00C17636" w:rsidRPr="00207D00" w:rsidRDefault="00C17636" w:rsidP="00C17636">
      <w:pPr>
        <w:spacing w:after="120" w:line="264" w:lineRule="auto"/>
        <w:ind w:firstLine="720"/>
        <w:jc w:val="both"/>
      </w:pPr>
      <w:r w:rsidRPr="00207D00">
        <w:t xml:space="preserve">By economic sector, in the first two months of 2026, the number of newly </w:t>
      </w:r>
      <w:r w:rsidRPr="00207D00">
        <w:rPr>
          <w:spacing w:val="-2"/>
        </w:rPr>
        <w:t>registered</w:t>
      </w:r>
      <w:r w:rsidRPr="00207D00">
        <w:t xml:space="preserve"> enterprises in the agriculture, forestry and </w:t>
      </w:r>
      <w:r w:rsidR="00B64F0E">
        <w:t>fishing</w:t>
      </w:r>
      <w:r w:rsidR="00B64F0E" w:rsidRPr="00207D00">
        <w:t xml:space="preserve"> </w:t>
      </w:r>
      <w:r w:rsidRPr="00207D00">
        <w:t xml:space="preserve">sector; the industry and construction sector; the service sector reached 440 enterprises, a year-on-year increase of 145.8%; 8,199 </w:t>
      </w:r>
      <w:r w:rsidRPr="00207D00">
        <w:rPr>
          <w:spacing w:val="-4"/>
        </w:rPr>
        <w:t>thousand enterprises</w:t>
      </w:r>
      <w:r w:rsidRPr="00207D00">
        <w:t xml:space="preserve">, a year-on-year increase of 71.5%; and over 26.8 </w:t>
      </w:r>
      <w:r w:rsidRPr="00207D00">
        <w:rPr>
          <w:spacing w:val="-4"/>
        </w:rPr>
        <w:t>thousand enterprises</w:t>
      </w:r>
      <w:r w:rsidRPr="00207D00">
        <w:t xml:space="preserve">, a year-on-year increase of 69.6%, respectively. </w:t>
      </w:r>
    </w:p>
    <w:p w14:paraId="0B196B96" w14:textId="3A5F5941" w:rsidR="00C17636" w:rsidRPr="00207D00" w:rsidRDefault="00C17636" w:rsidP="00C17636">
      <w:pPr>
        <w:spacing w:after="120" w:line="264" w:lineRule="auto"/>
        <w:jc w:val="center"/>
      </w:pPr>
      <w:r w:rsidRPr="00207D00">
        <w:rPr>
          <w:rFonts w:ascii="Arial" w:hAnsi="Arial" w:cs="Arial"/>
          <w:b/>
          <w:sz w:val="24"/>
          <w:szCs w:val="24"/>
        </w:rPr>
        <w:t>Figure 5. Enterprise registration status in the first two months of 2026</w:t>
      </w:r>
      <w:r w:rsidR="00B64F0E">
        <w:rPr>
          <w:rFonts w:ascii="Arial" w:hAnsi="Arial" w:cs="Arial"/>
          <w:b/>
          <w:sz w:val="24"/>
          <w:szCs w:val="24"/>
        </w:rPr>
        <w:t xml:space="preserve"> (Y-o-Y)</w:t>
      </w:r>
    </w:p>
    <w:p w14:paraId="694114C2" w14:textId="77777777" w:rsidR="00C17636" w:rsidRPr="00207D00" w:rsidRDefault="00C17636" w:rsidP="00C17636">
      <w:pPr>
        <w:spacing w:before="100" w:beforeAutospacing="1" w:after="100" w:afterAutospacing="1"/>
        <w:jc w:val="center"/>
        <w:rPr>
          <w:sz w:val="24"/>
          <w:szCs w:val="24"/>
        </w:rPr>
      </w:pPr>
      <w:r w:rsidRPr="00207D00">
        <w:rPr>
          <w:noProof/>
          <w:sz w:val="24"/>
          <w:szCs w:val="24"/>
        </w:rPr>
        <w:lastRenderedPageBreak/>
        <w:drawing>
          <wp:inline distT="0" distB="0" distL="0" distR="0" wp14:anchorId="1A328BFA" wp14:editId="2030A6D3">
            <wp:extent cx="3961189" cy="2074908"/>
            <wp:effectExtent l="0" t="0" r="1270" b="1905"/>
            <wp:docPr id="4" name="Picture 4" descr="H:\6. Bao cao KTXH hang quy\2026\Dich BC KTXH thang 2.2026\6634a9efad15234b7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6. Bao cao KTXH hang quy\2026\Dich BC KTXH thang 2.2026\6634a9efad15234b7a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85804" cy="2140182"/>
                    </a:xfrm>
                    <a:prstGeom prst="rect">
                      <a:avLst/>
                    </a:prstGeom>
                    <a:noFill/>
                    <a:ln>
                      <a:noFill/>
                    </a:ln>
                  </pic:spPr>
                </pic:pic>
              </a:graphicData>
            </a:graphic>
          </wp:inline>
        </w:drawing>
      </w:r>
    </w:p>
    <w:p w14:paraId="00C64A52" w14:textId="77777777" w:rsidR="00C17636" w:rsidRPr="00207D00" w:rsidRDefault="00C17636" w:rsidP="00C17636">
      <w:pPr>
        <w:spacing w:after="120" w:line="264" w:lineRule="auto"/>
        <w:jc w:val="center"/>
        <w:rPr>
          <w:rFonts w:ascii="Arial" w:hAnsi="Arial" w:cs="Arial"/>
          <w:b/>
          <w:sz w:val="24"/>
          <w:szCs w:val="24"/>
        </w:rPr>
      </w:pPr>
    </w:p>
    <w:p w14:paraId="521DD839" w14:textId="77777777" w:rsidR="00C17636" w:rsidRPr="00207D00" w:rsidRDefault="00C17636" w:rsidP="00C17636">
      <w:pPr>
        <w:spacing w:after="120" w:line="288" w:lineRule="auto"/>
        <w:ind w:firstLine="720"/>
        <w:jc w:val="both"/>
      </w:pPr>
      <w:r w:rsidRPr="00207D00">
        <w:t xml:space="preserve">In the first two months of 2026, the number of enterprises temporarily suspending </w:t>
      </w:r>
      <w:r w:rsidRPr="00207D00">
        <w:rPr>
          <w:spacing w:val="-2"/>
        </w:rPr>
        <w:t>for a definite time</w:t>
      </w:r>
      <w:r w:rsidRPr="00207D00">
        <w:t xml:space="preserve"> was nearly 58.5 thousand enterprises, a year-on-year increase of 2.8%; over 10.6 thousand enterprises suspended operation waiting for dissolution procedures, a year-on-year increase of 66.3%; and nearly 7.9 thousand enterprises completed procedures for dissolution, a year-on-year increase of 110.2%. On average, 38.5 thousand enterprises withdrew from the market per month.</w:t>
      </w:r>
    </w:p>
    <w:p w14:paraId="5DFCD188" w14:textId="77777777" w:rsidR="00C17636" w:rsidRPr="00207D00" w:rsidRDefault="00C17636" w:rsidP="00C17636">
      <w:pPr>
        <w:spacing w:after="120" w:line="264" w:lineRule="auto"/>
        <w:jc w:val="center"/>
        <w:rPr>
          <w:rFonts w:ascii="Arial" w:hAnsi="Arial" w:cs="Arial"/>
          <w:b/>
          <w:bCs/>
          <w:sz w:val="24"/>
          <w:szCs w:val="24"/>
        </w:rPr>
      </w:pPr>
      <w:r w:rsidRPr="00207D00">
        <w:rPr>
          <w:rFonts w:ascii="Arial" w:hAnsi="Arial" w:cs="Arial"/>
          <w:b/>
          <w:bCs/>
          <w:sz w:val="24"/>
          <w:szCs w:val="24"/>
        </w:rPr>
        <w:t>Table 2. Newly registered and completely dissolved enterprises</w:t>
      </w:r>
      <w:r w:rsidRPr="00207D00">
        <w:rPr>
          <w:rFonts w:ascii="Arial" w:hAnsi="Arial" w:cs="Arial"/>
          <w:b/>
          <w:bCs/>
          <w:sz w:val="24"/>
          <w:szCs w:val="24"/>
        </w:rPr>
        <w:br/>
        <w:t>in the first 2 months 2026 by kind of economic activity</w:t>
      </w:r>
    </w:p>
    <w:p w14:paraId="46FF3702" w14:textId="77777777" w:rsidR="00C17636" w:rsidRPr="00207D00" w:rsidRDefault="00C17636" w:rsidP="00C17636">
      <w:pPr>
        <w:tabs>
          <w:tab w:val="left" w:pos="6810"/>
        </w:tabs>
        <w:spacing w:after="120" w:line="264" w:lineRule="auto"/>
        <w:ind w:firstLine="567"/>
        <w:jc w:val="center"/>
        <w:rPr>
          <w:rFonts w:ascii="Arial" w:hAnsi="Arial" w:cs="Arial"/>
          <w:b/>
          <w:sz w:val="4"/>
          <w:szCs w:val="20"/>
        </w:rPr>
      </w:pPr>
    </w:p>
    <w:tbl>
      <w:tblPr>
        <w:tblW w:w="9297" w:type="dxa"/>
        <w:jc w:val="center"/>
        <w:tblLook w:val="04A0" w:firstRow="1" w:lastRow="0" w:firstColumn="1" w:lastColumn="0" w:noHBand="0" w:noVBand="1"/>
      </w:tblPr>
      <w:tblGrid>
        <w:gridCol w:w="3996"/>
        <w:gridCol w:w="1585"/>
        <w:gridCol w:w="1228"/>
        <w:gridCol w:w="1525"/>
        <w:gridCol w:w="997"/>
      </w:tblGrid>
      <w:tr w:rsidR="00C17636" w:rsidRPr="00207D00" w14:paraId="68FB3ED2" w14:textId="77777777" w:rsidTr="0038507E">
        <w:trPr>
          <w:cantSplit/>
          <w:trHeight w:val="595"/>
          <w:jc w:val="center"/>
        </w:trPr>
        <w:tc>
          <w:tcPr>
            <w:tcW w:w="3996" w:type="dxa"/>
            <w:vMerge w:val="restart"/>
            <w:tcBorders>
              <w:top w:val="single" w:sz="4" w:space="0" w:color="auto"/>
            </w:tcBorders>
            <w:noWrap/>
            <w:vAlign w:val="bottom"/>
            <w:hideMark/>
          </w:tcPr>
          <w:p w14:paraId="47EE1115" w14:textId="77777777" w:rsidR="00C17636" w:rsidRPr="00207D00" w:rsidRDefault="00C17636" w:rsidP="0038507E">
            <w:pPr>
              <w:jc w:val="center"/>
              <w:rPr>
                <w:rFonts w:ascii="Arial" w:hAnsi="Arial" w:cs="Arial"/>
                <w:sz w:val="20"/>
                <w:szCs w:val="20"/>
              </w:rPr>
            </w:pPr>
            <w:r w:rsidRPr="00207D00">
              <w:rPr>
                <w:rFonts w:ascii="Arial" w:hAnsi="Arial" w:cs="Arial"/>
                <w:sz w:val="20"/>
                <w:szCs w:val="20"/>
              </w:rPr>
              <w:t> </w:t>
            </w:r>
          </w:p>
        </w:tc>
        <w:tc>
          <w:tcPr>
            <w:tcW w:w="2779" w:type="dxa"/>
            <w:gridSpan w:val="2"/>
            <w:tcBorders>
              <w:top w:val="single" w:sz="4" w:space="0" w:color="auto"/>
              <w:bottom w:val="single" w:sz="4" w:space="0" w:color="auto"/>
            </w:tcBorders>
            <w:vAlign w:val="center"/>
            <w:hideMark/>
          </w:tcPr>
          <w:p w14:paraId="131225CD" w14:textId="77777777" w:rsidR="00C17636" w:rsidRPr="00207D00" w:rsidRDefault="00C17636" w:rsidP="0038507E">
            <w:pPr>
              <w:jc w:val="center"/>
              <w:rPr>
                <w:rFonts w:ascii="Arial" w:hAnsi="Arial" w:cs="Arial"/>
                <w:bCs/>
                <w:sz w:val="20"/>
                <w:szCs w:val="20"/>
              </w:rPr>
            </w:pPr>
            <w:r w:rsidRPr="00207D00">
              <w:rPr>
                <w:rFonts w:ascii="Arial" w:hAnsi="Arial" w:cs="Arial"/>
                <w:bCs/>
                <w:sz w:val="20"/>
                <w:szCs w:val="20"/>
              </w:rPr>
              <w:t>Number of enterprises (Enterprises)</w:t>
            </w:r>
          </w:p>
        </w:tc>
        <w:tc>
          <w:tcPr>
            <w:tcW w:w="2522" w:type="dxa"/>
            <w:gridSpan w:val="2"/>
            <w:tcBorders>
              <w:top w:val="single" w:sz="4" w:space="0" w:color="auto"/>
              <w:bottom w:val="single" w:sz="4" w:space="0" w:color="auto"/>
            </w:tcBorders>
            <w:vAlign w:val="center"/>
            <w:hideMark/>
          </w:tcPr>
          <w:p w14:paraId="3A40F4C7" w14:textId="77777777" w:rsidR="00C17636" w:rsidRPr="00207D00" w:rsidRDefault="00C17636" w:rsidP="0038507E">
            <w:pPr>
              <w:jc w:val="center"/>
              <w:rPr>
                <w:rFonts w:ascii="Arial" w:hAnsi="Arial" w:cs="Arial"/>
                <w:bCs/>
                <w:sz w:val="20"/>
                <w:szCs w:val="20"/>
              </w:rPr>
            </w:pPr>
            <w:r w:rsidRPr="00207D00">
              <w:rPr>
                <w:rFonts w:ascii="Arial" w:hAnsi="Arial" w:cs="Arial"/>
                <w:bCs/>
                <w:sz w:val="20"/>
                <w:szCs w:val="20"/>
              </w:rPr>
              <w:t>Y-o-Y growth rate (%)</w:t>
            </w:r>
          </w:p>
        </w:tc>
      </w:tr>
      <w:tr w:rsidR="00C17636" w:rsidRPr="00207D00" w14:paraId="476A17E3" w14:textId="77777777" w:rsidTr="0038507E">
        <w:trPr>
          <w:cantSplit/>
          <w:trHeight w:val="312"/>
          <w:jc w:val="center"/>
        </w:trPr>
        <w:tc>
          <w:tcPr>
            <w:tcW w:w="3996" w:type="dxa"/>
            <w:vMerge/>
            <w:vAlign w:val="center"/>
            <w:hideMark/>
          </w:tcPr>
          <w:p w14:paraId="09A5F7E7" w14:textId="77777777" w:rsidR="00C17636" w:rsidRPr="00207D00" w:rsidRDefault="00C17636" w:rsidP="0038507E">
            <w:pPr>
              <w:rPr>
                <w:rFonts w:ascii="Arial" w:hAnsi="Arial" w:cs="Arial"/>
                <w:sz w:val="20"/>
                <w:szCs w:val="20"/>
              </w:rPr>
            </w:pPr>
          </w:p>
        </w:tc>
        <w:tc>
          <w:tcPr>
            <w:tcW w:w="1585" w:type="dxa"/>
            <w:tcBorders>
              <w:top w:val="single" w:sz="4" w:space="0" w:color="auto"/>
              <w:bottom w:val="single" w:sz="4" w:space="0" w:color="auto"/>
            </w:tcBorders>
            <w:vAlign w:val="center"/>
            <w:hideMark/>
          </w:tcPr>
          <w:p w14:paraId="3F2404D4" w14:textId="77777777" w:rsidR="00C17636" w:rsidRPr="00207D00" w:rsidRDefault="00C17636" w:rsidP="0038507E">
            <w:pPr>
              <w:jc w:val="center"/>
              <w:rPr>
                <w:rFonts w:ascii="Arial" w:hAnsi="Arial" w:cs="Arial"/>
                <w:bCs/>
                <w:sz w:val="20"/>
                <w:szCs w:val="20"/>
              </w:rPr>
            </w:pPr>
            <w:r w:rsidRPr="00207D00">
              <w:rPr>
                <w:rFonts w:ascii="Arial" w:hAnsi="Arial" w:cs="Arial"/>
                <w:bCs/>
                <w:sz w:val="20"/>
                <w:szCs w:val="20"/>
              </w:rPr>
              <w:t>Completely dissolved</w:t>
            </w:r>
          </w:p>
        </w:tc>
        <w:tc>
          <w:tcPr>
            <w:tcW w:w="1194" w:type="dxa"/>
            <w:tcBorders>
              <w:top w:val="single" w:sz="4" w:space="0" w:color="auto"/>
              <w:bottom w:val="single" w:sz="4" w:space="0" w:color="auto"/>
            </w:tcBorders>
            <w:vAlign w:val="center"/>
            <w:hideMark/>
          </w:tcPr>
          <w:p w14:paraId="63D9FD6C" w14:textId="77777777" w:rsidR="00C17636" w:rsidRPr="00207D00" w:rsidRDefault="00C17636" w:rsidP="0038507E">
            <w:pPr>
              <w:jc w:val="center"/>
              <w:rPr>
                <w:rFonts w:ascii="Arial" w:hAnsi="Arial" w:cs="Arial"/>
                <w:bCs/>
                <w:sz w:val="20"/>
                <w:szCs w:val="20"/>
              </w:rPr>
            </w:pPr>
            <w:r w:rsidRPr="00207D00">
              <w:rPr>
                <w:rFonts w:ascii="Arial" w:hAnsi="Arial" w:cs="Arial"/>
                <w:bCs/>
                <w:sz w:val="20"/>
                <w:szCs w:val="20"/>
              </w:rPr>
              <w:t>Newly established</w:t>
            </w:r>
          </w:p>
        </w:tc>
        <w:tc>
          <w:tcPr>
            <w:tcW w:w="1525" w:type="dxa"/>
            <w:tcBorders>
              <w:top w:val="single" w:sz="4" w:space="0" w:color="auto"/>
              <w:bottom w:val="single" w:sz="4" w:space="0" w:color="auto"/>
            </w:tcBorders>
            <w:vAlign w:val="center"/>
            <w:hideMark/>
          </w:tcPr>
          <w:p w14:paraId="3CDC1238" w14:textId="77777777" w:rsidR="00C17636" w:rsidRPr="00207D00" w:rsidRDefault="00C17636" w:rsidP="0038507E">
            <w:pPr>
              <w:jc w:val="center"/>
              <w:rPr>
                <w:rFonts w:ascii="Arial" w:hAnsi="Arial" w:cs="Arial"/>
                <w:bCs/>
                <w:sz w:val="20"/>
                <w:szCs w:val="20"/>
              </w:rPr>
            </w:pPr>
            <w:r w:rsidRPr="00207D00">
              <w:rPr>
                <w:rFonts w:ascii="Arial" w:hAnsi="Arial" w:cs="Arial"/>
                <w:bCs/>
                <w:sz w:val="20"/>
                <w:szCs w:val="20"/>
              </w:rPr>
              <w:t>Completely dissolved</w:t>
            </w:r>
          </w:p>
        </w:tc>
        <w:tc>
          <w:tcPr>
            <w:tcW w:w="997" w:type="dxa"/>
            <w:tcBorders>
              <w:top w:val="single" w:sz="4" w:space="0" w:color="auto"/>
              <w:bottom w:val="single" w:sz="4" w:space="0" w:color="auto"/>
            </w:tcBorders>
            <w:vAlign w:val="center"/>
            <w:hideMark/>
          </w:tcPr>
          <w:p w14:paraId="61B3BD17" w14:textId="77777777" w:rsidR="00C17636" w:rsidRPr="00207D00" w:rsidRDefault="00C17636" w:rsidP="0038507E">
            <w:pPr>
              <w:jc w:val="center"/>
              <w:rPr>
                <w:rFonts w:ascii="Arial" w:hAnsi="Arial" w:cs="Arial"/>
                <w:bCs/>
                <w:sz w:val="20"/>
                <w:szCs w:val="20"/>
              </w:rPr>
            </w:pPr>
            <w:r w:rsidRPr="00207D00">
              <w:rPr>
                <w:rFonts w:ascii="Arial" w:hAnsi="Arial" w:cs="Arial"/>
                <w:bCs/>
                <w:sz w:val="20"/>
                <w:szCs w:val="20"/>
              </w:rPr>
              <w:t>Dissolve</w:t>
            </w:r>
          </w:p>
        </w:tc>
      </w:tr>
      <w:tr w:rsidR="00C17636" w:rsidRPr="00207D00" w14:paraId="002C8BB0" w14:textId="77777777" w:rsidTr="0038507E">
        <w:trPr>
          <w:cantSplit/>
          <w:trHeight w:val="282"/>
          <w:jc w:val="center"/>
        </w:trPr>
        <w:tc>
          <w:tcPr>
            <w:tcW w:w="3996" w:type="dxa"/>
            <w:noWrap/>
            <w:vAlign w:val="bottom"/>
            <w:hideMark/>
          </w:tcPr>
          <w:p w14:paraId="4C2334F5" w14:textId="77777777" w:rsidR="00C17636" w:rsidRPr="00207D00" w:rsidRDefault="00C17636" w:rsidP="0038507E">
            <w:pPr>
              <w:rPr>
                <w:rFonts w:ascii="Arial" w:hAnsi="Arial" w:cs="Arial"/>
                <w:sz w:val="20"/>
                <w:szCs w:val="20"/>
              </w:rPr>
            </w:pPr>
            <w:r w:rsidRPr="00207D00">
              <w:rPr>
                <w:rFonts w:ascii="Arial" w:hAnsi="Arial" w:cs="Arial"/>
                <w:sz w:val="20"/>
                <w:szCs w:val="20"/>
              </w:rPr>
              <w:t>Wholesale and retail, repair of motor vehicle and motorcycle</w:t>
            </w:r>
          </w:p>
        </w:tc>
        <w:tc>
          <w:tcPr>
            <w:tcW w:w="1585" w:type="dxa"/>
            <w:tcBorders>
              <w:top w:val="single" w:sz="4" w:space="0" w:color="auto"/>
            </w:tcBorders>
            <w:noWrap/>
            <w:vAlign w:val="bottom"/>
          </w:tcPr>
          <w:p w14:paraId="7DB37E81"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16,020</w:t>
            </w:r>
          </w:p>
        </w:tc>
        <w:tc>
          <w:tcPr>
            <w:tcW w:w="1194" w:type="dxa"/>
            <w:tcBorders>
              <w:top w:val="single" w:sz="4" w:space="0" w:color="auto"/>
            </w:tcBorders>
            <w:noWrap/>
            <w:vAlign w:val="bottom"/>
          </w:tcPr>
          <w:p w14:paraId="6A092375"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2,967</w:t>
            </w:r>
          </w:p>
        </w:tc>
        <w:tc>
          <w:tcPr>
            <w:tcW w:w="1525" w:type="dxa"/>
            <w:tcBorders>
              <w:top w:val="single" w:sz="4" w:space="0" w:color="auto"/>
            </w:tcBorders>
            <w:noWrap/>
            <w:vAlign w:val="bottom"/>
          </w:tcPr>
          <w:p w14:paraId="7BA21E6F" w14:textId="77777777" w:rsidR="00C17636" w:rsidRPr="00207D00" w:rsidRDefault="00C17636" w:rsidP="0038507E">
            <w:pPr>
              <w:ind w:right="316"/>
              <w:jc w:val="right"/>
              <w:rPr>
                <w:rFonts w:ascii="Arial" w:hAnsi="Arial" w:cs="Arial"/>
                <w:sz w:val="20"/>
                <w:szCs w:val="20"/>
              </w:rPr>
            </w:pPr>
            <w:r w:rsidRPr="00207D00">
              <w:rPr>
                <w:rFonts w:ascii="Arial" w:hAnsi="Arial" w:cs="Arial"/>
                <w:sz w:val="20"/>
                <w:szCs w:val="20"/>
              </w:rPr>
              <w:t>124.0</w:t>
            </w:r>
          </w:p>
        </w:tc>
        <w:tc>
          <w:tcPr>
            <w:tcW w:w="997" w:type="dxa"/>
            <w:tcBorders>
              <w:top w:val="single" w:sz="4" w:space="0" w:color="auto"/>
            </w:tcBorders>
            <w:noWrap/>
            <w:vAlign w:val="bottom"/>
          </w:tcPr>
          <w:p w14:paraId="15768DD9"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113.1</w:t>
            </w:r>
          </w:p>
        </w:tc>
      </w:tr>
      <w:tr w:rsidR="00C17636" w:rsidRPr="00207D00" w14:paraId="5409A669" w14:textId="77777777" w:rsidTr="0038507E">
        <w:trPr>
          <w:cantSplit/>
          <w:trHeight w:val="297"/>
          <w:jc w:val="center"/>
        </w:trPr>
        <w:tc>
          <w:tcPr>
            <w:tcW w:w="3996" w:type="dxa"/>
            <w:noWrap/>
            <w:vAlign w:val="bottom"/>
            <w:hideMark/>
          </w:tcPr>
          <w:p w14:paraId="47F787D9" w14:textId="77777777" w:rsidR="00C17636" w:rsidRPr="00207D00" w:rsidRDefault="00C17636" w:rsidP="0038507E">
            <w:pPr>
              <w:rPr>
                <w:rFonts w:ascii="Arial" w:hAnsi="Arial" w:cs="Arial"/>
                <w:sz w:val="20"/>
                <w:szCs w:val="20"/>
              </w:rPr>
            </w:pPr>
            <w:r w:rsidRPr="00207D00">
              <w:rPr>
                <w:rFonts w:ascii="Arial" w:hAnsi="Arial" w:cs="Arial"/>
                <w:sz w:val="20"/>
                <w:szCs w:val="20"/>
              </w:rPr>
              <w:t xml:space="preserve">Manufacturing </w:t>
            </w:r>
          </w:p>
        </w:tc>
        <w:tc>
          <w:tcPr>
            <w:tcW w:w="1585" w:type="dxa"/>
            <w:noWrap/>
            <w:vAlign w:val="bottom"/>
          </w:tcPr>
          <w:p w14:paraId="7E23706A"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4,826</w:t>
            </w:r>
          </w:p>
        </w:tc>
        <w:tc>
          <w:tcPr>
            <w:tcW w:w="1194" w:type="dxa"/>
            <w:noWrap/>
            <w:vAlign w:val="bottom"/>
          </w:tcPr>
          <w:p w14:paraId="309C7FE8"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867</w:t>
            </w:r>
          </w:p>
        </w:tc>
        <w:tc>
          <w:tcPr>
            <w:tcW w:w="1525" w:type="dxa"/>
            <w:noWrap/>
            <w:vAlign w:val="bottom"/>
          </w:tcPr>
          <w:p w14:paraId="7EE3A23F" w14:textId="77777777" w:rsidR="00C17636" w:rsidRPr="00207D00" w:rsidRDefault="00C17636" w:rsidP="0038507E">
            <w:pPr>
              <w:ind w:right="316"/>
              <w:jc w:val="right"/>
              <w:rPr>
                <w:rFonts w:ascii="Arial" w:hAnsi="Arial" w:cs="Arial"/>
                <w:sz w:val="20"/>
                <w:szCs w:val="20"/>
              </w:rPr>
            </w:pPr>
            <w:r w:rsidRPr="00207D00">
              <w:rPr>
                <w:rFonts w:ascii="Arial" w:hAnsi="Arial" w:cs="Arial"/>
                <w:sz w:val="20"/>
                <w:szCs w:val="20"/>
              </w:rPr>
              <w:t>82.7</w:t>
            </w:r>
          </w:p>
        </w:tc>
        <w:tc>
          <w:tcPr>
            <w:tcW w:w="997" w:type="dxa"/>
            <w:noWrap/>
            <w:vAlign w:val="bottom"/>
          </w:tcPr>
          <w:p w14:paraId="7DD44936"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101.6</w:t>
            </w:r>
          </w:p>
        </w:tc>
      </w:tr>
      <w:tr w:rsidR="00C17636" w:rsidRPr="00207D00" w14:paraId="540E4F6E" w14:textId="77777777" w:rsidTr="0038507E">
        <w:trPr>
          <w:cantSplit/>
          <w:trHeight w:val="297"/>
          <w:jc w:val="center"/>
        </w:trPr>
        <w:tc>
          <w:tcPr>
            <w:tcW w:w="3996" w:type="dxa"/>
            <w:noWrap/>
            <w:vAlign w:val="bottom"/>
            <w:hideMark/>
          </w:tcPr>
          <w:p w14:paraId="1141E57C" w14:textId="77777777" w:rsidR="00C17636" w:rsidRPr="00207D00" w:rsidRDefault="00C17636" w:rsidP="0038507E">
            <w:pPr>
              <w:rPr>
                <w:rFonts w:ascii="Arial" w:hAnsi="Arial" w:cs="Arial"/>
                <w:sz w:val="20"/>
                <w:szCs w:val="20"/>
              </w:rPr>
            </w:pPr>
            <w:r w:rsidRPr="00207D00">
              <w:rPr>
                <w:rFonts w:ascii="Arial" w:hAnsi="Arial" w:cs="Arial"/>
                <w:sz w:val="20"/>
                <w:szCs w:val="20"/>
              </w:rPr>
              <w:t>Construction</w:t>
            </w:r>
          </w:p>
        </w:tc>
        <w:tc>
          <w:tcPr>
            <w:tcW w:w="1585" w:type="dxa"/>
            <w:noWrap/>
            <w:vAlign w:val="bottom"/>
          </w:tcPr>
          <w:p w14:paraId="280D89A2"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2,930</w:t>
            </w:r>
          </w:p>
        </w:tc>
        <w:tc>
          <w:tcPr>
            <w:tcW w:w="1194" w:type="dxa"/>
            <w:noWrap/>
            <w:vAlign w:val="bottom"/>
          </w:tcPr>
          <w:p w14:paraId="2A65DF8C"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531</w:t>
            </w:r>
          </w:p>
        </w:tc>
        <w:tc>
          <w:tcPr>
            <w:tcW w:w="1525" w:type="dxa"/>
            <w:noWrap/>
            <w:vAlign w:val="bottom"/>
          </w:tcPr>
          <w:p w14:paraId="213DD394" w14:textId="77777777" w:rsidR="00C17636" w:rsidRPr="00207D00" w:rsidRDefault="00C17636" w:rsidP="0038507E">
            <w:pPr>
              <w:ind w:right="316"/>
              <w:jc w:val="right"/>
              <w:rPr>
                <w:rFonts w:ascii="Arial" w:hAnsi="Arial" w:cs="Arial"/>
                <w:sz w:val="20"/>
                <w:szCs w:val="20"/>
              </w:rPr>
            </w:pPr>
            <w:r w:rsidRPr="00207D00">
              <w:rPr>
                <w:rFonts w:ascii="Arial" w:hAnsi="Arial" w:cs="Arial"/>
                <w:sz w:val="20"/>
                <w:szCs w:val="20"/>
              </w:rPr>
              <w:t>52.4</w:t>
            </w:r>
          </w:p>
        </w:tc>
        <w:tc>
          <w:tcPr>
            <w:tcW w:w="997" w:type="dxa"/>
            <w:noWrap/>
            <w:vAlign w:val="bottom"/>
          </w:tcPr>
          <w:p w14:paraId="5BEAA6D0"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103.4</w:t>
            </w:r>
          </w:p>
        </w:tc>
      </w:tr>
      <w:tr w:rsidR="00C17636" w:rsidRPr="00207D00" w14:paraId="72341531" w14:textId="77777777" w:rsidTr="0038507E">
        <w:trPr>
          <w:cantSplit/>
          <w:trHeight w:val="297"/>
          <w:jc w:val="center"/>
        </w:trPr>
        <w:tc>
          <w:tcPr>
            <w:tcW w:w="3996" w:type="dxa"/>
            <w:noWrap/>
            <w:vAlign w:val="bottom"/>
            <w:hideMark/>
          </w:tcPr>
          <w:p w14:paraId="440A0EF2" w14:textId="76EFF045" w:rsidR="00C17636" w:rsidRPr="00207D00" w:rsidRDefault="00C17636" w:rsidP="00E83239">
            <w:pPr>
              <w:rPr>
                <w:rFonts w:ascii="Arial" w:hAnsi="Arial" w:cs="Arial"/>
                <w:sz w:val="20"/>
                <w:szCs w:val="20"/>
              </w:rPr>
            </w:pPr>
            <w:r w:rsidRPr="00207D00">
              <w:rPr>
                <w:rFonts w:ascii="Arial" w:hAnsi="Arial" w:cs="Arial"/>
                <w:sz w:val="20"/>
                <w:szCs w:val="20"/>
              </w:rPr>
              <w:t xml:space="preserve">Real estate </w:t>
            </w:r>
            <w:r w:rsidR="00312592">
              <w:rPr>
                <w:rFonts w:ascii="Arial" w:hAnsi="Arial" w:cs="Arial"/>
                <w:sz w:val="20"/>
                <w:szCs w:val="20"/>
              </w:rPr>
              <w:t>activities</w:t>
            </w:r>
          </w:p>
        </w:tc>
        <w:tc>
          <w:tcPr>
            <w:tcW w:w="1585" w:type="dxa"/>
            <w:noWrap/>
            <w:vAlign w:val="bottom"/>
          </w:tcPr>
          <w:p w14:paraId="50EC278A"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959</w:t>
            </w:r>
          </w:p>
        </w:tc>
        <w:tc>
          <w:tcPr>
            <w:tcW w:w="1194" w:type="dxa"/>
            <w:noWrap/>
            <w:vAlign w:val="bottom"/>
          </w:tcPr>
          <w:p w14:paraId="0EB5B9DE"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480</w:t>
            </w:r>
          </w:p>
        </w:tc>
        <w:tc>
          <w:tcPr>
            <w:tcW w:w="1525" w:type="dxa"/>
            <w:noWrap/>
            <w:vAlign w:val="bottom"/>
          </w:tcPr>
          <w:p w14:paraId="6CA8403A" w14:textId="77777777" w:rsidR="00C17636" w:rsidRPr="00207D00" w:rsidRDefault="00C17636" w:rsidP="0038507E">
            <w:pPr>
              <w:ind w:right="316"/>
              <w:jc w:val="right"/>
              <w:rPr>
                <w:rFonts w:ascii="Arial" w:hAnsi="Arial" w:cs="Arial"/>
                <w:sz w:val="20"/>
                <w:szCs w:val="20"/>
              </w:rPr>
            </w:pPr>
            <w:r w:rsidRPr="00207D00">
              <w:rPr>
                <w:rFonts w:ascii="Arial" w:hAnsi="Arial" w:cs="Arial"/>
                <w:sz w:val="20"/>
                <w:szCs w:val="20"/>
              </w:rPr>
              <w:t>94.9</w:t>
            </w:r>
          </w:p>
        </w:tc>
        <w:tc>
          <w:tcPr>
            <w:tcW w:w="997" w:type="dxa"/>
            <w:noWrap/>
            <w:vAlign w:val="bottom"/>
          </w:tcPr>
          <w:p w14:paraId="0DB4F552"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108.7</w:t>
            </w:r>
          </w:p>
        </w:tc>
      </w:tr>
      <w:tr w:rsidR="00C17636" w:rsidRPr="00207D00" w14:paraId="799FCC26" w14:textId="77777777" w:rsidTr="0038507E">
        <w:trPr>
          <w:cantSplit/>
          <w:trHeight w:val="297"/>
          <w:jc w:val="center"/>
        </w:trPr>
        <w:tc>
          <w:tcPr>
            <w:tcW w:w="3996" w:type="dxa"/>
            <w:noWrap/>
            <w:vAlign w:val="bottom"/>
            <w:hideMark/>
          </w:tcPr>
          <w:p w14:paraId="531DE0CD" w14:textId="77777777" w:rsidR="00C17636" w:rsidRPr="00207D00" w:rsidRDefault="00C17636" w:rsidP="0038507E">
            <w:pPr>
              <w:rPr>
                <w:rFonts w:ascii="Arial" w:hAnsi="Arial" w:cs="Arial"/>
                <w:sz w:val="20"/>
                <w:szCs w:val="20"/>
              </w:rPr>
            </w:pPr>
            <w:r w:rsidRPr="00207D00">
              <w:rPr>
                <w:rFonts w:ascii="Arial" w:hAnsi="Arial" w:cs="Arial"/>
                <w:sz w:val="20"/>
                <w:szCs w:val="20"/>
              </w:rPr>
              <w:t>Transportation and storage</w:t>
            </w:r>
          </w:p>
        </w:tc>
        <w:tc>
          <w:tcPr>
            <w:tcW w:w="1585" w:type="dxa"/>
            <w:noWrap/>
            <w:vAlign w:val="bottom"/>
          </w:tcPr>
          <w:p w14:paraId="3C45F6CF"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2,094</w:t>
            </w:r>
          </w:p>
        </w:tc>
        <w:tc>
          <w:tcPr>
            <w:tcW w:w="1194" w:type="dxa"/>
            <w:noWrap/>
            <w:vAlign w:val="bottom"/>
          </w:tcPr>
          <w:p w14:paraId="631A30F9"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281</w:t>
            </w:r>
          </w:p>
        </w:tc>
        <w:tc>
          <w:tcPr>
            <w:tcW w:w="1525" w:type="dxa"/>
            <w:noWrap/>
            <w:vAlign w:val="bottom"/>
          </w:tcPr>
          <w:p w14:paraId="7ED5AF1F" w14:textId="77777777" w:rsidR="00C17636" w:rsidRPr="00207D00" w:rsidRDefault="00C17636" w:rsidP="0038507E">
            <w:pPr>
              <w:ind w:right="316"/>
              <w:jc w:val="right"/>
              <w:rPr>
                <w:rFonts w:ascii="Arial" w:hAnsi="Arial" w:cs="Arial"/>
                <w:sz w:val="20"/>
                <w:szCs w:val="20"/>
              </w:rPr>
            </w:pPr>
            <w:r w:rsidRPr="00207D00">
              <w:rPr>
                <w:rFonts w:ascii="Arial" w:hAnsi="Arial" w:cs="Arial"/>
                <w:sz w:val="20"/>
                <w:szCs w:val="20"/>
              </w:rPr>
              <w:t>99.4</w:t>
            </w:r>
          </w:p>
        </w:tc>
        <w:tc>
          <w:tcPr>
            <w:tcW w:w="997" w:type="dxa"/>
            <w:noWrap/>
            <w:vAlign w:val="bottom"/>
          </w:tcPr>
          <w:p w14:paraId="66AC4354"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92.5</w:t>
            </w:r>
          </w:p>
        </w:tc>
      </w:tr>
      <w:tr w:rsidR="00C17636" w:rsidRPr="00207D00" w14:paraId="05912531" w14:textId="77777777" w:rsidTr="0038507E">
        <w:trPr>
          <w:cantSplit/>
          <w:trHeight w:val="297"/>
          <w:jc w:val="center"/>
        </w:trPr>
        <w:tc>
          <w:tcPr>
            <w:tcW w:w="3996" w:type="dxa"/>
            <w:noWrap/>
            <w:vAlign w:val="bottom"/>
            <w:hideMark/>
          </w:tcPr>
          <w:p w14:paraId="0267B775" w14:textId="6DE18937" w:rsidR="00C17636" w:rsidRPr="00207D00" w:rsidRDefault="00C17636" w:rsidP="0038507E">
            <w:pPr>
              <w:rPr>
                <w:rFonts w:ascii="Arial" w:hAnsi="Arial" w:cs="Arial"/>
                <w:sz w:val="20"/>
                <w:szCs w:val="20"/>
              </w:rPr>
            </w:pPr>
            <w:r w:rsidRPr="00207D00">
              <w:rPr>
                <w:rFonts w:ascii="Arial" w:hAnsi="Arial" w:cs="Arial"/>
                <w:sz w:val="20"/>
                <w:szCs w:val="20"/>
              </w:rPr>
              <w:t>Accommodation and food</w:t>
            </w:r>
            <w:r w:rsidRPr="00207D00" w:rsidDel="001A0D32">
              <w:rPr>
                <w:rFonts w:ascii="Arial" w:hAnsi="Arial" w:cs="Arial"/>
                <w:sz w:val="20"/>
                <w:szCs w:val="20"/>
              </w:rPr>
              <w:t xml:space="preserve"> </w:t>
            </w:r>
            <w:r w:rsidRPr="00207D00">
              <w:rPr>
                <w:rFonts w:ascii="Arial" w:hAnsi="Arial" w:cs="Arial"/>
                <w:sz w:val="20"/>
                <w:szCs w:val="20"/>
              </w:rPr>
              <w:t>service</w:t>
            </w:r>
            <w:r w:rsidR="00312592">
              <w:rPr>
                <w:rFonts w:ascii="Arial" w:hAnsi="Arial" w:cs="Arial"/>
                <w:sz w:val="20"/>
                <w:szCs w:val="20"/>
              </w:rPr>
              <w:t xml:space="preserve"> activities</w:t>
            </w:r>
          </w:p>
        </w:tc>
        <w:tc>
          <w:tcPr>
            <w:tcW w:w="1585" w:type="dxa"/>
            <w:noWrap/>
            <w:vAlign w:val="bottom"/>
          </w:tcPr>
          <w:p w14:paraId="5FF5BB79"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1,591</w:t>
            </w:r>
          </w:p>
        </w:tc>
        <w:tc>
          <w:tcPr>
            <w:tcW w:w="1194" w:type="dxa"/>
            <w:noWrap/>
            <w:vAlign w:val="bottom"/>
          </w:tcPr>
          <w:p w14:paraId="71260518"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361</w:t>
            </w:r>
          </w:p>
        </w:tc>
        <w:tc>
          <w:tcPr>
            <w:tcW w:w="1525" w:type="dxa"/>
            <w:noWrap/>
            <w:vAlign w:val="bottom"/>
          </w:tcPr>
          <w:p w14:paraId="5A9E6F64" w14:textId="77777777" w:rsidR="00C17636" w:rsidRPr="00207D00" w:rsidRDefault="00C17636" w:rsidP="0038507E">
            <w:pPr>
              <w:ind w:right="316"/>
              <w:jc w:val="right"/>
              <w:rPr>
                <w:rFonts w:ascii="Arial" w:hAnsi="Arial" w:cs="Arial"/>
                <w:sz w:val="20"/>
                <w:szCs w:val="20"/>
              </w:rPr>
            </w:pPr>
            <w:r w:rsidRPr="00207D00">
              <w:rPr>
                <w:rFonts w:ascii="Arial" w:hAnsi="Arial" w:cs="Arial"/>
                <w:sz w:val="20"/>
                <w:szCs w:val="20"/>
              </w:rPr>
              <w:t>165.2</w:t>
            </w:r>
          </w:p>
        </w:tc>
        <w:tc>
          <w:tcPr>
            <w:tcW w:w="997" w:type="dxa"/>
            <w:noWrap/>
            <w:vAlign w:val="bottom"/>
          </w:tcPr>
          <w:p w14:paraId="0B242AF8"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92.0</w:t>
            </w:r>
          </w:p>
        </w:tc>
      </w:tr>
      <w:tr w:rsidR="00C17636" w:rsidRPr="00207D00" w14:paraId="6E940929" w14:textId="77777777" w:rsidTr="0038507E">
        <w:trPr>
          <w:cantSplit/>
          <w:trHeight w:val="297"/>
          <w:jc w:val="center"/>
        </w:trPr>
        <w:tc>
          <w:tcPr>
            <w:tcW w:w="3996" w:type="dxa"/>
            <w:tcBorders>
              <w:bottom w:val="single" w:sz="4" w:space="0" w:color="auto"/>
            </w:tcBorders>
            <w:noWrap/>
            <w:vAlign w:val="bottom"/>
          </w:tcPr>
          <w:p w14:paraId="2C4C8C03" w14:textId="77777777" w:rsidR="00C17636" w:rsidRPr="00207D00" w:rsidRDefault="00C17636" w:rsidP="0038507E">
            <w:pPr>
              <w:rPr>
                <w:rFonts w:ascii="Arial" w:hAnsi="Arial" w:cs="Arial"/>
                <w:sz w:val="20"/>
                <w:szCs w:val="20"/>
              </w:rPr>
            </w:pPr>
            <w:r w:rsidRPr="00207D00">
              <w:rPr>
                <w:rFonts w:ascii="Arial" w:hAnsi="Arial" w:cs="Arial"/>
                <w:sz w:val="20"/>
                <w:szCs w:val="20"/>
              </w:rPr>
              <w:t>Electricity, water and gas supply</w:t>
            </w:r>
          </w:p>
        </w:tc>
        <w:tc>
          <w:tcPr>
            <w:tcW w:w="1585" w:type="dxa"/>
            <w:tcBorders>
              <w:bottom w:val="single" w:sz="4" w:space="0" w:color="auto"/>
            </w:tcBorders>
            <w:noWrap/>
            <w:vAlign w:val="bottom"/>
          </w:tcPr>
          <w:p w14:paraId="0FA4264F"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286</w:t>
            </w:r>
          </w:p>
        </w:tc>
        <w:tc>
          <w:tcPr>
            <w:tcW w:w="1194" w:type="dxa"/>
            <w:tcBorders>
              <w:bottom w:val="single" w:sz="4" w:space="0" w:color="auto"/>
            </w:tcBorders>
            <w:noWrap/>
            <w:vAlign w:val="bottom"/>
          </w:tcPr>
          <w:p w14:paraId="275E68A9"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85</w:t>
            </w:r>
          </w:p>
        </w:tc>
        <w:tc>
          <w:tcPr>
            <w:tcW w:w="1525" w:type="dxa"/>
            <w:tcBorders>
              <w:bottom w:val="single" w:sz="4" w:space="0" w:color="auto"/>
            </w:tcBorders>
            <w:noWrap/>
            <w:vAlign w:val="bottom"/>
          </w:tcPr>
          <w:p w14:paraId="6BE1EB91" w14:textId="77777777" w:rsidR="00C17636" w:rsidRPr="00207D00" w:rsidRDefault="00C17636" w:rsidP="0038507E">
            <w:pPr>
              <w:ind w:right="316"/>
              <w:jc w:val="right"/>
              <w:rPr>
                <w:rFonts w:ascii="Arial" w:hAnsi="Arial" w:cs="Arial"/>
                <w:sz w:val="20"/>
                <w:szCs w:val="20"/>
              </w:rPr>
            </w:pPr>
            <w:r w:rsidRPr="00207D00">
              <w:rPr>
                <w:rFonts w:ascii="Arial" w:hAnsi="Arial" w:cs="Arial"/>
                <w:sz w:val="20"/>
                <w:szCs w:val="20"/>
              </w:rPr>
              <w:t>95.9</w:t>
            </w:r>
          </w:p>
        </w:tc>
        <w:tc>
          <w:tcPr>
            <w:tcW w:w="997" w:type="dxa"/>
            <w:tcBorders>
              <w:bottom w:val="single" w:sz="4" w:space="0" w:color="auto"/>
            </w:tcBorders>
            <w:noWrap/>
            <w:vAlign w:val="bottom"/>
          </w:tcPr>
          <w:p w14:paraId="55170127" w14:textId="77777777" w:rsidR="00C17636" w:rsidRPr="00207D00" w:rsidRDefault="00C17636" w:rsidP="0038507E">
            <w:pPr>
              <w:ind w:right="176"/>
              <w:jc w:val="right"/>
              <w:rPr>
                <w:rFonts w:ascii="Arial" w:hAnsi="Arial" w:cs="Arial"/>
                <w:sz w:val="20"/>
                <w:szCs w:val="20"/>
              </w:rPr>
            </w:pPr>
            <w:r w:rsidRPr="00207D00">
              <w:rPr>
                <w:rFonts w:ascii="Arial" w:hAnsi="Arial" w:cs="Arial"/>
                <w:sz w:val="20"/>
                <w:szCs w:val="20"/>
              </w:rPr>
              <w:t>102.4</w:t>
            </w:r>
          </w:p>
        </w:tc>
      </w:tr>
    </w:tbl>
    <w:p w14:paraId="40305B7C" w14:textId="77777777" w:rsidR="00C17636" w:rsidRPr="00207D00" w:rsidRDefault="00C17636" w:rsidP="00C17636"/>
    <w:p w14:paraId="5DD755BD" w14:textId="77777777" w:rsidR="0099216C" w:rsidRPr="00207D00" w:rsidRDefault="0099216C" w:rsidP="0099216C">
      <w:pPr>
        <w:spacing w:after="120" w:line="264" w:lineRule="auto"/>
        <w:ind w:firstLine="720"/>
        <w:rPr>
          <w:b/>
          <w:bCs/>
        </w:rPr>
      </w:pPr>
      <w:r w:rsidRPr="00207D00">
        <w:rPr>
          <w:b/>
          <w:bCs/>
        </w:rPr>
        <w:t>4. Investment</w:t>
      </w:r>
    </w:p>
    <w:p w14:paraId="290116DE" w14:textId="156A5428" w:rsidR="0099216C" w:rsidRPr="00207D00" w:rsidRDefault="00DF2A70" w:rsidP="0099216C">
      <w:pPr>
        <w:spacing w:after="120" w:line="264" w:lineRule="auto"/>
        <w:ind w:firstLine="720"/>
        <w:jc w:val="both"/>
        <w:rPr>
          <w:i/>
          <w:iCs/>
          <w:spacing w:val="-4"/>
        </w:rPr>
      </w:pPr>
      <w:r w:rsidRPr="00207D00">
        <w:rPr>
          <w:i/>
          <w:spacing w:val="-4"/>
        </w:rPr>
        <w:t xml:space="preserve">Investment </w:t>
      </w:r>
      <w:r>
        <w:rPr>
          <w:i/>
          <w:spacing w:val="-4"/>
        </w:rPr>
        <w:t xml:space="preserve">from the </w:t>
      </w:r>
      <w:r w:rsidR="0099216C" w:rsidRPr="00207D00">
        <w:rPr>
          <w:i/>
          <w:spacing w:val="-4"/>
        </w:rPr>
        <w:t xml:space="preserve">State budget in February was actively implemented by ministries, </w:t>
      </w:r>
      <w:r w:rsidR="0003458E">
        <w:rPr>
          <w:i/>
          <w:spacing w:val="-4"/>
        </w:rPr>
        <w:t xml:space="preserve">authorities, </w:t>
      </w:r>
      <w:r w:rsidR="0099216C" w:rsidRPr="00207D00">
        <w:rPr>
          <w:i/>
          <w:spacing w:val="-4"/>
        </w:rPr>
        <w:t xml:space="preserve">and localities since the beginning of the month and after the Lunar New Year holiday to accelerate the progress of public investment projects, especially ongoing projects. Overall, in the first two months of 2026, the proportion of disbursed investment from the State budget reached 9.4% of the annual plan and increased by 11.5% compared to that in the same period last year. The disbursed </w:t>
      </w:r>
      <w:r w:rsidR="0099216C" w:rsidRPr="00207D00">
        <w:rPr>
          <w:i/>
          <w:spacing w:val="-4"/>
        </w:rPr>
        <w:lastRenderedPageBreak/>
        <w:t>foreign direct investment (FDI) in Viet Nam in the first two months of 2026 was estimated at 3.21 billion USD, a year-on-year increase of 8.8%</w:t>
      </w:r>
      <w:r w:rsidR="0099216C" w:rsidRPr="00207D00">
        <w:rPr>
          <w:i/>
          <w:iCs/>
          <w:spacing w:val="-4"/>
        </w:rPr>
        <w:t>.</w:t>
      </w:r>
    </w:p>
    <w:p w14:paraId="29D70902" w14:textId="4FFB74C7" w:rsidR="0099216C" w:rsidRPr="00207D00" w:rsidRDefault="0099216C" w:rsidP="0099216C">
      <w:pPr>
        <w:spacing w:after="120" w:line="264" w:lineRule="auto"/>
        <w:ind w:firstLine="720"/>
        <w:jc w:val="both"/>
      </w:pPr>
      <w:r w:rsidRPr="00207D00">
        <w:t xml:space="preserve">The disbursed investment from the State budget in February was estimated at nearly 38.9 trillion VND, a year-on-year increase of 0.4%, including </w:t>
      </w:r>
      <w:r w:rsidR="00DF2A70">
        <w:t>t</w:t>
      </w:r>
      <w:r w:rsidR="00DF2A70" w:rsidRPr="00207D00">
        <w:t xml:space="preserve">he </w:t>
      </w:r>
      <w:r w:rsidRPr="00207D00">
        <w:t xml:space="preserve">Centrally-managed investment reached 5.8 trillion VND, an increase of 5.9%; and locally-managed investment reached 33.1 trillion VND, a decrease of 0.5%. Generally, in the first two months of 2026, the disbursed investment from the </w:t>
      </w:r>
      <w:r w:rsidR="00DF2A70" w:rsidRPr="00207D00">
        <w:t xml:space="preserve">State </w:t>
      </w:r>
      <w:r w:rsidRPr="00207D00">
        <w:t>budget was estimated at 83.5 trillion VND, equivalent to 9.4% of the annual plan and a year-on-year increase of 11.5% (</w:t>
      </w:r>
      <w:r w:rsidRPr="00207D00">
        <w:rPr>
          <w:bCs/>
        </w:rPr>
        <w:t xml:space="preserve">the same rates in 2025 </w:t>
      </w:r>
      <w:r w:rsidR="004F2FCA" w:rsidRPr="00207D00">
        <w:rPr>
          <w:bCs/>
        </w:rPr>
        <w:t xml:space="preserve">were </w:t>
      </w:r>
      <w:r w:rsidR="004F2FCA" w:rsidRPr="00207D00">
        <w:t>7.4</w:t>
      </w:r>
      <w:r w:rsidRPr="00207D00">
        <w:t>% and up 24.6%, respectively). Specifically:</w:t>
      </w:r>
    </w:p>
    <w:p w14:paraId="39815AB5" w14:textId="5FD67FEA" w:rsidR="0099216C" w:rsidRPr="00207D00" w:rsidRDefault="0099216C" w:rsidP="0099216C">
      <w:pPr>
        <w:spacing w:after="120" w:line="264" w:lineRule="auto"/>
        <w:ind w:firstLine="720"/>
        <w:jc w:val="both"/>
      </w:pPr>
      <w:r w:rsidRPr="00207D00">
        <w:rPr>
          <w:bCs/>
          <w:iCs/>
        </w:rPr>
        <w:t xml:space="preserve">- The </w:t>
      </w:r>
      <w:r w:rsidRPr="00207D00">
        <w:t>Centrally-managed investment was estimated to reach 11.7 trillion VND, equivalent to 6.3% of the annual plan</w:t>
      </w:r>
      <w:r w:rsidR="00935539">
        <w:t>,</w:t>
      </w:r>
      <w:r w:rsidRPr="00207D00">
        <w:t xml:space="preserve"> and increas</w:t>
      </w:r>
      <w:r w:rsidR="00935539">
        <w:t>ing</w:t>
      </w:r>
      <w:r w:rsidRPr="00207D00">
        <w:t xml:space="preserve"> </w:t>
      </w:r>
      <w:r w:rsidR="00935539">
        <w:t>by</w:t>
      </w:r>
      <w:r w:rsidR="00935539" w:rsidRPr="00207D00">
        <w:t xml:space="preserve"> </w:t>
      </w:r>
      <w:r w:rsidRPr="00207D00">
        <w:t>16.9%</w:t>
      </w:r>
      <w:r w:rsidR="00935539">
        <w:t xml:space="preserve"> </w:t>
      </w:r>
      <w:r w:rsidR="00935539" w:rsidRPr="00207D00">
        <w:t>year-on-year</w:t>
      </w:r>
      <w:r w:rsidRPr="00207D00">
        <w:t xml:space="preserve">. Of which, the Ministry of Construction </w:t>
      </w:r>
      <w:r w:rsidR="00935539">
        <w:t>reached</w:t>
      </w:r>
      <w:r w:rsidRPr="00207D00">
        <w:t xml:space="preserve"> 8.8 trillion VND, up 43.1%; the Ministry of Agriculture and Environment reached 397.4 billion VND, down 72.5%; the Ministry of Health reached 139.3 billion VND, down 44.8%; the Ministry of Education and Training reached 105.5 billion VND, down 17.4%; the Ministry of Culture, Sports and Tourism reached 81.8 billion VND, up 8.7%; the Ministry of Industry and Trade r</w:t>
      </w:r>
      <w:r w:rsidR="00935539">
        <w:t>e</w:t>
      </w:r>
      <w:r w:rsidRPr="00207D00">
        <w:t xml:space="preserve">ached 12.8 billion VND, down 61.1%; and the Ministry of Science and Technology reached 7.3 billion VND, down 72.9%. </w:t>
      </w:r>
    </w:p>
    <w:p w14:paraId="3281A872" w14:textId="42F60D19" w:rsidR="0099216C" w:rsidRPr="00207D00" w:rsidRDefault="0099216C" w:rsidP="0099216C">
      <w:pPr>
        <w:spacing w:after="120" w:line="264" w:lineRule="auto"/>
        <w:ind w:firstLine="720"/>
        <w:jc w:val="both"/>
        <w:rPr>
          <w:bCs/>
          <w:iCs/>
        </w:rPr>
      </w:pPr>
      <w:r w:rsidRPr="00207D00">
        <w:rPr>
          <w:bCs/>
          <w:iCs/>
        </w:rPr>
        <w:t>- The locally-managed investment was estimated at 71.8 trillion VND, equivalent to 10.2% of the annual plan</w:t>
      </w:r>
      <w:r w:rsidR="00935539">
        <w:rPr>
          <w:bCs/>
          <w:iCs/>
        </w:rPr>
        <w:t>,</w:t>
      </w:r>
      <w:r w:rsidRPr="00207D00">
        <w:rPr>
          <w:bCs/>
          <w:iCs/>
        </w:rPr>
        <w:t xml:space="preserve"> and rising by 10.7% year-on-year, of which:</w:t>
      </w:r>
    </w:p>
    <w:p w14:paraId="3327FD53" w14:textId="07EA9612" w:rsidR="0099216C" w:rsidRPr="00207D00" w:rsidRDefault="0099216C" w:rsidP="0099216C">
      <w:pPr>
        <w:spacing w:after="120" w:line="264" w:lineRule="auto"/>
        <w:ind w:firstLine="720"/>
        <w:jc w:val="both"/>
        <w:rPr>
          <w:bCs/>
          <w:iCs/>
        </w:rPr>
      </w:pPr>
      <w:r w:rsidRPr="00207D00">
        <w:rPr>
          <w:bCs/>
          <w:iCs/>
        </w:rPr>
        <w:t>55.8 trillion VND was disbursed at the provincial level, equal to 10.2% of the annual plan</w:t>
      </w:r>
      <w:r w:rsidR="00935539">
        <w:rPr>
          <w:bCs/>
          <w:iCs/>
        </w:rPr>
        <w:t>,</w:t>
      </w:r>
      <w:r w:rsidRPr="00207D00">
        <w:rPr>
          <w:bCs/>
          <w:iCs/>
        </w:rPr>
        <w:t xml:space="preserve"> and growing by 8.9% over that in the same period last year;</w:t>
      </w:r>
    </w:p>
    <w:p w14:paraId="202E1FD0" w14:textId="4D8BE0B8" w:rsidR="0099216C" w:rsidRPr="00207D00" w:rsidRDefault="0099216C" w:rsidP="0099216C">
      <w:pPr>
        <w:spacing w:after="120" w:line="264" w:lineRule="auto"/>
        <w:ind w:firstLine="720"/>
        <w:jc w:val="both"/>
        <w:rPr>
          <w:bCs/>
          <w:iCs/>
        </w:rPr>
      </w:pPr>
      <w:r w:rsidRPr="00207D00">
        <w:rPr>
          <w:bCs/>
          <w:iCs/>
        </w:rPr>
        <w:t>16.0 trillion VND was disbursed at the commune level, equal to 10.2% of the annual plan</w:t>
      </w:r>
      <w:r w:rsidR="00935539">
        <w:rPr>
          <w:bCs/>
          <w:iCs/>
        </w:rPr>
        <w:t>,</w:t>
      </w:r>
      <w:r w:rsidRPr="00207D00">
        <w:rPr>
          <w:bCs/>
          <w:iCs/>
        </w:rPr>
        <w:t xml:space="preserve"> and growing by 17.7% over that in the same period last year.</w:t>
      </w:r>
    </w:p>
    <w:p w14:paraId="24872D0E" w14:textId="54657E58" w:rsidR="0099216C" w:rsidRPr="00207D00" w:rsidRDefault="0099216C" w:rsidP="0099216C">
      <w:pPr>
        <w:spacing w:after="120" w:line="264" w:lineRule="auto"/>
        <w:ind w:firstLine="720"/>
        <w:jc w:val="both"/>
        <w:rPr>
          <w:rFonts w:ascii="Arial" w:hAnsi="Arial" w:cs="Arial"/>
          <w:b/>
          <w:bCs/>
          <w:sz w:val="24"/>
          <w:szCs w:val="24"/>
        </w:rPr>
      </w:pPr>
      <w:r w:rsidRPr="00207D00">
        <w:rPr>
          <w:bCs/>
          <w:iCs/>
        </w:rPr>
        <w:t>The disbursed investment from the State budget of the first two months of 2026 in selected provinces and centrally-</w:t>
      </w:r>
      <w:r w:rsidR="00935539">
        <w:rPr>
          <w:bCs/>
          <w:iCs/>
        </w:rPr>
        <w:t>run</w:t>
      </w:r>
      <w:r w:rsidR="00935539" w:rsidRPr="00207D00">
        <w:rPr>
          <w:bCs/>
          <w:iCs/>
        </w:rPr>
        <w:t xml:space="preserve"> </w:t>
      </w:r>
      <w:r w:rsidR="00935539" w:rsidRPr="00935539">
        <w:rPr>
          <w:bCs/>
          <w:iCs/>
        </w:rPr>
        <w:t>municipalities</w:t>
      </w:r>
      <w:r w:rsidR="00935539" w:rsidRPr="00935539" w:rsidDel="00935539">
        <w:rPr>
          <w:bCs/>
          <w:iCs/>
        </w:rPr>
        <w:t xml:space="preserve"> </w:t>
      </w:r>
      <w:r w:rsidRPr="00207D00">
        <w:rPr>
          <w:bCs/>
          <w:iCs/>
        </w:rPr>
        <w:t>was as follows:</w:t>
      </w:r>
    </w:p>
    <w:p w14:paraId="70D8384B" w14:textId="54ACE6E2" w:rsidR="0099216C" w:rsidRPr="00207D00" w:rsidRDefault="0099216C" w:rsidP="0099216C">
      <w:pPr>
        <w:spacing w:line="276" w:lineRule="auto"/>
        <w:jc w:val="center"/>
        <w:rPr>
          <w:rFonts w:ascii="Arial" w:hAnsi="Arial" w:cs="Arial"/>
          <w:b/>
          <w:bCs/>
          <w:sz w:val="24"/>
          <w:szCs w:val="24"/>
        </w:rPr>
      </w:pPr>
      <w:r w:rsidRPr="00207D00">
        <w:rPr>
          <w:rFonts w:ascii="Arial" w:hAnsi="Arial" w:cs="Arial"/>
          <w:b/>
          <w:bCs/>
          <w:sz w:val="24"/>
          <w:szCs w:val="24"/>
        </w:rPr>
        <w:t xml:space="preserve">Figure 6. Disbursed investment from the State budget </w:t>
      </w:r>
      <w:r w:rsidR="00935539">
        <w:rPr>
          <w:rFonts w:ascii="Arial" w:hAnsi="Arial" w:cs="Arial"/>
          <w:b/>
          <w:bCs/>
          <w:sz w:val="24"/>
          <w:szCs w:val="24"/>
        </w:rPr>
        <w:br/>
        <w:t>in</w:t>
      </w:r>
      <w:r w:rsidR="00935539" w:rsidRPr="00207D00">
        <w:rPr>
          <w:rFonts w:ascii="Arial" w:hAnsi="Arial" w:cs="Arial"/>
          <w:b/>
          <w:bCs/>
          <w:sz w:val="24"/>
          <w:szCs w:val="24"/>
        </w:rPr>
        <w:t xml:space="preserve"> </w:t>
      </w:r>
      <w:r w:rsidRPr="00207D00">
        <w:rPr>
          <w:rFonts w:ascii="Arial" w:hAnsi="Arial" w:cs="Arial"/>
          <w:b/>
          <w:bCs/>
          <w:sz w:val="24"/>
          <w:szCs w:val="24"/>
        </w:rPr>
        <w:t>the first two months of 2026 in selected localities</w:t>
      </w:r>
    </w:p>
    <w:p w14:paraId="31F476A7" w14:textId="77777777" w:rsidR="0099216C" w:rsidRPr="00207D00" w:rsidRDefault="0099216C" w:rsidP="0099216C">
      <w:pPr>
        <w:spacing w:line="276" w:lineRule="auto"/>
        <w:jc w:val="center"/>
        <w:rPr>
          <w:rFonts w:ascii="Arial" w:hAnsi="Arial" w:cs="Arial"/>
          <w:b/>
          <w:bCs/>
          <w:sz w:val="24"/>
          <w:szCs w:val="24"/>
        </w:rPr>
      </w:pPr>
    </w:p>
    <w:p w14:paraId="0A78C39B" w14:textId="77777777" w:rsidR="0099216C" w:rsidRPr="00207D00" w:rsidRDefault="0099216C" w:rsidP="0099216C">
      <w:pPr>
        <w:spacing w:line="276" w:lineRule="auto"/>
        <w:jc w:val="center"/>
        <w:rPr>
          <w:rFonts w:ascii="Arial" w:hAnsi="Arial" w:cs="Arial"/>
          <w:b/>
          <w:bCs/>
          <w:sz w:val="24"/>
          <w:szCs w:val="24"/>
        </w:rPr>
      </w:pPr>
      <w:r w:rsidRPr="00207D00">
        <w:rPr>
          <w:noProof/>
        </w:rPr>
        <w:lastRenderedPageBreak/>
        <w:drawing>
          <wp:inline distT="0" distB="0" distL="0" distR="0" wp14:anchorId="42C8DDB6" wp14:editId="2EEE7732">
            <wp:extent cx="6067425" cy="3114675"/>
            <wp:effectExtent l="0" t="0" r="9525" b="9525"/>
            <wp:docPr id="1401739006" name="Chart 1">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F4CA1A" w14:textId="77777777" w:rsidR="0099216C" w:rsidRPr="00207D00" w:rsidRDefault="0099216C" w:rsidP="0099216C">
      <w:pPr>
        <w:spacing w:line="276" w:lineRule="auto"/>
        <w:rPr>
          <w:rFonts w:ascii="Arial" w:hAnsi="Arial" w:cs="Arial"/>
          <w:b/>
          <w:bCs/>
          <w:sz w:val="24"/>
          <w:szCs w:val="24"/>
        </w:rPr>
      </w:pPr>
    </w:p>
    <w:p w14:paraId="2AFA3B83" w14:textId="77777777" w:rsidR="0099216C" w:rsidRPr="00207D00" w:rsidRDefault="0099216C" w:rsidP="0099216C">
      <w:pPr>
        <w:spacing w:after="120" w:line="264" w:lineRule="auto"/>
        <w:ind w:firstLine="720"/>
        <w:jc w:val="both"/>
        <w:rPr>
          <w:iCs/>
        </w:rPr>
      </w:pPr>
      <w:r w:rsidRPr="00207D00">
        <w:rPr>
          <w:i/>
          <w:iCs/>
        </w:rPr>
        <w:t>Total inward foreign investment in Viet Nam</w:t>
      </w:r>
      <w:r w:rsidRPr="00207D00">
        <w:rPr>
          <w:rStyle w:val="FootnoteReference"/>
          <w:rFonts w:eastAsiaTheme="majorEastAsia"/>
          <w:i/>
          <w:iCs/>
        </w:rPr>
        <w:footnoteReference w:id="10"/>
      </w:r>
      <w:r w:rsidRPr="00207D00">
        <w:rPr>
          <w:i/>
          <w:iCs/>
        </w:rPr>
        <w:t xml:space="preserve"> </w:t>
      </w:r>
      <w:r w:rsidRPr="00207D00">
        <w:t>as</w:t>
      </w:r>
      <w:r w:rsidRPr="00207D00">
        <w:rPr>
          <w:iCs/>
        </w:rPr>
        <w:t xml:space="preserve"> of February 28</w:t>
      </w:r>
      <w:r w:rsidRPr="00207D00">
        <w:rPr>
          <w:iCs/>
          <w:vertAlign w:val="superscript"/>
        </w:rPr>
        <w:t>th</w:t>
      </w:r>
      <w:r w:rsidRPr="00207D00">
        <w:rPr>
          <w:iCs/>
        </w:rPr>
        <w:t>, 2026, including newly registered capital, adjusting registered capital, and capital contribution and purchasing shares by foreign investors, reached 6.03 billion USD, a year-on-year decrease of 12.6%.</w:t>
      </w:r>
    </w:p>
    <w:p w14:paraId="5CC9D1ED" w14:textId="77777777" w:rsidR="0099216C" w:rsidRPr="00207D00" w:rsidRDefault="0099216C" w:rsidP="0099216C">
      <w:pPr>
        <w:spacing w:after="120" w:line="264" w:lineRule="auto"/>
        <w:ind w:firstLine="720"/>
        <w:jc w:val="center"/>
        <w:rPr>
          <w:b/>
          <w:bCs/>
          <w:iCs/>
        </w:rPr>
      </w:pPr>
      <w:r w:rsidRPr="00207D00">
        <w:rPr>
          <w:b/>
          <w:bCs/>
          <w:iCs/>
        </w:rPr>
        <w:t>Figure 7. Inward foreign investment in Viet Nam                                    as of February 28</w:t>
      </w:r>
      <w:r w:rsidRPr="00207D00">
        <w:rPr>
          <w:b/>
          <w:bCs/>
          <w:iCs/>
          <w:vertAlign w:val="superscript"/>
        </w:rPr>
        <w:t>th</w:t>
      </w:r>
      <w:r w:rsidRPr="00207D00">
        <w:rPr>
          <w:b/>
          <w:bCs/>
          <w:iCs/>
        </w:rPr>
        <w:t xml:space="preserve"> of 2022-2026 (Billion USD)</w:t>
      </w:r>
    </w:p>
    <w:p w14:paraId="458759EC" w14:textId="77777777" w:rsidR="0099216C" w:rsidRPr="00207D00" w:rsidRDefault="0099216C" w:rsidP="0099216C">
      <w:pPr>
        <w:tabs>
          <w:tab w:val="left" w:pos="851"/>
        </w:tabs>
        <w:spacing w:after="120" w:line="264" w:lineRule="auto"/>
        <w:ind w:firstLine="720"/>
        <w:jc w:val="both"/>
        <w:rPr>
          <w:iCs/>
        </w:rPr>
      </w:pPr>
      <w:r w:rsidRPr="00207D00">
        <w:rPr>
          <w:noProof/>
        </w:rPr>
        <w:drawing>
          <wp:inline distT="0" distB="0" distL="0" distR="0" wp14:anchorId="0D5F781B" wp14:editId="228F6D77">
            <wp:extent cx="5619750" cy="2724150"/>
            <wp:effectExtent l="0" t="0" r="0" b="0"/>
            <wp:docPr id="163872632"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9190FE" w14:textId="440A876F" w:rsidR="0099216C" w:rsidRPr="00207D00" w:rsidRDefault="0099216C" w:rsidP="0099216C">
      <w:pPr>
        <w:spacing w:after="120" w:line="264" w:lineRule="auto"/>
        <w:ind w:firstLine="720"/>
        <w:jc w:val="both"/>
        <w:rPr>
          <w:iCs/>
          <w:spacing w:val="-2"/>
        </w:rPr>
      </w:pPr>
      <w:r w:rsidRPr="00207D00">
        <w:rPr>
          <w:iCs/>
          <w:spacing w:val="-2"/>
        </w:rPr>
        <w:t xml:space="preserve">- </w:t>
      </w:r>
      <w:r w:rsidRPr="00207D00">
        <w:rPr>
          <w:iCs/>
          <w:spacing w:val="-4"/>
        </w:rPr>
        <w:t>In terms of n</w:t>
      </w:r>
      <w:r w:rsidRPr="00207D00">
        <w:rPr>
          <w:iCs/>
          <w:spacing w:val="-2"/>
        </w:rPr>
        <w:t>ewly registered capital: 620 projects were licensed with a registered capital of 3.54 billion USD, a year-on-year increase of 20.2% in the number of projects</w:t>
      </w:r>
      <w:r w:rsidR="000C4654">
        <w:rPr>
          <w:iCs/>
          <w:spacing w:val="-2"/>
        </w:rPr>
        <w:t>,</w:t>
      </w:r>
      <w:r w:rsidRPr="00207D00">
        <w:rPr>
          <w:iCs/>
          <w:spacing w:val="-2"/>
        </w:rPr>
        <w:t xml:space="preserve"> and an upturn of 61.5% in registered capital. Of which, the largest newly licensed FDI was </w:t>
      </w:r>
      <w:r w:rsidR="00A370C9">
        <w:rPr>
          <w:iCs/>
          <w:spacing w:val="-2"/>
        </w:rPr>
        <w:t>in</w:t>
      </w:r>
      <w:r w:rsidR="00A370C9" w:rsidRPr="00207D00">
        <w:rPr>
          <w:iCs/>
          <w:spacing w:val="-2"/>
        </w:rPr>
        <w:t xml:space="preserve"> the</w:t>
      </w:r>
      <w:r w:rsidRPr="00207D00">
        <w:rPr>
          <w:iCs/>
          <w:spacing w:val="-2"/>
        </w:rPr>
        <w:t xml:space="preserve"> manufacturing with a registered capital </w:t>
      </w:r>
      <w:r w:rsidR="009A60BC" w:rsidRPr="00207D00">
        <w:rPr>
          <w:iCs/>
          <w:spacing w:val="-2"/>
        </w:rPr>
        <w:t xml:space="preserve">of </w:t>
      </w:r>
      <w:r w:rsidR="009A60BC" w:rsidRPr="00207D00">
        <w:rPr>
          <w:iCs/>
          <w:spacing w:val="-2"/>
        </w:rPr>
        <w:lastRenderedPageBreak/>
        <w:t>2.63</w:t>
      </w:r>
      <w:r w:rsidRPr="00207D00">
        <w:rPr>
          <w:iCs/>
          <w:spacing w:val="-2"/>
        </w:rPr>
        <w:t xml:space="preserve"> billion USD, accounting for 74.3% of the total newly registered capital; </w:t>
      </w:r>
      <w:r w:rsidR="000C4654">
        <w:rPr>
          <w:iCs/>
          <w:spacing w:val="-2"/>
        </w:rPr>
        <w:t xml:space="preserve">the </w:t>
      </w:r>
      <w:r w:rsidR="000C4654" w:rsidRPr="00207D00">
        <w:rPr>
          <w:iCs/>
          <w:spacing w:val="-2"/>
        </w:rPr>
        <w:t xml:space="preserve">newly licensed FDI </w:t>
      </w:r>
      <w:r w:rsidR="000C4654">
        <w:rPr>
          <w:iCs/>
          <w:spacing w:val="-2"/>
        </w:rPr>
        <w:t xml:space="preserve">in </w:t>
      </w:r>
      <w:r w:rsidRPr="00207D00">
        <w:rPr>
          <w:iCs/>
          <w:spacing w:val="-2"/>
        </w:rPr>
        <w:t xml:space="preserve">the wholesale and retail trade, repair of vehicles and motorcycles reached 358.6 million USD, accounting for 10.1%; and </w:t>
      </w:r>
      <w:r w:rsidR="000C4654">
        <w:rPr>
          <w:iCs/>
          <w:spacing w:val="-2"/>
        </w:rPr>
        <w:t xml:space="preserve">in </w:t>
      </w:r>
      <w:r w:rsidRPr="00207D00">
        <w:rPr>
          <w:iCs/>
          <w:spacing w:val="-2"/>
        </w:rPr>
        <w:t>other economic activities was 550.5 million USD, accounting for 15.6%.</w:t>
      </w:r>
    </w:p>
    <w:p w14:paraId="0F744D72" w14:textId="77777777" w:rsidR="0099216C" w:rsidRPr="00207D00" w:rsidRDefault="0099216C" w:rsidP="0099216C">
      <w:pPr>
        <w:spacing w:after="120" w:line="264" w:lineRule="auto"/>
        <w:ind w:firstLine="720"/>
        <w:jc w:val="both"/>
        <w:rPr>
          <w:iCs/>
        </w:rPr>
      </w:pPr>
      <w:r w:rsidRPr="00207D00">
        <w:rPr>
          <w:iCs/>
        </w:rPr>
        <w:t xml:space="preserve">Among the 44 countries and territories with newly licensed investment projects in Viet Nam during the first two months of 2026, South Korea was the largest investor with 1.34 billion USD, accounting for 37.8% of the total newly registered capital; followed by Singapore with 1.1 billion USD, accounting for 31.1%; China with 522.8 million USD, accounting for 14.8%; Japan with 171.0 million USD, accounting for 4.8%; Hong Kong Special Administrative Region (China) with 143 million USD, accounting for 4.0%; the United States with 85.6 million USD, accounting for 2.4%; and Samoa with 68.7 million USD, accounting for 1.9%. </w:t>
      </w:r>
    </w:p>
    <w:p w14:paraId="7BCBDAEA" w14:textId="2A17EFBA" w:rsidR="0099216C" w:rsidRPr="00207D00" w:rsidRDefault="0099216C" w:rsidP="0099216C">
      <w:pPr>
        <w:spacing w:after="120" w:line="264" w:lineRule="auto"/>
        <w:ind w:firstLine="720"/>
        <w:jc w:val="both"/>
        <w:rPr>
          <w:iCs/>
        </w:rPr>
      </w:pPr>
      <w:r w:rsidRPr="00207D00">
        <w:rPr>
          <w:iCs/>
        </w:rPr>
        <w:t xml:space="preserve"> - </w:t>
      </w:r>
      <w:r w:rsidR="00A92EF9">
        <w:rPr>
          <w:iCs/>
        </w:rPr>
        <w:t>A</w:t>
      </w:r>
      <w:r w:rsidRPr="00207D00">
        <w:rPr>
          <w:iCs/>
        </w:rPr>
        <w:t>djusted registered capital: 180 turns of projects licensed from the previous years registered to adjust investment capital upwards by 1.99 billion USD, a year-on-year decrease of 52.3%.</w:t>
      </w:r>
    </w:p>
    <w:p w14:paraId="569A2E4E" w14:textId="3202A90D" w:rsidR="0099216C" w:rsidRPr="00207D00" w:rsidRDefault="0099216C" w:rsidP="0099216C">
      <w:pPr>
        <w:spacing w:after="120" w:line="264" w:lineRule="auto"/>
        <w:ind w:firstLine="720"/>
        <w:jc w:val="both"/>
        <w:rPr>
          <w:iCs/>
        </w:rPr>
      </w:pPr>
      <w:r w:rsidRPr="00207D00">
        <w:rPr>
          <w:iCs/>
        </w:rPr>
        <w:t xml:space="preserve">If including newly registered capital and adjusted registered capital of licensed projects in the previous years, the registered FDI in the manufacturing reached 4.16 billion USD, accounting for 75.2% of the total newly registered and increased capital; </w:t>
      </w:r>
      <w:r w:rsidR="00F258A8">
        <w:rPr>
          <w:iCs/>
        </w:rPr>
        <w:t xml:space="preserve">in </w:t>
      </w:r>
      <w:r w:rsidRPr="00207D00">
        <w:rPr>
          <w:iCs/>
        </w:rPr>
        <w:t xml:space="preserve">the wholesale and retail trade, repair of vehicles and motorcycles reached 392.7 million USD, accounting for 7.1%; and </w:t>
      </w:r>
      <w:r w:rsidR="00F258A8">
        <w:rPr>
          <w:iCs/>
        </w:rPr>
        <w:t xml:space="preserve">in </w:t>
      </w:r>
      <w:r w:rsidRPr="00207D00">
        <w:rPr>
          <w:iCs/>
        </w:rPr>
        <w:t xml:space="preserve">other economic activities </w:t>
      </w:r>
      <w:r w:rsidR="00F258A8">
        <w:rPr>
          <w:iCs/>
        </w:rPr>
        <w:t xml:space="preserve">was </w:t>
      </w:r>
      <w:r w:rsidRPr="00207D00">
        <w:rPr>
          <w:iCs/>
        </w:rPr>
        <w:t>979.7 million USD, accounting for 17.7%.</w:t>
      </w:r>
    </w:p>
    <w:p w14:paraId="73EF445E" w14:textId="591092E7" w:rsidR="0099216C" w:rsidRPr="00207D00" w:rsidRDefault="0099216C" w:rsidP="0099216C">
      <w:pPr>
        <w:spacing w:after="120" w:line="264" w:lineRule="auto"/>
        <w:ind w:firstLine="720"/>
        <w:jc w:val="both"/>
        <w:rPr>
          <w:iCs/>
        </w:rPr>
      </w:pPr>
      <w:r w:rsidRPr="00207D00">
        <w:rPr>
          <w:iCs/>
        </w:rPr>
        <w:t xml:space="preserve">- There were 492 turns of registered capital contributions and purchasing shares by foreign investors with a total value of 499.5 million USD, a year-on-year decrease of 5.7%. Of which, 128 turns of capital contributions and purchasing shares increased the charter capital of enterprises with a value of 297.8 million USD, and 364 turns of foreign investors </w:t>
      </w:r>
      <w:r w:rsidR="00660B05" w:rsidRPr="00207D00">
        <w:rPr>
          <w:iCs/>
        </w:rPr>
        <w:t>re</w:t>
      </w:r>
      <w:r w:rsidR="00660B05">
        <w:rPr>
          <w:iCs/>
        </w:rPr>
        <w:t>purchased</w:t>
      </w:r>
      <w:r w:rsidR="00660B05" w:rsidRPr="00207D00">
        <w:rPr>
          <w:iCs/>
        </w:rPr>
        <w:t xml:space="preserve"> </w:t>
      </w:r>
      <w:r w:rsidRPr="00207D00">
        <w:rPr>
          <w:iCs/>
        </w:rPr>
        <w:t xml:space="preserve">domestic shares without increasing </w:t>
      </w:r>
      <w:r w:rsidR="00660B05" w:rsidRPr="00207D00">
        <w:rPr>
          <w:iCs/>
        </w:rPr>
        <w:t xml:space="preserve">charter </w:t>
      </w:r>
      <w:r w:rsidRPr="00207D00">
        <w:rPr>
          <w:iCs/>
        </w:rPr>
        <w:t>capital with a value of 201.7 million USD. Regarding the form of capital contributions and purchasing shares by foreign investors</w:t>
      </w:r>
      <w:r w:rsidR="00660B05">
        <w:rPr>
          <w:iCs/>
        </w:rPr>
        <w:t xml:space="preserve"> in </w:t>
      </w:r>
      <w:r w:rsidRPr="00207D00">
        <w:rPr>
          <w:iCs/>
        </w:rPr>
        <w:t xml:space="preserve">the manufacturing reached 244.7 million USD, accounting for 49.0% of the capital contribution; </w:t>
      </w:r>
      <w:r w:rsidR="002E0563">
        <w:rPr>
          <w:iCs/>
        </w:rPr>
        <w:t xml:space="preserve">in </w:t>
      </w:r>
      <w:r w:rsidRPr="00207D00">
        <w:rPr>
          <w:iCs/>
        </w:rPr>
        <w:t xml:space="preserve">the wholesale and retail trade, repair of vehicles and motorcycles reached 103.7 million USD, accounting for 20.8%; and </w:t>
      </w:r>
      <w:r w:rsidR="002E0563">
        <w:rPr>
          <w:iCs/>
        </w:rPr>
        <w:t xml:space="preserve">in </w:t>
      </w:r>
      <w:r w:rsidRPr="00207D00">
        <w:rPr>
          <w:iCs/>
        </w:rPr>
        <w:t>other economic activities reached 151.1 million USD, accounting for 30.2%.</w:t>
      </w:r>
    </w:p>
    <w:p w14:paraId="3D1EC8C7" w14:textId="3F4E515F" w:rsidR="0099216C" w:rsidRPr="00207D00" w:rsidRDefault="0099216C" w:rsidP="0099216C">
      <w:pPr>
        <w:spacing w:after="120" w:line="264" w:lineRule="auto"/>
        <w:ind w:firstLine="720"/>
        <w:jc w:val="both"/>
        <w:rPr>
          <w:rFonts w:ascii="Arial" w:hAnsi="Arial" w:cs="Arial"/>
          <w:b/>
          <w:bCs/>
          <w:sz w:val="24"/>
        </w:rPr>
      </w:pPr>
      <w:r w:rsidRPr="00207D00">
        <w:rPr>
          <w:i/>
          <w:iCs/>
        </w:rPr>
        <w:t xml:space="preserve">The disbursed FDI in Viet Nam </w:t>
      </w:r>
      <w:r w:rsidRPr="00207D00">
        <w:t xml:space="preserve">in the first two months of 2026 was estimated at 3.21 billion USD, a year-on-year increase of 8.8%. This was the highest </w:t>
      </w:r>
      <w:r w:rsidR="00A370C9" w:rsidRPr="00207D00">
        <w:t>figure</w:t>
      </w:r>
      <w:r w:rsidRPr="00207D00">
        <w:t xml:space="preserve"> in the disbursed FDI in the first two months of year</w:t>
      </w:r>
      <w:r w:rsidR="002E0563">
        <w:t>s</w:t>
      </w:r>
      <w:r w:rsidRPr="00207D00">
        <w:t xml:space="preserve"> in the past-5-year period. Of which</w:t>
      </w:r>
      <w:r w:rsidR="002E0563">
        <w:t>,</w:t>
      </w:r>
      <w:r w:rsidR="002E0563" w:rsidRPr="00207D00">
        <w:t xml:space="preserve"> </w:t>
      </w:r>
      <w:r w:rsidR="002E0563">
        <w:t xml:space="preserve">the </w:t>
      </w:r>
      <w:r w:rsidR="002E0563" w:rsidRPr="002E0563">
        <w:t>disbursed FDI</w:t>
      </w:r>
      <w:r w:rsidR="002E0563">
        <w:t xml:space="preserve"> in</w:t>
      </w:r>
      <w:r w:rsidR="002E0563" w:rsidRPr="002E0563">
        <w:t xml:space="preserve"> </w:t>
      </w:r>
      <w:r w:rsidRPr="00207D00">
        <w:t xml:space="preserve">the manufacturing reached 2.65 billion USD, representing 82.7% of total disbursed FDI; </w:t>
      </w:r>
      <w:r w:rsidR="002E0563">
        <w:t xml:space="preserve">in </w:t>
      </w:r>
      <w:r w:rsidRPr="00207D00">
        <w:t>the real estate activities reached 223.5 million USD, accounting for 7.0%; and</w:t>
      </w:r>
      <w:r w:rsidR="002E0563">
        <w:t xml:space="preserve"> in the</w:t>
      </w:r>
      <w:r w:rsidRPr="00207D00">
        <w:t xml:space="preserve"> electricity, </w:t>
      </w:r>
      <w:r w:rsidRPr="00207D00">
        <w:lastRenderedPageBreak/>
        <w:t>gas, steam and air conditioning supply reached 119.2 million USD, accounting for 3.7%</w:t>
      </w:r>
      <w:r w:rsidRPr="00207D00">
        <w:rPr>
          <w:iCs/>
        </w:rPr>
        <w:t>.</w:t>
      </w:r>
    </w:p>
    <w:p w14:paraId="6109533B" w14:textId="77777777" w:rsidR="0099216C" w:rsidRPr="00207D00" w:rsidRDefault="0099216C" w:rsidP="0099216C">
      <w:pPr>
        <w:jc w:val="center"/>
        <w:rPr>
          <w:rFonts w:ascii="Arial" w:hAnsi="Arial" w:cs="Arial"/>
          <w:b/>
          <w:bCs/>
          <w:sz w:val="24"/>
        </w:rPr>
      </w:pPr>
      <w:r w:rsidRPr="00207D00">
        <w:rPr>
          <w:rFonts w:ascii="Arial" w:hAnsi="Arial" w:cs="Arial"/>
          <w:b/>
          <w:bCs/>
          <w:sz w:val="24"/>
        </w:rPr>
        <w:t xml:space="preserve">Figure 8. Disbursed foreign direct investment </w:t>
      </w:r>
    </w:p>
    <w:p w14:paraId="3DCAEF93" w14:textId="77777777" w:rsidR="0099216C" w:rsidRPr="00207D00" w:rsidRDefault="0099216C" w:rsidP="0099216C">
      <w:pPr>
        <w:rPr>
          <w:rFonts w:ascii="Arial" w:hAnsi="Arial" w:cs="Arial"/>
          <w:b/>
          <w:bCs/>
          <w:sz w:val="24"/>
        </w:rPr>
      </w:pPr>
      <w:r w:rsidRPr="00207D00">
        <w:rPr>
          <w:rFonts w:ascii="Arial" w:hAnsi="Arial" w:cs="Arial"/>
          <w:b/>
          <w:bCs/>
          <w:sz w:val="24"/>
        </w:rPr>
        <w:t xml:space="preserve">                             in the first two months, 2022-2026 (billion USD)</w:t>
      </w:r>
    </w:p>
    <w:p w14:paraId="2D55BEE2" w14:textId="77777777" w:rsidR="0099216C" w:rsidRPr="00207D00" w:rsidRDefault="0099216C" w:rsidP="0099216C">
      <w:pPr>
        <w:jc w:val="center"/>
        <w:rPr>
          <w:rFonts w:ascii="Arial" w:hAnsi="Arial" w:cs="Arial"/>
          <w:b/>
          <w:bCs/>
          <w:sz w:val="24"/>
        </w:rPr>
      </w:pPr>
      <w:r w:rsidRPr="00207D00">
        <w:rPr>
          <w:noProof/>
          <w14:ligatures w14:val="standardContextual"/>
        </w:rPr>
        <w:drawing>
          <wp:inline distT="0" distB="0" distL="0" distR="0" wp14:anchorId="736736E8" wp14:editId="59B269D3">
            <wp:extent cx="4572000" cy="2013995"/>
            <wp:effectExtent l="0" t="0" r="0" b="5715"/>
            <wp:docPr id="192460010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88ADD5" w14:textId="6EDB5C89" w:rsidR="0099216C" w:rsidRPr="00207D00" w:rsidRDefault="0099216C" w:rsidP="0099216C">
      <w:pPr>
        <w:spacing w:before="240" w:after="120" w:line="264" w:lineRule="auto"/>
        <w:ind w:firstLine="720"/>
        <w:jc w:val="both"/>
        <w:rPr>
          <w:i/>
          <w:iCs/>
        </w:rPr>
      </w:pPr>
      <w:r w:rsidRPr="00207D00">
        <w:rPr>
          <w:i/>
          <w:iCs/>
        </w:rPr>
        <w:t xml:space="preserve">Viet Nam's outward investment </w:t>
      </w:r>
      <w:r w:rsidRPr="00207D00">
        <w:t>in</w:t>
      </w:r>
      <w:r w:rsidRPr="00207D00">
        <w:rPr>
          <w:iCs/>
        </w:rPr>
        <w:t xml:space="preserve"> the first two months of 2026 witnessed 36 projects granted with new investment certificates with a total capital of 532.4 million USD, 2.3 times higher than that in the same period last year; </w:t>
      </w:r>
      <w:r w:rsidR="00427844">
        <w:rPr>
          <w:iCs/>
        </w:rPr>
        <w:t xml:space="preserve">there were </w:t>
      </w:r>
      <w:r w:rsidRPr="00207D00">
        <w:rPr>
          <w:iCs/>
        </w:rPr>
        <w:t xml:space="preserve">3 turns of projects adjusted their capital with an additional amount </w:t>
      </w:r>
      <w:r w:rsidR="00427844" w:rsidRPr="00207D00">
        <w:rPr>
          <w:iCs/>
        </w:rPr>
        <w:t>of 7.8</w:t>
      </w:r>
      <w:r w:rsidRPr="00207D00">
        <w:rPr>
          <w:iCs/>
        </w:rPr>
        <w:t xml:space="preserve"> million USD, 1.5 times higher than that in the same period last year.</w:t>
      </w:r>
    </w:p>
    <w:p w14:paraId="0F819408" w14:textId="5848B46A" w:rsidR="0099216C" w:rsidRPr="00207D00" w:rsidRDefault="0099216C" w:rsidP="0099216C">
      <w:pPr>
        <w:spacing w:after="120" w:line="264" w:lineRule="auto"/>
        <w:ind w:firstLine="720"/>
        <w:jc w:val="both"/>
        <w:rPr>
          <w:iCs/>
          <w:spacing w:val="-4"/>
        </w:rPr>
      </w:pPr>
      <w:r w:rsidRPr="00207D00">
        <w:rPr>
          <w:iCs/>
          <w:spacing w:val="-4"/>
        </w:rPr>
        <w:t>Generally, the total Viet Nam's outward FDI (newly granted and adjusted capital) reached 540.2 million USD, 2.3 times higher than that in the same period last year. Of which</w:t>
      </w:r>
      <w:r w:rsidR="00427844">
        <w:rPr>
          <w:iCs/>
          <w:spacing w:val="-4"/>
        </w:rPr>
        <w:t>,</w:t>
      </w:r>
      <w:r w:rsidRPr="00207D00">
        <w:rPr>
          <w:iCs/>
          <w:spacing w:val="-4"/>
        </w:rPr>
        <w:t xml:space="preserve"> </w:t>
      </w:r>
      <w:r w:rsidR="007F364C">
        <w:rPr>
          <w:iCs/>
          <w:spacing w:val="-4"/>
        </w:rPr>
        <w:t xml:space="preserve">the </w:t>
      </w:r>
      <w:r w:rsidR="00427844" w:rsidRPr="00207D00">
        <w:rPr>
          <w:iCs/>
          <w:spacing w:val="-4"/>
        </w:rPr>
        <w:t xml:space="preserve">outward FDI </w:t>
      </w:r>
      <w:r w:rsidR="00427844">
        <w:rPr>
          <w:iCs/>
          <w:spacing w:val="-4"/>
        </w:rPr>
        <w:t>in t</w:t>
      </w:r>
      <w:r w:rsidR="00427844" w:rsidRPr="00207D00">
        <w:rPr>
          <w:iCs/>
          <w:spacing w:val="-4"/>
        </w:rPr>
        <w:t xml:space="preserve">he </w:t>
      </w:r>
      <w:r w:rsidRPr="00207D00">
        <w:rPr>
          <w:iCs/>
          <w:spacing w:val="-4"/>
        </w:rPr>
        <w:t xml:space="preserve">electricity, gas, steam and air conditioning supply reached 163.8 million USD, accounting for 30.3%; </w:t>
      </w:r>
      <w:r w:rsidR="00427844">
        <w:rPr>
          <w:iCs/>
          <w:spacing w:val="-4"/>
        </w:rPr>
        <w:t xml:space="preserve">in </w:t>
      </w:r>
      <w:r w:rsidRPr="00207D00">
        <w:rPr>
          <w:iCs/>
          <w:spacing w:val="-4"/>
        </w:rPr>
        <w:t xml:space="preserve">the construction reached 150.9 million USD, accounting for 27.9%; and </w:t>
      </w:r>
      <w:r w:rsidR="00427844">
        <w:rPr>
          <w:iCs/>
          <w:spacing w:val="-4"/>
        </w:rPr>
        <w:t xml:space="preserve">in the </w:t>
      </w:r>
      <w:r w:rsidRPr="00207D00">
        <w:rPr>
          <w:iCs/>
          <w:spacing w:val="-4"/>
        </w:rPr>
        <w:t>transportation and storage reached 149.2 million USD, accounting for 27.6%.</w:t>
      </w:r>
    </w:p>
    <w:p w14:paraId="023139AA" w14:textId="469C27D7" w:rsidR="004037C6" w:rsidRPr="00207D00" w:rsidRDefault="0099216C" w:rsidP="0099216C">
      <w:pPr>
        <w:spacing w:after="120" w:line="264" w:lineRule="auto"/>
        <w:ind w:firstLine="720"/>
        <w:jc w:val="both"/>
      </w:pPr>
      <w:r w:rsidRPr="00207D00">
        <w:rPr>
          <w:iCs/>
          <w:spacing w:val="2"/>
        </w:rPr>
        <w:t xml:space="preserve">In the first two months of 2026, 36 countries and territories received investment from Viet Nam. Laos was the leading destination with 176.7 million USD, accounting for 32.7% of total investment; </w:t>
      </w:r>
      <w:r w:rsidR="007F364C" w:rsidRPr="00207D00">
        <w:rPr>
          <w:iCs/>
          <w:spacing w:val="2"/>
        </w:rPr>
        <w:t>followed</w:t>
      </w:r>
      <w:r w:rsidR="007F364C">
        <w:rPr>
          <w:iCs/>
          <w:spacing w:val="2"/>
        </w:rPr>
        <w:t xml:space="preserve"> by</w:t>
      </w:r>
      <w:r w:rsidR="007F364C" w:rsidRPr="00207D00">
        <w:rPr>
          <w:iCs/>
          <w:spacing w:val="2"/>
        </w:rPr>
        <w:t xml:space="preserve"> </w:t>
      </w:r>
      <w:r w:rsidRPr="00207D00">
        <w:rPr>
          <w:iCs/>
          <w:spacing w:val="2"/>
        </w:rPr>
        <w:t>Kyrgyzstan with 149.9 million USD, accounting for 27.8%; Angola with 30 million USD, accounting for 5.6%; the Netherlands with 29.4 million USD, accounting for 5.5%; and Sweden with 28.5 million USD, accounting for 5.3%</w:t>
      </w:r>
      <w:r w:rsidR="004037C6" w:rsidRPr="00207D00">
        <w:rPr>
          <w:iCs/>
          <w:spacing w:val="2"/>
        </w:rPr>
        <w:t>.</w:t>
      </w:r>
    </w:p>
    <w:p w14:paraId="56A94AC9" w14:textId="77777777" w:rsidR="00AA5F0A" w:rsidRPr="00207D00" w:rsidRDefault="00AA5F0A" w:rsidP="00AA5F0A">
      <w:pPr>
        <w:spacing w:after="120" w:line="264" w:lineRule="auto"/>
        <w:ind w:firstLine="720"/>
        <w:jc w:val="both"/>
        <w:rPr>
          <w:b/>
          <w:bCs/>
        </w:rPr>
      </w:pPr>
      <w:r w:rsidRPr="00207D00">
        <w:rPr>
          <w:b/>
        </w:rPr>
        <w:t>5. State budget revenue and expenditure</w:t>
      </w:r>
      <w:r w:rsidRPr="00207D00">
        <w:rPr>
          <w:rStyle w:val="FootnoteReference"/>
          <w:b/>
          <w:bCs/>
        </w:rPr>
        <w:footnoteReference w:id="11"/>
      </w:r>
    </w:p>
    <w:p w14:paraId="37A6DA56" w14:textId="77777777" w:rsidR="00AA5F0A" w:rsidRPr="00207D00" w:rsidRDefault="00AA5F0A" w:rsidP="00AA5F0A">
      <w:pPr>
        <w:spacing w:after="120" w:line="264" w:lineRule="auto"/>
        <w:ind w:firstLine="720"/>
        <w:jc w:val="both"/>
        <w:rPr>
          <w:b/>
          <w:spacing w:val="-2"/>
          <w:sz w:val="10"/>
          <w:szCs w:val="10"/>
        </w:rPr>
      </w:pPr>
      <w:r w:rsidRPr="00207D00">
        <w:rPr>
          <w:i/>
        </w:rPr>
        <w:t>State budget revenue in the first two months of 2026 was estimated to increase by 13.1% over the same period last year. State budget expenditure was estimated to increase by 11.0% over the same period in 2025, ensuring the needs of socio-economic development, national defense, security, state management, payment of due debts as well as timely payment to beneficiaries according to regulations.</w:t>
      </w:r>
    </w:p>
    <w:p w14:paraId="1712DC80" w14:textId="77777777" w:rsidR="00AA5F0A" w:rsidRPr="00207D00" w:rsidRDefault="00AA5F0A" w:rsidP="00AA5F0A">
      <w:pPr>
        <w:spacing w:before="120" w:after="120" w:line="264" w:lineRule="auto"/>
        <w:jc w:val="center"/>
        <w:rPr>
          <w:rFonts w:ascii="Arial" w:hAnsi="Arial" w:cs="Arial"/>
          <w:b/>
          <w:sz w:val="24"/>
          <w:szCs w:val="24"/>
        </w:rPr>
      </w:pPr>
      <w:r w:rsidRPr="00207D00">
        <w:rPr>
          <w:rFonts w:ascii="Arial" w:hAnsi="Arial"/>
          <w:b/>
          <w:sz w:val="24"/>
        </w:rPr>
        <w:lastRenderedPageBreak/>
        <w:t>Figure 9. State budget revenue and expenditure in the first 2 months of 2026</w:t>
      </w:r>
    </w:p>
    <w:p w14:paraId="49A1EA60" w14:textId="77777777" w:rsidR="00AA5F0A" w:rsidRPr="00207D00" w:rsidRDefault="00AA5F0A" w:rsidP="00AA5F0A">
      <w:pPr>
        <w:spacing w:before="40" w:after="40" w:line="276" w:lineRule="auto"/>
        <w:jc w:val="center"/>
        <w:rPr>
          <w:b/>
          <w:i/>
        </w:rPr>
      </w:pPr>
      <w:r w:rsidRPr="00207D00">
        <w:rPr>
          <w:b/>
          <w:i/>
          <w:noProof/>
        </w:rPr>
        <w:drawing>
          <wp:inline distT="0" distB="0" distL="0" distR="0" wp14:anchorId="3CAB4B66" wp14:editId="247A8CB1">
            <wp:extent cx="4617720" cy="1926696"/>
            <wp:effectExtent l="0" t="0" r="0" b="0"/>
            <wp:docPr id="2046881320" name="Picture 204688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 NSNN 02.2026_VN_28.2-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43198" cy="1937327"/>
                    </a:xfrm>
                    <a:prstGeom prst="rect">
                      <a:avLst/>
                    </a:prstGeom>
                  </pic:spPr>
                </pic:pic>
              </a:graphicData>
            </a:graphic>
          </wp:inline>
        </w:drawing>
      </w:r>
    </w:p>
    <w:p w14:paraId="63A9307A" w14:textId="77777777" w:rsidR="00AA5F0A" w:rsidRPr="00207D00" w:rsidRDefault="00AA5F0A" w:rsidP="00AA5F0A">
      <w:pPr>
        <w:spacing w:after="120" w:line="264" w:lineRule="auto"/>
        <w:ind w:firstLine="720"/>
        <w:jc w:val="both"/>
        <w:rPr>
          <w:b/>
          <w:i/>
        </w:rPr>
      </w:pPr>
      <w:r w:rsidRPr="00207D00">
        <w:rPr>
          <w:b/>
          <w:i/>
        </w:rPr>
        <w:t>State budget revenue</w:t>
      </w:r>
    </w:p>
    <w:p w14:paraId="6CB59CB9" w14:textId="5206D2B8" w:rsidR="00AA5F0A" w:rsidRPr="00207D00" w:rsidRDefault="00AA5F0A" w:rsidP="00AA5F0A">
      <w:pPr>
        <w:spacing w:after="120" w:line="264" w:lineRule="auto"/>
        <w:ind w:firstLine="720"/>
        <w:jc w:val="both"/>
      </w:pPr>
      <w:r w:rsidRPr="00207D00">
        <w:t xml:space="preserve">Total </w:t>
      </w:r>
      <w:r w:rsidR="00D425CA" w:rsidRPr="00207D00">
        <w:t xml:space="preserve">State </w:t>
      </w:r>
      <w:r w:rsidRPr="00207D00">
        <w:t xml:space="preserve">budget revenue in February 2026 was estimated at 170.5 trillion VND. The total </w:t>
      </w:r>
      <w:r w:rsidR="00D425CA" w:rsidRPr="00207D00">
        <w:t xml:space="preserve">State </w:t>
      </w:r>
      <w:r w:rsidRPr="00207D00">
        <w:t>budget revenue accrued in the first two months of 2026 was estimated at 601.3 trillion VND, reaching 23.8% of the annual estimate</w:t>
      </w:r>
      <w:r w:rsidR="00DB2AFD">
        <w:t>,</w:t>
      </w:r>
      <w:r w:rsidRPr="00207D00">
        <w:t xml:space="preserve"> and going up 13.1% over the same period last year. In particular, some main revenue items were as follows:</w:t>
      </w:r>
    </w:p>
    <w:p w14:paraId="0E4A4E56" w14:textId="77777777" w:rsidR="00AA5F0A" w:rsidRPr="00207D00" w:rsidRDefault="00AA5F0A" w:rsidP="00AA5F0A">
      <w:pPr>
        <w:spacing w:after="120" w:line="264" w:lineRule="auto"/>
        <w:ind w:firstLine="720"/>
        <w:jc w:val="both"/>
      </w:pPr>
      <w:r w:rsidRPr="00207D00">
        <w:t xml:space="preserve">- </w:t>
      </w:r>
      <w:r w:rsidRPr="00207D00">
        <w:rPr>
          <w:i/>
          <w:iCs/>
        </w:rPr>
        <w:t>Domestic revenue</w:t>
      </w:r>
      <w:r w:rsidRPr="00207D00">
        <w:t xml:space="preserve"> in February 2026 was 159.3 trillion VND. The accrued revenue in the first two months of 2026 was 558.1 trillion VND, reaching 25.4% of the annual estimate and going up by 15.0% over the same period last year</w:t>
      </w:r>
      <w:r w:rsidRPr="00207D00">
        <w:rPr>
          <w:rStyle w:val="FootnoteReference"/>
        </w:rPr>
        <w:footnoteReference w:id="12"/>
      </w:r>
      <w:r w:rsidRPr="00207D00">
        <w:t>.</w:t>
      </w:r>
    </w:p>
    <w:p w14:paraId="53ABE6B9" w14:textId="6ACEB8DA" w:rsidR="00AA5F0A" w:rsidRPr="00207D00" w:rsidRDefault="00AA5F0A" w:rsidP="00AA5F0A">
      <w:pPr>
        <w:spacing w:after="120" w:line="264" w:lineRule="auto"/>
        <w:ind w:firstLine="720"/>
        <w:jc w:val="both"/>
      </w:pPr>
      <w:r w:rsidRPr="00207D00">
        <w:t xml:space="preserve">- </w:t>
      </w:r>
      <w:r w:rsidR="00DB2AFD">
        <w:rPr>
          <w:i/>
          <w:iCs/>
        </w:rPr>
        <w:t>O</w:t>
      </w:r>
      <w:r w:rsidRPr="00207D00">
        <w:rPr>
          <w:i/>
          <w:iCs/>
        </w:rPr>
        <w:t>il</w:t>
      </w:r>
      <w:r w:rsidR="00DB2AFD">
        <w:rPr>
          <w:i/>
          <w:iCs/>
        </w:rPr>
        <w:t xml:space="preserve"> revenue</w:t>
      </w:r>
      <w:r w:rsidRPr="00207D00">
        <w:t xml:space="preserve"> in February 2026 was estimated at 1.7 trillion VND. The accrued revenue in the first two months of 2026 was 5.1 trillion VND, reaching 11.9% of the annual estimate</w:t>
      </w:r>
      <w:r w:rsidR="00DB2AFD">
        <w:t>,</w:t>
      </w:r>
      <w:r w:rsidRPr="00207D00">
        <w:t xml:space="preserve"> and down 42.2% over the same period last year. </w:t>
      </w:r>
    </w:p>
    <w:p w14:paraId="04BF2ADE" w14:textId="048C2E2F" w:rsidR="00AA5F0A" w:rsidRPr="00207D00" w:rsidRDefault="00AA5F0A" w:rsidP="00AA5F0A">
      <w:pPr>
        <w:spacing w:after="120" w:line="264" w:lineRule="auto"/>
        <w:ind w:firstLine="720"/>
        <w:jc w:val="both"/>
      </w:pPr>
      <w:r w:rsidRPr="00207D00">
        <w:rPr>
          <w:i/>
        </w:rPr>
        <w:t xml:space="preserve">- </w:t>
      </w:r>
      <w:r w:rsidR="00DB2AFD" w:rsidRPr="00DB2AFD">
        <w:rPr>
          <w:i/>
        </w:rPr>
        <w:t>Revenue from budget balance of import-export activities</w:t>
      </w:r>
      <w:r w:rsidRPr="00207D00">
        <w:t xml:space="preserve"> in February 2026 was estimated at 9.6 trillion VND.  The accrued revenue in the first two months of 2026 was 38.0 trillion VND, reaching 13.7% of the annual estimate</w:t>
      </w:r>
      <w:r w:rsidR="00DB2AFD">
        <w:t>,</w:t>
      </w:r>
      <w:r w:rsidRPr="00207D00">
        <w:t xml:space="preserve"> and </w:t>
      </w:r>
      <w:r w:rsidR="00DB2AFD">
        <w:t>increasing</w:t>
      </w:r>
      <w:r w:rsidRPr="00207D00">
        <w:t xml:space="preserve"> by 1.2% over the same period last year. </w:t>
      </w:r>
    </w:p>
    <w:p w14:paraId="34DC2A17" w14:textId="77777777" w:rsidR="00AA5F0A" w:rsidRPr="00207D00" w:rsidRDefault="00AA5F0A" w:rsidP="00AA5F0A">
      <w:pPr>
        <w:spacing w:after="120" w:line="264" w:lineRule="auto"/>
        <w:ind w:firstLine="720"/>
        <w:jc w:val="both"/>
        <w:rPr>
          <w:b/>
          <w:i/>
        </w:rPr>
      </w:pPr>
      <w:r w:rsidRPr="00207D00">
        <w:rPr>
          <w:b/>
          <w:i/>
        </w:rPr>
        <w:t>State budget expenditure</w:t>
      </w:r>
    </w:p>
    <w:p w14:paraId="6D5B8591" w14:textId="10D47AC6" w:rsidR="009379C9" w:rsidRPr="00207D00" w:rsidRDefault="00AA5F0A" w:rsidP="00AA5F0A">
      <w:pPr>
        <w:spacing w:after="120" w:line="264" w:lineRule="auto"/>
        <w:ind w:firstLine="720"/>
        <w:jc w:val="both"/>
      </w:pPr>
      <w:r w:rsidRPr="00207D00">
        <w:t xml:space="preserve">Total </w:t>
      </w:r>
      <w:r w:rsidR="00D425CA" w:rsidRPr="00207D00">
        <w:t xml:space="preserve">State </w:t>
      </w:r>
      <w:r w:rsidRPr="00207D00">
        <w:t xml:space="preserve">budget expenditure in February 2026 was estimated at 163.0 trillion VND. The accrued expenditure in the first two months of 2026 was 311.0 trillion VND, reaching 9.8% of the annual estimate and an increase of 11.0% over the same period last year. Specifically, recurrent expenditure in the first two months of 2026 was estimated at 241.0 trillion VND, equal to 13.3% of the annual estimate and an increase of 14.8% over the same period last year; </w:t>
      </w:r>
      <w:r w:rsidR="00D425CA">
        <w:t>e</w:t>
      </w:r>
      <w:r w:rsidR="00D425CA" w:rsidRPr="00D425CA">
        <w:t>xpenditure on development investment</w:t>
      </w:r>
      <w:r w:rsidR="00D425CA" w:rsidRPr="00D425CA" w:rsidDel="00D425CA">
        <w:t xml:space="preserve"> </w:t>
      </w:r>
      <w:r w:rsidRPr="00207D00">
        <w:t>gained 42.5 trillion VND, reaching 3.8% and decrease of 5.2%; interest payment was 27.1 trillion VND, reaching 22.3% and increasing 8.1%.</w:t>
      </w:r>
    </w:p>
    <w:p w14:paraId="3DE1A9F2" w14:textId="77777777" w:rsidR="00356412" w:rsidRPr="00207D00" w:rsidRDefault="00356412" w:rsidP="00356412">
      <w:pPr>
        <w:spacing w:after="120" w:line="264" w:lineRule="auto"/>
        <w:ind w:firstLine="720"/>
        <w:jc w:val="both"/>
        <w:rPr>
          <w:b/>
          <w:bCs/>
        </w:rPr>
      </w:pPr>
      <w:bookmarkStart w:id="1" w:name="_Hlk181359994"/>
      <w:bookmarkEnd w:id="0"/>
      <w:r w:rsidRPr="00207D00">
        <w:rPr>
          <w:b/>
          <w:bCs/>
        </w:rPr>
        <w:lastRenderedPageBreak/>
        <w:t>6. Trade, prices, transport and tourism</w:t>
      </w:r>
    </w:p>
    <w:p w14:paraId="1541848E" w14:textId="77777777" w:rsidR="00356412" w:rsidRPr="00207D00" w:rsidRDefault="00356412" w:rsidP="00356412">
      <w:pPr>
        <w:spacing w:after="120" w:line="264" w:lineRule="auto"/>
        <w:ind w:firstLine="720"/>
        <w:rPr>
          <w:b/>
          <w:i/>
        </w:rPr>
      </w:pPr>
      <w:r w:rsidRPr="00207D00">
        <w:rPr>
          <w:b/>
          <w:i/>
        </w:rPr>
        <w:t>a) Retail sales of goods and services</w:t>
      </w:r>
    </w:p>
    <w:p w14:paraId="0D86F4AF" w14:textId="5B144E1E" w:rsidR="00356412" w:rsidRPr="00207D00" w:rsidRDefault="00356412" w:rsidP="00356412">
      <w:pPr>
        <w:spacing w:after="120" w:line="264" w:lineRule="auto"/>
        <w:ind w:firstLine="720"/>
        <w:jc w:val="both"/>
        <w:rPr>
          <w:i/>
        </w:rPr>
      </w:pPr>
      <w:bookmarkStart w:id="2" w:name="_Hlk213088934"/>
      <w:r w:rsidRPr="00207D00">
        <w:rPr>
          <w:i/>
        </w:rPr>
        <w:t xml:space="preserve">Commercial and service activities in February were </w:t>
      </w:r>
      <w:r w:rsidR="007F364C">
        <w:rPr>
          <w:i/>
        </w:rPr>
        <w:t>dynamic</w:t>
      </w:r>
      <w:r w:rsidRPr="00207D00">
        <w:rPr>
          <w:i/>
        </w:rPr>
        <w:t xml:space="preserve">, meeting the consumption demand of people during the 2026 Lunar New Year. </w:t>
      </w:r>
      <w:r w:rsidR="007520D2">
        <w:rPr>
          <w:i/>
        </w:rPr>
        <w:t>R</w:t>
      </w:r>
      <w:r w:rsidRPr="00207D00">
        <w:rPr>
          <w:i/>
        </w:rPr>
        <w:t xml:space="preserve">etail sales of goods and services were estimated to increase by 8.5% over that in the same period last year. Generally, in the first two months of 2026, </w:t>
      </w:r>
      <w:r w:rsidR="007520D2">
        <w:rPr>
          <w:i/>
        </w:rPr>
        <w:t>the</w:t>
      </w:r>
      <w:r w:rsidR="007520D2" w:rsidRPr="00207D00">
        <w:rPr>
          <w:i/>
        </w:rPr>
        <w:t xml:space="preserve"> </w:t>
      </w:r>
      <w:r w:rsidRPr="00207D00">
        <w:rPr>
          <w:i/>
        </w:rPr>
        <w:t>retail sales of goods and services were estimated to increase by 7.9% year-on-year, of which: Accommodation and food service</w:t>
      </w:r>
      <w:r w:rsidR="004F7D76">
        <w:rPr>
          <w:i/>
        </w:rPr>
        <w:t xml:space="preserve"> activities</w:t>
      </w:r>
      <w:r w:rsidRPr="00207D00">
        <w:rPr>
          <w:i/>
        </w:rPr>
        <w:t xml:space="preserve"> increased by 9.1%, </w:t>
      </w:r>
      <w:r w:rsidR="004F7D76">
        <w:rPr>
          <w:i/>
        </w:rPr>
        <w:t>t</w:t>
      </w:r>
      <w:r w:rsidR="004F7D76" w:rsidRPr="004F7D76">
        <w:rPr>
          <w:i/>
        </w:rPr>
        <w:t xml:space="preserve">urnover of travelling </w:t>
      </w:r>
      <w:r w:rsidRPr="00207D00">
        <w:rPr>
          <w:i/>
        </w:rPr>
        <w:t>increased by 12.2%.</w:t>
      </w:r>
    </w:p>
    <w:p w14:paraId="0D65A0CA" w14:textId="44228A52" w:rsidR="00356412" w:rsidRPr="00207D00" w:rsidRDefault="00356412" w:rsidP="00356412">
      <w:pPr>
        <w:spacing w:after="120" w:line="264" w:lineRule="auto"/>
        <w:ind w:firstLine="720"/>
        <w:jc w:val="both"/>
        <w:rPr>
          <w:iCs/>
          <w:spacing w:val="-2"/>
        </w:rPr>
      </w:pPr>
      <w:r w:rsidRPr="00207D00">
        <w:rPr>
          <w:iCs/>
          <w:spacing w:val="-2"/>
        </w:rPr>
        <w:t xml:space="preserve">The retail sales of goods and services at current prices in February were estimated at 613.7 trillion </w:t>
      </w:r>
      <w:r w:rsidR="007F1671">
        <w:rPr>
          <w:iCs/>
          <w:spacing w:val="-2"/>
        </w:rPr>
        <w:t>VND</w:t>
      </w:r>
      <w:r w:rsidRPr="00207D00">
        <w:rPr>
          <w:iCs/>
          <w:spacing w:val="-2"/>
        </w:rPr>
        <w:t xml:space="preserve">, </w:t>
      </w:r>
      <w:r w:rsidRPr="00207D00">
        <w:rPr>
          <w:bCs/>
        </w:rPr>
        <w:t>a year-on-year increase of</w:t>
      </w:r>
      <w:r w:rsidRPr="00207D00">
        <w:rPr>
          <w:iCs/>
          <w:spacing w:val="-2"/>
        </w:rPr>
        <w:t xml:space="preserve"> 8.5%. Of which, turnover from garment products increased by 14.3% year-on-year due to increased shopping demand during the Lunar New Year; household appliances, tools and equipment increased by 9.6%; food and foodstuffs increased by 9.0%; accommodation and food service </w:t>
      </w:r>
      <w:r w:rsidR="007F1671" w:rsidRPr="007F1671">
        <w:rPr>
          <w:iCs/>
          <w:spacing w:val="-2"/>
        </w:rPr>
        <w:t xml:space="preserve">activities </w:t>
      </w:r>
      <w:r w:rsidRPr="00207D00">
        <w:rPr>
          <w:iCs/>
          <w:spacing w:val="-2"/>
        </w:rPr>
        <w:t xml:space="preserve">increased by 9.7%; and </w:t>
      </w:r>
      <w:r w:rsidR="007F1671">
        <w:rPr>
          <w:iCs/>
          <w:spacing w:val="-2"/>
        </w:rPr>
        <w:t xml:space="preserve">the </w:t>
      </w:r>
      <w:r w:rsidRPr="00207D00">
        <w:rPr>
          <w:iCs/>
          <w:spacing w:val="-2"/>
        </w:rPr>
        <w:t>travel</w:t>
      </w:r>
      <w:r w:rsidR="007F1671">
        <w:rPr>
          <w:iCs/>
          <w:spacing w:val="-2"/>
        </w:rPr>
        <w:t>ling</w:t>
      </w:r>
      <w:r w:rsidRPr="00207D00">
        <w:rPr>
          <w:iCs/>
          <w:spacing w:val="-2"/>
        </w:rPr>
        <w:t xml:space="preserve"> increased by 13.8%. Meanwhile, other services, accounting for 10.3% of the total, increased by only 4.4% compared with the same period last year</w:t>
      </w:r>
      <w:r w:rsidRPr="00207D00">
        <w:rPr>
          <w:rStyle w:val="FootnoteReference"/>
          <w:iCs/>
          <w:spacing w:val="-2"/>
        </w:rPr>
        <w:footnoteReference w:id="13"/>
      </w:r>
      <w:r w:rsidRPr="00207D00">
        <w:rPr>
          <w:iCs/>
          <w:spacing w:val="-2"/>
        </w:rPr>
        <w:t>.</w:t>
      </w:r>
    </w:p>
    <w:p w14:paraId="0ED6163D" w14:textId="7C214121" w:rsidR="00356412" w:rsidRPr="00207D00" w:rsidRDefault="00356412" w:rsidP="00356412">
      <w:pPr>
        <w:spacing w:after="120" w:line="254" w:lineRule="auto"/>
        <w:jc w:val="center"/>
        <w:rPr>
          <w:rFonts w:ascii="Arial" w:hAnsi="Arial" w:cs="Arial"/>
          <w:b/>
          <w:bCs/>
          <w:spacing w:val="-6"/>
          <w:sz w:val="24"/>
          <w:szCs w:val="26"/>
        </w:rPr>
      </w:pPr>
      <w:r w:rsidRPr="00207D00">
        <w:rPr>
          <w:rFonts w:ascii="Arial" w:hAnsi="Arial" w:cs="Arial"/>
          <w:b/>
          <w:spacing w:val="-2"/>
          <w:sz w:val="24"/>
          <w:szCs w:val="26"/>
        </w:rPr>
        <w:t xml:space="preserve">Table 3. </w:t>
      </w:r>
      <w:r w:rsidR="007F1671">
        <w:rPr>
          <w:rFonts w:ascii="Arial" w:hAnsi="Arial" w:cs="Arial"/>
          <w:b/>
          <w:bCs/>
          <w:spacing w:val="-6"/>
          <w:sz w:val="24"/>
          <w:szCs w:val="26"/>
        </w:rPr>
        <w:t>R</w:t>
      </w:r>
      <w:r w:rsidRPr="00207D00">
        <w:rPr>
          <w:rFonts w:ascii="Arial" w:hAnsi="Arial" w:cs="Arial"/>
          <w:b/>
          <w:bCs/>
          <w:spacing w:val="-6"/>
          <w:sz w:val="24"/>
          <w:szCs w:val="26"/>
        </w:rPr>
        <w:t>etail sales of goods and services at current prices</w:t>
      </w:r>
    </w:p>
    <w:p w14:paraId="461FE61F" w14:textId="77777777" w:rsidR="00356412" w:rsidRPr="00207D00" w:rsidRDefault="00356412" w:rsidP="00356412">
      <w:pPr>
        <w:tabs>
          <w:tab w:val="left" w:pos="2835"/>
        </w:tabs>
        <w:ind w:firstLine="561"/>
        <w:jc w:val="right"/>
        <w:rPr>
          <w:rFonts w:ascii="Arial" w:hAnsi="Arial" w:cs="Arial"/>
          <w:b/>
          <w:i/>
          <w:spacing w:val="-6"/>
          <w:sz w:val="20"/>
          <w:szCs w:val="20"/>
        </w:rPr>
      </w:pPr>
      <w:r w:rsidRPr="00207D00">
        <w:rPr>
          <w:rFonts w:ascii="Arial" w:hAnsi="Arial" w:cs="Arial"/>
          <w:b/>
          <w:i/>
          <w:spacing w:val="-6"/>
          <w:sz w:val="20"/>
          <w:szCs w:val="20"/>
        </w:rPr>
        <w:t>Trillion VND</w:t>
      </w:r>
    </w:p>
    <w:tbl>
      <w:tblPr>
        <w:tblW w:w="9038" w:type="dxa"/>
        <w:jc w:val="center"/>
        <w:tblLayout w:type="fixed"/>
        <w:tblLook w:val="04A0" w:firstRow="1" w:lastRow="0" w:firstColumn="1" w:lastColumn="0" w:noHBand="0" w:noVBand="1"/>
      </w:tblPr>
      <w:tblGrid>
        <w:gridCol w:w="3014"/>
        <w:gridCol w:w="1433"/>
        <w:gridCol w:w="1588"/>
        <w:gridCol w:w="1686"/>
        <w:gridCol w:w="1317"/>
      </w:tblGrid>
      <w:tr w:rsidR="00356412" w:rsidRPr="00207D00" w14:paraId="68B0713E" w14:textId="77777777" w:rsidTr="00D563AA">
        <w:trPr>
          <w:cantSplit/>
          <w:trHeight w:val="541"/>
          <w:jc w:val="center"/>
        </w:trPr>
        <w:tc>
          <w:tcPr>
            <w:tcW w:w="3014" w:type="dxa"/>
            <w:vMerge w:val="restart"/>
            <w:tcBorders>
              <w:top w:val="single" w:sz="4" w:space="0" w:color="auto"/>
              <w:left w:val="nil"/>
              <w:bottom w:val="single" w:sz="4" w:space="0" w:color="auto"/>
              <w:right w:val="nil"/>
            </w:tcBorders>
            <w:vAlign w:val="center"/>
            <w:hideMark/>
          </w:tcPr>
          <w:p w14:paraId="50CC036F" w14:textId="77777777" w:rsidR="00356412" w:rsidRPr="00207D00" w:rsidRDefault="00356412" w:rsidP="00D563AA">
            <w:pPr>
              <w:spacing w:line="256" w:lineRule="auto"/>
              <w:jc w:val="both"/>
              <w:rPr>
                <w:rFonts w:ascii="Arial" w:hAnsi="Arial" w:cs="Arial"/>
                <w:sz w:val="20"/>
                <w:szCs w:val="20"/>
              </w:rPr>
            </w:pPr>
            <w:r w:rsidRPr="00207D00">
              <w:rPr>
                <w:rFonts w:ascii="Arial" w:hAnsi="Arial" w:cs="Arial"/>
                <w:bCs/>
                <w:sz w:val="20"/>
                <w:szCs w:val="20"/>
              </w:rPr>
              <w:t> </w:t>
            </w:r>
          </w:p>
        </w:tc>
        <w:tc>
          <w:tcPr>
            <w:tcW w:w="1433" w:type="dxa"/>
            <w:vMerge w:val="restart"/>
            <w:tcBorders>
              <w:top w:val="single" w:sz="4" w:space="0" w:color="auto"/>
              <w:left w:val="nil"/>
              <w:bottom w:val="single" w:sz="4" w:space="0" w:color="auto"/>
              <w:right w:val="nil"/>
            </w:tcBorders>
            <w:vAlign w:val="center"/>
            <w:hideMark/>
          </w:tcPr>
          <w:p w14:paraId="3DACA0CD"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Estimate</w:t>
            </w:r>
          </w:p>
          <w:p w14:paraId="22A1AC65" w14:textId="22CC8AEC" w:rsidR="00356412" w:rsidRPr="00207D00" w:rsidRDefault="007F1671" w:rsidP="00D563AA">
            <w:pPr>
              <w:spacing w:line="256" w:lineRule="auto"/>
              <w:jc w:val="center"/>
              <w:rPr>
                <w:rFonts w:ascii="Arial" w:hAnsi="Arial" w:cs="Arial"/>
                <w:sz w:val="20"/>
                <w:szCs w:val="20"/>
              </w:rPr>
            </w:pPr>
            <w:r>
              <w:rPr>
                <w:rFonts w:ascii="Arial" w:hAnsi="Arial" w:cs="Arial"/>
                <w:sz w:val="20"/>
                <w:szCs w:val="20"/>
              </w:rPr>
              <w:t>f</w:t>
            </w:r>
            <w:r w:rsidRPr="00207D00">
              <w:rPr>
                <w:rFonts w:ascii="Arial" w:hAnsi="Arial" w:cs="Arial"/>
                <w:sz w:val="20"/>
                <w:szCs w:val="20"/>
              </w:rPr>
              <w:t xml:space="preserve">or </w:t>
            </w:r>
            <w:r w:rsidR="00356412" w:rsidRPr="00207D00">
              <w:rPr>
                <w:rFonts w:ascii="Arial" w:hAnsi="Arial" w:cs="Arial"/>
                <w:sz w:val="20"/>
                <w:szCs w:val="20"/>
              </w:rPr>
              <w:t>February</w:t>
            </w:r>
          </w:p>
          <w:p w14:paraId="2F5F62F4"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2026</w:t>
            </w:r>
          </w:p>
        </w:tc>
        <w:tc>
          <w:tcPr>
            <w:tcW w:w="1588" w:type="dxa"/>
            <w:vMerge w:val="restart"/>
            <w:tcBorders>
              <w:top w:val="single" w:sz="4" w:space="0" w:color="auto"/>
              <w:left w:val="nil"/>
              <w:bottom w:val="single" w:sz="4" w:space="0" w:color="auto"/>
              <w:right w:val="nil"/>
            </w:tcBorders>
            <w:vAlign w:val="center"/>
            <w:hideMark/>
          </w:tcPr>
          <w:p w14:paraId="7963F052"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Estimate</w:t>
            </w:r>
          </w:p>
          <w:p w14:paraId="0A077726"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2 months of</w:t>
            </w:r>
          </w:p>
          <w:p w14:paraId="5B729BEF"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2026</w:t>
            </w:r>
          </w:p>
        </w:tc>
        <w:tc>
          <w:tcPr>
            <w:tcW w:w="3003" w:type="dxa"/>
            <w:gridSpan w:val="2"/>
            <w:tcBorders>
              <w:top w:val="single" w:sz="4" w:space="0" w:color="auto"/>
              <w:left w:val="nil"/>
              <w:bottom w:val="single" w:sz="4" w:space="0" w:color="auto"/>
              <w:right w:val="nil"/>
            </w:tcBorders>
            <w:vAlign w:val="center"/>
            <w:hideMark/>
          </w:tcPr>
          <w:p w14:paraId="56D50354"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 xml:space="preserve">Year-on-Year </w:t>
            </w:r>
          </w:p>
          <w:p w14:paraId="44ED8FBF"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Growth rate (%)</w:t>
            </w:r>
          </w:p>
        </w:tc>
      </w:tr>
      <w:tr w:rsidR="00356412" w:rsidRPr="00207D00" w14:paraId="2D6289C3" w14:textId="77777777" w:rsidTr="00D563AA">
        <w:trPr>
          <w:cantSplit/>
          <w:trHeight w:val="452"/>
          <w:jc w:val="center"/>
        </w:trPr>
        <w:tc>
          <w:tcPr>
            <w:tcW w:w="3014" w:type="dxa"/>
            <w:vMerge/>
            <w:tcBorders>
              <w:top w:val="single" w:sz="4" w:space="0" w:color="auto"/>
              <w:left w:val="nil"/>
              <w:bottom w:val="single" w:sz="4" w:space="0" w:color="auto"/>
              <w:right w:val="nil"/>
            </w:tcBorders>
            <w:vAlign w:val="center"/>
            <w:hideMark/>
          </w:tcPr>
          <w:p w14:paraId="53F55614" w14:textId="77777777" w:rsidR="00356412" w:rsidRPr="00207D00" w:rsidRDefault="00356412" w:rsidP="00D563AA">
            <w:pPr>
              <w:spacing w:line="256" w:lineRule="auto"/>
              <w:rPr>
                <w:rFonts w:ascii="Arial" w:hAnsi="Arial" w:cs="Arial"/>
                <w:sz w:val="20"/>
                <w:szCs w:val="20"/>
              </w:rPr>
            </w:pPr>
          </w:p>
        </w:tc>
        <w:tc>
          <w:tcPr>
            <w:tcW w:w="1433" w:type="dxa"/>
            <w:vMerge/>
            <w:tcBorders>
              <w:top w:val="single" w:sz="4" w:space="0" w:color="auto"/>
              <w:left w:val="nil"/>
              <w:bottom w:val="single" w:sz="4" w:space="0" w:color="auto"/>
              <w:right w:val="nil"/>
            </w:tcBorders>
            <w:vAlign w:val="center"/>
            <w:hideMark/>
          </w:tcPr>
          <w:p w14:paraId="05F40F17" w14:textId="77777777" w:rsidR="00356412" w:rsidRPr="00207D00" w:rsidRDefault="00356412" w:rsidP="00D563AA">
            <w:pPr>
              <w:spacing w:line="256" w:lineRule="auto"/>
              <w:rPr>
                <w:rFonts w:ascii="Arial" w:hAnsi="Arial" w:cs="Arial"/>
                <w:sz w:val="20"/>
                <w:szCs w:val="20"/>
              </w:rPr>
            </w:pPr>
          </w:p>
        </w:tc>
        <w:tc>
          <w:tcPr>
            <w:tcW w:w="1588" w:type="dxa"/>
            <w:vMerge/>
            <w:tcBorders>
              <w:top w:val="single" w:sz="4" w:space="0" w:color="auto"/>
              <w:left w:val="nil"/>
              <w:bottom w:val="single" w:sz="4" w:space="0" w:color="auto"/>
              <w:right w:val="nil"/>
            </w:tcBorders>
            <w:vAlign w:val="center"/>
            <w:hideMark/>
          </w:tcPr>
          <w:p w14:paraId="7EF3A651" w14:textId="77777777" w:rsidR="00356412" w:rsidRPr="00207D00" w:rsidRDefault="00356412" w:rsidP="00D563AA">
            <w:pPr>
              <w:spacing w:line="256" w:lineRule="auto"/>
              <w:rPr>
                <w:rFonts w:ascii="Arial" w:hAnsi="Arial" w:cs="Arial"/>
                <w:sz w:val="20"/>
                <w:szCs w:val="20"/>
              </w:rPr>
            </w:pPr>
          </w:p>
        </w:tc>
        <w:tc>
          <w:tcPr>
            <w:tcW w:w="1686" w:type="dxa"/>
            <w:tcBorders>
              <w:top w:val="single" w:sz="4" w:space="0" w:color="auto"/>
              <w:left w:val="nil"/>
              <w:bottom w:val="single" w:sz="4" w:space="0" w:color="auto"/>
              <w:right w:val="nil"/>
            </w:tcBorders>
            <w:vAlign w:val="center"/>
            <w:hideMark/>
          </w:tcPr>
          <w:p w14:paraId="64405DC5"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February</w:t>
            </w:r>
          </w:p>
          <w:p w14:paraId="145A4196"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2026</w:t>
            </w:r>
          </w:p>
        </w:tc>
        <w:tc>
          <w:tcPr>
            <w:tcW w:w="1317" w:type="dxa"/>
            <w:tcBorders>
              <w:top w:val="single" w:sz="4" w:space="0" w:color="auto"/>
              <w:left w:val="nil"/>
              <w:bottom w:val="single" w:sz="4" w:space="0" w:color="auto"/>
              <w:right w:val="nil"/>
            </w:tcBorders>
            <w:vAlign w:val="center"/>
            <w:hideMark/>
          </w:tcPr>
          <w:p w14:paraId="6592C3FF"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2 months of</w:t>
            </w:r>
          </w:p>
          <w:p w14:paraId="4A7609CB" w14:textId="77777777" w:rsidR="00356412" w:rsidRPr="00207D00" w:rsidRDefault="00356412" w:rsidP="00D563AA">
            <w:pPr>
              <w:spacing w:line="256" w:lineRule="auto"/>
              <w:jc w:val="center"/>
              <w:rPr>
                <w:rFonts w:ascii="Arial" w:hAnsi="Arial" w:cs="Arial"/>
                <w:sz w:val="20"/>
                <w:szCs w:val="20"/>
              </w:rPr>
            </w:pPr>
            <w:r w:rsidRPr="00207D00">
              <w:rPr>
                <w:rFonts w:ascii="Arial" w:hAnsi="Arial" w:cs="Arial"/>
                <w:sz w:val="20"/>
                <w:szCs w:val="20"/>
              </w:rPr>
              <w:t>2026</w:t>
            </w:r>
          </w:p>
        </w:tc>
      </w:tr>
      <w:tr w:rsidR="00356412" w:rsidRPr="00207D00" w14:paraId="69162F31" w14:textId="77777777" w:rsidTr="00D563AA">
        <w:trPr>
          <w:cantSplit/>
          <w:trHeight w:val="276"/>
          <w:jc w:val="center"/>
        </w:trPr>
        <w:tc>
          <w:tcPr>
            <w:tcW w:w="3014" w:type="dxa"/>
            <w:tcBorders>
              <w:top w:val="single" w:sz="4" w:space="0" w:color="auto"/>
              <w:left w:val="nil"/>
              <w:bottom w:val="nil"/>
              <w:right w:val="nil"/>
            </w:tcBorders>
            <w:vAlign w:val="center"/>
            <w:hideMark/>
          </w:tcPr>
          <w:p w14:paraId="384BCF96" w14:textId="77777777" w:rsidR="00356412" w:rsidRPr="00207D00" w:rsidRDefault="00356412" w:rsidP="00D563AA">
            <w:pPr>
              <w:spacing w:before="60" w:after="60" w:line="256" w:lineRule="auto"/>
              <w:rPr>
                <w:rFonts w:ascii="Arial" w:hAnsi="Arial" w:cs="Arial"/>
                <w:b/>
                <w:bCs/>
                <w:sz w:val="20"/>
                <w:szCs w:val="20"/>
              </w:rPr>
            </w:pPr>
            <w:r w:rsidRPr="00207D00">
              <w:rPr>
                <w:rFonts w:ascii="Arial" w:hAnsi="Arial" w:cs="Arial"/>
                <w:b/>
                <w:bCs/>
                <w:sz w:val="20"/>
                <w:szCs w:val="20"/>
              </w:rPr>
              <w:t>Total</w:t>
            </w:r>
          </w:p>
        </w:tc>
        <w:tc>
          <w:tcPr>
            <w:tcW w:w="1433" w:type="dxa"/>
            <w:tcBorders>
              <w:top w:val="single" w:sz="4" w:space="0" w:color="auto"/>
              <w:left w:val="nil"/>
              <w:bottom w:val="nil"/>
              <w:right w:val="nil"/>
            </w:tcBorders>
            <w:vAlign w:val="center"/>
            <w:hideMark/>
          </w:tcPr>
          <w:p w14:paraId="4F678DD9" w14:textId="77777777" w:rsidR="00356412" w:rsidRPr="00207D00" w:rsidRDefault="00356412" w:rsidP="00D563AA">
            <w:pPr>
              <w:spacing w:before="60" w:after="60" w:line="256" w:lineRule="auto"/>
              <w:ind w:right="281"/>
              <w:jc w:val="right"/>
              <w:rPr>
                <w:rFonts w:ascii="Arial" w:hAnsi="Arial" w:cs="Arial"/>
                <w:b/>
                <w:bCs/>
                <w:color w:val="000000" w:themeColor="text1"/>
                <w:sz w:val="20"/>
                <w:szCs w:val="20"/>
              </w:rPr>
            </w:pPr>
            <w:r w:rsidRPr="00207D00">
              <w:rPr>
                <w:rFonts w:ascii="Arial" w:hAnsi="Arial" w:cs="Arial"/>
                <w:b/>
                <w:bCs/>
                <w:color w:val="000000" w:themeColor="text1"/>
                <w:sz w:val="20"/>
                <w:szCs w:val="20"/>
              </w:rPr>
              <w:t>613.7</w:t>
            </w:r>
          </w:p>
        </w:tc>
        <w:tc>
          <w:tcPr>
            <w:tcW w:w="1588" w:type="dxa"/>
            <w:tcBorders>
              <w:top w:val="single" w:sz="4" w:space="0" w:color="auto"/>
              <w:left w:val="nil"/>
              <w:bottom w:val="nil"/>
              <w:right w:val="nil"/>
            </w:tcBorders>
            <w:vAlign w:val="center"/>
            <w:hideMark/>
          </w:tcPr>
          <w:p w14:paraId="52B9AE4C" w14:textId="77777777" w:rsidR="00356412" w:rsidRPr="00207D00" w:rsidRDefault="00356412" w:rsidP="00D563AA">
            <w:pPr>
              <w:spacing w:before="60" w:after="60" w:line="256" w:lineRule="auto"/>
              <w:ind w:right="330"/>
              <w:jc w:val="right"/>
              <w:rPr>
                <w:rFonts w:ascii="Arial" w:hAnsi="Arial" w:cs="Arial"/>
                <w:b/>
                <w:bCs/>
                <w:color w:val="000000" w:themeColor="text1"/>
                <w:sz w:val="20"/>
                <w:szCs w:val="20"/>
              </w:rPr>
            </w:pPr>
            <w:r w:rsidRPr="00207D00">
              <w:rPr>
                <w:rFonts w:ascii="Arial" w:hAnsi="Arial" w:cs="Arial"/>
                <w:b/>
                <w:bCs/>
                <w:color w:val="000000" w:themeColor="text1"/>
                <w:sz w:val="20"/>
                <w:szCs w:val="20"/>
              </w:rPr>
              <w:t>1,236.6</w:t>
            </w:r>
          </w:p>
        </w:tc>
        <w:tc>
          <w:tcPr>
            <w:tcW w:w="1686" w:type="dxa"/>
            <w:tcBorders>
              <w:top w:val="single" w:sz="4" w:space="0" w:color="auto"/>
              <w:left w:val="nil"/>
              <w:bottom w:val="nil"/>
              <w:right w:val="nil"/>
            </w:tcBorders>
            <w:vAlign w:val="center"/>
            <w:hideMark/>
          </w:tcPr>
          <w:p w14:paraId="38608C1A" w14:textId="77777777" w:rsidR="00356412" w:rsidRPr="00207D00" w:rsidRDefault="00356412" w:rsidP="00D563AA">
            <w:pPr>
              <w:spacing w:before="60" w:after="60" w:line="256" w:lineRule="auto"/>
              <w:ind w:right="486"/>
              <w:jc w:val="right"/>
              <w:rPr>
                <w:rFonts w:ascii="Arial" w:hAnsi="Arial" w:cs="Arial"/>
                <w:b/>
                <w:bCs/>
                <w:color w:val="000000" w:themeColor="text1"/>
                <w:sz w:val="20"/>
                <w:szCs w:val="20"/>
              </w:rPr>
            </w:pPr>
            <w:r w:rsidRPr="00207D00">
              <w:rPr>
                <w:rFonts w:ascii="Arial" w:hAnsi="Arial" w:cs="Arial"/>
                <w:b/>
                <w:bCs/>
                <w:color w:val="000000" w:themeColor="text1"/>
                <w:sz w:val="20"/>
                <w:szCs w:val="20"/>
              </w:rPr>
              <w:t>8.5</w:t>
            </w:r>
          </w:p>
        </w:tc>
        <w:tc>
          <w:tcPr>
            <w:tcW w:w="1317" w:type="dxa"/>
            <w:tcBorders>
              <w:top w:val="single" w:sz="4" w:space="0" w:color="auto"/>
              <w:left w:val="nil"/>
              <w:bottom w:val="nil"/>
              <w:right w:val="nil"/>
            </w:tcBorders>
            <w:vAlign w:val="center"/>
            <w:hideMark/>
          </w:tcPr>
          <w:p w14:paraId="6AEB89E6" w14:textId="77777777" w:rsidR="00356412" w:rsidRPr="00207D00" w:rsidRDefault="00356412" w:rsidP="00D563AA">
            <w:pPr>
              <w:spacing w:before="60" w:after="60" w:line="256" w:lineRule="auto"/>
              <w:ind w:right="410"/>
              <w:jc w:val="right"/>
              <w:rPr>
                <w:rFonts w:ascii="Arial" w:hAnsi="Arial" w:cs="Arial"/>
                <w:b/>
                <w:bCs/>
                <w:color w:val="000000" w:themeColor="text1"/>
                <w:sz w:val="20"/>
                <w:szCs w:val="20"/>
              </w:rPr>
            </w:pPr>
            <w:r w:rsidRPr="00207D00">
              <w:rPr>
                <w:rFonts w:ascii="Arial" w:hAnsi="Arial" w:cs="Arial"/>
                <w:b/>
                <w:bCs/>
                <w:color w:val="000000" w:themeColor="text1"/>
                <w:sz w:val="20"/>
                <w:szCs w:val="20"/>
              </w:rPr>
              <w:t>7.9</w:t>
            </w:r>
          </w:p>
        </w:tc>
      </w:tr>
      <w:tr w:rsidR="00356412" w:rsidRPr="00207D00" w14:paraId="3447410C" w14:textId="77777777" w:rsidTr="00D563AA">
        <w:trPr>
          <w:cantSplit/>
          <w:trHeight w:val="287"/>
          <w:jc w:val="center"/>
        </w:trPr>
        <w:tc>
          <w:tcPr>
            <w:tcW w:w="3014" w:type="dxa"/>
            <w:vAlign w:val="center"/>
            <w:hideMark/>
          </w:tcPr>
          <w:p w14:paraId="131D67B6" w14:textId="77777777" w:rsidR="00356412" w:rsidRPr="00207D00" w:rsidRDefault="00356412" w:rsidP="00D563AA">
            <w:pPr>
              <w:spacing w:before="60" w:after="60" w:line="256" w:lineRule="auto"/>
              <w:ind w:firstLine="317"/>
              <w:rPr>
                <w:rFonts w:ascii="Arial" w:hAnsi="Arial" w:cs="Arial"/>
                <w:sz w:val="20"/>
                <w:szCs w:val="20"/>
              </w:rPr>
            </w:pPr>
            <w:r w:rsidRPr="00207D00">
              <w:rPr>
                <w:rFonts w:ascii="Arial" w:hAnsi="Arial" w:cs="Arial"/>
                <w:bCs/>
                <w:sz w:val="20"/>
                <w:szCs w:val="20"/>
              </w:rPr>
              <w:t>Retail sales of goods</w:t>
            </w:r>
          </w:p>
        </w:tc>
        <w:tc>
          <w:tcPr>
            <w:tcW w:w="1433" w:type="dxa"/>
            <w:vAlign w:val="center"/>
            <w:hideMark/>
          </w:tcPr>
          <w:p w14:paraId="6A205CB9" w14:textId="77777777" w:rsidR="00356412" w:rsidRPr="00207D00" w:rsidRDefault="00356412" w:rsidP="00D563AA">
            <w:pPr>
              <w:spacing w:before="60" w:after="60" w:line="256" w:lineRule="auto"/>
              <w:ind w:right="281"/>
              <w:jc w:val="right"/>
              <w:rPr>
                <w:rFonts w:ascii="Arial" w:hAnsi="Arial" w:cs="Arial"/>
                <w:bCs/>
                <w:color w:val="000000" w:themeColor="text1"/>
                <w:sz w:val="20"/>
                <w:szCs w:val="20"/>
              </w:rPr>
            </w:pPr>
            <w:r w:rsidRPr="00207D00">
              <w:rPr>
                <w:rFonts w:ascii="Arial" w:hAnsi="Arial" w:cs="Arial"/>
                <w:color w:val="000000" w:themeColor="text1"/>
                <w:sz w:val="20"/>
                <w:szCs w:val="20"/>
              </w:rPr>
              <w:t>469.2</w:t>
            </w:r>
          </w:p>
        </w:tc>
        <w:tc>
          <w:tcPr>
            <w:tcW w:w="1588" w:type="dxa"/>
            <w:vAlign w:val="center"/>
            <w:hideMark/>
          </w:tcPr>
          <w:p w14:paraId="76921A78" w14:textId="77777777" w:rsidR="00356412" w:rsidRPr="00207D00" w:rsidRDefault="00356412" w:rsidP="00D563AA">
            <w:pPr>
              <w:spacing w:before="60" w:after="60" w:line="256" w:lineRule="auto"/>
              <w:ind w:right="330"/>
              <w:jc w:val="right"/>
              <w:rPr>
                <w:rFonts w:ascii="Arial" w:hAnsi="Arial" w:cs="Arial"/>
                <w:bCs/>
                <w:color w:val="000000" w:themeColor="text1"/>
                <w:sz w:val="20"/>
                <w:szCs w:val="20"/>
              </w:rPr>
            </w:pPr>
            <w:r w:rsidRPr="00207D00">
              <w:rPr>
                <w:rFonts w:ascii="Arial" w:hAnsi="Arial" w:cs="Arial"/>
                <w:color w:val="000000" w:themeColor="text1"/>
                <w:sz w:val="20"/>
                <w:szCs w:val="20"/>
              </w:rPr>
              <w:t>945.3</w:t>
            </w:r>
          </w:p>
        </w:tc>
        <w:tc>
          <w:tcPr>
            <w:tcW w:w="1686" w:type="dxa"/>
            <w:vAlign w:val="center"/>
            <w:hideMark/>
          </w:tcPr>
          <w:p w14:paraId="5E0E51B2" w14:textId="77777777" w:rsidR="00356412" w:rsidRPr="00207D00" w:rsidRDefault="00356412" w:rsidP="00D563AA">
            <w:pPr>
              <w:spacing w:before="60" w:after="60" w:line="256" w:lineRule="auto"/>
              <w:ind w:right="486"/>
              <w:jc w:val="right"/>
              <w:rPr>
                <w:rFonts w:ascii="Arial" w:hAnsi="Arial" w:cs="Arial"/>
                <w:bCs/>
                <w:color w:val="000000" w:themeColor="text1"/>
                <w:sz w:val="20"/>
                <w:szCs w:val="20"/>
              </w:rPr>
            </w:pPr>
            <w:r w:rsidRPr="00207D00">
              <w:rPr>
                <w:rFonts w:ascii="Arial" w:hAnsi="Arial" w:cs="Arial"/>
                <w:color w:val="000000" w:themeColor="text1"/>
                <w:sz w:val="20"/>
                <w:szCs w:val="20"/>
              </w:rPr>
              <w:t>8.8</w:t>
            </w:r>
          </w:p>
        </w:tc>
        <w:tc>
          <w:tcPr>
            <w:tcW w:w="1317" w:type="dxa"/>
            <w:vAlign w:val="center"/>
            <w:hideMark/>
          </w:tcPr>
          <w:p w14:paraId="66610D47" w14:textId="77777777" w:rsidR="00356412" w:rsidRPr="00207D00" w:rsidRDefault="00356412" w:rsidP="00D563AA">
            <w:pPr>
              <w:spacing w:before="60" w:after="60" w:line="256" w:lineRule="auto"/>
              <w:ind w:right="410"/>
              <w:jc w:val="right"/>
              <w:rPr>
                <w:rFonts w:ascii="Arial" w:hAnsi="Arial" w:cs="Arial"/>
                <w:bCs/>
                <w:color w:val="000000" w:themeColor="text1"/>
                <w:sz w:val="20"/>
                <w:szCs w:val="20"/>
              </w:rPr>
            </w:pPr>
            <w:r w:rsidRPr="00207D00">
              <w:rPr>
                <w:rFonts w:ascii="Arial" w:hAnsi="Arial" w:cs="Arial"/>
                <w:color w:val="000000" w:themeColor="text1"/>
                <w:sz w:val="20"/>
                <w:szCs w:val="20"/>
              </w:rPr>
              <w:t>7.8</w:t>
            </w:r>
          </w:p>
        </w:tc>
      </w:tr>
      <w:tr w:rsidR="00356412" w:rsidRPr="00207D00" w14:paraId="71995388" w14:textId="77777777" w:rsidTr="00D563AA">
        <w:trPr>
          <w:cantSplit/>
          <w:trHeight w:val="287"/>
          <w:jc w:val="center"/>
        </w:trPr>
        <w:tc>
          <w:tcPr>
            <w:tcW w:w="3014" w:type="dxa"/>
            <w:vAlign w:val="center"/>
            <w:hideMark/>
          </w:tcPr>
          <w:p w14:paraId="2C97448C" w14:textId="1BFA43FF" w:rsidR="00356412" w:rsidRPr="00207D00" w:rsidRDefault="00356412" w:rsidP="00D563AA">
            <w:pPr>
              <w:spacing w:before="60" w:after="60" w:line="256" w:lineRule="auto"/>
              <w:ind w:firstLine="317"/>
              <w:rPr>
                <w:rFonts w:ascii="Arial" w:hAnsi="Arial" w:cs="Arial"/>
                <w:sz w:val="20"/>
                <w:szCs w:val="20"/>
              </w:rPr>
            </w:pPr>
            <w:r w:rsidRPr="00207D00">
              <w:rPr>
                <w:rFonts w:ascii="Arial" w:hAnsi="Arial" w:cs="Arial"/>
                <w:bCs/>
                <w:sz w:val="20"/>
                <w:szCs w:val="20"/>
              </w:rPr>
              <w:t xml:space="preserve">Accommodation and </w:t>
            </w:r>
            <w:r w:rsidR="007F1671" w:rsidRPr="007F1671">
              <w:rPr>
                <w:rFonts w:ascii="Arial" w:hAnsi="Arial" w:cs="Arial"/>
                <w:bCs/>
                <w:sz w:val="20"/>
                <w:szCs w:val="20"/>
              </w:rPr>
              <w:t>food service activities</w:t>
            </w:r>
          </w:p>
        </w:tc>
        <w:tc>
          <w:tcPr>
            <w:tcW w:w="1433" w:type="dxa"/>
            <w:vAlign w:val="center"/>
            <w:hideMark/>
          </w:tcPr>
          <w:p w14:paraId="422D8ADF" w14:textId="77777777" w:rsidR="00356412" w:rsidRPr="00207D00" w:rsidRDefault="00356412" w:rsidP="00D563AA">
            <w:pPr>
              <w:spacing w:before="60" w:after="60" w:line="256" w:lineRule="auto"/>
              <w:ind w:right="281"/>
              <w:jc w:val="right"/>
              <w:rPr>
                <w:rFonts w:ascii="Arial" w:hAnsi="Arial" w:cs="Arial"/>
                <w:bCs/>
                <w:color w:val="000000" w:themeColor="text1"/>
                <w:sz w:val="20"/>
                <w:szCs w:val="20"/>
              </w:rPr>
            </w:pPr>
            <w:r w:rsidRPr="00207D00">
              <w:rPr>
                <w:rFonts w:ascii="Arial" w:hAnsi="Arial" w:cs="Arial"/>
                <w:color w:val="000000" w:themeColor="text1"/>
                <w:sz w:val="20"/>
                <w:szCs w:val="20"/>
              </w:rPr>
              <w:t>74.8</w:t>
            </w:r>
          </w:p>
        </w:tc>
        <w:tc>
          <w:tcPr>
            <w:tcW w:w="1588" w:type="dxa"/>
            <w:vAlign w:val="center"/>
            <w:hideMark/>
          </w:tcPr>
          <w:p w14:paraId="683568F2" w14:textId="77777777" w:rsidR="00356412" w:rsidRPr="00207D00" w:rsidRDefault="00356412" w:rsidP="00D563AA">
            <w:pPr>
              <w:spacing w:before="60" w:after="60" w:line="256" w:lineRule="auto"/>
              <w:ind w:right="330"/>
              <w:jc w:val="right"/>
              <w:rPr>
                <w:rFonts w:ascii="Arial" w:hAnsi="Arial" w:cs="Arial"/>
                <w:bCs/>
                <w:color w:val="000000" w:themeColor="text1"/>
                <w:sz w:val="20"/>
                <w:szCs w:val="20"/>
              </w:rPr>
            </w:pPr>
            <w:r w:rsidRPr="00207D00">
              <w:rPr>
                <w:rFonts w:ascii="Arial" w:hAnsi="Arial" w:cs="Arial"/>
                <w:color w:val="000000" w:themeColor="text1"/>
                <w:sz w:val="20"/>
                <w:szCs w:val="20"/>
              </w:rPr>
              <w:t>149.2</w:t>
            </w:r>
          </w:p>
        </w:tc>
        <w:tc>
          <w:tcPr>
            <w:tcW w:w="1686" w:type="dxa"/>
            <w:vAlign w:val="center"/>
            <w:hideMark/>
          </w:tcPr>
          <w:p w14:paraId="6408073F" w14:textId="77777777" w:rsidR="00356412" w:rsidRPr="00207D00" w:rsidRDefault="00356412" w:rsidP="00D563AA">
            <w:pPr>
              <w:spacing w:before="60" w:after="60" w:line="256" w:lineRule="auto"/>
              <w:ind w:right="486"/>
              <w:jc w:val="right"/>
              <w:rPr>
                <w:rFonts w:ascii="Arial" w:hAnsi="Arial" w:cs="Arial"/>
                <w:bCs/>
                <w:color w:val="000000" w:themeColor="text1"/>
                <w:sz w:val="20"/>
                <w:szCs w:val="20"/>
              </w:rPr>
            </w:pPr>
            <w:r w:rsidRPr="00207D00">
              <w:rPr>
                <w:rFonts w:ascii="Arial" w:hAnsi="Arial" w:cs="Arial"/>
                <w:color w:val="000000" w:themeColor="text1"/>
                <w:sz w:val="20"/>
                <w:szCs w:val="20"/>
              </w:rPr>
              <w:t>9.7</w:t>
            </w:r>
          </w:p>
        </w:tc>
        <w:tc>
          <w:tcPr>
            <w:tcW w:w="1317" w:type="dxa"/>
            <w:vAlign w:val="center"/>
            <w:hideMark/>
          </w:tcPr>
          <w:p w14:paraId="230AD4FB" w14:textId="77777777" w:rsidR="00356412" w:rsidRPr="00207D00" w:rsidRDefault="00356412" w:rsidP="00D563AA">
            <w:pPr>
              <w:spacing w:before="60" w:after="60" w:line="256" w:lineRule="auto"/>
              <w:ind w:right="410"/>
              <w:jc w:val="right"/>
              <w:rPr>
                <w:rFonts w:ascii="Arial" w:hAnsi="Arial" w:cs="Arial"/>
                <w:bCs/>
                <w:color w:val="000000" w:themeColor="text1"/>
                <w:sz w:val="20"/>
                <w:szCs w:val="20"/>
              </w:rPr>
            </w:pPr>
            <w:r w:rsidRPr="00207D00">
              <w:rPr>
                <w:rFonts w:ascii="Arial" w:hAnsi="Arial" w:cs="Arial"/>
                <w:color w:val="000000" w:themeColor="text1"/>
                <w:sz w:val="20"/>
                <w:szCs w:val="20"/>
              </w:rPr>
              <w:t>9.1</w:t>
            </w:r>
          </w:p>
        </w:tc>
      </w:tr>
      <w:tr w:rsidR="00356412" w:rsidRPr="00207D00" w14:paraId="50CC31CD" w14:textId="77777777" w:rsidTr="00D563AA">
        <w:trPr>
          <w:cantSplit/>
          <w:trHeight w:val="287"/>
          <w:jc w:val="center"/>
        </w:trPr>
        <w:tc>
          <w:tcPr>
            <w:tcW w:w="3014" w:type="dxa"/>
            <w:vAlign w:val="center"/>
            <w:hideMark/>
          </w:tcPr>
          <w:p w14:paraId="22268B02" w14:textId="6B0F5351" w:rsidR="00356412" w:rsidRPr="00207D00" w:rsidRDefault="00356412" w:rsidP="00E83239">
            <w:pPr>
              <w:spacing w:before="60" w:after="60" w:line="256" w:lineRule="auto"/>
              <w:ind w:firstLine="317"/>
              <w:rPr>
                <w:rFonts w:ascii="Arial" w:hAnsi="Arial" w:cs="Arial"/>
                <w:sz w:val="20"/>
                <w:szCs w:val="20"/>
              </w:rPr>
            </w:pPr>
            <w:r w:rsidRPr="00207D00">
              <w:rPr>
                <w:rFonts w:ascii="Arial" w:hAnsi="Arial" w:cs="Arial"/>
                <w:bCs/>
                <w:sz w:val="20"/>
                <w:szCs w:val="20"/>
              </w:rPr>
              <w:t>Travelling</w:t>
            </w:r>
          </w:p>
        </w:tc>
        <w:tc>
          <w:tcPr>
            <w:tcW w:w="1433" w:type="dxa"/>
            <w:vAlign w:val="center"/>
            <w:hideMark/>
          </w:tcPr>
          <w:p w14:paraId="3BAF9648" w14:textId="77777777" w:rsidR="00356412" w:rsidRPr="00207D00" w:rsidRDefault="00356412" w:rsidP="00D563AA">
            <w:pPr>
              <w:spacing w:before="60" w:after="60" w:line="256" w:lineRule="auto"/>
              <w:ind w:right="281"/>
              <w:jc w:val="right"/>
              <w:rPr>
                <w:rFonts w:ascii="Arial" w:hAnsi="Arial" w:cs="Arial"/>
                <w:bCs/>
                <w:color w:val="000000" w:themeColor="text1"/>
                <w:sz w:val="20"/>
                <w:szCs w:val="20"/>
              </w:rPr>
            </w:pPr>
            <w:r w:rsidRPr="00207D00">
              <w:rPr>
                <w:rFonts w:ascii="Arial" w:hAnsi="Arial" w:cs="Arial"/>
                <w:color w:val="000000" w:themeColor="text1"/>
                <w:sz w:val="20"/>
                <w:szCs w:val="20"/>
              </w:rPr>
              <w:t>7.5</w:t>
            </w:r>
          </w:p>
        </w:tc>
        <w:tc>
          <w:tcPr>
            <w:tcW w:w="1588" w:type="dxa"/>
            <w:vAlign w:val="center"/>
            <w:hideMark/>
          </w:tcPr>
          <w:p w14:paraId="5A2517BB" w14:textId="77777777" w:rsidR="00356412" w:rsidRPr="00207D00" w:rsidRDefault="00356412" w:rsidP="00D563AA">
            <w:pPr>
              <w:spacing w:before="60" w:after="60" w:line="256" w:lineRule="auto"/>
              <w:ind w:right="330"/>
              <w:jc w:val="right"/>
              <w:rPr>
                <w:rFonts w:ascii="Arial" w:hAnsi="Arial" w:cs="Arial"/>
                <w:bCs/>
                <w:color w:val="000000" w:themeColor="text1"/>
                <w:sz w:val="20"/>
                <w:szCs w:val="20"/>
              </w:rPr>
            </w:pPr>
            <w:r w:rsidRPr="00207D00">
              <w:rPr>
                <w:rFonts w:ascii="Arial" w:hAnsi="Arial" w:cs="Arial"/>
                <w:color w:val="000000" w:themeColor="text1"/>
                <w:sz w:val="20"/>
                <w:szCs w:val="20"/>
              </w:rPr>
              <w:t>15.0</w:t>
            </w:r>
          </w:p>
        </w:tc>
        <w:tc>
          <w:tcPr>
            <w:tcW w:w="1686" w:type="dxa"/>
            <w:vAlign w:val="center"/>
            <w:hideMark/>
          </w:tcPr>
          <w:p w14:paraId="5C0C3706" w14:textId="77777777" w:rsidR="00356412" w:rsidRPr="00207D00" w:rsidRDefault="00356412" w:rsidP="00D563AA">
            <w:pPr>
              <w:spacing w:before="60" w:after="60" w:line="256" w:lineRule="auto"/>
              <w:ind w:right="486"/>
              <w:jc w:val="right"/>
              <w:rPr>
                <w:rFonts w:ascii="Arial" w:hAnsi="Arial" w:cs="Arial"/>
                <w:bCs/>
                <w:color w:val="000000" w:themeColor="text1"/>
                <w:sz w:val="20"/>
                <w:szCs w:val="20"/>
              </w:rPr>
            </w:pPr>
            <w:r w:rsidRPr="00207D00">
              <w:rPr>
                <w:rFonts w:ascii="Arial" w:hAnsi="Arial" w:cs="Arial"/>
                <w:color w:val="000000" w:themeColor="text1"/>
                <w:sz w:val="20"/>
                <w:szCs w:val="20"/>
              </w:rPr>
              <w:t>13.8</w:t>
            </w:r>
          </w:p>
        </w:tc>
        <w:tc>
          <w:tcPr>
            <w:tcW w:w="1317" w:type="dxa"/>
            <w:vAlign w:val="center"/>
            <w:hideMark/>
          </w:tcPr>
          <w:p w14:paraId="5BA7D611" w14:textId="77777777" w:rsidR="00356412" w:rsidRPr="00207D00" w:rsidRDefault="00356412" w:rsidP="00D563AA">
            <w:pPr>
              <w:spacing w:before="60" w:after="60" w:line="256" w:lineRule="auto"/>
              <w:ind w:right="410"/>
              <w:jc w:val="right"/>
              <w:rPr>
                <w:rFonts w:ascii="Arial" w:hAnsi="Arial" w:cs="Arial"/>
                <w:bCs/>
                <w:color w:val="000000" w:themeColor="text1"/>
                <w:sz w:val="20"/>
                <w:szCs w:val="20"/>
              </w:rPr>
            </w:pPr>
            <w:r w:rsidRPr="00207D00">
              <w:rPr>
                <w:rFonts w:ascii="Arial" w:hAnsi="Arial" w:cs="Arial"/>
                <w:color w:val="000000" w:themeColor="text1"/>
                <w:sz w:val="20"/>
                <w:szCs w:val="20"/>
              </w:rPr>
              <w:t>12.2</w:t>
            </w:r>
          </w:p>
        </w:tc>
      </w:tr>
      <w:tr w:rsidR="00356412" w:rsidRPr="00207D00" w14:paraId="4A03E90E" w14:textId="77777777" w:rsidTr="00D563AA">
        <w:trPr>
          <w:cantSplit/>
          <w:trHeight w:val="287"/>
          <w:jc w:val="center"/>
        </w:trPr>
        <w:tc>
          <w:tcPr>
            <w:tcW w:w="3014" w:type="dxa"/>
            <w:tcBorders>
              <w:top w:val="nil"/>
              <w:left w:val="nil"/>
              <w:bottom w:val="single" w:sz="4" w:space="0" w:color="auto"/>
              <w:right w:val="nil"/>
            </w:tcBorders>
            <w:vAlign w:val="center"/>
            <w:hideMark/>
          </w:tcPr>
          <w:p w14:paraId="449F6754" w14:textId="77777777" w:rsidR="00356412" w:rsidRPr="00207D00" w:rsidRDefault="00356412" w:rsidP="00D563AA">
            <w:pPr>
              <w:spacing w:before="60" w:after="60" w:line="256" w:lineRule="auto"/>
              <w:ind w:firstLine="317"/>
              <w:rPr>
                <w:rFonts w:ascii="Arial" w:hAnsi="Arial" w:cs="Arial"/>
                <w:sz w:val="20"/>
                <w:szCs w:val="20"/>
              </w:rPr>
            </w:pPr>
            <w:r w:rsidRPr="00207D00">
              <w:rPr>
                <w:rFonts w:ascii="Arial" w:hAnsi="Arial" w:cs="Arial"/>
                <w:bCs/>
                <w:sz w:val="20"/>
                <w:szCs w:val="20"/>
              </w:rPr>
              <w:t>Other services</w:t>
            </w:r>
          </w:p>
        </w:tc>
        <w:tc>
          <w:tcPr>
            <w:tcW w:w="1433" w:type="dxa"/>
            <w:tcBorders>
              <w:top w:val="nil"/>
              <w:left w:val="nil"/>
              <w:bottom w:val="single" w:sz="4" w:space="0" w:color="auto"/>
              <w:right w:val="nil"/>
            </w:tcBorders>
            <w:vAlign w:val="center"/>
            <w:hideMark/>
          </w:tcPr>
          <w:p w14:paraId="324BE3E6" w14:textId="77777777" w:rsidR="00356412" w:rsidRPr="00207D00" w:rsidRDefault="00356412" w:rsidP="00D563AA">
            <w:pPr>
              <w:spacing w:before="60" w:after="60" w:line="256" w:lineRule="auto"/>
              <w:ind w:right="281"/>
              <w:jc w:val="right"/>
              <w:rPr>
                <w:rFonts w:ascii="Arial" w:hAnsi="Arial" w:cs="Arial"/>
                <w:bCs/>
                <w:color w:val="000000" w:themeColor="text1"/>
                <w:sz w:val="20"/>
                <w:szCs w:val="20"/>
              </w:rPr>
            </w:pPr>
            <w:r w:rsidRPr="00207D00">
              <w:rPr>
                <w:rFonts w:ascii="Arial" w:hAnsi="Arial" w:cs="Arial"/>
                <w:color w:val="000000" w:themeColor="text1"/>
                <w:sz w:val="20"/>
                <w:szCs w:val="20"/>
              </w:rPr>
              <w:t>62.2</w:t>
            </w:r>
          </w:p>
        </w:tc>
        <w:tc>
          <w:tcPr>
            <w:tcW w:w="1588" w:type="dxa"/>
            <w:tcBorders>
              <w:top w:val="nil"/>
              <w:left w:val="nil"/>
              <w:bottom w:val="single" w:sz="4" w:space="0" w:color="auto"/>
              <w:right w:val="nil"/>
            </w:tcBorders>
            <w:vAlign w:val="center"/>
            <w:hideMark/>
          </w:tcPr>
          <w:p w14:paraId="2472B4FD" w14:textId="77777777" w:rsidR="00356412" w:rsidRPr="00207D00" w:rsidRDefault="00356412" w:rsidP="00D563AA">
            <w:pPr>
              <w:spacing w:before="60" w:after="60" w:line="256" w:lineRule="auto"/>
              <w:ind w:right="330"/>
              <w:jc w:val="right"/>
              <w:rPr>
                <w:rFonts w:ascii="Arial" w:hAnsi="Arial" w:cs="Arial"/>
                <w:bCs/>
                <w:color w:val="000000" w:themeColor="text1"/>
                <w:sz w:val="20"/>
                <w:szCs w:val="20"/>
              </w:rPr>
            </w:pPr>
            <w:r w:rsidRPr="00207D00">
              <w:rPr>
                <w:rFonts w:ascii="Arial" w:hAnsi="Arial" w:cs="Arial"/>
                <w:color w:val="000000" w:themeColor="text1"/>
                <w:sz w:val="20"/>
                <w:szCs w:val="20"/>
              </w:rPr>
              <w:t>127.1</w:t>
            </w:r>
          </w:p>
        </w:tc>
        <w:tc>
          <w:tcPr>
            <w:tcW w:w="1686" w:type="dxa"/>
            <w:tcBorders>
              <w:top w:val="nil"/>
              <w:left w:val="nil"/>
              <w:bottom w:val="single" w:sz="4" w:space="0" w:color="auto"/>
              <w:right w:val="nil"/>
            </w:tcBorders>
            <w:vAlign w:val="center"/>
            <w:hideMark/>
          </w:tcPr>
          <w:p w14:paraId="5F961DDB" w14:textId="77777777" w:rsidR="00356412" w:rsidRPr="00207D00" w:rsidRDefault="00356412" w:rsidP="00D563AA">
            <w:pPr>
              <w:spacing w:before="60" w:after="60" w:line="256" w:lineRule="auto"/>
              <w:ind w:right="486"/>
              <w:jc w:val="right"/>
              <w:rPr>
                <w:rFonts w:ascii="Arial" w:hAnsi="Arial" w:cs="Arial"/>
                <w:bCs/>
                <w:color w:val="000000" w:themeColor="text1"/>
                <w:sz w:val="20"/>
                <w:szCs w:val="20"/>
              </w:rPr>
            </w:pPr>
            <w:r w:rsidRPr="00207D00">
              <w:rPr>
                <w:rFonts w:ascii="Arial" w:hAnsi="Arial" w:cs="Arial"/>
                <w:color w:val="000000" w:themeColor="text1"/>
                <w:sz w:val="20"/>
                <w:szCs w:val="20"/>
              </w:rPr>
              <w:t>4.4</w:t>
            </w:r>
          </w:p>
        </w:tc>
        <w:tc>
          <w:tcPr>
            <w:tcW w:w="1317" w:type="dxa"/>
            <w:tcBorders>
              <w:top w:val="nil"/>
              <w:left w:val="nil"/>
              <w:bottom w:val="single" w:sz="4" w:space="0" w:color="auto"/>
              <w:right w:val="nil"/>
            </w:tcBorders>
            <w:vAlign w:val="center"/>
            <w:hideMark/>
          </w:tcPr>
          <w:p w14:paraId="1D04537F" w14:textId="77777777" w:rsidR="00356412" w:rsidRPr="00207D00" w:rsidRDefault="00356412" w:rsidP="00D563AA">
            <w:pPr>
              <w:spacing w:before="60" w:after="60" w:line="256" w:lineRule="auto"/>
              <w:ind w:right="410"/>
              <w:jc w:val="right"/>
              <w:rPr>
                <w:rFonts w:ascii="Arial" w:hAnsi="Arial" w:cs="Arial"/>
                <w:bCs/>
                <w:color w:val="000000" w:themeColor="text1"/>
                <w:sz w:val="20"/>
                <w:szCs w:val="20"/>
              </w:rPr>
            </w:pPr>
            <w:r w:rsidRPr="00207D00">
              <w:rPr>
                <w:rFonts w:ascii="Arial" w:hAnsi="Arial" w:cs="Arial"/>
                <w:color w:val="000000" w:themeColor="text1"/>
                <w:sz w:val="20"/>
                <w:szCs w:val="20"/>
              </w:rPr>
              <w:t>7.3</w:t>
            </w:r>
          </w:p>
        </w:tc>
      </w:tr>
    </w:tbl>
    <w:p w14:paraId="1310A797" w14:textId="45FC47C8" w:rsidR="00356412" w:rsidRPr="00207D00" w:rsidRDefault="00356412" w:rsidP="00356412">
      <w:pPr>
        <w:spacing w:before="120" w:after="120" w:line="264" w:lineRule="auto"/>
        <w:ind w:firstLine="720"/>
        <w:jc w:val="both"/>
        <w:rPr>
          <w:rFonts w:ascii="Arial" w:hAnsi="Arial" w:cs="Arial"/>
          <w:b/>
          <w:bCs/>
          <w:sz w:val="24"/>
          <w:szCs w:val="24"/>
        </w:rPr>
      </w:pPr>
      <w:r w:rsidRPr="00207D00">
        <w:rPr>
          <w:rFonts w:eastAsia="Calibri"/>
          <w:bCs/>
          <w:spacing w:val="2"/>
        </w:rPr>
        <w:t xml:space="preserve">Generally, in the first two months of 2026, </w:t>
      </w:r>
      <w:r w:rsidR="007F1671">
        <w:rPr>
          <w:rFonts w:eastAsia="Calibri"/>
          <w:bCs/>
          <w:spacing w:val="2"/>
        </w:rPr>
        <w:t>the</w:t>
      </w:r>
      <w:r w:rsidR="007F1671" w:rsidRPr="00207D00">
        <w:rPr>
          <w:rFonts w:eastAsia="Calibri"/>
          <w:bCs/>
          <w:spacing w:val="2"/>
        </w:rPr>
        <w:t xml:space="preserve"> </w:t>
      </w:r>
      <w:r w:rsidRPr="00207D00">
        <w:rPr>
          <w:rFonts w:eastAsia="Calibri"/>
          <w:bCs/>
          <w:spacing w:val="2"/>
        </w:rPr>
        <w:t>retail sales of goods and services at current prices are estimated at 1,236.6 trillion VND, going up 7.9% compared with the same period last year (the same period of 2025 increased by 9.3%); excluding the price factor, the increase was 4.5% (</w:t>
      </w:r>
      <w:r w:rsidRPr="00207D00">
        <w:rPr>
          <w:bCs/>
        </w:rPr>
        <w:t>compared with an increase of 6.8% in the same period of 2025.</w:t>
      </w:r>
    </w:p>
    <w:p w14:paraId="00F9F5BF" w14:textId="7A5A9925" w:rsidR="00356412" w:rsidRPr="00207D00" w:rsidRDefault="00356412" w:rsidP="00356412">
      <w:pPr>
        <w:spacing w:before="120" w:after="120"/>
        <w:jc w:val="center"/>
        <w:rPr>
          <w:rFonts w:ascii="Arial" w:hAnsi="Arial" w:cs="Arial"/>
          <w:b/>
          <w:bCs/>
          <w:sz w:val="24"/>
          <w:szCs w:val="24"/>
        </w:rPr>
      </w:pPr>
      <w:r w:rsidRPr="00207D00">
        <w:rPr>
          <w:rFonts w:ascii="Arial" w:hAnsi="Arial" w:cs="Arial"/>
          <w:b/>
          <w:bCs/>
          <w:sz w:val="24"/>
          <w:szCs w:val="24"/>
        </w:rPr>
        <w:t xml:space="preserve">Figure 10. </w:t>
      </w:r>
      <w:r w:rsidR="007F1671">
        <w:rPr>
          <w:rFonts w:ascii="Arial" w:hAnsi="Arial" w:cs="Arial"/>
          <w:b/>
          <w:bCs/>
          <w:sz w:val="24"/>
          <w:szCs w:val="24"/>
        </w:rPr>
        <w:t>R</w:t>
      </w:r>
      <w:r w:rsidRPr="00207D00">
        <w:rPr>
          <w:rFonts w:ascii="Arial" w:hAnsi="Arial" w:cs="Arial"/>
          <w:b/>
          <w:bCs/>
          <w:sz w:val="24"/>
          <w:szCs w:val="24"/>
        </w:rPr>
        <w:t xml:space="preserve">etail sales of goods and services at current prices </w:t>
      </w:r>
      <w:r w:rsidR="007F1671">
        <w:rPr>
          <w:rFonts w:ascii="Arial" w:hAnsi="Arial" w:cs="Arial"/>
          <w:b/>
          <w:bCs/>
          <w:sz w:val="24"/>
          <w:szCs w:val="24"/>
        </w:rPr>
        <w:br/>
      </w:r>
      <w:r w:rsidRPr="00207D00">
        <w:rPr>
          <w:rFonts w:ascii="Arial" w:hAnsi="Arial" w:cs="Arial"/>
          <w:b/>
          <w:bCs/>
          <w:sz w:val="24"/>
          <w:szCs w:val="24"/>
        </w:rPr>
        <w:t>in the first two months of 2022-2026</w:t>
      </w:r>
    </w:p>
    <w:p w14:paraId="1055421C" w14:textId="77777777" w:rsidR="00356412" w:rsidRPr="00207D00" w:rsidRDefault="00356412" w:rsidP="00356412">
      <w:pPr>
        <w:spacing w:before="120" w:after="120"/>
        <w:jc w:val="center"/>
        <w:rPr>
          <w:rFonts w:ascii="Arial" w:hAnsi="Arial" w:cs="Arial"/>
          <w:b/>
          <w:bCs/>
          <w:sz w:val="24"/>
          <w:szCs w:val="24"/>
        </w:rPr>
      </w:pPr>
      <w:r w:rsidRPr="00207D00">
        <w:rPr>
          <w:noProof/>
        </w:rPr>
        <w:lastRenderedPageBreak/>
        <w:drawing>
          <wp:inline distT="0" distB="0" distL="0" distR="0" wp14:anchorId="20545241" wp14:editId="5DE43970">
            <wp:extent cx="5133975" cy="3161030"/>
            <wp:effectExtent l="0" t="0" r="9525" b="1270"/>
            <wp:docPr id="8" name="Chart 8">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D5D59C" w14:textId="7C094FCF" w:rsidR="00356412" w:rsidRPr="00207D00" w:rsidRDefault="00356412" w:rsidP="00356412">
      <w:pPr>
        <w:pStyle w:val="ListParagraph"/>
        <w:spacing w:after="120" w:line="264" w:lineRule="auto"/>
        <w:ind w:left="0" w:firstLine="720"/>
        <w:contextualSpacing w:val="0"/>
        <w:jc w:val="both"/>
        <w:rPr>
          <w:color w:val="000000" w:themeColor="text1"/>
          <w:spacing w:val="-2"/>
        </w:rPr>
      </w:pPr>
      <w:r w:rsidRPr="00207D00">
        <w:rPr>
          <w:bCs/>
          <w:i/>
          <w:spacing w:val="-2"/>
        </w:rPr>
        <w:t xml:space="preserve">The retail sales of goods </w:t>
      </w:r>
      <w:r w:rsidRPr="00207D00">
        <w:rPr>
          <w:bCs/>
          <w:spacing w:val="-2"/>
        </w:rPr>
        <w:t>in the first two months of 2026 were estimated at 945.3 trillion VND, accounting for 76.4% of the total and increasing by 7.8% year-on-year. Of which, garments and household appliances, tools and equipment increased significantly compared with the same period last year, by 10.4%</w:t>
      </w:r>
      <w:r w:rsidR="006E230A">
        <w:rPr>
          <w:bCs/>
          <w:spacing w:val="-2"/>
        </w:rPr>
        <w:t>,</w:t>
      </w:r>
      <w:r w:rsidRPr="00207D00">
        <w:rPr>
          <w:bCs/>
          <w:spacing w:val="-2"/>
        </w:rPr>
        <w:t xml:space="preserve"> and 8.6%, respectively, due to increased shopping demand and brands</w:t>
      </w:r>
      <w:r w:rsidR="006E230A">
        <w:rPr>
          <w:bCs/>
          <w:spacing w:val="-2"/>
        </w:rPr>
        <w:t>’</w:t>
      </w:r>
      <w:r w:rsidRPr="00207D00">
        <w:rPr>
          <w:bCs/>
          <w:spacing w:val="-2"/>
        </w:rPr>
        <w:t xml:space="preserve"> promoting discount program and consumption stimulus during holidays and the Lunar New Year since the beginning of the year; food and foodstuffs increased by 5.8%; </w:t>
      </w:r>
      <w:r w:rsidR="006E230A">
        <w:rPr>
          <w:bCs/>
          <w:spacing w:val="-2"/>
        </w:rPr>
        <w:t>vehicles</w:t>
      </w:r>
      <w:r w:rsidRPr="00207D00">
        <w:rPr>
          <w:bCs/>
          <w:spacing w:val="-2"/>
        </w:rPr>
        <w:t xml:space="preserve"> (excluding </w:t>
      </w:r>
      <w:r w:rsidR="006E230A">
        <w:rPr>
          <w:bCs/>
          <w:spacing w:val="-2"/>
        </w:rPr>
        <w:t>automobile</w:t>
      </w:r>
      <w:r w:rsidR="006E230A" w:rsidRPr="00207D00">
        <w:rPr>
          <w:bCs/>
          <w:spacing w:val="-2"/>
        </w:rPr>
        <w:t>s</w:t>
      </w:r>
      <w:r w:rsidRPr="00207D00">
        <w:rPr>
          <w:bCs/>
          <w:spacing w:val="-2"/>
        </w:rPr>
        <w:t xml:space="preserve">) increased by 5.5%; and cultural and educational goods increased by 1.5%. </w:t>
      </w:r>
      <w:r w:rsidR="008C37D1">
        <w:rPr>
          <w:bCs/>
          <w:spacing w:val="-2"/>
        </w:rPr>
        <w:t xml:space="preserve">The </w:t>
      </w:r>
      <w:r w:rsidR="008C37D1">
        <w:t>r</w:t>
      </w:r>
      <w:r w:rsidR="008C37D1" w:rsidRPr="00207D00">
        <w:t xml:space="preserve">etail </w:t>
      </w:r>
      <w:r w:rsidRPr="00207D00">
        <w:t>sales of goods in the first two months of 2026 compared to the same period last year in some localities saw an increase as follows</w:t>
      </w:r>
      <w:r w:rsidRPr="00207D00">
        <w:rPr>
          <w:bCs/>
          <w:spacing w:val="-2"/>
        </w:rPr>
        <w:t>: Hai Phong increased by 8.5%; Da Nang increased by 7.9%; Can Tho increased by 7.8%; Ha Noi increased by 7.7%; and Ho Chi Minh City increased by 7.6%</w:t>
      </w:r>
      <w:r w:rsidRPr="00207D00">
        <w:rPr>
          <w:color w:val="000000" w:themeColor="text1"/>
          <w:spacing w:val="-2"/>
        </w:rPr>
        <w:t>.</w:t>
      </w:r>
    </w:p>
    <w:p w14:paraId="737091CE" w14:textId="14C7AB39" w:rsidR="00356412" w:rsidRPr="00207D00" w:rsidRDefault="00356412" w:rsidP="00356412">
      <w:pPr>
        <w:spacing w:after="120" w:line="264" w:lineRule="auto"/>
        <w:ind w:firstLine="720"/>
        <w:jc w:val="both"/>
        <w:rPr>
          <w:rFonts w:eastAsia="Calibri"/>
          <w:iCs/>
        </w:rPr>
      </w:pPr>
      <w:r w:rsidRPr="00207D00">
        <w:rPr>
          <w:bCs/>
          <w:i/>
          <w:iCs/>
          <w:shd w:val="clear" w:color="auto" w:fill="FFFFFF"/>
        </w:rPr>
        <w:t xml:space="preserve">The turnover from accommodation and </w:t>
      </w:r>
      <w:r w:rsidR="008C37D1">
        <w:rPr>
          <w:bCs/>
          <w:i/>
          <w:iCs/>
          <w:shd w:val="clear" w:color="auto" w:fill="FFFFFF"/>
        </w:rPr>
        <w:t>food</w:t>
      </w:r>
      <w:r w:rsidR="008C37D1" w:rsidRPr="00207D00">
        <w:rPr>
          <w:bCs/>
          <w:i/>
          <w:iCs/>
          <w:shd w:val="clear" w:color="auto" w:fill="FFFFFF"/>
        </w:rPr>
        <w:t xml:space="preserve"> </w:t>
      </w:r>
      <w:r w:rsidRPr="00207D00">
        <w:rPr>
          <w:bCs/>
          <w:i/>
          <w:iCs/>
          <w:shd w:val="clear" w:color="auto" w:fill="FFFFFF"/>
        </w:rPr>
        <w:t>service</w:t>
      </w:r>
      <w:r w:rsidR="008C37D1">
        <w:rPr>
          <w:bCs/>
          <w:i/>
          <w:iCs/>
          <w:shd w:val="clear" w:color="auto" w:fill="FFFFFF"/>
        </w:rPr>
        <w:t xml:space="preserve"> activities</w:t>
      </w:r>
      <w:r w:rsidRPr="00207D00">
        <w:rPr>
          <w:bCs/>
          <w:i/>
          <w:iCs/>
          <w:shd w:val="clear" w:color="auto" w:fill="FFFFFF"/>
        </w:rPr>
        <w:t xml:space="preserve"> </w:t>
      </w:r>
      <w:r w:rsidRPr="00207D00">
        <w:rPr>
          <w:bCs/>
          <w:iCs/>
          <w:shd w:val="clear" w:color="auto" w:fill="FFFFFF"/>
        </w:rPr>
        <w:t xml:space="preserve">in the first two months of 2026 was estimated at 149.2 trillion VND, accounting for 12.1% of the total and increasing by 9.1% compared with the same period last year. </w:t>
      </w:r>
      <w:r w:rsidRPr="00207D00">
        <w:t>In comparison to the same period last year, the turnover in the first two months of 2026</w:t>
      </w:r>
      <w:r w:rsidRPr="00207D00">
        <w:rPr>
          <w:bCs/>
          <w:spacing w:val="-2"/>
        </w:rPr>
        <w:t xml:space="preserve"> </w:t>
      </w:r>
      <w:r w:rsidRPr="00207D00">
        <w:t>in some localities experienced an increase as follows</w:t>
      </w:r>
      <w:r w:rsidRPr="00207D00">
        <w:rPr>
          <w:bCs/>
          <w:iCs/>
          <w:shd w:val="clear" w:color="auto" w:fill="FFFFFF"/>
        </w:rPr>
        <w:t>: Da Nang increased by 10.6%; Ho Chi Minh City increased by 7.5%; Hai Phong increased by 7.4%; Can Tho increased by 6.2%; and Ha Noi increased by 4.8%</w:t>
      </w:r>
      <w:r w:rsidRPr="00207D00">
        <w:rPr>
          <w:rFonts w:eastAsia="Calibri"/>
          <w:iCs/>
        </w:rPr>
        <w:t>.</w:t>
      </w:r>
    </w:p>
    <w:p w14:paraId="40968302" w14:textId="6926A07A" w:rsidR="00356412" w:rsidRPr="00207D00" w:rsidRDefault="00356412" w:rsidP="00356412">
      <w:pPr>
        <w:spacing w:after="120" w:line="264" w:lineRule="auto"/>
        <w:ind w:firstLine="720"/>
        <w:jc w:val="both"/>
        <w:rPr>
          <w:spacing w:val="-2"/>
        </w:rPr>
      </w:pPr>
      <w:r w:rsidRPr="00207D00">
        <w:rPr>
          <w:bCs/>
          <w:i/>
          <w:spacing w:val="-2"/>
          <w:shd w:val="clear" w:color="auto" w:fill="FFFFFF"/>
        </w:rPr>
        <w:t xml:space="preserve">The turnover </w:t>
      </w:r>
      <w:r w:rsidR="008C37D1">
        <w:rPr>
          <w:bCs/>
          <w:i/>
          <w:spacing w:val="-2"/>
          <w:shd w:val="clear" w:color="auto" w:fill="FFFFFF"/>
        </w:rPr>
        <w:t>of</w:t>
      </w:r>
      <w:r w:rsidR="008C37D1" w:rsidRPr="00207D00">
        <w:rPr>
          <w:bCs/>
          <w:i/>
          <w:spacing w:val="-2"/>
          <w:shd w:val="clear" w:color="auto" w:fill="FFFFFF"/>
        </w:rPr>
        <w:t xml:space="preserve"> </w:t>
      </w:r>
      <w:r w:rsidRPr="00207D00">
        <w:rPr>
          <w:bCs/>
          <w:i/>
          <w:spacing w:val="-2"/>
          <w:shd w:val="clear" w:color="auto" w:fill="FFFFFF"/>
        </w:rPr>
        <w:t>travel</w:t>
      </w:r>
      <w:r w:rsidR="008C37D1">
        <w:rPr>
          <w:bCs/>
          <w:i/>
          <w:spacing w:val="-2"/>
          <w:shd w:val="clear" w:color="auto" w:fill="FFFFFF"/>
        </w:rPr>
        <w:t>ling</w:t>
      </w:r>
      <w:r w:rsidRPr="00207D00">
        <w:rPr>
          <w:bCs/>
          <w:i/>
          <w:spacing w:val="-2"/>
          <w:shd w:val="clear" w:color="auto" w:fill="FFFFFF"/>
        </w:rPr>
        <w:t xml:space="preserve"> </w:t>
      </w:r>
      <w:r w:rsidRPr="00207D00">
        <w:rPr>
          <w:bCs/>
          <w:spacing w:val="-2"/>
          <w:shd w:val="clear" w:color="auto" w:fill="FFFFFF"/>
        </w:rPr>
        <w:t xml:space="preserve">in the first two months of 2026 was estimated at 15.0 trillion VND, accounting for 1.2% of the total and </w:t>
      </w:r>
      <w:r w:rsidRPr="00207D00">
        <w:rPr>
          <w:bCs/>
          <w:spacing w:val="-6"/>
        </w:rPr>
        <w:t>a year-on-year growth of</w:t>
      </w:r>
      <w:r w:rsidRPr="00207D00">
        <w:rPr>
          <w:bCs/>
          <w:spacing w:val="-2"/>
          <w:shd w:val="clear" w:color="auto" w:fill="FFFFFF"/>
        </w:rPr>
        <w:t xml:space="preserve"> 12.2% thanks to the surge in domestic and international visitors to Viet Nam in the early months of the </w:t>
      </w:r>
      <w:r w:rsidR="005A4286" w:rsidRPr="00207D00">
        <w:rPr>
          <w:bCs/>
          <w:spacing w:val="-2"/>
          <w:shd w:val="clear" w:color="auto" w:fill="FFFFFF"/>
        </w:rPr>
        <w:t>New Year</w:t>
      </w:r>
      <w:r w:rsidRPr="00207D00">
        <w:rPr>
          <w:bCs/>
          <w:spacing w:val="-2"/>
          <w:shd w:val="clear" w:color="auto" w:fill="FFFFFF"/>
        </w:rPr>
        <w:t xml:space="preserve">. </w:t>
      </w:r>
      <w:r w:rsidRPr="00207D00">
        <w:rPr>
          <w:spacing w:val="-2"/>
        </w:rPr>
        <w:t xml:space="preserve">The turnover </w:t>
      </w:r>
      <w:r w:rsidRPr="00207D00">
        <w:rPr>
          <w:bCs/>
          <w:iCs/>
          <w:spacing w:val="-2"/>
          <w:shd w:val="clear" w:color="auto" w:fill="FFFFFF"/>
        </w:rPr>
        <w:t>of some localities in the first two months of 2026</w:t>
      </w:r>
      <w:r w:rsidRPr="00207D00">
        <w:rPr>
          <w:spacing w:val="-2"/>
        </w:rPr>
        <w:t xml:space="preserve"> witnessed a rise as follows</w:t>
      </w:r>
      <w:r w:rsidRPr="00207D00">
        <w:rPr>
          <w:bCs/>
          <w:spacing w:val="-2"/>
          <w:shd w:val="clear" w:color="auto" w:fill="FFFFFF"/>
        </w:rPr>
        <w:t xml:space="preserve">: Ca Mau increased by 23.2%; Quang </w:t>
      </w:r>
      <w:r w:rsidRPr="00207D00">
        <w:rPr>
          <w:bCs/>
          <w:spacing w:val="-2"/>
          <w:shd w:val="clear" w:color="auto" w:fill="FFFFFF"/>
        </w:rPr>
        <w:lastRenderedPageBreak/>
        <w:t>Ninh increased by 21.3%; Da Nang increased by 15.9%; Ho Chi Minh City increased by 12.1%; and Ha Noi increased by 7.3%.</w:t>
      </w:r>
    </w:p>
    <w:p w14:paraId="692CCD00" w14:textId="097A1E35" w:rsidR="00356412" w:rsidRPr="00207D00" w:rsidRDefault="00356412" w:rsidP="00356412">
      <w:pPr>
        <w:spacing w:after="120" w:line="264" w:lineRule="auto"/>
        <w:ind w:firstLine="720"/>
        <w:jc w:val="both"/>
        <w:rPr>
          <w:rFonts w:eastAsia="Calibri"/>
        </w:rPr>
      </w:pPr>
      <w:r w:rsidRPr="00207D00">
        <w:rPr>
          <w:rFonts w:eastAsia="Calibri"/>
          <w:i/>
        </w:rPr>
        <w:t xml:space="preserve">The </w:t>
      </w:r>
      <w:r w:rsidR="008C37D1" w:rsidRPr="00207D00">
        <w:rPr>
          <w:rFonts w:eastAsia="Calibri"/>
          <w:i/>
        </w:rPr>
        <w:t xml:space="preserve">other services </w:t>
      </w:r>
      <w:r w:rsidRPr="00207D00">
        <w:rPr>
          <w:rFonts w:eastAsia="Calibri"/>
          <w:i/>
        </w:rPr>
        <w:t xml:space="preserve">turnover </w:t>
      </w:r>
      <w:r w:rsidRPr="00207D00">
        <w:rPr>
          <w:rFonts w:eastAsia="Calibri"/>
        </w:rPr>
        <w:t xml:space="preserve">in the first two months of 2026 was estimated at 127.1 trillion VND, accounting for 10.3% of the total and </w:t>
      </w:r>
      <w:r w:rsidRPr="00207D00">
        <w:t>a year-on-year rise of</w:t>
      </w:r>
      <w:r w:rsidRPr="00207D00">
        <w:rPr>
          <w:rFonts w:eastAsia="Calibri"/>
        </w:rPr>
        <w:t xml:space="preserve"> 7.3%. </w:t>
      </w:r>
      <w:r w:rsidRPr="00207D00">
        <w:rPr>
          <w:bCs/>
          <w:iCs/>
          <w:spacing w:val="-4"/>
          <w:shd w:val="clear" w:color="auto" w:fill="FFFFFF"/>
        </w:rPr>
        <w:t xml:space="preserve">Specifically, the turnover increase in the first two months of 2026 </w:t>
      </w:r>
      <w:r w:rsidR="008C37D1">
        <w:rPr>
          <w:bCs/>
          <w:iCs/>
          <w:spacing w:val="-4"/>
          <w:shd w:val="clear" w:color="auto" w:fill="FFFFFF"/>
        </w:rPr>
        <w:t>in</w:t>
      </w:r>
      <w:r w:rsidR="008C37D1" w:rsidRPr="00207D00">
        <w:rPr>
          <w:bCs/>
          <w:iCs/>
          <w:spacing w:val="-4"/>
          <w:shd w:val="clear" w:color="auto" w:fill="FFFFFF"/>
        </w:rPr>
        <w:t xml:space="preserve"> </w:t>
      </w:r>
      <w:r w:rsidRPr="00207D00">
        <w:rPr>
          <w:bCs/>
          <w:iCs/>
          <w:spacing w:val="-4"/>
          <w:shd w:val="clear" w:color="auto" w:fill="FFFFFF"/>
        </w:rPr>
        <w:t>some localities was as follows</w:t>
      </w:r>
      <w:r w:rsidRPr="00207D00">
        <w:rPr>
          <w:rFonts w:eastAsia="Calibri"/>
        </w:rPr>
        <w:t>: Lao Cai increased by 9.0%; Thanh Hoa increased by 8.1%; Ha Noi increased by 6.2%; Can Tho increased by 0.5%; Dong Thap decreased by 2.2%; and Cao Bang decreased by 4.5%.</w:t>
      </w:r>
    </w:p>
    <w:bookmarkEnd w:id="2"/>
    <w:p w14:paraId="76C15AB4" w14:textId="77777777" w:rsidR="00356412" w:rsidRPr="00207D00" w:rsidRDefault="00356412" w:rsidP="00356412">
      <w:pPr>
        <w:tabs>
          <w:tab w:val="left" w:pos="900"/>
          <w:tab w:val="left" w:pos="9475"/>
        </w:tabs>
        <w:spacing w:after="120" w:line="264" w:lineRule="auto"/>
        <w:ind w:firstLine="720"/>
        <w:jc w:val="both"/>
        <w:rPr>
          <w:rStyle w:val="Strong"/>
          <w:rFonts w:eastAsia="Calibri"/>
          <w:i/>
          <w:iCs/>
        </w:rPr>
      </w:pPr>
      <w:r w:rsidRPr="00207D00">
        <w:rPr>
          <w:rStyle w:val="Strong"/>
          <w:rFonts w:eastAsia="Calibri"/>
          <w:i/>
          <w:iCs/>
        </w:rPr>
        <w:t>b) Export and import of goods</w:t>
      </w:r>
      <w:r w:rsidRPr="00207D00">
        <w:rPr>
          <w:b/>
          <w:bCs/>
          <w:i/>
          <w:iCs/>
          <w:vertAlign w:val="superscript"/>
        </w:rPr>
        <w:footnoteReference w:id="14"/>
      </w:r>
    </w:p>
    <w:p w14:paraId="72C1A632" w14:textId="2CE5808A" w:rsidR="00356412" w:rsidRPr="00207D00" w:rsidRDefault="00356412" w:rsidP="00356412">
      <w:pPr>
        <w:tabs>
          <w:tab w:val="left" w:pos="900"/>
          <w:tab w:val="left" w:pos="9475"/>
        </w:tabs>
        <w:spacing w:after="120" w:line="264" w:lineRule="auto"/>
        <w:ind w:firstLine="720"/>
        <w:jc w:val="both"/>
        <w:rPr>
          <w:rFonts w:ascii="Times New Roman Italic" w:hAnsi="Times New Roman Italic" w:cs="Arial"/>
          <w:b/>
          <w:bCs/>
          <w:spacing w:val="-4"/>
          <w:sz w:val="2"/>
          <w:szCs w:val="24"/>
        </w:rPr>
      </w:pPr>
      <w:bookmarkStart w:id="3" w:name="_Hlk223102356"/>
      <w:r w:rsidRPr="00207D00">
        <w:rPr>
          <w:rFonts w:ascii="Times New Roman Italic" w:hAnsi="Times New Roman Italic"/>
          <w:i/>
          <w:spacing w:val="-4"/>
        </w:rPr>
        <w:t>In February, the total export and import turnover of goods</w:t>
      </w:r>
      <w:r w:rsidRPr="00207D00">
        <w:rPr>
          <w:rFonts w:ascii="Times New Roman Italic" w:hAnsi="Times New Roman Italic"/>
          <w:i/>
          <w:iCs/>
          <w:spacing w:val="-4"/>
          <w:vertAlign w:val="superscript"/>
        </w:rPr>
        <w:footnoteReference w:id="15"/>
      </w:r>
      <w:bookmarkEnd w:id="3"/>
      <w:r w:rsidRPr="00207D00">
        <w:rPr>
          <w:rFonts w:ascii="Times New Roman Italic" w:hAnsi="Times New Roman Italic"/>
          <w:i/>
          <w:spacing w:val="-4"/>
        </w:rPr>
        <w:t xml:space="preserve"> reached 67.16 billion USD, </w:t>
      </w:r>
      <w:r w:rsidRPr="00207D00">
        <w:rPr>
          <w:i/>
        </w:rPr>
        <w:t>a month-on-month decrease of</w:t>
      </w:r>
      <w:r w:rsidRPr="00207D00">
        <w:rPr>
          <w:rFonts w:ascii="Times New Roman Italic" w:hAnsi="Times New Roman Italic"/>
          <w:i/>
          <w:spacing w:val="-4"/>
        </w:rPr>
        <w:t xml:space="preserve"> 24.1%</w:t>
      </w:r>
      <w:r w:rsidRPr="00207D00">
        <w:rPr>
          <w:rStyle w:val="FootnoteReference"/>
          <w:rFonts w:ascii="Times New Roman Italic" w:hAnsi="Times New Roman Italic"/>
          <w:i/>
          <w:spacing w:val="-4"/>
        </w:rPr>
        <w:footnoteReference w:id="16"/>
      </w:r>
      <w:r w:rsidRPr="00207D00">
        <w:rPr>
          <w:rFonts w:ascii="Times New Roman Italic" w:hAnsi="Times New Roman Italic"/>
          <w:i/>
          <w:spacing w:val="-4"/>
        </w:rPr>
        <w:t xml:space="preserve"> and </w:t>
      </w:r>
      <w:r w:rsidRPr="00207D00">
        <w:rPr>
          <w:i/>
        </w:rPr>
        <w:t>a year-on-year increase of</w:t>
      </w:r>
      <w:r w:rsidRPr="00207D00">
        <w:rPr>
          <w:rFonts w:ascii="Times New Roman Italic" w:hAnsi="Times New Roman Italic"/>
          <w:i/>
          <w:spacing w:val="-4"/>
        </w:rPr>
        <w:t xml:space="preserve"> 5</w:t>
      </w:r>
      <w:r w:rsidR="008C37D1">
        <w:rPr>
          <w:rFonts w:ascii="Times New Roman Italic" w:hAnsi="Times New Roman Italic"/>
          <w:i/>
          <w:spacing w:val="-4"/>
        </w:rPr>
        <w:t>.</w:t>
      </w:r>
      <w:r w:rsidRPr="00207D00">
        <w:rPr>
          <w:rFonts w:ascii="Times New Roman Italic" w:hAnsi="Times New Roman Italic"/>
          <w:i/>
          <w:spacing w:val="-4"/>
        </w:rPr>
        <w:t xml:space="preserve">1%. Generally, in the first two months of 2026, the total export and import turnover of goods reached 155.7 billion USD, going up 22.2% over that in the same period last year, </w:t>
      </w:r>
      <w:bookmarkStart w:id="4" w:name="_Hlk215154528"/>
      <w:r w:rsidRPr="00207D00">
        <w:rPr>
          <w:rFonts w:ascii="Times New Roman Italic" w:hAnsi="Times New Roman Italic"/>
          <w:i/>
          <w:spacing w:val="-4"/>
        </w:rPr>
        <w:t>of which exports increased by 18.3% and imports increased by 26.3%</w:t>
      </w:r>
      <w:r w:rsidRPr="00207D00">
        <w:rPr>
          <w:rFonts w:ascii="Times New Roman Italic" w:hAnsi="Times New Roman Italic"/>
          <w:i/>
          <w:spacing w:val="-4"/>
          <w:vertAlign w:val="superscript"/>
        </w:rPr>
        <w:footnoteReference w:id="17"/>
      </w:r>
      <w:bookmarkEnd w:id="4"/>
      <w:r w:rsidRPr="00207D00">
        <w:rPr>
          <w:rFonts w:ascii="Times New Roman Italic" w:hAnsi="Times New Roman Italic"/>
          <w:i/>
          <w:spacing w:val="-4"/>
        </w:rPr>
        <w:t xml:space="preserve">. </w:t>
      </w:r>
      <w:r w:rsidRPr="00207D00">
        <w:rPr>
          <w:rFonts w:ascii="Times New Roman Italic" w:hAnsi="Times New Roman Italic"/>
          <w:i/>
          <w:iCs/>
          <w:spacing w:val="-4"/>
        </w:rPr>
        <w:t>The trade balance of goods recorded a trade deficit of 2.98 billion USD.</w:t>
      </w:r>
    </w:p>
    <w:p w14:paraId="0A11C148" w14:textId="77777777" w:rsidR="00356412" w:rsidRPr="00207D00" w:rsidRDefault="00356412" w:rsidP="00356412">
      <w:pPr>
        <w:tabs>
          <w:tab w:val="left" w:pos="900"/>
          <w:tab w:val="left" w:pos="9475"/>
        </w:tabs>
        <w:spacing w:before="120" w:after="120" w:line="264" w:lineRule="auto"/>
        <w:ind w:right="119"/>
        <w:jc w:val="center"/>
        <w:rPr>
          <w:rFonts w:asciiTheme="minorHAnsi" w:eastAsiaTheme="minorHAnsi" w:hAnsiTheme="minorHAnsi" w:cstheme="minorBidi"/>
          <w:sz w:val="22"/>
          <w:szCs w:val="22"/>
        </w:rPr>
      </w:pPr>
      <w:r w:rsidRPr="00207D00">
        <w:rPr>
          <w:rFonts w:ascii="Arial" w:hAnsi="Arial" w:cs="Arial"/>
          <w:b/>
          <w:bCs/>
          <w:sz w:val="24"/>
          <w:szCs w:val="24"/>
        </w:rPr>
        <w:t>Figure 11. Export and import of goods in two months of 2026</w:t>
      </w:r>
    </w:p>
    <w:p w14:paraId="66309709" w14:textId="77777777" w:rsidR="00356412" w:rsidRPr="00207D00" w:rsidRDefault="00356412" w:rsidP="00356412">
      <w:pPr>
        <w:tabs>
          <w:tab w:val="left" w:pos="900"/>
          <w:tab w:val="left" w:pos="9475"/>
        </w:tabs>
        <w:spacing w:before="120" w:after="120" w:line="264" w:lineRule="auto"/>
        <w:jc w:val="center"/>
        <w:rPr>
          <w:rFonts w:ascii="Arial" w:hAnsi="Arial" w:cs="Arial"/>
          <w:b/>
          <w:bCs/>
          <w:sz w:val="24"/>
          <w:szCs w:val="24"/>
        </w:rPr>
      </w:pPr>
      <w:r w:rsidRPr="00207D00">
        <w:rPr>
          <w:rFonts w:ascii="Arial" w:hAnsi="Arial" w:cs="Arial"/>
          <w:b/>
          <w:bCs/>
          <w:noProof/>
          <w:sz w:val="24"/>
          <w:szCs w:val="24"/>
        </w:rPr>
        <w:drawing>
          <wp:inline distT="0" distB="0" distL="0" distR="0" wp14:anchorId="177C75E0" wp14:editId="1CC2D357">
            <wp:extent cx="5699760" cy="19500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n-n-Hinh XNK.jpg"/>
                    <pic:cNvPicPr/>
                  </pic:nvPicPr>
                  <pic:blipFill>
                    <a:blip r:embed="rId19">
                      <a:extLst>
                        <a:ext uri="{28A0092B-C50C-407E-A947-70E740481C1C}">
                          <a14:useLocalDpi xmlns:a14="http://schemas.microsoft.com/office/drawing/2010/main" val="0"/>
                        </a:ext>
                      </a:extLst>
                    </a:blip>
                    <a:stretch>
                      <a:fillRect/>
                    </a:stretch>
                  </pic:blipFill>
                  <pic:spPr>
                    <a:xfrm>
                      <a:off x="0" y="0"/>
                      <a:ext cx="5699760" cy="1950085"/>
                    </a:xfrm>
                    <a:prstGeom prst="rect">
                      <a:avLst/>
                    </a:prstGeom>
                  </pic:spPr>
                </pic:pic>
              </a:graphicData>
            </a:graphic>
          </wp:inline>
        </w:drawing>
      </w:r>
    </w:p>
    <w:p w14:paraId="711F10BA" w14:textId="77777777" w:rsidR="00356412" w:rsidRPr="00207D00" w:rsidRDefault="00356412" w:rsidP="00356412">
      <w:pPr>
        <w:spacing w:after="120" w:line="264" w:lineRule="auto"/>
        <w:ind w:firstLine="720"/>
        <w:rPr>
          <w:rStyle w:val="Strong"/>
          <w:rFonts w:eastAsia="Calibri"/>
          <w:i/>
          <w:iCs/>
        </w:rPr>
      </w:pPr>
      <w:r w:rsidRPr="00207D00">
        <w:rPr>
          <w:b/>
          <w:bCs/>
          <w:i/>
          <w:iCs/>
        </w:rPr>
        <w:t>Export of goods</w:t>
      </w:r>
    </w:p>
    <w:p w14:paraId="4FD1B551" w14:textId="77777777" w:rsidR="00356412" w:rsidRPr="00207D00" w:rsidRDefault="00356412" w:rsidP="00356412">
      <w:pPr>
        <w:tabs>
          <w:tab w:val="num" w:pos="0"/>
          <w:tab w:val="left" w:pos="9475"/>
        </w:tabs>
        <w:spacing w:after="120" w:line="264" w:lineRule="auto"/>
        <w:ind w:firstLine="720"/>
        <w:jc w:val="both"/>
        <w:rPr>
          <w:bCs/>
        </w:rPr>
      </w:pPr>
      <w:bookmarkStart w:id="5" w:name="_Hlk215154611"/>
      <w:bookmarkStart w:id="6" w:name="_Hlk210660579"/>
      <w:r w:rsidRPr="00207D00">
        <w:rPr>
          <w:bCs/>
        </w:rPr>
        <w:t>The export turnover of goods in January 2026 preliminarily reached 43.3 billion USD</w:t>
      </w:r>
      <w:r w:rsidRPr="00207D00">
        <w:rPr>
          <w:rStyle w:val="FootnoteReference"/>
          <w:bCs/>
        </w:rPr>
        <w:footnoteReference w:id="18"/>
      </w:r>
      <w:bookmarkEnd w:id="5"/>
      <w:r w:rsidRPr="00207D00">
        <w:rPr>
          <w:bCs/>
        </w:rPr>
        <w:t>.</w:t>
      </w:r>
    </w:p>
    <w:bookmarkEnd w:id="6"/>
    <w:p w14:paraId="3B25C71B" w14:textId="77777777" w:rsidR="00356412" w:rsidRPr="00207D00" w:rsidRDefault="00356412" w:rsidP="00356412">
      <w:pPr>
        <w:tabs>
          <w:tab w:val="num" w:pos="0"/>
          <w:tab w:val="left" w:pos="9475"/>
        </w:tabs>
        <w:spacing w:after="120" w:line="264" w:lineRule="auto"/>
        <w:ind w:firstLine="720"/>
        <w:jc w:val="both"/>
        <w:rPr>
          <w:bCs/>
        </w:rPr>
      </w:pPr>
      <w:r w:rsidRPr="00207D00">
        <w:rPr>
          <w:bCs/>
        </w:rPr>
        <w:lastRenderedPageBreak/>
        <w:t xml:space="preserve">The export turnover of goods in February 2026 amounted to 33.06 billion USD, a month-on-month decrease of 23.7%. Of which, the domestic economic sector reached 6.44 billion USD, going down 33.1%; the FDI sector (including crude oil) reached 26.62 billion USD, went down 21.0%. Compared to the same period last year, the export turnover of goods in February increased by 5.7%, of which the domestic economic sector decreased by 24.3% and the FDI sector (including crude oil) increased by 17.0%. </w:t>
      </w:r>
    </w:p>
    <w:p w14:paraId="3354391E" w14:textId="66A16DC0" w:rsidR="00356412" w:rsidRPr="00207D00" w:rsidRDefault="00356412" w:rsidP="00356412">
      <w:pPr>
        <w:tabs>
          <w:tab w:val="num" w:pos="0"/>
          <w:tab w:val="left" w:pos="9475"/>
        </w:tabs>
        <w:spacing w:after="120" w:line="264" w:lineRule="auto"/>
        <w:ind w:firstLine="720"/>
        <w:jc w:val="both"/>
        <w:rPr>
          <w:bCs/>
        </w:rPr>
      </w:pPr>
      <w:r w:rsidRPr="00207D00">
        <w:rPr>
          <w:bCs/>
        </w:rPr>
        <w:t xml:space="preserve">Generally, in the first two months of 2026, the export turnover of goods reached 76.36 billion USD, </w:t>
      </w:r>
      <w:r w:rsidR="00F57859">
        <w:rPr>
          <w:bCs/>
        </w:rPr>
        <w:t>rising</w:t>
      </w:r>
      <w:r w:rsidR="00F57859" w:rsidRPr="00207D00">
        <w:rPr>
          <w:bCs/>
        </w:rPr>
        <w:t xml:space="preserve"> </w:t>
      </w:r>
      <w:r w:rsidRPr="00207D00">
        <w:rPr>
          <w:bCs/>
        </w:rPr>
        <w:t>by 18.3% year-on-year. Of which, the domestic economic sector reached 15.96 billion USD, down 12.0%, accounting for 20.9% of total export turnover; the FDI sector (including crude oil) reached 60.4 billion USD, up 30.1%, accounting for 79.1%.</w:t>
      </w:r>
    </w:p>
    <w:p w14:paraId="411FF35D" w14:textId="59FC440D" w:rsidR="00356412" w:rsidRPr="00207D00" w:rsidRDefault="00356412" w:rsidP="00356412">
      <w:pPr>
        <w:tabs>
          <w:tab w:val="num" w:pos="0"/>
          <w:tab w:val="left" w:pos="9475"/>
        </w:tabs>
        <w:spacing w:after="120" w:line="264" w:lineRule="auto"/>
        <w:ind w:firstLine="720"/>
        <w:jc w:val="both"/>
        <w:rPr>
          <w:spacing w:val="-4"/>
        </w:rPr>
      </w:pPr>
      <w:r w:rsidRPr="00207D00">
        <w:rPr>
          <w:bCs/>
        </w:rPr>
        <w:t xml:space="preserve">In the first two months of 2026, there were 13 commodities with export </w:t>
      </w:r>
      <w:r w:rsidR="00524C68">
        <w:rPr>
          <w:bCs/>
        </w:rPr>
        <w:t>turnover</w:t>
      </w:r>
      <w:r w:rsidR="00524C68" w:rsidRPr="00207D00">
        <w:rPr>
          <w:bCs/>
        </w:rPr>
        <w:t xml:space="preserve"> </w:t>
      </w:r>
      <w:r w:rsidRPr="00207D00">
        <w:rPr>
          <w:bCs/>
        </w:rPr>
        <w:t>exceeding 1 billion USD, accounting for 79.9% of total export turnover (of which 4 commodities recorded export turnover exceeding 5 billion USD, accounting for 57.4%).</w:t>
      </w:r>
      <w:r w:rsidRPr="00207D00">
        <w:rPr>
          <w:spacing w:val="-4"/>
        </w:rPr>
        <w:t xml:space="preserve"> </w:t>
      </w:r>
    </w:p>
    <w:p w14:paraId="01C80ADC" w14:textId="77777777" w:rsidR="00356412" w:rsidRPr="00207D00" w:rsidRDefault="00356412" w:rsidP="00356412">
      <w:pPr>
        <w:tabs>
          <w:tab w:val="num" w:pos="0"/>
          <w:tab w:val="left" w:pos="9475"/>
        </w:tabs>
        <w:spacing w:before="120" w:after="120"/>
        <w:ind w:right="119"/>
        <w:jc w:val="center"/>
        <w:rPr>
          <w:rFonts w:ascii="Arial" w:hAnsi="Arial" w:cs="Arial"/>
          <w:b/>
          <w:bCs/>
          <w:sz w:val="24"/>
          <w:szCs w:val="24"/>
        </w:rPr>
      </w:pPr>
      <w:r w:rsidRPr="00207D00">
        <w:rPr>
          <w:rFonts w:ascii="Arial" w:hAnsi="Arial" w:cs="Arial"/>
          <w:b/>
          <w:spacing w:val="-2"/>
          <w:sz w:val="24"/>
          <w:szCs w:val="20"/>
        </w:rPr>
        <w:t>Table 4. Value of some export commodities in the first of two months of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356412" w:rsidRPr="00207D00" w14:paraId="7B915A80" w14:textId="77777777" w:rsidTr="00D563AA">
        <w:tc>
          <w:tcPr>
            <w:tcW w:w="4395" w:type="dxa"/>
          </w:tcPr>
          <w:p w14:paraId="725545C1" w14:textId="77777777" w:rsidR="00356412" w:rsidRPr="00207D00" w:rsidRDefault="00356412" w:rsidP="00D563AA">
            <w:pPr>
              <w:tabs>
                <w:tab w:val="num" w:pos="0"/>
                <w:tab w:val="left" w:pos="9475"/>
              </w:tabs>
              <w:spacing w:before="40" w:after="40"/>
              <w:ind w:right="119"/>
              <w:jc w:val="right"/>
              <w:rPr>
                <w:rFonts w:ascii="Arial" w:hAnsi="Arial" w:cs="Arial"/>
                <w:b/>
                <w:bCs/>
                <w:i/>
                <w:iCs/>
                <w:sz w:val="20"/>
                <w:szCs w:val="20"/>
                <w:lang w:val="en-US"/>
              </w:rPr>
            </w:pPr>
          </w:p>
          <w:p w14:paraId="4C61E0EB" w14:textId="77777777" w:rsidR="00356412" w:rsidRPr="00207D00" w:rsidRDefault="00356412" w:rsidP="00D563AA">
            <w:pPr>
              <w:tabs>
                <w:tab w:val="num" w:pos="0"/>
                <w:tab w:val="left" w:pos="9475"/>
              </w:tabs>
              <w:spacing w:before="40" w:after="40"/>
              <w:ind w:right="119"/>
              <w:jc w:val="right"/>
              <w:rPr>
                <w:rFonts w:ascii="Arial" w:hAnsi="Arial" w:cs="Arial"/>
                <w:b/>
                <w:bCs/>
                <w:i/>
                <w:iCs/>
                <w:sz w:val="20"/>
                <w:szCs w:val="20"/>
                <w:lang w:val="en-US"/>
              </w:rPr>
            </w:pPr>
          </w:p>
        </w:tc>
        <w:tc>
          <w:tcPr>
            <w:tcW w:w="1842" w:type="dxa"/>
            <w:tcBorders>
              <w:top w:val="single" w:sz="4" w:space="0" w:color="auto"/>
              <w:bottom w:val="single" w:sz="4" w:space="0" w:color="auto"/>
            </w:tcBorders>
          </w:tcPr>
          <w:p w14:paraId="61FE8630" w14:textId="77777777" w:rsidR="00356412" w:rsidRPr="00207D00" w:rsidRDefault="00356412" w:rsidP="00D563AA">
            <w:pPr>
              <w:spacing w:before="40" w:after="40"/>
              <w:jc w:val="center"/>
              <w:rPr>
                <w:rFonts w:ascii="Arial" w:hAnsi="Arial" w:cs="Arial"/>
                <w:sz w:val="20"/>
                <w:szCs w:val="20"/>
                <w:lang w:val="en-US"/>
              </w:rPr>
            </w:pPr>
            <w:r w:rsidRPr="00207D00">
              <w:rPr>
                <w:rFonts w:ascii="Arial" w:hAnsi="Arial" w:cs="Arial"/>
                <w:sz w:val="20"/>
                <w:szCs w:val="20"/>
                <w:lang w:val="en-US"/>
              </w:rPr>
              <w:t>Value</w:t>
            </w:r>
          </w:p>
          <w:p w14:paraId="7C6ED213" w14:textId="77777777" w:rsidR="00356412" w:rsidRPr="00207D00" w:rsidRDefault="00356412" w:rsidP="00D563AA">
            <w:pPr>
              <w:spacing w:before="40" w:after="40"/>
              <w:jc w:val="center"/>
              <w:rPr>
                <w:rFonts w:ascii="Arial" w:hAnsi="Arial" w:cs="Arial"/>
                <w:b/>
                <w:bCs/>
                <w:i/>
                <w:iCs/>
                <w:sz w:val="20"/>
                <w:szCs w:val="20"/>
                <w:lang w:val="en-US"/>
              </w:rPr>
            </w:pPr>
            <w:r w:rsidRPr="00207D00">
              <w:rPr>
                <w:rFonts w:ascii="Arial" w:hAnsi="Arial" w:cs="Arial"/>
                <w:sz w:val="20"/>
                <w:szCs w:val="20"/>
                <w:lang w:val="en-US"/>
              </w:rPr>
              <w:t>(Mill. USD)</w:t>
            </w:r>
          </w:p>
        </w:tc>
        <w:tc>
          <w:tcPr>
            <w:tcW w:w="2551" w:type="dxa"/>
            <w:tcBorders>
              <w:top w:val="single" w:sz="4" w:space="0" w:color="auto"/>
              <w:bottom w:val="single" w:sz="4" w:space="0" w:color="auto"/>
            </w:tcBorders>
          </w:tcPr>
          <w:p w14:paraId="427E1FA8" w14:textId="77777777" w:rsidR="00356412" w:rsidRPr="00207D00" w:rsidRDefault="00356412" w:rsidP="00D563AA">
            <w:pPr>
              <w:spacing w:before="40" w:after="40"/>
              <w:jc w:val="center"/>
              <w:rPr>
                <w:rFonts w:ascii="Arial" w:hAnsi="Arial" w:cs="Arial"/>
                <w:b/>
                <w:bCs/>
                <w:i/>
                <w:iCs/>
                <w:sz w:val="20"/>
                <w:szCs w:val="20"/>
                <w:lang w:val="en-US"/>
              </w:rPr>
            </w:pPr>
            <w:r w:rsidRPr="00207D00">
              <w:rPr>
                <w:rFonts w:ascii="Arial" w:hAnsi="Arial" w:cs="Arial"/>
                <w:sz w:val="20"/>
                <w:szCs w:val="20"/>
                <w:lang w:val="en-US"/>
              </w:rPr>
              <w:t>Year-on-year growth rate (%)</w:t>
            </w:r>
          </w:p>
        </w:tc>
      </w:tr>
      <w:tr w:rsidR="00356412" w:rsidRPr="00207D00" w14:paraId="49851AAC" w14:textId="77777777" w:rsidTr="00D563AA">
        <w:tc>
          <w:tcPr>
            <w:tcW w:w="4395" w:type="dxa"/>
            <w:vAlign w:val="bottom"/>
          </w:tcPr>
          <w:p w14:paraId="1249E4FA" w14:textId="4662BFB4" w:rsidR="00356412" w:rsidRPr="00207D00" w:rsidRDefault="00356412" w:rsidP="00E83239">
            <w:pPr>
              <w:spacing w:before="40" w:after="40"/>
              <w:rPr>
                <w:rFonts w:ascii="Arial" w:hAnsi="Arial" w:cs="Arial"/>
                <w:b/>
                <w:bCs/>
                <w:sz w:val="20"/>
                <w:szCs w:val="20"/>
                <w:lang w:val="en-US"/>
              </w:rPr>
            </w:pPr>
            <w:r w:rsidRPr="00207D00">
              <w:rPr>
                <w:rFonts w:ascii="Arial" w:hAnsi="Arial" w:cs="Arial"/>
                <w:b/>
                <w:bCs/>
                <w:sz w:val="20"/>
                <w:szCs w:val="20"/>
                <w:lang w:val="en-US"/>
              </w:rPr>
              <w:t xml:space="preserve">Commodities with export </w:t>
            </w:r>
            <w:r w:rsidR="00E83239">
              <w:rPr>
                <w:rFonts w:ascii="Arial" w:hAnsi="Arial" w:cs="Arial"/>
                <w:b/>
                <w:bCs/>
                <w:sz w:val="20"/>
                <w:szCs w:val="20"/>
                <w:lang w:val="en-US"/>
              </w:rPr>
              <w:t>turnover</w:t>
            </w:r>
            <w:r w:rsidR="00E83239" w:rsidRPr="00207D00">
              <w:rPr>
                <w:rFonts w:ascii="Arial" w:hAnsi="Arial" w:cs="Arial"/>
                <w:b/>
                <w:bCs/>
                <w:sz w:val="20"/>
                <w:szCs w:val="20"/>
                <w:lang w:val="en-US"/>
              </w:rPr>
              <w:t xml:space="preserve"> </w:t>
            </w:r>
            <w:r w:rsidR="00E83239">
              <w:rPr>
                <w:rFonts w:ascii="Arial" w:hAnsi="Arial" w:cs="Arial"/>
                <w:b/>
                <w:bCs/>
                <w:sz w:val="20"/>
                <w:szCs w:val="20"/>
                <w:lang w:val="en-US"/>
              </w:rPr>
              <w:t>exceeding</w:t>
            </w:r>
            <w:r w:rsidRPr="00207D00">
              <w:rPr>
                <w:rFonts w:ascii="Arial" w:hAnsi="Arial" w:cs="Arial"/>
                <w:b/>
                <w:bCs/>
                <w:sz w:val="20"/>
                <w:szCs w:val="20"/>
                <w:lang w:val="en-US"/>
              </w:rPr>
              <w:t xml:space="preserve"> 5 billion USD</w:t>
            </w:r>
          </w:p>
        </w:tc>
        <w:tc>
          <w:tcPr>
            <w:tcW w:w="1842" w:type="dxa"/>
            <w:tcBorders>
              <w:top w:val="single" w:sz="4" w:space="0" w:color="auto"/>
            </w:tcBorders>
          </w:tcPr>
          <w:p w14:paraId="37E203B1" w14:textId="77777777" w:rsidR="00356412" w:rsidRPr="00207D00" w:rsidRDefault="00356412" w:rsidP="00D563AA">
            <w:pPr>
              <w:tabs>
                <w:tab w:val="num" w:pos="0"/>
                <w:tab w:val="left" w:pos="9475"/>
              </w:tabs>
              <w:spacing w:before="40" w:after="40"/>
              <w:ind w:right="119"/>
              <w:jc w:val="right"/>
              <w:rPr>
                <w:rFonts w:ascii="Arial" w:hAnsi="Arial" w:cs="Arial"/>
                <w:b/>
                <w:bCs/>
                <w:i/>
                <w:iCs/>
                <w:sz w:val="20"/>
                <w:szCs w:val="20"/>
                <w:lang w:val="en-US"/>
              </w:rPr>
            </w:pPr>
          </w:p>
        </w:tc>
        <w:tc>
          <w:tcPr>
            <w:tcW w:w="2551" w:type="dxa"/>
            <w:tcBorders>
              <w:top w:val="single" w:sz="4" w:space="0" w:color="auto"/>
            </w:tcBorders>
          </w:tcPr>
          <w:p w14:paraId="74B471F8" w14:textId="77777777" w:rsidR="00356412" w:rsidRPr="00207D00" w:rsidRDefault="00356412" w:rsidP="00D563AA">
            <w:pPr>
              <w:tabs>
                <w:tab w:val="num" w:pos="0"/>
                <w:tab w:val="left" w:pos="9475"/>
              </w:tabs>
              <w:spacing w:before="40" w:after="40"/>
              <w:ind w:right="119"/>
              <w:jc w:val="right"/>
              <w:rPr>
                <w:rFonts w:ascii="Arial" w:hAnsi="Arial" w:cs="Arial"/>
                <w:b/>
                <w:bCs/>
                <w:i/>
                <w:iCs/>
                <w:sz w:val="20"/>
                <w:szCs w:val="20"/>
                <w:lang w:val="en-US"/>
              </w:rPr>
            </w:pPr>
          </w:p>
        </w:tc>
      </w:tr>
      <w:tr w:rsidR="00356412" w:rsidRPr="00207D00" w14:paraId="0E20F8FF" w14:textId="77777777" w:rsidTr="00D563AA">
        <w:tc>
          <w:tcPr>
            <w:tcW w:w="4395" w:type="dxa"/>
            <w:vAlign w:val="bottom"/>
          </w:tcPr>
          <w:p w14:paraId="125D21C3" w14:textId="77777777" w:rsidR="00356412" w:rsidRPr="00207D00" w:rsidRDefault="00356412" w:rsidP="00D563AA">
            <w:pPr>
              <w:spacing w:before="40" w:after="40"/>
              <w:ind w:firstLine="170"/>
              <w:rPr>
                <w:rFonts w:ascii="Arial" w:hAnsi="Arial" w:cs="Arial"/>
                <w:sz w:val="20"/>
                <w:szCs w:val="20"/>
                <w:lang w:val="en-US"/>
              </w:rPr>
            </w:pPr>
            <w:r w:rsidRPr="00207D00">
              <w:rPr>
                <w:rFonts w:ascii="Arial" w:hAnsi="Arial" w:cs="Arial"/>
                <w:sz w:val="20"/>
                <w:szCs w:val="20"/>
                <w:lang w:val="en-US"/>
              </w:rPr>
              <w:t>Electronic goods, computers and their parts</w:t>
            </w:r>
          </w:p>
        </w:tc>
        <w:tc>
          <w:tcPr>
            <w:tcW w:w="1842" w:type="dxa"/>
            <w:vAlign w:val="bottom"/>
          </w:tcPr>
          <w:p w14:paraId="19E4F130" w14:textId="77777777" w:rsidR="00356412" w:rsidRPr="00207D00" w:rsidRDefault="00356412" w:rsidP="00D563AA">
            <w:pPr>
              <w:spacing w:before="40" w:after="40"/>
              <w:ind w:right="456" w:firstLine="170"/>
              <w:jc w:val="right"/>
              <w:rPr>
                <w:rFonts w:ascii="Arial" w:hAnsi="Arial" w:cs="Arial"/>
                <w:sz w:val="20"/>
                <w:szCs w:val="20"/>
                <w:lang w:val="en-US"/>
              </w:rPr>
            </w:pPr>
            <w:r w:rsidRPr="00207D00">
              <w:rPr>
                <w:rFonts w:ascii="Arial" w:hAnsi="Arial" w:cs="Arial"/>
                <w:sz w:val="20"/>
                <w:szCs w:val="20"/>
                <w:lang w:val="en-US"/>
              </w:rPr>
              <w:t>17,690</w:t>
            </w:r>
          </w:p>
        </w:tc>
        <w:tc>
          <w:tcPr>
            <w:tcW w:w="2551" w:type="dxa"/>
            <w:vAlign w:val="bottom"/>
          </w:tcPr>
          <w:p w14:paraId="7F056C84" w14:textId="77777777" w:rsidR="00356412" w:rsidRPr="00207D00" w:rsidRDefault="00356412" w:rsidP="00D563AA">
            <w:pPr>
              <w:spacing w:before="40" w:after="40"/>
              <w:ind w:right="880" w:firstLine="170"/>
              <w:jc w:val="right"/>
              <w:rPr>
                <w:rFonts w:ascii="Arial" w:hAnsi="Arial" w:cs="Arial"/>
                <w:sz w:val="20"/>
                <w:szCs w:val="20"/>
                <w:lang w:val="en-US"/>
              </w:rPr>
            </w:pPr>
            <w:r w:rsidRPr="00207D00">
              <w:rPr>
                <w:rFonts w:ascii="Arial" w:hAnsi="Arial" w:cs="Arial"/>
                <w:sz w:val="20"/>
                <w:szCs w:val="20"/>
                <w:lang w:val="en-US"/>
              </w:rPr>
              <w:t>40.9</w:t>
            </w:r>
          </w:p>
        </w:tc>
      </w:tr>
      <w:tr w:rsidR="00356412" w:rsidRPr="00207D00" w14:paraId="75F011C7" w14:textId="77777777" w:rsidTr="00D563AA">
        <w:tc>
          <w:tcPr>
            <w:tcW w:w="4395" w:type="dxa"/>
            <w:vAlign w:val="bottom"/>
          </w:tcPr>
          <w:p w14:paraId="21FCF7A0" w14:textId="77777777" w:rsidR="00356412" w:rsidRPr="00207D00" w:rsidRDefault="00356412" w:rsidP="00D563AA">
            <w:pPr>
              <w:spacing w:before="40" w:after="40"/>
              <w:ind w:firstLine="170"/>
              <w:rPr>
                <w:rFonts w:ascii="Arial" w:hAnsi="Arial" w:cs="Arial"/>
                <w:sz w:val="20"/>
                <w:szCs w:val="20"/>
                <w:lang w:val="en-US"/>
              </w:rPr>
            </w:pPr>
            <w:r w:rsidRPr="00207D00">
              <w:rPr>
                <w:rFonts w:ascii="Arial" w:hAnsi="Arial" w:cs="Arial"/>
                <w:sz w:val="20"/>
                <w:szCs w:val="20"/>
                <w:lang w:val="en-US"/>
              </w:rPr>
              <w:t>Phones all of kinds and their parts</w:t>
            </w:r>
          </w:p>
        </w:tc>
        <w:tc>
          <w:tcPr>
            <w:tcW w:w="1842" w:type="dxa"/>
            <w:vAlign w:val="bottom"/>
          </w:tcPr>
          <w:p w14:paraId="00B47651" w14:textId="77777777" w:rsidR="00356412" w:rsidRPr="00207D00" w:rsidRDefault="00356412" w:rsidP="00D563AA">
            <w:pPr>
              <w:spacing w:before="40" w:after="40"/>
              <w:ind w:right="456" w:firstLine="170"/>
              <w:jc w:val="right"/>
              <w:rPr>
                <w:rFonts w:ascii="Arial" w:hAnsi="Arial" w:cs="Arial"/>
                <w:sz w:val="20"/>
                <w:szCs w:val="20"/>
                <w:lang w:val="en-US"/>
              </w:rPr>
            </w:pPr>
            <w:r w:rsidRPr="00207D00">
              <w:rPr>
                <w:rFonts w:ascii="Arial" w:hAnsi="Arial" w:cs="Arial"/>
                <w:sz w:val="20"/>
                <w:szCs w:val="20"/>
                <w:lang w:val="en-US"/>
              </w:rPr>
              <w:t>11,147</w:t>
            </w:r>
          </w:p>
        </w:tc>
        <w:tc>
          <w:tcPr>
            <w:tcW w:w="2551" w:type="dxa"/>
            <w:vAlign w:val="bottom"/>
          </w:tcPr>
          <w:p w14:paraId="262BB5F4" w14:textId="77777777" w:rsidR="00356412" w:rsidRPr="00207D00" w:rsidRDefault="00356412" w:rsidP="00D563AA">
            <w:pPr>
              <w:spacing w:before="40" w:after="40"/>
              <w:ind w:right="880" w:firstLine="170"/>
              <w:jc w:val="right"/>
              <w:rPr>
                <w:rFonts w:ascii="Arial" w:hAnsi="Arial" w:cs="Arial"/>
                <w:sz w:val="20"/>
                <w:szCs w:val="20"/>
                <w:lang w:val="en-US"/>
              </w:rPr>
            </w:pPr>
            <w:r w:rsidRPr="00207D00">
              <w:rPr>
                <w:rFonts w:ascii="Arial" w:hAnsi="Arial" w:cs="Arial"/>
                <w:sz w:val="20"/>
                <w:szCs w:val="20"/>
                <w:lang w:val="en-US"/>
              </w:rPr>
              <w:t>21.0</w:t>
            </w:r>
          </w:p>
        </w:tc>
      </w:tr>
      <w:tr w:rsidR="00356412" w:rsidRPr="00207D00" w14:paraId="3DF17183" w14:textId="77777777" w:rsidTr="00D563AA">
        <w:tc>
          <w:tcPr>
            <w:tcW w:w="4395" w:type="dxa"/>
            <w:vAlign w:val="bottom"/>
          </w:tcPr>
          <w:p w14:paraId="15E6F738" w14:textId="77777777" w:rsidR="00356412" w:rsidRPr="00207D00" w:rsidRDefault="00356412" w:rsidP="00D563AA">
            <w:pPr>
              <w:spacing w:before="40" w:after="40"/>
              <w:ind w:firstLine="170"/>
              <w:rPr>
                <w:rFonts w:ascii="Arial" w:hAnsi="Arial" w:cs="Arial"/>
                <w:sz w:val="20"/>
                <w:szCs w:val="20"/>
                <w:lang w:val="en-US"/>
              </w:rPr>
            </w:pPr>
            <w:r w:rsidRPr="00207D00">
              <w:rPr>
                <w:rFonts w:ascii="Arial" w:hAnsi="Arial" w:cs="Arial"/>
                <w:sz w:val="20"/>
                <w:szCs w:val="20"/>
                <w:lang w:val="en-US"/>
              </w:rPr>
              <w:t>Machinery, instrument, accessory</w:t>
            </w:r>
          </w:p>
        </w:tc>
        <w:tc>
          <w:tcPr>
            <w:tcW w:w="1842" w:type="dxa"/>
            <w:vAlign w:val="bottom"/>
          </w:tcPr>
          <w:p w14:paraId="58A6DB36" w14:textId="77777777" w:rsidR="00356412" w:rsidRPr="00207D00" w:rsidRDefault="00356412" w:rsidP="00D563AA">
            <w:pPr>
              <w:spacing w:before="40" w:after="40"/>
              <w:ind w:right="456" w:firstLine="170"/>
              <w:jc w:val="right"/>
              <w:rPr>
                <w:rFonts w:ascii="Arial" w:hAnsi="Arial" w:cs="Arial"/>
                <w:sz w:val="20"/>
                <w:szCs w:val="20"/>
                <w:lang w:val="en-US"/>
              </w:rPr>
            </w:pPr>
            <w:r w:rsidRPr="00207D00">
              <w:rPr>
                <w:rFonts w:ascii="Arial" w:hAnsi="Arial" w:cs="Arial"/>
                <w:sz w:val="20"/>
                <w:szCs w:val="20"/>
                <w:lang w:val="en-US"/>
              </w:rPr>
              <w:t>9,286</w:t>
            </w:r>
          </w:p>
        </w:tc>
        <w:tc>
          <w:tcPr>
            <w:tcW w:w="2551" w:type="dxa"/>
            <w:vAlign w:val="bottom"/>
          </w:tcPr>
          <w:p w14:paraId="1434857B" w14:textId="77777777" w:rsidR="00356412" w:rsidRPr="00207D00" w:rsidRDefault="00356412" w:rsidP="00D563AA">
            <w:pPr>
              <w:spacing w:before="40" w:after="40"/>
              <w:ind w:right="880" w:firstLine="170"/>
              <w:jc w:val="right"/>
              <w:rPr>
                <w:rFonts w:ascii="Arial" w:hAnsi="Arial" w:cs="Arial"/>
                <w:sz w:val="20"/>
                <w:szCs w:val="20"/>
                <w:lang w:val="en-US"/>
              </w:rPr>
            </w:pPr>
            <w:r w:rsidRPr="00207D00">
              <w:rPr>
                <w:rFonts w:ascii="Arial" w:hAnsi="Arial" w:cs="Arial"/>
                <w:sz w:val="20"/>
                <w:szCs w:val="20"/>
                <w:lang w:val="en-US"/>
              </w:rPr>
              <w:t>20.6</w:t>
            </w:r>
          </w:p>
        </w:tc>
      </w:tr>
      <w:tr w:rsidR="00356412" w:rsidRPr="00207D00" w14:paraId="17993000" w14:textId="77777777" w:rsidTr="00D563AA">
        <w:tc>
          <w:tcPr>
            <w:tcW w:w="4395" w:type="dxa"/>
            <w:vAlign w:val="bottom"/>
          </w:tcPr>
          <w:p w14:paraId="729C8069" w14:textId="77777777" w:rsidR="00356412" w:rsidRPr="00207D00" w:rsidRDefault="00356412" w:rsidP="00D563AA">
            <w:pPr>
              <w:spacing w:before="40" w:after="40"/>
              <w:ind w:firstLine="170"/>
              <w:rPr>
                <w:rFonts w:ascii="Arial" w:hAnsi="Arial" w:cs="Arial"/>
                <w:sz w:val="20"/>
                <w:szCs w:val="20"/>
                <w:lang w:val="en-US"/>
              </w:rPr>
            </w:pPr>
            <w:r w:rsidRPr="00207D00">
              <w:rPr>
                <w:rFonts w:ascii="Arial" w:hAnsi="Arial" w:cs="Arial"/>
                <w:sz w:val="20"/>
                <w:szCs w:val="20"/>
                <w:lang w:val="en-US"/>
              </w:rPr>
              <w:t>Textiles and garments</w:t>
            </w:r>
          </w:p>
        </w:tc>
        <w:tc>
          <w:tcPr>
            <w:tcW w:w="1842" w:type="dxa"/>
            <w:vAlign w:val="bottom"/>
          </w:tcPr>
          <w:p w14:paraId="78F72378" w14:textId="77777777" w:rsidR="00356412" w:rsidRPr="00207D00" w:rsidRDefault="00356412" w:rsidP="00D563AA">
            <w:pPr>
              <w:spacing w:before="40" w:after="40"/>
              <w:ind w:right="456" w:firstLine="170"/>
              <w:jc w:val="right"/>
              <w:rPr>
                <w:rFonts w:ascii="Arial" w:hAnsi="Arial" w:cs="Arial"/>
                <w:sz w:val="20"/>
                <w:szCs w:val="20"/>
                <w:lang w:val="en-US"/>
              </w:rPr>
            </w:pPr>
            <w:r w:rsidRPr="00207D00">
              <w:rPr>
                <w:rFonts w:ascii="Arial" w:hAnsi="Arial" w:cs="Arial"/>
                <w:sz w:val="20"/>
                <w:szCs w:val="20"/>
                <w:lang w:val="en-US"/>
              </w:rPr>
              <w:t>5,700</w:t>
            </w:r>
          </w:p>
        </w:tc>
        <w:tc>
          <w:tcPr>
            <w:tcW w:w="2551" w:type="dxa"/>
            <w:vAlign w:val="bottom"/>
          </w:tcPr>
          <w:p w14:paraId="3C189F04" w14:textId="77777777" w:rsidR="00356412" w:rsidRPr="00207D00" w:rsidRDefault="00356412" w:rsidP="00D563AA">
            <w:pPr>
              <w:spacing w:before="40" w:after="40"/>
              <w:ind w:right="880" w:firstLine="170"/>
              <w:jc w:val="right"/>
              <w:rPr>
                <w:rFonts w:ascii="Arial" w:hAnsi="Arial" w:cs="Arial"/>
                <w:sz w:val="20"/>
                <w:szCs w:val="20"/>
                <w:lang w:val="en-US"/>
              </w:rPr>
            </w:pPr>
            <w:r w:rsidRPr="00207D00">
              <w:rPr>
                <w:rFonts w:ascii="Arial" w:hAnsi="Arial" w:cs="Arial"/>
                <w:sz w:val="20"/>
                <w:szCs w:val="20"/>
                <w:lang w:val="en-US"/>
              </w:rPr>
              <w:t>1.2</w:t>
            </w:r>
          </w:p>
        </w:tc>
      </w:tr>
    </w:tbl>
    <w:p w14:paraId="6AD337C7" w14:textId="77777777" w:rsidR="00356412" w:rsidRPr="00207D00" w:rsidRDefault="00356412" w:rsidP="00356412">
      <w:pPr>
        <w:tabs>
          <w:tab w:val="num" w:pos="0"/>
          <w:tab w:val="left" w:pos="9475"/>
        </w:tabs>
        <w:spacing w:before="40" w:after="40" w:line="264" w:lineRule="auto"/>
        <w:ind w:right="119" w:firstLine="567"/>
        <w:jc w:val="right"/>
        <w:rPr>
          <w:rFonts w:ascii="Arial" w:hAnsi="Arial" w:cs="Arial"/>
          <w:b/>
          <w:bCs/>
          <w:i/>
          <w:iCs/>
          <w:sz w:val="2"/>
          <w:szCs w:val="20"/>
        </w:rPr>
      </w:pPr>
    </w:p>
    <w:p w14:paraId="440FCDF2" w14:textId="77777777" w:rsidR="00356412" w:rsidRPr="00207D00" w:rsidRDefault="00356412" w:rsidP="00356412">
      <w:pPr>
        <w:spacing w:before="40" w:after="40" w:line="264" w:lineRule="auto"/>
        <w:rPr>
          <w:rFonts w:eastAsia="Batang"/>
          <w:bCs/>
          <w:i/>
          <w:spacing w:val="-6"/>
          <w:sz w:val="2"/>
        </w:rPr>
      </w:pPr>
    </w:p>
    <w:p w14:paraId="2D5C921C" w14:textId="77777777" w:rsidR="00356412" w:rsidRPr="00207D00" w:rsidRDefault="00356412" w:rsidP="00356412">
      <w:pPr>
        <w:tabs>
          <w:tab w:val="left" w:pos="9475"/>
        </w:tabs>
        <w:spacing w:before="40" w:after="40" w:line="288" w:lineRule="auto"/>
        <w:ind w:right="6" w:firstLine="567"/>
        <w:jc w:val="both"/>
        <w:rPr>
          <w:rFonts w:eastAsia="Batang"/>
          <w:bCs/>
          <w:i/>
          <w:spacing w:val="-2"/>
        </w:rPr>
      </w:pPr>
      <w:r w:rsidRPr="00207D00">
        <w:rPr>
          <w:rFonts w:ascii="Arial" w:hAnsi="Arial" w:cs="Arial"/>
          <w:b/>
          <w:bCs/>
          <w:i/>
          <w:iCs/>
          <w:sz w:val="2"/>
          <w:szCs w:val="20"/>
        </w:rPr>
        <w:t xml:space="preserve"> </w:t>
      </w:r>
      <w:r w:rsidRPr="00207D00">
        <w:rPr>
          <w:rFonts w:eastAsia="Batang"/>
          <w:bCs/>
          <w:i/>
          <w:spacing w:val="-6"/>
          <w:sz w:val="2"/>
        </w:rPr>
        <w:t xml:space="preserve"> </w:t>
      </w:r>
      <w:r w:rsidRPr="00207D00">
        <w:rPr>
          <w:rFonts w:eastAsia="Batang"/>
          <w:bCs/>
          <w:i/>
          <w:spacing w:val="-2"/>
        </w:rPr>
        <w:t xml:space="preserve"> </w:t>
      </w:r>
    </w:p>
    <w:p w14:paraId="535E03CD" w14:textId="0E83FA6F" w:rsidR="00356412" w:rsidRPr="00207D00" w:rsidRDefault="00356412" w:rsidP="00356412">
      <w:pPr>
        <w:tabs>
          <w:tab w:val="left" w:pos="9475"/>
        </w:tabs>
        <w:spacing w:before="40" w:after="40" w:line="264" w:lineRule="auto"/>
        <w:ind w:right="6"/>
        <w:jc w:val="both"/>
        <w:rPr>
          <w:rStyle w:val="Strong"/>
          <w:rFonts w:eastAsia="Calibri"/>
          <w:i/>
          <w:iCs/>
        </w:rPr>
      </w:pPr>
      <w:r w:rsidRPr="00207D00">
        <w:rPr>
          <w:noProof/>
          <w:spacing w:val="-2"/>
        </w:rPr>
        <mc:AlternateContent>
          <mc:Choice Requires="wps">
            <w:drawing>
              <wp:anchor distT="0" distB="0" distL="114300" distR="114300" simplePos="0" relativeHeight="251666432" behindDoc="0" locked="0" layoutInCell="1" allowOverlap="1" wp14:anchorId="79327696" wp14:editId="1FFC4B5C">
                <wp:simplePos x="0" y="0"/>
                <wp:positionH relativeFrom="column">
                  <wp:posOffset>201930</wp:posOffset>
                </wp:positionH>
                <wp:positionV relativeFrom="paragraph">
                  <wp:posOffset>3175</wp:posOffset>
                </wp:positionV>
                <wp:extent cx="3170555" cy="24860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486025"/>
                        </a:xfrm>
                        <a:prstGeom prst="rect">
                          <a:avLst/>
                        </a:prstGeom>
                        <a:solidFill>
                          <a:srgbClr val="FFFFFF"/>
                        </a:solidFill>
                        <a:ln w="9525">
                          <a:noFill/>
                          <a:miter lim="800000"/>
                          <a:headEnd/>
                          <a:tailEnd/>
                        </a:ln>
                      </wps:spPr>
                      <wps:txbx>
                        <w:txbxContent>
                          <w:p w14:paraId="37F7FA4E" w14:textId="77777777" w:rsidR="00660B05" w:rsidRPr="0066122B" w:rsidRDefault="00660B05" w:rsidP="00356412">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12</w:t>
                            </w:r>
                            <w:r w:rsidRPr="006822A2">
                              <w:rPr>
                                <w:rFonts w:ascii="Arial" w:hAnsi="Arial" w:cs="Arial"/>
                                <w:b/>
                                <w:bCs/>
                                <w:sz w:val="24"/>
                                <w:szCs w:val="24"/>
                              </w:rPr>
                              <w:t xml:space="preserve">. </w:t>
                            </w:r>
                            <w:r w:rsidRPr="000C1162">
                              <w:rPr>
                                <w:rFonts w:ascii="Arial" w:hAnsi="Arial" w:cs="Arial"/>
                                <w:b/>
                                <w:bCs/>
                                <w:sz w:val="24"/>
                                <w:szCs w:val="24"/>
                              </w:rPr>
                              <w:t xml:space="preserve">Structure of exported </w:t>
                            </w:r>
                            <w:r>
                              <w:rPr>
                                <w:rFonts w:ascii="Arial" w:hAnsi="Arial" w:cs="Arial"/>
                                <w:b/>
                                <w:bCs/>
                                <w:sz w:val="24"/>
                                <w:szCs w:val="24"/>
                              </w:rPr>
                              <w:t xml:space="preserve">commodities </w:t>
                            </w:r>
                            <w:r w:rsidRPr="000C1162">
                              <w:rPr>
                                <w:rFonts w:ascii="Arial" w:hAnsi="Arial" w:cs="Arial"/>
                                <w:b/>
                                <w:bCs/>
                                <w:sz w:val="24"/>
                                <w:szCs w:val="24"/>
                              </w:rPr>
                              <w:t>in</w:t>
                            </w:r>
                            <w:r w:rsidRPr="006822A2">
                              <w:rPr>
                                <w:rFonts w:ascii="Arial" w:hAnsi="Arial" w:cs="Arial"/>
                                <w:b/>
                                <w:bCs/>
                                <w:sz w:val="24"/>
                                <w:szCs w:val="24"/>
                              </w:rPr>
                              <w:t xml:space="preserve"> </w:t>
                            </w:r>
                            <w:r>
                              <w:rPr>
                                <w:rFonts w:ascii="Arial" w:hAnsi="Arial" w:cs="Arial"/>
                                <w:b/>
                                <w:bCs/>
                                <w:sz w:val="24"/>
                                <w:szCs w:val="24"/>
                              </w:rPr>
                              <w:t xml:space="preserve">two months of </w:t>
                            </w:r>
                            <w:r w:rsidRPr="006822A2">
                              <w:rPr>
                                <w:rFonts w:ascii="Arial" w:hAnsi="Arial" w:cs="Arial"/>
                                <w:b/>
                                <w:bCs/>
                                <w:sz w:val="24"/>
                                <w:szCs w:val="24"/>
                              </w:rPr>
                              <w:t>202</w:t>
                            </w:r>
                            <w:r>
                              <w:rPr>
                                <w:rFonts w:ascii="Arial" w:hAnsi="Arial" w:cs="Arial"/>
                                <w:b/>
                                <w:bCs/>
                                <w:sz w:val="24"/>
                                <w:szCs w:val="24"/>
                              </w:rPr>
                              <w:t>6</w:t>
                            </w:r>
                          </w:p>
                          <w:p w14:paraId="3F4A622B" w14:textId="77777777" w:rsidR="00660B05" w:rsidRPr="00271B83" w:rsidRDefault="00660B05" w:rsidP="00356412">
                            <w:pPr>
                              <w:spacing w:before="120" w:after="120"/>
                              <w:ind w:left="-142"/>
                              <w:jc w:val="center"/>
                              <w:rPr>
                                <w:rFonts w:ascii="Arial" w:hAnsi="Arial" w:cs="Arial"/>
                                <w:sz w:val="24"/>
                                <w:szCs w:val="24"/>
                              </w:rPr>
                            </w:pPr>
                            <w:r>
                              <w:rPr>
                                <w:noProof/>
                              </w:rPr>
                              <w:drawing>
                                <wp:inline distT="0" distB="0" distL="0" distR="0" wp14:anchorId="23A4F1AD" wp14:editId="19CC7040">
                                  <wp:extent cx="3105150" cy="20281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5150" cy="2028190"/>
                                          </a:xfrm>
                                          <a:prstGeom prst="rect">
                                            <a:avLst/>
                                          </a:prstGeom>
                                          <a:noFill/>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79327696" id="_x0000_t202" coordsize="21600,21600" o:spt="202" path="m,l,21600r21600,l21600,xe">
                <v:stroke joinstyle="miter"/>
                <v:path gradientshapeok="t" o:connecttype="rect"/>
              </v:shapetype>
              <v:shape id="Text Box 2" o:spid="_x0000_s1026" type="#_x0000_t202" style="position:absolute;left:0;text-align:left;margin-left:15.9pt;margin-top:.25pt;width:249.65pt;height:19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" stroked="f">
                <v:textbox inset="1mm,1mm,1mm,1mm">
                  <w:txbxContent>
                    <w:p w14:paraId="37F7FA4E" w14:textId="77777777" w:rsidR="00660B05" w:rsidRPr="0066122B" w:rsidRDefault="00660B05" w:rsidP="00356412">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12</w:t>
                      </w:r>
                      <w:r w:rsidRPr="006822A2">
                        <w:rPr>
                          <w:rFonts w:ascii="Arial" w:hAnsi="Arial" w:cs="Arial"/>
                          <w:b/>
                          <w:bCs/>
                          <w:sz w:val="24"/>
                          <w:szCs w:val="24"/>
                        </w:rPr>
                        <w:t xml:space="preserve">. </w:t>
                      </w:r>
                      <w:r w:rsidRPr="000C1162">
                        <w:rPr>
                          <w:rFonts w:ascii="Arial" w:hAnsi="Arial" w:cs="Arial"/>
                          <w:b/>
                          <w:bCs/>
                          <w:sz w:val="24"/>
                          <w:szCs w:val="24"/>
                        </w:rPr>
                        <w:t xml:space="preserve">Structure of exported </w:t>
                      </w:r>
                      <w:r>
                        <w:rPr>
                          <w:rFonts w:ascii="Arial" w:hAnsi="Arial" w:cs="Arial"/>
                          <w:b/>
                          <w:bCs/>
                          <w:sz w:val="24"/>
                          <w:szCs w:val="24"/>
                        </w:rPr>
                        <w:t xml:space="preserve">commodities </w:t>
                      </w:r>
                      <w:r w:rsidRPr="000C1162">
                        <w:rPr>
                          <w:rFonts w:ascii="Arial" w:hAnsi="Arial" w:cs="Arial"/>
                          <w:b/>
                          <w:bCs/>
                          <w:sz w:val="24"/>
                          <w:szCs w:val="24"/>
                        </w:rPr>
                        <w:t>in</w:t>
                      </w:r>
                      <w:r w:rsidRPr="006822A2">
                        <w:rPr>
                          <w:rFonts w:ascii="Arial" w:hAnsi="Arial" w:cs="Arial"/>
                          <w:b/>
                          <w:bCs/>
                          <w:sz w:val="24"/>
                          <w:szCs w:val="24"/>
                        </w:rPr>
                        <w:t xml:space="preserve"> </w:t>
                      </w:r>
                      <w:r>
                        <w:rPr>
                          <w:rFonts w:ascii="Arial" w:hAnsi="Arial" w:cs="Arial"/>
                          <w:b/>
                          <w:bCs/>
                          <w:sz w:val="24"/>
                          <w:szCs w:val="24"/>
                        </w:rPr>
                        <w:t xml:space="preserve">two months of </w:t>
                      </w:r>
                      <w:r w:rsidRPr="006822A2">
                        <w:rPr>
                          <w:rFonts w:ascii="Arial" w:hAnsi="Arial" w:cs="Arial"/>
                          <w:b/>
                          <w:bCs/>
                          <w:sz w:val="24"/>
                          <w:szCs w:val="24"/>
                        </w:rPr>
                        <w:t>202</w:t>
                      </w:r>
                      <w:r>
                        <w:rPr>
                          <w:rFonts w:ascii="Arial" w:hAnsi="Arial" w:cs="Arial"/>
                          <w:b/>
                          <w:bCs/>
                          <w:sz w:val="24"/>
                          <w:szCs w:val="24"/>
                        </w:rPr>
                        <w:t>6</w:t>
                      </w:r>
                    </w:p>
                    <w:p w14:paraId="3F4A622B" w14:textId="77777777" w:rsidR="00660B05" w:rsidRPr="00271B83" w:rsidRDefault="00660B05" w:rsidP="00356412">
                      <w:pPr>
                        <w:spacing w:before="120" w:after="120"/>
                        <w:ind w:left="-142"/>
                        <w:jc w:val="center"/>
                        <w:rPr>
                          <w:rFonts w:ascii="Arial" w:hAnsi="Arial" w:cs="Arial"/>
                          <w:sz w:val="24"/>
                          <w:szCs w:val="24"/>
                        </w:rPr>
                      </w:pPr>
                      <w:r>
                        <w:rPr>
                          <w:noProof/>
                        </w:rPr>
                        <w:drawing>
                          <wp:inline distT="0" distB="0" distL="0" distR="0" wp14:anchorId="23A4F1AD" wp14:editId="19CC7040">
                            <wp:extent cx="3105150" cy="20281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5150" cy="2028190"/>
                                    </a:xfrm>
                                    <a:prstGeom prst="rect">
                                      <a:avLst/>
                                    </a:prstGeom>
                                    <a:noFill/>
                                  </pic:spPr>
                                </pic:pic>
                              </a:graphicData>
                            </a:graphic>
                          </wp:inline>
                        </w:drawing>
                      </w:r>
                    </w:p>
                  </w:txbxContent>
                </v:textbox>
                <w10:wrap type="square"/>
              </v:shape>
            </w:pict>
          </mc:Fallback>
        </mc:AlternateContent>
      </w:r>
      <w:r w:rsidRPr="00207D00">
        <w:rPr>
          <w:i/>
          <w:spacing w:val="-2"/>
        </w:rPr>
        <w:t>Regarding the structure of exported commodit</w:t>
      </w:r>
      <w:r w:rsidR="001E385F">
        <w:rPr>
          <w:i/>
          <w:spacing w:val="-2"/>
        </w:rPr>
        <w:t>ies</w:t>
      </w:r>
      <w:r w:rsidRPr="00207D00">
        <w:rPr>
          <w:i/>
          <w:spacing w:val="-2"/>
        </w:rPr>
        <w:t xml:space="preserve"> in the first two months of 2026</w:t>
      </w:r>
      <w:r w:rsidRPr="00207D00">
        <w:rPr>
          <w:spacing w:val="-2"/>
        </w:rPr>
        <w:t xml:space="preserve">, </w:t>
      </w:r>
      <w:r w:rsidRPr="00207D00">
        <w:rPr>
          <w:rFonts w:eastAsia="Batang"/>
          <w:bCs/>
          <w:spacing w:val="-2"/>
        </w:rPr>
        <w:t>the group of manufactured products</w:t>
      </w:r>
      <w:r w:rsidRPr="00207D00">
        <w:rPr>
          <w:spacing w:val="-2"/>
        </w:rPr>
        <w:t xml:space="preserve"> reached 68.55 billion USD, accounting for 89.8%; </w:t>
      </w:r>
      <w:r w:rsidRPr="00207D00">
        <w:rPr>
          <w:rFonts w:eastAsia="Batang"/>
          <w:bCs/>
          <w:spacing w:val="-2"/>
        </w:rPr>
        <w:t>the group of</w:t>
      </w:r>
      <w:r w:rsidRPr="00207D00">
        <w:rPr>
          <w:spacing w:val="-2"/>
        </w:rPr>
        <w:t xml:space="preserve"> agricultural and forestry products reached 5.8 billion USD, accounting for 7.6%; </w:t>
      </w:r>
      <w:r w:rsidRPr="00207D00">
        <w:rPr>
          <w:rFonts w:eastAsia="Batang"/>
          <w:bCs/>
          <w:spacing w:val="-2"/>
        </w:rPr>
        <w:t>the group of</w:t>
      </w:r>
      <w:r w:rsidRPr="00207D00">
        <w:rPr>
          <w:spacing w:val="-2"/>
        </w:rPr>
        <w:t xml:space="preserve"> fishery products reached 1.72 billion USD, accounting for 2.2%; and</w:t>
      </w:r>
      <w:r w:rsidRPr="00207D00">
        <w:rPr>
          <w:rFonts w:eastAsia="Batang"/>
          <w:bCs/>
          <w:spacing w:val="-2"/>
        </w:rPr>
        <w:t xml:space="preserve"> the group of</w:t>
      </w:r>
      <w:r w:rsidRPr="00207D00">
        <w:rPr>
          <w:spacing w:val="-2"/>
        </w:rPr>
        <w:t xml:space="preserve"> fuels and minerals reached 0.29 billion USD, accounting for 0.4%</w:t>
      </w:r>
      <w:r w:rsidRPr="00207D00">
        <w:rPr>
          <w:rFonts w:eastAsia="Batang"/>
          <w:bCs/>
          <w:iCs/>
          <w:spacing w:val="-2"/>
        </w:rPr>
        <w:t>.</w:t>
      </w:r>
    </w:p>
    <w:p w14:paraId="58C4C230" w14:textId="77777777" w:rsidR="00356412" w:rsidRPr="00207D00" w:rsidRDefault="00356412" w:rsidP="00356412">
      <w:pPr>
        <w:tabs>
          <w:tab w:val="left" w:pos="900"/>
          <w:tab w:val="left" w:pos="9475"/>
        </w:tabs>
        <w:spacing w:after="120" w:line="264" w:lineRule="auto"/>
        <w:ind w:firstLine="720"/>
        <w:jc w:val="both"/>
        <w:rPr>
          <w:rStyle w:val="Strong"/>
          <w:rFonts w:eastAsia="Calibri"/>
          <w:i/>
          <w:iCs/>
        </w:rPr>
      </w:pPr>
      <w:r w:rsidRPr="00207D00">
        <w:rPr>
          <w:rStyle w:val="Strong"/>
          <w:rFonts w:eastAsia="Calibri"/>
          <w:i/>
          <w:iCs/>
        </w:rPr>
        <w:t>Import of goods</w:t>
      </w:r>
    </w:p>
    <w:p w14:paraId="0F5A88CD" w14:textId="77777777" w:rsidR="00356412" w:rsidRPr="00207D00" w:rsidRDefault="00356412" w:rsidP="00356412">
      <w:pPr>
        <w:tabs>
          <w:tab w:val="num" w:pos="0"/>
          <w:tab w:val="left" w:pos="9475"/>
        </w:tabs>
        <w:spacing w:after="120" w:line="264" w:lineRule="auto"/>
        <w:ind w:firstLine="720"/>
        <w:jc w:val="both"/>
        <w:rPr>
          <w:bCs/>
        </w:rPr>
      </w:pPr>
      <w:bookmarkStart w:id="7" w:name="_Hlk215154694"/>
      <w:r w:rsidRPr="00207D00">
        <w:rPr>
          <w:bCs/>
        </w:rPr>
        <w:lastRenderedPageBreak/>
        <w:t>The import turnover of goods in January 2026 preliminarily reached 45.24 billion USD</w:t>
      </w:r>
      <w:r w:rsidRPr="00207D00">
        <w:rPr>
          <w:rStyle w:val="FootnoteReference"/>
          <w:bCs/>
        </w:rPr>
        <w:footnoteReference w:id="19"/>
      </w:r>
      <w:bookmarkEnd w:id="7"/>
      <w:r w:rsidRPr="00207D00">
        <w:rPr>
          <w:bCs/>
        </w:rPr>
        <w:t>.</w:t>
      </w:r>
    </w:p>
    <w:p w14:paraId="1F3EE064" w14:textId="77777777" w:rsidR="00356412" w:rsidRPr="00207D00" w:rsidRDefault="00356412" w:rsidP="00356412">
      <w:pPr>
        <w:tabs>
          <w:tab w:val="left" w:pos="9475"/>
        </w:tabs>
        <w:spacing w:after="120" w:line="264" w:lineRule="auto"/>
        <w:ind w:firstLine="720"/>
        <w:jc w:val="both"/>
        <w:rPr>
          <w:bCs/>
        </w:rPr>
      </w:pPr>
      <w:r w:rsidRPr="00207D00">
        <w:rPr>
          <w:bCs/>
        </w:rPr>
        <w:t>The import turnover of goods in February 2026 reached 34.1 billion USD, a month-on-month decrease of 24.6%. Of which, the domestic economic sector reached 9.55 billion USD, down 27.5%, and the FDI sector reached 24.55 billion USD, down 23.4%. Compared with the same period last year, the import turnover of goods in February increased by 4.4%, of which the domestic economic sector decreased by 19.6%, while the FDI sector increased by 18.1%.</w:t>
      </w:r>
    </w:p>
    <w:p w14:paraId="4A330D7B" w14:textId="2D4916A0" w:rsidR="00356412" w:rsidRPr="00207D00" w:rsidRDefault="00356412" w:rsidP="00356412">
      <w:pPr>
        <w:tabs>
          <w:tab w:val="left" w:pos="9475"/>
        </w:tabs>
        <w:spacing w:after="120" w:line="264" w:lineRule="auto"/>
        <w:ind w:firstLine="720"/>
        <w:jc w:val="both"/>
        <w:rPr>
          <w:bCs/>
        </w:rPr>
      </w:pPr>
      <w:r w:rsidRPr="00207D00">
        <w:rPr>
          <w:bCs/>
        </w:rPr>
        <w:t xml:space="preserve">Generally, in the first two months of 2026, the import turnover of goods reached 79.34 billion USD, going up 26.3% compared with the same period last year, of which the domestic economic sector reached 22.47 billion USD, down 1.5%, while the FDI sector reached 56.87 billion USD, up 42.2%. </w:t>
      </w:r>
    </w:p>
    <w:p w14:paraId="23990785" w14:textId="5A73DA32" w:rsidR="00356412" w:rsidRPr="00207D00" w:rsidRDefault="00356412" w:rsidP="00356412">
      <w:pPr>
        <w:tabs>
          <w:tab w:val="left" w:pos="9475"/>
        </w:tabs>
        <w:spacing w:after="120" w:line="264" w:lineRule="auto"/>
        <w:ind w:firstLine="720"/>
        <w:jc w:val="both"/>
        <w:rPr>
          <w:rFonts w:ascii="Arial" w:hAnsi="Arial" w:cs="Arial"/>
          <w:b/>
          <w:spacing w:val="-2"/>
          <w:sz w:val="24"/>
          <w:szCs w:val="20"/>
        </w:rPr>
      </w:pPr>
      <w:r w:rsidRPr="00207D00">
        <w:rPr>
          <w:bCs/>
        </w:rPr>
        <w:t xml:space="preserve">In the first two months of 2026, there were 16 imported commodities with import </w:t>
      </w:r>
      <w:r w:rsidR="00E83239">
        <w:rPr>
          <w:bCs/>
        </w:rPr>
        <w:t>turnover</w:t>
      </w:r>
      <w:r w:rsidR="00E83239" w:rsidRPr="00207D00">
        <w:rPr>
          <w:bCs/>
        </w:rPr>
        <w:t xml:space="preserve"> </w:t>
      </w:r>
      <w:r w:rsidRPr="00207D00">
        <w:rPr>
          <w:bCs/>
        </w:rPr>
        <w:t xml:space="preserve">exceeding 1 billion USD, accounting for 77.8% of the total import turnover (of which two commodities recorded import </w:t>
      </w:r>
      <w:r w:rsidR="001E385F">
        <w:rPr>
          <w:bCs/>
        </w:rPr>
        <w:t>turnover</w:t>
      </w:r>
      <w:r w:rsidR="001E385F" w:rsidRPr="00207D00">
        <w:rPr>
          <w:bCs/>
        </w:rPr>
        <w:t xml:space="preserve"> </w:t>
      </w:r>
      <w:r w:rsidRPr="00207D00">
        <w:rPr>
          <w:bCs/>
        </w:rPr>
        <w:t>exceeding 5 billion USD, accounting for 50.2%).</w:t>
      </w:r>
    </w:p>
    <w:p w14:paraId="40C23901" w14:textId="77777777" w:rsidR="00356412" w:rsidRPr="00207D00" w:rsidRDefault="00356412" w:rsidP="00356412">
      <w:pPr>
        <w:tabs>
          <w:tab w:val="left" w:pos="9475"/>
        </w:tabs>
        <w:spacing w:before="40" w:after="40"/>
        <w:ind w:right="6"/>
        <w:jc w:val="center"/>
        <w:rPr>
          <w:rFonts w:ascii="Arial" w:hAnsi="Arial" w:cs="Arial"/>
          <w:b/>
          <w:bCs/>
          <w:sz w:val="24"/>
          <w:szCs w:val="24"/>
        </w:rPr>
      </w:pPr>
      <w:r w:rsidRPr="00207D00">
        <w:rPr>
          <w:rFonts w:ascii="Arial" w:hAnsi="Arial" w:cs="Arial"/>
          <w:b/>
          <w:spacing w:val="-2"/>
          <w:sz w:val="24"/>
          <w:szCs w:val="20"/>
        </w:rPr>
        <w:t>Table 5. Value of some import commodities in the first two months of 2026</w:t>
      </w:r>
    </w:p>
    <w:p w14:paraId="7611C456" w14:textId="77777777" w:rsidR="00356412" w:rsidRPr="00207D00" w:rsidRDefault="00356412" w:rsidP="00356412">
      <w:pPr>
        <w:tabs>
          <w:tab w:val="left" w:pos="9475"/>
        </w:tabs>
        <w:spacing w:before="40" w:after="40" w:line="264" w:lineRule="auto"/>
        <w:ind w:right="6"/>
        <w:jc w:val="center"/>
        <w:rPr>
          <w:rFonts w:ascii="Arial" w:hAnsi="Arial" w:cs="Arial"/>
          <w:b/>
          <w:bCs/>
          <w:sz w:val="8"/>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483"/>
        <w:gridCol w:w="239"/>
      </w:tblGrid>
      <w:tr w:rsidR="00356412" w:rsidRPr="00207D00" w14:paraId="492B9986" w14:textId="77777777" w:rsidTr="00D563AA">
        <w:trPr>
          <w:gridAfter w:val="1"/>
          <w:wAfter w:w="239" w:type="dxa"/>
        </w:trPr>
        <w:tc>
          <w:tcPr>
            <w:tcW w:w="4395" w:type="dxa"/>
          </w:tcPr>
          <w:p w14:paraId="22A60371" w14:textId="77777777" w:rsidR="00356412" w:rsidRPr="00207D00" w:rsidRDefault="00356412" w:rsidP="00D563AA">
            <w:pPr>
              <w:tabs>
                <w:tab w:val="num" w:pos="0"/>
                <w:tab w:val="left" w:pos="9475"/>
              </w:tabs>
              <w:spacing w:before="40" w:after="40" w:line="288" w:lineRule="auto"/>
              <w:ind w:right="119"/>
              <w:jc w:val="right"/>
              <w:rPr>
                <w:rFonts w:ascii="Arial" w:hAnsi="Arial" w:cs="Arial"/>
                <w:b/>
                <w:bCs/>
                <w:i/>
                <w:iCs/>
                <w:sz w:val="20"/>
                <w:szCs w:val="20"/>
                <w:lang w:val="en-US"/>
              </w:rPr>
            </w:pPr>
          </w:p>
          <w:p w14:paraId="55DEC49D" w14:textId="77777777" w:rsidR="00356412" w:rsidRPr="00207D00" w:rsidRDefault="00356412" w:rsidP="00D563AA">
            <w:pPr>
              <w:tabs>
                <w:tab w:val="num" w:pos="0"/>
                <w:tab w:val="left" w:pos="9475"/>
              </w:tabs>
              <w:spacing w:before="40" w:after="40" w:line="288" w:lineRule="auto"/>
              <w:ind w:right="119"/>
              <w:jc w:val="right"/>
              <w:rPr>
                <w:rFonts w:ascii="Arial" w:hAnsi="Arial" w:cs="Arial"/>
                <w:b/>
                <w:bCs/>
                <w:i/>
                <w:iCs/>
                <w:sz w:val="20"/>
                <w:szCs w:val="20"/>
                <w:lang w:val="en-US"/>
              </w:rPr>
            </w:pPr>
          </w:p>
        </w:tc>
        <w:tc>
          <w:tcPr>
            <w:tcW w:w="1842" w:type="dxa"/>
            <w:gridSpan w:val="2"/>
            <w:tcBorders>
              <w:top w:val="single" w:sz="4" w:space="0" w:color="auto"/>
              <w:bottom w:val="single" w:sz="4" w:space="0" w:color="auto"/>
            </w:tcBorders>
          </w:tcPr>
          <w:p w14:paraId="5E29AE93" w14:textId="77777777" w:rsidR="00356412" w:rsidRPr="00207D00" w:rsidRDefault="00356412" w:rsidP="00D563AA">
            <w:pPr>
              <w:spacing w:before="40" w:after="40" w:line="288" w:lineRule="auto"/>
              <w:jc w:val="center"/>
              <w:rPr>
                <w:rFonts w:ascii="Arial" w:hAnsi="Arial" w:cs="Arial"/>
                <w:sz w:val="20"/>
                <w:szCs w:val="20"/>
                <w:lang w:val="en-US"/>
              </w:rPr>
            </w:pPr>
            <w:r w:rsidRPr="00207D00">
              <w:rPr>
                <w:rFonts w:ascii="Arial" w:hAnsi="Arial" w:cs="Arial"/>
                <w:sz w:val="20"/>
                <w:szCs w:val="20"/>
                <w:lang w:val="en-US"/>
              </w:rPr>
              <w:t>Value</w:t>
            </w:r>
          </w:p>
          <w:p w14:paraId="001B1AB1" w14:textId="77777777" w:rsidR="00356412" w:rsidRPr="00207D00" w:rsidRDefault="00356412" w:rsidP="00D563AA">
            <w:pPr>
              <w:spacing w:before="40" w:after="40" w:line="288" w:lineRule="auto"/>
              <w:jc w:val="center"/>
              <w:rPr>
                <w:rFonts w:ascii="Arial" w:hAnsi="Arial" w:cs="Arial"/>
                <w:b/>
                <w:bCs/>
                <w:i/>
                <w:iCs/>
                <w:sz w:val="20"/>
                <w:szCs w:val="20"/>
                <w:lang w:val="en-US"/>
              </w:rPr>
            </w:pPr>
            <w:r w:rsidRPr="00207D00">
              <w:rPr>
                <w:rFonts w:ascii="Arial" w:hAnsi="Arial" w:cs="Arial"/>
                <w:sz w:val="20"/>
                <w:szCs w:val="20"/>
                <w:lang w:val="en-US"/>
              </w:rPr>
              <w:t>(Mill. USD)</w:t>
            </w:r>
          </w:p>
        </w:tc>
        <w:tc>
          <w:tcPr>
            <w:tcW w:w="2551" w:type="dxa"/>
            <w:gridSpan w:val="2"/>
            <w:tcBorders>
              <w:top w:val="single" w:sz="4" w:space="0" w:color="auto"/>
              <w:bottom w:val="single" w:sz="4" w:space="0" w:color="auto"/>
            </w:tcBorders>
          </w:tcPr>
          <w:p w14:paraId="2ADBB13F" w14:textId="77777777" w:rsidR="00356412" w:rsidRPr="00207D00" w:rsidRDefault="00356412" w:rsidP="00D563AA">
            <w:pPr>
              <w:spacing w:before="40" w:after="40" w:line="288" w:lineRule="auto"/>
              <w:jc w:val="center"/>
              <w:rPr>
                <w:rFonts w:ascii="Arial" w:hAnsi="Arial" w:cs="Arial"/>
                <w:b/>
                <w:bCs/>
                <w:i/>
                <w:iCs/>
                <w:sz w:val="20"/>
                <w:szCs w:val="20"/>
                <w:lang w:val="en-US"/>
              </w:rPr>
            </w:pPr>
            <w:r w:rsidRPr="00207D00">
              <w:rPr>
                <w:rFonts w:ascii="Arial" w:hAnsi="Arial" w:cs="Arial"/>
                <w:sz w:val="20"/>
                <w:szCs w:val="20"/>
                <w:lang w:val="en-US"/>
              </w:rPr>
              <w:t>Year-on-year growth rate (%)</w:t>
            </w:r>
          </w:p>
        </w:tc>
      </w:tr>
      <w:tr w:rsidR="00356412" w:rsidRPr="00207D00" w14:paraId="43875B56" w14:textId="77777777" w:rsidTr="00D563AA">
        <w:tblPrEx>
          <w:tblBorders>
            <w:bottom w:val="none" w:sz="0" w:space="0" w:color="auto"/>
          </w:tblBorders>
        </w:tblPrEx>
        <w:trPr>
          <w:trHeight w:val="394"/>
        </w:trPr>
        <w:tc>
          <w:tcPr>
            <w:tcW w:w="4443" w:type="dxa"/>
            <w:gridSpan w:val="2"/>
            <w:vAlign w:val="bottom"/>
          </w:tcPr>
          <w:p w14:paraId="28AD9787" w14:textId="2DBEA81E" w:rsidR="00356412" w:rsidRPr="00207D00" w:rsidRDefault="00356412" w:rsidP="00E83239">
            <w:pPr>
              <w:spacing w:before="40" w:after="40" w:line="288" w:lineRule="auto"/>
              <w:rPr>
                <w:rFonts w:ascii="Arial" w:hAnsi="Arial" w:cs="Arial"/>
                <w:b/>
                <w:bCs/>
                <w:sz w:val="20"/>
                <w:szCs w:val="20"/>
                <w:lang w:val="en-US"/>
              </w:rPr>
            </w:pPr>
            <w:r w:rsidRPr="00207D00">
              <w:rPr>
                <w:rFonts w:ascii="Arial" w:hAnsi="Arial" w:cs="Arial"/>
                <w:b/>
                <w:bCs/>
                <w:sz w:val="20"/>
                <w:szCs w:val="20"/>
                <w:lang w:val="en-US"/>
              </w:rPr>
              <w:t xml:space="preserve">Commodities with import </w:t>
            </w:r>
            <w:r w:rsidR="00E83239">
              <w:rPr>
                <w:rFonts w:ascii="Arial" w:hAnsi="Arial" w:cs="Arial"/>
                <w:b/>
                <w:bCs/>
                <w:sz w:val="20"/>
                <w:szCs w:val="20"/>
                <w:lang w:val="en-US"/>
              </w:rPr>
              <w:t>turnover</w:t>
            </w:r>
            <w:r w:rsidR="00E83239" w:rsidRPr="00207D00">
              <w:rPr>
                <w:rFonts w:ascii="Arial" w:hAnsi="Arial" w:cs="Arial"/>
                <w:b/>
                <w:bCs/>
                <w:sz w:val="20"/>
                <w:szCs w:val="20"/>
                <w:lang w:val="en-US"/>
              </w:rPr>
              <w:t xml:space="preserve"> </w:t>
            </w:r>
            <w:r w:rsidR="00E83239">
              <w:rPr>
                <w:rFonts w:ascii="Arial" w:hAnsi="Arial" w:cs="Arial"/>
                <w:b/>
                <w:bCs/>
                <w:sz w:val="20"/>
                <w:szCs w:val="20"/>
                <w:lang w:val="en-US"/>
              </w:rPr>
              <w:t>exceeding</w:t>
            </w:r>
            <w:r w:rsidRPr="00207D00">
              <w:rPr>
                <w:rFonts w:ascii="Arial" w:hAnsi="Arial" w:cs="Arial"/>
                <w:b/>
                <w:bCs/>
                <w:sz w:val="20"/>
                <w:szCs w:val="20"/>
                <w:lang w:val="en-US"/>
              </w:rPr>
              <w:t xml:space="preserve"> 5 billion USD</w:t>
            </w:r>
          </w:p>
        </w:tc>
        <w:tc>
          <w:tcPr>
            <w:tcW w:w="1862" w:type="dxa"/>
            <w:gridSpan w:val="2"/>
            <w:tcBorders>
              <w:top w:val="single" w:sz="4" w:space="0" w:color="auto"/>
            </w:tcBorders>
          </w:tcPr>
          <w:p w14:paraId="269AD476" w14:textId="77777777" w:rsidR="00356412" w:rsidRPr="00207D00" w:rsidRDefault="00356412" w:rsidP="00D563AA">
            <w:pPr>
              <w:tabs>
                <w:tab w:val="num" w:pos="0"/>
                <w:tab w:val="left" w:pos="9475"/>
              </w:tabs>
              <w:spacing w:before="40" w:after="40" w:line="288" w:lineRule="auto"/>
              <w:ind w:right="119"/>
              <w:jc w:val="right"/>
              <w:rPr>
                <w:rFonts w:ascii="Arial" w:hAnsi="Arial" w:cs="Arial"/>
                <w:b/>
                <w:bCs/>
                <w:i/>
                <w:iCs/>
                <w:sz w:val="20"/>
                <w:szCs w:val="20"/>
                <w:lang w:val="en-US"/>
              </w:rPr>
            </w:pPr>
          </w:p>
        </w:tc>
        <w:tc>
          <w:tcPr>
            <w:tcW w:w="2722" w:type="dxa"/>
            <w:gridSpan w:val="2"/>
            <w:tcBorders>
              <w:top w:val="single" w:sz="4" w:space="0" w:color="auto"/>
            </w:tcBorders>
          </w:tcPr>
          <w:p w14:paraId="1CD5721C" w14:textId="77777777" w:rsidR="00356412" w:rsidRPr="00207D00" w:rsidRDefault="00356412" w:rsidP="00D563AA">
            <w:pPr>
              <w:tabs>
                <w:tab w:val="num" w:pos="0"/>
                <w:tab w:val="left" w:pos="9475"/>
              </w:tabs>
              <w:spacing w:before="40" w:after="40" w:line="288" w:lineRule="auto"/>
              <w:ind w:right="119"/>
              <w:jc w:val="right"/>
              <w:rPr>
                <w:rFonts w:ascii="Arial" w:hAnsi="Arial" w:cs="Arial"/>
                <w:b/>
                <w:bCs/>
                <w:i/>
                <w:iCs/>
                <w:sz w:val="20"/>
                <w:szCs w:val="20"/>
                <w:lang w:val="en-US"/>
              </w:rPr>
            </w:pPr>
          </w:p>
        </w:tc>
      </w:tr>
      <w:tr w:rsidR="00356412" w:rsidRPr="00207D00" w14:paraId="149B5CCA" w14:textId="77777777" w:rsidTr="00D563AA">
        <w:trPr>
          <w:gridAfter w:val="1"/>
          <w:wAfter w:w="239" w:type="dxa"/>
        </w:trPr>
        <w:tc>
          <w:tcPr>
            <w:tcW w:w="4395" w:type="dxa"/>
            <w:vAlign w:val="bottom"/>
          </w:tcPr>
          <w:p w14:paraId="3AC7D0CD" w14:textId="77777777" w:rsidR="00356412" w:rsidRPr="00207D00" w:rsidRDefault="00356412" w:rsidP="00D563AA">
            <w:pPr>
              <w:spacing w:before="40" w:after="40" w:line="288" w:lineRule="auto"/>
              <w:ind w:firstLine="170"/>
              <w:rPr>
                <w:rFonts w:ascii="Arial" w:hAnsi="Arial" w:cs="Arial"/>
                <w:sz w:val="20"/>
                <w:szCs w:val="20"/>
                <w:lang w:val="en-US"/>
              </w:rPr>
            </w:pPr>
            <w:r w:rsidRPr="00207D00">
              <w:rPr>
                <w:rFonts w:ascii="Arial" w:hAnsi="Arial" w:cs="Arial"/>
                <w:sz w:val="20"/>
                <w:szCs w:val="20"/>
                <w:lang w:val="en-US"/>
              </w:rPr>
              <w:t>Electronic goods, computers and their parts</w:t>
            </w:r>
          </w:p>
        </w:tc>
        <w:tc>
          <w:tcPr>
            <w:tcW w:w="1842" w:type="dxa"/>
            <w:gridSpan w:val="2"/>
            <w:vAlign w:val="bottom"/>
          </w:tcPr>
          <w:p w14:paraId="1EA22B28" w14:textId="77777777" w:rsidR="00356412" w:rsidRPr="00207D00" w:rsidRDefault="00356412" w:rsidP="00D563AA">
            <w:pPr>
              <w:spacing w:before="40" w:after="40" w:line="288" w:lineRule="auto"/>
              <w:ind w:right="456" w:firstLine="170"/>
              <w:jc w:val="right"/>
              <w:rPr>
                <w:rFonts w:ascii="Arial" w:hAnsi="Arial" w:cs="Arial"/>
                <w:sz w:val="20"/>
                <w:szCs w:val="20"/>
                <w:lang w:val="en-US"/>
              </w:rPr>
            </w:pPr>
            <w:r w:rsidRPr="00207D00">
              <w:rPr>
                <w:rFonts w:ascii="Arial" w:hAnsi="Arial" w:cs="Arial"/>
                <w:sz w:val="20"/>
                <w:szCs w:val="20"/>
                <w:lang w:val="en-US"/>
              </w:rPr>
              <w:t>29,869</w:t>
            </w:r>
          </w:p>
        </w:tc>
        <w:tc>
          <w:tcPr>
            <w:tcW w:w="2551" w:type="dxa"/>
            <w:gridSpan w:val="2"/>
            <w:vAlign w:val="bottom"/>
          </w:tcPr>
          <w:p w14:paraId="4E5E5979" w14:textId="77777777" w:rsidR="00356412" w:rsidRPr="00207D00" w:rsidRDefault="00356412" w:rsidP="00D563AA">
            <w:pPr>
              <w:spacing w:before="40" w:after="40" w:line="288" w:lineRule="auto"/>
              <w:ind w:right="880" w:firstLine="170"/>
              <w:jc w:val="right"/>
              <w:rPr>
                <w:rFonts w:ascii="Arial" w:hAnsi="Arial" w:cs="Arial"/>
                <w:sz w:val="20"/>
                <w:szCs w:val="20"/>
                <w:lang w:val="en-US"/>
              </w:rPr>
            </w:pPr>
            <w:r w:rsidRPr="00207D00">
              <w:rPr>
                <w:rFonts w:ascii="Arial" w:hAnsi="Arial" w:cs="Arial"/>
                <w:sz w:val="20"/>
                <w:szCs w:val="20"/>
                <w:lang w:val="en-US"/>
              </w:rPr>
              <w:t>48.3</w:t>
            </w:r>
          </w:p>
        </w:tc>
      </w:tr>
      <w:tr w:rsidR="00356412" w:rsidRPr="00207D00" w14:paraId="34A9F449" w14:textId="77777777" w:rsidTr="00D563AA">
        <w:trPr>
          <w:gridAfter w:val="1"/>
          <w:wAfter w:w="239" w:type="dxa"/>
        </w:trPr>
        <w:tc>
          <w:tcPr>
            <w:tcW w:w="4395" w:type="dxa"/>
            <w:vAlign w:val="bottom"/>
          </w:tcPr>
          <w:p w14:paraId="27435F17" w14:textId="77777777" w:rsidR="00356412" w:rsidRPr="00207D00" w:rsidRDefault="00356412" w:rsidP="00D563AA">
            <w:pPr>
              <w:spacing w:before="40" w:after="40" w:line="288" w:lineRule="auto"/>
              <w:ind w:firstLine="170"/>
              <w:rPr>
                <w:rFonts w:ascii="Arial" w:hAnsi="Arial" w:cs="Arial"/>
                <w:sz w:val="20"/>
                <w:szCs w:val="20"/>
                <w:lang w:val="en-US"/>
              </w:rPr>
            </w:pPr>
            <w:r w:rsidRPr="00207D00">
              <w:rPr>
                <w:rFonts w:ascii="Arial" w:hAnsi="Arial" w:cs="Arial"/>
                <w:sz w:val="20"/>
                <w:szCs w:val="20"/>
                <w:lang w:val="en-US"/>
              </w:rPr>
              <w:t>Machinery, instruments and accessories</w:t>
            </w:r>
          </w:p>
        </w:tc>
        <w:tc>
          <w:tcPr>
            <w:tcW w:w="1842" w:type="dxa"/>
            <w:gridSpan w:val="2"/>
            <w:vAlign w:val="bottom"/>
          </w:tcPr>
          <w:p w14:paraId="5EA3C78D" w14:textId="77777777" w:rsidR="00356412" w:rsidRPr="00207D00" w:rsidRDefault="00356412" w:rsidP="00D563AA">
            <w:pPr>
              <w:spacing w:before="40" w:after="40" w:line="288" w:lineRule="auto"/>
              <w:ind w:right="456" w:firstLine="170"/>
              <w:jc w:val="right"/>
              <w:rPr>
                <w:rFonts w:ascii="Arial" w:hAnsi="Arial" w:cs="Arial"/>
                <w:sz w:val="20"/>
                <w:szCs w:val="20"/>
                <w:lang w:val="en-US"/>
              </w:rPr>
            </w:pPr>
            <w:r w:rsidRPr="00207D00">
              <w:rPr>
                <w:rFonts w:ascii="Arial" w:hAnsi="Arial" w:cs="Arial"/>
                <w:sz w:val="20"/>
                <w:szCs w:val="20"/>
                <w:lang w:val="en-US"/>
              </w:rPr>
              <w:t>9,955</w:t>
            </w:r>
          </w:p>
        </w:tc>
        <w:tc>
          <w:tcPr>
            <w:tcW w:w="2551" w:type="dxa"/>
            <w:gridSpan w:val="2"/>
            <w:vAlign w:val="bottom"/>
          </w:tcPr>
          <w:p w14:paraId="4C2B5007" w14:textId="77777777" w:rsidR="00356412" w:rsidRPr="00207D00" w:rsidRDefault="00356412" w:rsidP="00D563AA">
            <w:pPr>
              <w:spacing w:before="40" w:after="40" w:line="288" w:lineRule="auto"/>
              <w:ind w:right="880" w:firstLine="170"/>
              <w:jc w:val="right"/>
              <w:rPr>
                <w:rFonts w:ascii="Arial" w:hAnsi="Arial" w:cs="Arial"/>
                <w:sz w:val="20"/>
                <w:szCs w:val="20"/>
                <w:lang w:val="en-US"/>
              </w:rPr>
            </w:pPr>
            <w:r w:rsidRPr="00207D00">
              <w:rPr>
                <w:rFonts w:ascii="Arial" w:hAnsi="Arial" w:cs="Arial"/>
                <w:sz w:val="20"/>
                <w:szCs w:val="20"/>
                <w:lang w:val="en-US"/>
              </w:rPr>
              <w:t>27.9</w:t>
            </w:r>
          </w:p>
        </w:tc>
      </w:tr>
    </w:tbl>
    <w:p w14:paraId="770D62E4" w14:textId="77777777" w:rsidR="00356412" w:rsidRPr="00207D00" w:rsidRDefault="00356412" w:rsidP="00356412">
      <w:pPr>
        <w:tabs>
          <w:tab w:val="num" w:pos="0"/>
          <w:tab w:val="left" w:pos="9475"/>
        </w:tabs>
        <w:spacing w:before="40" w:after="40" w:line="264" w:lineRule="auto"/>
        <w:ind w:right="187" w:firstLine="567"/>
        <w:jc w:val="right"/>
        <w:rPr>
          <w:rFonts w:ascii="Arial" w:hAnsi="Arial" w:cs="Arial"/>
          <w:b/>
          <w:bCs/>
          <w:i/>
          <w:iCs/>
          <w:sz w:val="2"/>
          <w:szCs w:val="20"/>
        </w:rPr>
      </w:pPr>
    </w:p>
    <w:p w14:paraId="5797C4E1" w14:textId="77777777" w:rsidR="00356412" w:rsidRPr="00207D00" w:rsidRDefault="00356412" w:rsidP="00356412">
      <w:pPr>
        <w:tabs>
          <w:tab w:val="num" w:pos="0"/>
          <w:tab w:val="left" w:pos="9475"/>
        </w:tabs>
        <w:spacing w:before="40" w:after="40" w:line="288" w:lineRule="auto"/>
        <w:ind w:right="6"/>
        <w:jc w:val="both"/>
        <w:rPr>
          <w:rFonts w:eastAsia="Batang"/>
          <w:bCs/>
          <w:iCs/>
        </w:rPr>
      </w:pPr>
      <w:r w:rsidRPr="00207D00">
        <w:rPr>
          <w:noProof/>
          <w:spacing w:val="2"/>
        </w:rPr>
        <mc:AlternateContent>
          <mc:Choice Requires="wps">
            <w:drawing>
              <wp:anchor distT="0" distB="0" distL="114300" distR="114300" simplePos="0" relativeHeight="251667456" behindDoc="0" locked="0" layoutInCell="1" allowOverlap="1" wp14:anchorId="2CE3CD6F" wp14:editId="3A4CD9F7">
                <wp:simplePos x="0" y="0"/>
                <wp:positionH relativeFrom="column">
                  <wp:posOffset>81915</wp:posOffset>
                </wp:positionH>
                <wp:positionV relativeFrom="paragraph">
                  <wp:posOffset>131445</wp:posOffset>
                </wp:positionV>
                <wp:extent cx="3591560" cy="2705100"/>
                <wp:effectExtent l="0" t="0" r="889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705100"/>
                        </a:xfrm>
                        <a:prstGeom prst="rect">
                          <a:avLst/>
                        </a:prstGeom>
                        <a:solidFill>
                          <a:srgbClr val="FFFFFF"/>
                        </a:solidFill>
                        <a:ln w="9525">
                          <a:noFill/>
                          <a:miter lim="800000"/>
                          <a:headEnd/>
                          <a:tailEnd/>
                        </a:ln>
                      </wps:spPr>
                      <wps:txbx>
                        <w:txbxContent>
                          <w:p w14:paraId="479440B3" w14:textId="77777777" w:rsidR="00660B05" w:rsidRPr="00FF25D5" w:rsidRDefault="00660B05" w:rsidP="00356412">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13</w:t>
                            </w:r>
                            <w:r w:rsidRPr="006822A2">
                              <w:rPr>
                                <w:rFonts w:ascii="Arial" w:hAnsi="Arial" w:cs="Arial"/>
                                <w:b/>
                                <w:bCs/>
                                <w:sz w:val="24"/>
                                <w:szCs w:val="24"/>
                              </w:rPr>
                              <w:t xml:space="preserve">. </w:t>
                            </w:r>
                            <w:r w:rsidRPr="007663D0">
                              <w:rPr>
                                <w:rFonts w:ascii="Arial" w:hAnsi="Arial" w:cs="Arial"/>
                                <w:b/>
                                <w:bCs/>
                                <w:sz w:val="24"/>
                                <w:szCs w:val="24"/>
                              </w:rPr>
                              <w:t>Structure of imported commodities</w:t>
                            </w:r>
                            <w:r w:rsidRPr="006822A2">
                              <w:rPr>
                                <w:rFonts w:ascii="Arial" w:hAnsi="Arial" w:cs="Arial"/>
                                <w:b/>
                                <w:bCs/>
                                <w:sz w:val="24"/>
                                <w:szCs w:val="24"/>
                              </w:rPr>
                              <w:br/>
                            </w:r>
                            <w:r>
                              <w:rPr>
                                <w:rFonts w:ascii="Arial" w:hAnsi="Arial" w:cs="Arial"/>
                                <w:b/>
                                <w:bCs/>
                                <w:sz w:val="24"/>
                                <w:szCs w:val="24"/>
                              </w:rPr>
                              <w:t>in the first two months of</w:t>
                            </w:r>
                            <w:r w:rsidRPr="006822A2">
                              <w:rPr>
                                <w:rFonts w:ascii="Arial" w:hAnsi="Arial" w:cs="Arial"/>
                                <w:b/>
                                <w:bCs/>
                                <w:sz w:val="24"/>
                                <w:szCs w:val="24"/>
                              </w:rPr>
                              <w:t xml:space="preserve"> 202</w:t>
                            </w:r>
                            <w:r>
                              <w:rPr>
                                <w:rFonts w:ascii="Arial" w:hAnsi="Arial" w:cs="Arial"/>
                                <w:b/>
                                <w:bCs/>
                                <w:sz w:val="24"/>
                                <w:szCs w:val="24"/>
                              </w:rPr>
                              <w:t>6</w:t>
                            </w:r>
                          </w:p>
                          <w:p w14:paraId="1D82F7F5" w14:textId="77777777" w:rsidR="00660B05" w:rsidRPr="00F66505" w:rsidRDefault="00660B05" w:rsidP="00356412">
                            <w:pPr>
                              <w:ind w:left="-284"/>
                              <w:jc w:val="right"/>
                              <w:rPr>
                                <w:rFonts w:ascii="Arial" w:hAnsi="Arial" w:cs="Arial"/>
                                <w:b/>
                                <w:bCs/>
                                <w:sz w:val="14"/>
                                <w:szCs w:val="24"/>
                              </w:rPr>
                            </w:pPr>
                            <w:r>
                              <w:rPr>
                                <w:noProof/>
                              </w:rPr>
                              <w:drawing>
                                <wp:inline distT="0" distB="0" distL="0" distR="0" wp14:anchorId="446F3F2E" wp14:editId="7AD7A4FE">
                                  <wp:extent cx="3399790" cy="224048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9790" cy="2240482"/>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3CD6F" id="_x0000_s1027" type="#_x0000_t202" style="position:absolute;left:0;text-align:left;margin-left:6.45pt;margin-top:10.35pt;width:282.8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" stroked="f">
                <v:textbox>
                  <w:txbxContent>
                    <w:p w14:paraId="479440B3" w14:textId="77777777" w:rsidR="00660B05" w:rsidRPr="00FF25D5" w:rsidRDefault="00660B05" w:rsidP="00356412">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13</w:t>
                      </w:r>
                      <w:r w:rsidRPr="006822A2">
                        <w:rPr>
                          <w:rFonts w:ascii="Arial" w:hAnsi="Arial" w:cs="Arial"/>
                          <w:b/>
                          <w:bCs/>
                          <w:sz w:val="24"/>
                          <w:szCs w:val="24"/>
                        </w:rPr>
                        <w:t xml:space="preserve">. </w:t>
                      </w:r>
                      <w:r w:rsidRPr="007663D0">
                        <w:rPr>
                          <w:rFonts w:ascii="Arial" w:hAnsi="Arial" w:cs="Arial"/>
                          <w:b/>
                          <w:bCs/>
                          <w:sz w:val="24"/>
                          <w:szCs w:val="24"/>
                        </w:rPr>
                        <w:t>Structure of imported commodities</w:t>
                      </w:r>
                      <w:r w:rsidRPr="006822A2">
                        <w:rPr>
                          <w:rFonts w:ascii="Arial" w:hAnsi="Arial" w:cs="Arial"/>
                          <w:b/>
                          <w:bCs/>
                          <w:sz w:val="24"/>
                          <w:szCs w:val="24"/>
                        </w:rPr>
                        <w:br/>
                      </w:r>
                      <w:r>
                        <w:rPr>
                          <w:rFonts w:ascii="Arial" w:hAnsi="Arial" w:cs="Arial"/>
                          <w:b/>
                          <w:bCs/>
                          <w:sz w:val="24"/>
                          <w:szCs w:val="24"/>
                        </w:rPr>
                        <w:t>in the first two months of</w:t>
                      </w:r>
                      <w:r w:rsidRPr="006822A2">
                        <w:rPr>
                          <w:rFonts w:ascii="Arial" w:hAnsi="Arial" w:cs="Arial"/>
                          <w:b/>
                          <w:bCs/>
                          <w:sz w:val="24"/>
                          <w:szCs w:val="24"/>
                        </w:rPr>
                        <w:t xml:space="preserve"> 202</w:t>
                      </w:r>
                      <w:r>
                        <w:rPr>
                          <w:rFonts w:ascii="Arial" w:hAnsi="Arial" w:cs="Arial"/>
                          <w:b/>
                          <w:bCs/>
                          <w:sz w:val="24"/>
                          <w:szCs w:val="24"/>
                        </w:rPr>
                        <w:t>6</w:t>
                      </w:r>
                    </w:p>
                    <w:p w14:paraId="1D82F7F5" w14:textId="77777777" w:rsidR="00660B05" w:rsidRPr="00F66505" w:rsidRDefault="00660B05" w:rsidP="00356412">
                      <w:pPr>
                        <w:ind w:left="-284"/>
                        <w:jc w:val="right"/>
                        <w:rPr>
                          <w:rFonts w:ascii="Arial" w:hAnsi="Arial" w:cs="Arial"/>
                          <w:b/>
                          <w:bCs/>
                          <w:sz w:val="14"/>
                          <w:szCs w:val="24"/>
                        </w:rPr>
                      </w:pPr>
                      <w:r>
                        <w:rPr>
                          <w:noProof/>
                        </w:rPr>
                        <w:drawing>
                          <wp:inline distT="0" distB="0" distL="0" distR="0" wp14:anchorId="446F3F2E" wp14:editId="7AD7A4FE">
                            <wp:extent cx="3399790" cy="224048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99790" cy="2240482"/>
                                    </a:xfrm>
                                    <a:prstGeom prst="rect">
                                      <a:avLst/>
                                    </a:prstGeom>
                                    <a:noFill/>
                                  </pic:spPr>
                                </pic:pic>
                              </a:graphicData>
                            </a:graphic>
                          </wp:inline>
                        </w:drawing>
                      </w:r>
                    </w:p>
                  </w:txbxContent>
                </v:textbox>
                <w10:wrap type="square"/>
              </v:shape>
            </w:pict>
          </mc:Fallback>
        </mc:AlternateContent>
      </w:r>
      <w:r w:rsidRPr="00207D00">
        <w:rPr>
          <w:rFonts w:eastAsia="Batang"/>
          <w:bCs/>
          <w:i/>
          <w:iCs/>
        </w:rPr>
        <w:t>Regarding the structure of imported commodity in the first two months of 2026</w:t>
      </w:r>
      <w:r w:rsidRPr="00207D00">
        <w:rPr>
          <w:rFonts w:eastAsia="Batang"/>
          <w:bCs/>
          <w:iCs/>
        </w:rPr>
        <w:t xml:space="preserve">, the group of </w:t>
      </w:r>
      <w:r w:rsidRPr="00207D00">
        <w:rPr>
          <w:spacing w:val="-2"/>
        </w:rPr>
        <w:t>capital goods</w:t>
      </w:r>
      <w:r w:rsidRPr="00207D00">
        <w:rPr>
          <w:rFonts w:eastAsia="Batang"/>
          <w:bCs/>
          <w:iCs/>
        </w:rPr>
        <w:t xml:space="preserve"> reached 74.67 billion USD, accounting for 94.1%, of which </w:t>
      </w:r>
      <w:r w:rsidRPr="00207D00">
        <w:rPr>
          <w:rFonts w:eastAsia="Batang"/>
        </w:rPr>
        <w:t>the group of</w:t>
      </w:r>
      <w:r w:rsidRPr="00207D00">
        <w:rPr>
          <w:rFonts w:eastAsia="Batang"/>
          <w:bCs/>
          <w:iCs/>
        </w:rPr>
        <w:t xml:space="preserve"> machinery, equipment, tools and spare parts accounted for 56.0%, </w:t>
      </w:r>
      <w:r w:rsidRPr="00207D00">
        <w:rPr>
          <w:rFonts w:eastAsia="Batang"/>
        </w:rPr>
        <w:t>the group of</w:t>
      </w:r>
      <w:r w:rsidRPr="00207D00">
        <w:rPr>
          <w:rFonts w:eastAsia="Batang"/>
          <w:bCs/>
          <w:iCs/>
        </w:rPr>
        <w:t xml:space="preserve"> raw materials, fuels and materials </w:t>
      </w:r>
      <w:r w:rsidRPr="00207D00">
        <w:rPr>
          <w:rFonts w:eastAsia="Batang"/>
          <w:bCs/>
          <w:iCs/>
        </w:rPr>
        <w:lastRenderedPageBreak/>
        <w:t>accounted for 38.1%. Consumer goods group reached 4.67 billion USD, accounting for 5.9%.</w:t>
      </w:r>
      <w:r w:rsidRPr="00207D00">
        <w:rPr>
          <w:rFonts w:asciiTheme="minorHAnsi" w:eastAsiaTheme="minorHAnsi" w:hAnsiTheme="minorHAnsi" w:cstheme="minorBidi"/>
          <w:sz w:val="22"/>
          <w:szCs w:val="22"/>
        </w:rPr>
        <w:t xml:space="preserve"> </w:t>
      </w:r>
    </w:p>
    <w:p w14:paraId="7468D5E9" w14:textId="77777777" w:rsidR="00356412" w:rsidRPr="00207D00" w:rsidRDefault="00356412" w:rsidP="00356412">
      <w:pPr>
        <w:tabs>
          <w:tab w:val="num" w:pos="0"/>
          <w:tab w:val="left" w:pos="9475"/>
        </w:tabs>
        <w:spacing w:after="120" w:line="264" w:lineRule="auto"/>
        <w:ind w:right="6" w:firstLine="720"/>
        <w:jc w:val="both"/>
        <w:rPr>
          <w:rFonts w:asciiTheme="minorHAnsi" w:eastAsiaTheme="minorHAnsi" w:hAnsiTheme="minorHAnsi" w:cstheme="minorBidi"/>
          <w:iCs/>
          <w:sz w:val="22"/>
          <w:szCs w:val="22"/>
        </w:rPr>
      </w:pPr>
      <w:bookmarkStart w:id="8" w:name="_Hlk215671807"/>
      <w:bookmarkStart w:id="9" w:name="_Hlk215671826"/>
      <w:bookmarkStart w:id="10" w:name="_Hlk213089971"/>
      <w:r w:rsidRPr="00207D00">
        <w:rPr>
          <w:bCs/>
          <w:i/>
        </w:rPr>
        <w:t xml:space="preserve">Regarding export and import markets in the first two months of 2026, </w:t>
      </w:r>
      <w:r w:rsidRPr="00207D00">
        <w:rPr>
          <w:bCs/>
        </w:rPr>
        <w:t>the United States was Viet Nam’s largest export market with a turnover of 23.8 billion USD, while China was Viet Nam’s largest import market with a turnover of 31.9 billion USD. In the first two months of 2026, Viet Nam recorded a trade surplus of 20.4 billion USD with the United States, up 20.8% compared with the same period last year; a trade surplus of 6.7 billion USD with the EU, up 6.5%; and a trade surplus of 0.3 billion USD with Japan, down 43.1%; meanwhile, Viet Nam recorded a trade deficit of 20.9 billion USD with China, up 35.7%; a trade deficit of 6.5 billion USD with the Republic of Korea, up 41.5%; and a trade deficit of 2.6 billion USD with ASEAN, up 20.7%</w:t>
      </w:r>
      <w:r w:rsidRPr="00207D00">
        <w:rPr>
          <w:bCs/>
          <w:iCs/>
        </w:rPr>
        <w:t>.</w:t>
      </w:r>
      <w:r w:rsidRPr="00207D00">
        <w:rPr>
          <w:rFonts w:asciiTheme="minorHAnsi" w:eastAsiaTheme="minorHAnsi" w:hAnsiTheme="minorHAnsi" w:cstheme="minorBidi"/>
          <w:iCs/>
          <w:sz w:val="22"/>
          <w:szCs w:val="22"/>
        </w:rPr>
        <w:t xml:space="preserve"> </w:t>
      </w:r>
    </w:p>
    <w:p w14:paraId="74E3343E" w14:textId="61E416AC" w:rsidR="00356412" w:rsidRPr="00207D00" w:rsidRDefault="00356412" w:rsidP="00356412">
      <w:pPr>
        <w:tabs>
          <w:tab w:val="num" w:pos="0"/>
          <w:tab w:val="left" w:pos="9475"/>
        </w:tabs>
        <w:spacing w:before="40" w:after="40" w:line="288" w:lineRule="auto"/>
        <w:ind w:right="6"/>
        <w:jc w:val="center"/>
        <w:rPr>
          <w:rFonts w:asciiTheme="minorHAnsi" w:eastAsiaTheme="minorHAnsi" w:hAnsiTheme="minorHAnsi" w:cstheme="minorBidi"/>
          <w:sz w:val="22"/>
          <w:szCs w:val="22"/>
        </w:rPr>
      </w:pPr>
      <w:r w:rsidRPr="00207D00">
        <w:rPr>
          <w:rFonts w:ascii="Arial" w:hAnsi="Arial" w:cs="Arial"/>
          <w:b/>
          <w:iCs/>
          <w:spacing w:val="-2"/>
          <w:sz w:val="24"/>
        </w:rPr>
        <w:t xml:space="preserve">Figure 14. Major commodity export and import markets </w:t>
      </w:r>
      <w:r w:rsidR="00951CEA">
        <w:rPr>
          <w:rFonts w:ascii="Arial" w:hAnsi="Arial" w:cs="Arial"/>
          <w:b/>
          <w:iCs/>
          <w:spacing w:val="-2"/>
          <w:sz w:val="24"/>
        </w:rPr>
        <w:br/>
      </w:r>
      <w:r w:rsidRPr="00207D00">
        <w:rPr>
          <w:rFonts w:ascii="Arial" w:hAnsi="Arial" w:cs="Arial"/>
          <w:b/>
          <w:iCs/>
          <w:spacing w:val="-2"/>
          <w:sz w:val="24"/>
        </w:rPr>
        <w:t>in the first two months of 2026</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356412" w:rsidRPr="00207D00" w14:paraId="52D66ED6" w14:textId="77777777" w:rsidTr="00D563AA">
        <w:trPr>
          <w:trHeight w:val="3151"/>
          <w:jc w:val="center"/>
        </w:trPr>
        <w:tc>
          <w:tcPr>
            <w:tcW w:w="4675" w:type="dxa"/>
            <w:gridSpan w:val="3"/>
          </w:tcPr>
          <w:p w14:paraId="4B581E3E" w14:textId="77777777" w:rsidR="00356412" w:rsidRPr="00207D00" w:rsidRDefault="00356412" w:rsidP="00D563AA">
            <w:pPr>
              <w:tabs>
                <w:tab w:val="num" w:pos="0"/>
                <w:tab w:val="left" w:pos="9475"/>
              </w:tabs>
              <w:spacing w:before="40" w:after="40" w:line="288" w:lineRule="auto"/>
              <w:ind w:right="-118" w:firstLine="37"/>
              <w:jc w:val="both"/>
              <w:rPr>
                <w:iCs/>
                <w:highlight w:val="yellow"/>
                <w:lang w:val="en-US"/>
              </w:rPr>
            </w:pPr>
            <w:r w:rsidRPr="00207D00">
              <w:rPr>
                <w:noProof/>
              </w:rPr>
              <w:drawing>
                <wp:inline distT="0" distB="0" distL="0" distR="0" wp14:anchorId="3152ACE0" wp14:editId="4BBEE68A">
                  <wp:extent cx="2924175" cy="2028825"/>
                  <wp:effectExtent l="0" t="0" r="9525" b="9525"/>
                  <wp:docPr id="12" name="Chart 12">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818" w:type="dxa"/>
            <w:gridSpan w:val="3"/>
          </w:tcPr>
          <w:p w14:paraId="0E8D03C6" w14:textId="77777777" w:rsidR="00356412" w:rsidRPr="00207D00" w:rsidRDefault="00356412" w:rsidP="00D563AA">
            <w:pPr>
              <w:tabs>
                <w:tab w:val="num" w:pos="0"/>
                <w:tab w:val="left" w:pos="9475"/>
              </w:tabs>
              <w:spacing w:before="40" w:after="40" w:line="288" w:lineRule="auto"/>
              <w:ind w:right="6" w:firstLine="35"/>
              <w:jc w:val="both"/>
              <w:rPr>
                <w:iCs/>
                <w:highlight w:val="yellow"/>
                <w:lang w:val="en-US"/>
              </w:rPr>
            </w:pPr>
            <w:r w:rsidRPr="00207D00">
              <w:rPr>
                <w:noProof/>
              </w:rPr>
              <w:drawing>
                <wp:inline distT="0" distB="0" distL="0" distR="0" wp14:anchorId="759F1BD0" wp14:editId="73FAF90A">
                  <wp:extent cx="2998470" cy="2028825"/>
                  <wp:effectExtent l="0" t="0" r="11430" b="9525"/>
                  <wp:docPr id="13" name="Chart 13">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356412" w:rsidRPr="00207D00" w14:paraId="57D148CD" w14:textId="77777777" w:rsidTr="00D563AA">
        <w:trPr>
          <w:gridAfter w:val="1"/>
          <w:wAfter w:w="532" w:type="dxa"/>
          <w:trHeight w:val="176"/>
          <w:jc w:val="center"/>
        </w:trPr>
        <w:tc>
          <w:tcPr>
            <w:tcW w:w="1791" w:type="dxa"/>
          </w:tcPr>
          <w:p w14:paraId="0766F285" w14:textId="77777777" w:rsidR="00356412" w:rsidRPr="00207D00" w:rsidRDefault="00356412" w:rsidP="00D563AA">
            <w:pPr>
              <w:spacing w:before="40" w:after="40" w:line="288" w:lineRule="auto"/>
              <w:ind w:firstLine="567"/>
              <w:jc w:val="both"/>
              <w:rPr>
                <w:b/>
                <w:bCs/>
                <w:i/>
                <w:iCs/>
                <w:highlight w:val="yellow"/>
                <w:lang w:val="en-US"/>
              </w:rPr>
            </w:pPr>
          </w:p>
        </w:tc>
        <w:tc>
          <w:tcPr>
            <w:tcW w:w="619" w:type="dxa"/>
          </w:tcPr>
          <w:p w14:paraId="13728593" w14:textId="77777777" w:rsidR="00356412" w:rsidRPr="00207D00" w:rsidRDefault="00356412" w:rsidP="00D563AA">
            <w:pPr>
              <w:spacing w:before="40" w:after="40" w:line="288" w:lineRule="auto"/>
              <w:ind w:firstLine="567"/>
              <w:jc w:val="both"/>
              <w:rPr>
                <w:b/>
                <w:bCs/>
                <w:i/>
                <w:iCs/>
                <w:highlight w:val="yellow"/>
                <w:lang w:val="en-US"/>
              </w:rPr>
            </w:pPr>
          </w:p>
        </w:tc>
        <w:tc>
          <w:tcPr>
            <w:tcW w:w="2265" w:type="dxa"/>
          </w:tcPr>
          <w:p w14:paraId="2B7B2727" w14:textId="77777777" w:rsidR="00356412" w:rsidRPr="00207D00" w:rsidRDefault="00356412" w:rsidP="00D563AA">
            <w:pPr>
              <w:spacing w:before="40" w:after="40" w:line="288" w:lineRule="auto"/>
              <w:ind w:firstLine="567"/>
              <w:jc w:val="both"/>
              <w:rPr>
                <w:b/>
                <w:bCs/>
                <w:i/>
                <w:iCs/>
                <w:lang w:val="en-US"/>
              </w:rPr>
            </w:pPr>
            <w:r w:rsidRPr="00207D00">
              <w:rPr>
                <w:noProof/>
              </w:rPr>
              <mc:AlternateContent>
                <mc:Choice Requires="wps">
                  <w:drawing>
                    <wp:anchor distT="0" distB="0" distL="114300" distR="114300" simplePos="0" relativeHeight="251668480" behindDoc="0" locked="0" layoutInCell="1" allowOverlap="1" wp14:anchorId="7E30E5D9" wp14:editId="34EEA15B">
                      <wp:simplePos x="0" y="0"/>
                      <wp:positionH relativeFrom="column">
                        <wp:posOffset>98425</wp:posOffset>
                      </wp:positionH>
                      <wp:positionV relativeFrom="paragraph">
                        <wp:posOffset>36195</wp:posOffset>
                      </wp:positionV>
                      <wp:extent cx="125730" cy="90170"/>
                      <wp:effectExtent l="0" t="0" r="7620" b="5080"/>
                      <wp:wrapNone/>
                      <wp:docPr id="5474290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E6288" id="Rectangle 28" o:spid="_x0000_s1026" style="position:absolute;margin-left:7.75pt;margin-top:2.85pt;width:9.9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" fillcolor="#00b050" stroked="f" strokeweight="1pt">
                      <v:path arrowok="t"/>
                    </v:rect>
                  </w:pict>
                </mc:Fallback>
              </mc:AlternateContent>
            </w:r>
            <w:r w:rsidRPr="00207D00">
              <w:rPr>
                <w:rFonts w:ascii="Arial" w:hAnsi="Arial" w:cs="Arial"/>
                <w:iCs/>
                <w:sz w:val="16"/>
                <w:szCs w:val="16"/>
                <w:lang w:val="en-US"/>
              </w:rPr>
              <w:t xml:space="preserve"> Exports of goods</w:t>
            </w:r>
          </w:p>
        </w:tc>
        <w:tc>
          <w:tcPr>
            <w:tcW w:w="2838" w:type="dxa"/>
          </w:tcPr>
          <w:p w14:paraId="2E99D956" w14:textId="77777777" w:rsidR="00356412" w:rsidRPr="00207D00" w:rsidRDefault="00356412" w:rsidP="00D563AA">
            <w:pPr>
              <w:spacing w:before="40" w:after="40" w:line="288" w:lineRule="auto"/>
              <w:ind w:firstLine="567"/>
              <w:jc w:val="both"/>
              <w:rPr>
                <w:b/>
                <w:bCs/>
                <w:i/>
                <w:iCs/>
                <w:lang w:val="en-US"/>
              </w:rPr>
            </w:pPr>
            <w:r w:rsidRPr="00207D00">
              <w:rPr>
                <w:noProof/>
              </w:rPr>
              <mc:AlternateContent>
                <mc:Choice Requires="wps">
                  <w:drawing>
                    <wp:anchor distT="0" distB="0" distL="114300" distR="114300" simplePos="0" relativeHeight="251669504" behindDoc="0" locked="0" layoutInCell="1" allowOverlap="1" wp14:anchorId="41B0ECB6" wp14:editId="3B75D4FD">
                      <wp:simplePos x="0" y="0"/>
                      <wp:positionH relativeFrom="column">
                        <wp:posOffset>414655</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822FE" id="Rectangle 29" o:spid="_x0000_s1026" style="position:absolute;margin-left:32.65pt;margin-top:2.85pt;width:9.9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" fillcolor="#7030a0" strokecolor="#3b3838" strokeweight=".5pt">
                      <v:path arrowok="t"/>
                    </v:rect>
                  </w:pict>
                </mc:Fallback>
              </mc:AlternateContent>
            </w:r>
            <w:r w:rsidRPr="00207D00">
              <w:rPr>
                <w:rFonts w:ascii="Arial" w:hAnsi="Arial" w:cs="Arial"/>
                <w:iCs/>
                <w:sz w:val="16"/>
                <w:szCs w:val="16"/>
                <w:lang w:val="en-US"/>
              </w:rPr>
              <w:t xml:space="preserve">          Imports of goods</w:t>
            </w:r>
          </w:p>
        </w:tc>
        <w:tc>
          <w:tcPr>
            <w:tcW w:w="1448" w:type="dxa"/>
          </w:tcPr>
          <w:p w14:paraId="5F338DBC" w14:textId="77777777" w:rsidR="00356412" w:rsidRPr="00207D00" w:rsidRDefault="00356412" w:rsidP="00D563AA">
            <w:pPr>
              <w:spacing w:before="40" w:after="40" w:line="288" w:lineRule="auto"/>
              <w:ind w:firstLine="567"/>
              <w:jc w:val="both"/>
              <w:rPr>
                <w:b/>
                <w:bCs/>
                <w:i/>
                <w:iCs/>
                <w:lang w:val="en-US"/>
              </w:rPr>
            </w:pPr>
          </w:p>
        </w:tc>
      </w:tr>
    </w:tbl>
    <w:bookmarkEnd w:id="8"/>
    <w:bookmarkEnd w:id="9"/>
    <w:bookmarkEnd w:id="10"/>
    <w:p w14:paraId="0B413229" w14:textId="45E161C9" w:rsidR="00ED4876" w:rsidRPr="00207D00" w:rsidRDefault="00356412" w:rsidP="001F543E">
      <w:pPr>
        <w:spacing w:after="120" w:line="252" w:lineRule="auto"/>
        <w:ind w:firstLine="720"/>
        <w:jc w:val="both"/>
        <w:rPr>
          <w:rFonts w:asciiTheme="minorHAnsi" w:eastAsiaTheme="minorHAnsi" w:hAnsiTheme="minorHAnsi" w:cstheme="minorBidi"/>
          <w:sz w:val="22"/>
          <w:szCs w:val="22"/>
        </w:rPr>
      </w:pPr>
      <w:r w:rsidRPr="00207D00">
        <w:rPr>
          <w:iCs/>
        </w:rPr>
        <w:t>According to preliminary data, the trade balance of goods recorded a deficit of 1.94 billion USD in January and a deficit of 1.04 billion USD in February. Generally, in the first two months of 2026, the trade balance of goods posted a deficit of 2.98 billion USD (the same period last year recorded a surplus of 1.77 billion USD). Of which, the domestic economic sector recorded a trade deficit of 6.5 billion USD, while the FDI sector (including crude oil) posted a trade surplus of 3.52 billion USD.</w:t>
      </w:r>
      <w:bookmarkEnd w:id="1"/>
      <w:r w:rsidR="00ED4876" w:rsidRPr="00207D00">
        <w:rPr>
          <w:rFonts w:asciiTheme="minorHAnsi" w:eastAsiaTheme="minorHAnsi" w:hAnsiTheme="minorHAnsi" w:cstheme="minorBidi"/>
          <w:sz w:val="22"/>
          <w:szCs w:val="22"/>
        </w:rPr>
        <w:t xml:space="preserve">  </w:t>
      </w:r>
    </w:p>
    <w:p w14:paraId="6A49BE57" w14:textId="77777777" w:rsidR="0038507E" w:rsidRPr="00207D00" w:rsidRDefault="0038507E" w:rsidP="0038507E">
      <w:pPr>
        <w:spacing w:after="120" w:line="252" w:lineRule="auto"/>
        <w:ind w:firstLine="720"/>
        <w:jc w:val="both"/>
        <w:rPr>
          <w:b/>
          <w:i/>
        </w:rPr>
      </w:pPr>
      <w:r w:rsidRPr="00207D00">
        <w:rPr>
          <w:b/>
          <w:i/>
        </w:rPr>
        <w:t xml:space="preserve">c) Consumer price index, Gold and US dollar index  </w:t>
      </w:r>
    </w:p>
    <w:p w14:paraId="2A18120F" w14:textId="7E6C3030" w:rsidR="0038507E" w:rsidRPr="00207D00" w:rsidRDefault="0038507E" w:rsidP="0038507E">
      <w:pPr>
        <w:pStyle w:val="NormalWeb"/>
        <w:spacing w:before="0" w:beforeAutospacing="0" w:after="120" w:afterAutospacing="0" w:line="252" w:lineRule="auto"/>
        <w:ind w:firstLine="720"/>
        <w:jc w:val="both"/>
        <w:rPr>
          <w:i/>
          <w:spacing w:val="-2"/>
          <w:sz w:val="28"/>
          <w:szCs w:val="28"/>
          <w:lang w:val="en-US"/>
        </w:rPr>
      </w:pPr>
      <w:r w:rsidRPr="00207D00">
        <w:rPr>
          <w:i/>
          <w:spacing w:val="-2"/>
          <w:sz w:val="28"/>
          <w:szCs w:val="28"/>
          <w:lang w:val="en-US"/>
        </w:rPr>
        <w:t>Consumer Price Index (CPI) in February 2026 saw a month-on-month increase of 1.14%, mainly due to higher prices of food</w:t>
      </w:r>
      <w:r w:rsidR="008204EF">
        <w:rPr>
          <w:i/>
          <w:spacing w:val="-2"/>
          <w:sz w:val="28"/>
          <w:szCs w:val="28"/>
          <w:lang w:val="en-US"/>
        </w:rPr>
        <w:t>stuff</w:t>
      </w:r>
      <w:r w:rsidRPr="00207D00">
        <w:rPr>
          <w:i/>
          <w:spacing w:val="-2"/>
          <w:sz w:val="28"/>
          <w:szCs w:val="28"/>
          <w:lang w:val="en-US"/>
        </w:rPr>
        <w:t>, eating out, and transport services resulting from increasing demand for shopping and travelling during the Lunar New Year. The CPI in February rose by 1.19% and 3.35</w:t>
      </w:r>
      <w:r w:rsidR="00951CEA" w:rsidRPr="00207D00">
        <w:rPr>
          <w:i/>
          <w:spacing w:val="-2"/>
          <w:sz w:val="28"/>
          <w:szCs w:val="28"/>
          <w:lang w:val="en-US"/>
        </w:rPr>
        <w:t>% compared</w:t>
      </w:r>
      <w:r w:rsidRPr="00207D00">
        <w:rPr>
          <w:i/>
          <w:spacing w:val="-2"/>
          <w:sz w:val="28"/>
          <w:szCs w:val="28"/>
          <w:lang w:val="en-US"/>
        </w:rPr>
        <w:t xml:space="preserve"> to that in December 2025 and the same period in 2025, respectively.</w:t>
      </w:r>
    </w:p>
    <w:p w14:paraId="787985FD" w14:textId="77777777" w:rsidR="0038507E" w:rsidRPr="00207D00" w:rsidRDefault="0038507E" w:rsidP="0038507E">
      <w:pPr>
        <w:spacing w:line="252" w:lineRule="auto"/>
        <w:ind w:firstLine="720"/>
        <w:jc w:val="both"/>
        <w:rPr>
          <w:i/>
        </w:rPr>
      </w:pPr>
      <w:r w:rsidRPr="00207D00">
        <w:rPr>
          <w:i/>
        </w:rPr>
        <w:t>The average CPI in the first two months of 2026 witnessed a year-on-year expansion of 2.94%; core inflation increased by 3.47%.</w:t>
      </w:r>
    </w:p>
    <w:p w14:paraId="6916321E" w14:textId="77777777" w:rsidR="0038507E" w:rsidRPr="00207D00" w:rsidRDefault="0038507E" w:rsidP="0038507E">
      <w:pPr>
        <w:spacing w:line="252" w:lineRule="auto"/>
        <w:ind w:firstLine="720"/>
        <w:jc w:val="both"/>
        <w:rPr>
          <w:rFonts w:ascii="Arial" w:eastAsia="Calibri" w:hAnsi="Arial" w:cs="Arial"/>
          <w:b/>
          <w:sz w:val="24"/>
          <w:szCs w:val="24"/>
        </w:rPr>
      </w:pPr>
    </w:p>
    <w:p w14:paraId="138DA8CE" w14:textId="77777777" w:rsidR="0038507E" w:rsidRPr="00207D00" w:rsidRDefault="0038507E" w:rsidP="0038507E">
      <w:pPr>
        <w:spacing w:line="252" w:lineRule="auto"/>
        <w:ind w:firstLine="720"/>
        <w:jc w:val="both"/>
        <w:rPr>
          <w:rFonts w:ascii="Arial" w:eastAsia="Calibri" w:hAnsi="Arial" w:cs="Arial"/>
          <w:b/>
          <w:sz w:val="24"/>
          <w:szCs w:val="24"/>
        </w:rPr>
      </w:pPr>
    </w:p>
    <w:p w14:paraId="3C919CA3" w14:textId="77777777" w:rsidR="0038507E" w:rsidRPr="00207D00" w:rsidRDefault="0038507E" w:rsidP="0038507E">
      <w:pPr>
        <w:spacing w:before="120"/>
        <w:jc w:val="center"/>
        <w:rPr>
          <w:rFonts w:ascii="Arial" w:eastAsia="Calibri" w:hAnsi="Arial" w:cs="Arial"/>
          <w:b/>
          <w:sz w:val="24"/>
          <w:szCs w:val="24"/>
        </w:rPr>
      </w:pPr>
      <w:r w:rsidRPr="00207D00">
        <w:rPr>
          <w:rFonts w:ascii="Arial" w:eastAsia="Calibri" w:hAnsi="Arial" w:cs="Arial"/>
          <w:b/>
          <w:sz w:val="24"/>
          <w:szCs w:val="24"/>
        </w:rPr>
        <w:t xml:space="preserve">Figure 15. Month-on-month CPI growth rate </w:t>
      </w:r>
    </w:p>
    <w:p w14:paraId="3932DCBA" w14:textId="77777777" w:rsidR="0038507E" w:rsidRPr="00207D00" w:rsidRDefault="0038507E" w:rsidP="0038507E">
      <w:pPr>
        <w:spacing w:before="120"/>
        <w:jc w:val="center"/>
        <w:rPr>
          <w:rFonts w:ascii="Arial" w:eastAsia="Calibri" w:hAnsi="Arial" w:cs="Arial"/>
          <w:b/>
          <w:sz w:val="24"/>
          <w:szCs w:val="24"/>
        </w:rPr>
      </w:pPr>
    </w:p>
    <w:p w14:paraId="6F4A984B" w14:textId="77777777" w:rsidR="0038507E" w:rsidRPr="00207D00" w:rsidRDefault="0038507E" w:rsidP="0038507E">
      <w:pPr>
        <w:jc w:val="center"/>
        <w:rPr>
          <w14:ligatures w14:val="standardContextual"/>
        </w:rPr>
      </w:pPr>
      <w:r w:rsidRPr="00207D00">
        <w:rPr>
          <w:noProof/>
        </w:rPr>
        <w:drawing>
          <wp:inline distT="0" distB="0" distL="0" distR="0" wp14:anchorId="056BFF5B" wp14:editId="1B2FF4BE">
            <wp:extent cx="5699760" cy="4391330"/>
            <wp:effectExtent l="0" t="0" r="15240" b="9525"/>
            <wp:docPr id="34221641"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C17573" w14:textId="77777777" w:rsidR="0038507E" w:rsidRPr="00207D00" w:rsidRDefault="0038507E" w:rsidP="0038507E">
      <w:pPr>
        <w:jc w:val="center"/>
        <w:rPr>
          <w:rFonts w:ascii="Arial" w:eastAsia="Calibri" w:hAnsi="Arial" w:cs="Arial"/>
          <w:b/>
          <w:sz w:val="24"/>
          <w:szCs w:val="24"/>
        </w:rPr>
      </w:pPr>
    </w:p>
    <w:p w14:paraId="67C38E86" w14:textId="5E2DEDFD" w:rsidR="0038507E" w:rsidRPr="00207D00" w:rsidRDefault="0038507E" w:rsidP="0038507E">
      <w:pPr>
        <w:spacing w:before="120" w:after="120" w:line="264" w:lineRule="auto"/>
        <w:ind w:firstLine="720"/>
        <w:jc w:val="both"/>
        <w:rPr>
          <w:rFonts w:eastAsia="Calibri"/>
        </w:rPr>
      </w:pPr>
      <w:r w:rsidRPr="00207D00">
        <w:rPr>
          <w:rFonts w:eastAsia="Calibri"/>
        </w:rPr>
        <w:t xml:space="preserve">In the month-on-month </w:t>
      </w:r>
      <w:r w:rsidR="007F364C" w:rsidRPr="00207D00">
        <w:rPr>
          <w:rFonts w:eastAsia="Calibri"/>
        </w:rPr>
        <w:t>increase</w:t>
      </w:r>
      <w:r w:rsidR="007F364C" w:rsidRPr="00207D00">
        <w:rPr>
          <w:rFonts w:eastAsia="Calibri"/>
        </w:rPr>
        <w:t xml:space="preserve"> </w:t>
      </w:r>
      <w:r w:rsidR="007F364C">
        <w:rPr>
          <w:rFonts w:eastAsia="Calibri"/>
        </w:rPr>
        <w:t xml:space="preserve">of </w:t>
      </w:r>
      <w:r w:rsidR="00C50CE0" w:rsidRPr="00207D00">
        <w:rPr>
          <w:rFonts w:eastAsia="Calibri"/>
        </w:rPr>
        <w:t>1.14%</w:t>
      </w:r>
      <w:r w:rsidR="00C50CE0">
        <w:rPr>
          <w:rFonts w:eastAsia="Calibri"/>
        </w:rPr>
        <w:t xml:space="preserve"> </w:t>
      </w:r>
      <w:r w:rsidRPr="00207D00">
        <w:rPr>
          <w:rFonts w:eastAsia="Calibri"/>
        </w:rPr>
        <w:t>in the CPI in February 2026, all major groups of consumer goods and services experienced an upturn in price.</w:t>
      </w:r>
    </w:p>
    <w:p w14:paraId="543F8B09" w14:textId="003261E7" w:rsidR="0038507E" w:rsidRPr="00207D00" w:rsidRDefault="0038507E" w:rsidP="0038507E">
      <w:pPr>
        <w:pStyle w:val="NormalWeb"/>
        <w:spacing w:before="0" w:beforeAutospacing="0" w:after="120" w:afterAutospacing="0" w:line="264" w:lineRule="auto"/>
        <w:ind w:firstLine="720"/>
        <w:jc w:val="both"/>
        <w:rPr>
          <w:iCs/>
          <w:color w:val="000000" w:themeColor="text1"/>
          <w:sz w:val="28"/>
          <w:szCs w:val="28"/>
          <w:lang w:val="en-US"/>
        </w:rPr>
      </w:pPr>
      <w:r w:rsidRPr="00207D00">
        <w:rPr>
          <w:i/>
          <w:sz w:val="28"/>
          <w:szCs w:val="28"/>
          <w:lang w:val="en-US"/>
        </w:rPr>
        <w:t xml:space="preserve">- </w:t>
      </w:r>
      <w:r w:rsidRPr="00A370C9">
        <w:rPr>
          <w:i/>
          <w:iCs/>
          <w:color w:val="000000" w:themeColor="text1"/>
          <w:sz w:val="28"/>
          <w:szCs w:val="28"/>
          <w:lang w:val="en-US"/>
        </w:rPr>
        <w:t xml:space="preserve">The group of food and </w:t>
      </w:r>
      <w:r w:rsidR="00C50CE0" w:rsidRPr="00A370C9">
        <w:rPr>
          <w:i/>
          <w:iCs/>
          <w:color w:val="000000" w:themeColor="text1"/>
          <w:sz w:val="28"/>
          <w:szCs w:val="28"/>
          <w:lang w:val="en-US"/>
        </w:rPr>
        <w:t>foodstuff</w:t>
      </w:r>
      <w:r w:rsidRPr="00207D00">
        <w:rPr>
          <w:iCs/>
          <w:color w:val="000000" w:themeColor="text1"/>
          <w:sz w:val="28"/>
          <w:szCs w:val="28"/>
          <w:lang w:val="en-US"/>
        </w:rPr>
        <w:t xml:space="preserve"> climbed up 2.02% (contributing to an increase </w:t>
      </w:r>
      <w:r w:rsidR="00951CEA" w:rsidRPr="00207D00">
        <w:rPr>
          <w:iCs/>
          <w:color w:val="000000" w:themeColor="text1"/>
          <w:sz w:val="28"/>
          <w:szCs w:val="28"/>
          <w:lang w:val="en-US"/>
        </w:rPr>
        <w:t>of 0.72</w:t>
      </w:r>
      <w:r w:rsidRPr="00207D00">
        <w:rPr>
          <w:iCs/>
          <w:color w:val="000000" w:themeColor="text1"/>
          <w:sz w:val="28"/>
          <w:szCs w:val="28"/>
          <w:lang w:val="en-US"/>
        </w:rPr>
        <w:t xml:space="preserve"> percentage point</w:t>
      </w:r>
      <w:r w:rsidR="007F364C">
        <w:rPr>
          <w:iCs/>
          <w:color w:val="000000" w:themeColor="text1"/>
          <w:sz w:val="28"/>
          <w:szCs w:val="28"/>
          <w:lang w:val="en-US"/>
        </w:rPr>
        <w:t>s</w:t>
      </w:r>
      <w:r w:rsidRPr="00207D00">
        <w:rPr>
          <w:iCs/>
          <w:color w:val="000000" w:themeColor="text1"/>
          <w:sz w:val="28"/>
          <w:szCs w:val="28"/>
          <w:lang w:val="en-US"/>
        </w:rPr>
        <w:t xml:space="preserve"> in the overall CPI), of which: </w:t>
      </w:r>
      <w:r w:rsidRPr="00207D00">
        <w:rPr>
          <w:iCs/>
          <w:sz w:val="28"/>
          <w:szCs w:val="28"/>
          <w:lang w:val="en-US"/>
        </w:rPr>
        <w:t>Food; foodstuff</w:t>
      </w:r>
      <w:r w:rsidRPr="00207D00">
        <w:rPr>
          <w:iCs/>
          <w:color w:val="000000" w:themeColor="text1"/>
          <w:sz w:val="28"/>
          <w:szCs w:val="28"/>
          <w:lang w:val="en-US"/>
        </w:rPr>
        <w:t xml:space="preserve"> jumped up 0.94%</w:t>
      </w:r>
      <w:r w:rsidRPr="00207D00">
        <w:rPr>
          <w:rStyle w:val="FootnoteReference"/>
          <w:iCs/>
          <w:color w:val="000000" w:themeColor="text1"/>
          <w:sz w:val="28"/>
          <w:szCs w:val="28"/>
          <w:lang w:val="en-US"/>
        </w:rPr>
        <w:footnoteReference w:id="20"/>
      </w:r>
      <w:r w:rsidRPr="00207D00">
        <w:rPr>
          <w:iCs/>
          <w:color w:val="000000" w:themeColor="text1"/>
          <w:sz w:val="28"/>
          <w:szCs w:val="28"/>
          <w:lang w:val="en-US"/>
        </w:rPr>
        <w:t>; 2.34%</w:t>
      </w:r>
      <w:r w:rsidRPr="00207D00">
        <w:rPr>
          <w:rStyle w:val="FootnoteReference"/>
          <w:iCs/>
          <w:color w:val="000000" w:themeColor="text1"/>
          <w:sz w:val="28"/>
          <w:szCs w:val="28"/>
          <w:lang w:val="en-US"/>
        </w:rPr>
        <w:footnoteReference w:id="21"/>
      </w:r>
      <w:r w:rsidRPr="00207D00">
        <w:rPr>
          <w:iCs/>
          <w:color w:val="000000" w:themeColor="text1"/>
          <w:sz w:val="28"/>
          <w:szCs w:val="28"/>
          <w:lang w:val="en-US"/>
        </w:rPr>
        <w:t xml:space="preserve">, respectively (contributing to an increase of 0.52 </w:t>
      </w:r>
      <w:r w:rsidRPr="00207D00">
        <w:rPr>
          <w:iCs/>
          <w:color w:val="000000" w:themeColor="text1"/>
          <w:sz w:val="28"/>
          <w:szCs w:val="28"/>
          <w:lang w:val="en-US"/>
        </w:rPr>
        <w:lastRenderedPageBreak/>
        <w:t>percentage point</w:t>
      </w:r>
      <w:r w:rsidR="007F364C">
        <w:rPr>
          <w:iCs/>
          <w:color w:val="000000" w:themeColor="text1"/>
          <w:sz w:val="28"/>
          <w:szCs w:val="28"/>
          <w:lang w:val="en-US"/>
        </w:rPr>
        <w:t>s</w:t>
      </w:r>
      <w:r w:rsidRPr="00207D00">
        <w:rPr>
          <w:iCs/>
          <w:color w:val="000000" w:themeColor="text1"/>
          <w:sz w:val="28"/>
          <w:szCs w:val="28"/>
          <w:lang w:val="en-US"/>
        </w:rPr>
        <w:t>); and eating out edged up 1.71%</w:t>
      </w:r>
      <w:r w:rsidRPr="00207D00">
        <w:rPr>
          <w:rStyle w:val="FootnoteReference"/>
          <w:iCs/>
          <w:color w:val="000000" w:themeColor="text1"/>
          <w:sz w:val="28"/>
          <w:szCs w:val="28"/>
          <w:lang w:val="en-US"/>
        </w:rPr>
        <w:footnoteReference w:id="22"/>
      </w:r>
      <w:r w:rsidRPr="00207D00">
        <w:rPr>
          <w:iCs/>
          <w:color w:val="000000" w:themeColor="text1"/>
          <w:sz w:val="28"/>
          <w:szCs w:val="28"/>
          <w:lang w:val="en-US"/>
        </w:rPr>
        <w:t xml:space="preserve"> (contributing to a rise of 0.16 percentage point</w:t>
      </w:r>
      <w:r w:rsidR="007F364C">
        <w:rPr>
          <w:iCs/>
          <w:color w:val="000000" w:themeColor="text1"/>
          <w:sz w:val="28"/>
          <w:szCs w:val="28"/>
          <w:lang w:val="en-US"/>
        </w:rPr>
        <w:t>s</w:t>
      </w:r>
      <w:r w:rsidRPr="00207D00">
        <w:rPr>
          <w:iCs/>
          <w:color w:val="000000" w:themeColor="text1"/>
          <w:sz w:val="28"/>
          <w:szCs w:val="28"/>
          <w:lang w:val="en-US"/>
        </w:rPr>
        <w:t>).</w:t>
      </w:r>
    </w:p>
    <w:p w14:paraId="24C5C8BD" w14:textId="4AB0D0C3" w:rsidR="0038507E" w:rsidRPr="00207D00" w:rsidRDefault="0038507E" w:rsidP="0038507E">
      <w:pPr>
        <w:pStyle w:val="NormalWeb"/>
        <w:spacing w:before="0" w:beforeAutospacing="0" w:after="120" w:afterAutospacing="0" w:line="264" w:lineRule="auto"/>
        <w:ind w:firstLine="720"/>
        <w:jc w:val="both"/>
        <w:rPr>
          <w:color w:val="000000" w:themeColor="text1"/>
          <w:sz w:val="28"/>
          <w:szCs w:val="28"/>
          <w:lang w:val="en-US"/>
        </w:rPr>
      </w:pPr>
      <w:r w:rsidRPr="00207D00">
        <w:rPr>
          <w:color w:val="000000" w:themeColor="text1"/>
          <w:sz w:val="28"/>
          <w:szCs w:val="28"/>
          <w:lang w:val="en-US"/>
        </w:rPr>
        <w:t xml:space="preserve">- </w:t>
      </w:r>
      <w:r w:rsidRPr="00207D00">
        <w:rPr>
          <w:i/>
          <w:color w:val="000000" w:themeColor="text1"/>
          <w:sz w:val="28"/>
          <w:szCs w:val="28"/>
          <w:lang w:val="en-US"/>
        </w:rPr>
        <w:t>The group of culture, entertainment, and tourism</w:t>
      </w:r>
      <w:r w:rsidRPr="00207D00">
        <w:rPr>
          <w:color w:val="000000" w:themeColor="text1"/>
          <w:sz w:val="28"/>
          <w:szCs w:val="28"/>
          <w:lang w:val="en-US"/>
        </w:rPr>
        <w:t xml:space="preserve"> increased by 1.36%, mainly due to increasing demand for consumption during the Lunar New Year holiday and high costs of related service</w:t>
      </w:r>
      <w:r w:rsidR="009428E0">
        <w:rPr>
          <w:color w:val="000000" w:themeColor="text1"/>
          <w:sz w:val="28"/>
          <w:szCs w:val="28"/>
          <w:lang w:val="en-US"/>
        </w:rPr>
        <w:t>s</w:t>
      </w:r>
      <w:r w:rsidRPr="00207D00">
        <w:rPr>
          <w:color w:val="000000" w:themeColor="text1"/>
          <w:sz w:val="28"/>
          <w:szCs w:val="28"/>
          <w:lang w:val="en-US"/>
        </w:rPr>
        <w:t>, focusing on the following items: prices of ornamental plants and flowers; movie and music tickets; decorative items; toys surged up 9.51%; 2.32%; 1.72%; 0.26%, respectively. Package tours added up 1.6% due to high demand for travelling and rising cost of service; hotels and accommodation expanded by 0.63%. In contrast, prices of sports equipment; books, newspapers, and magazines of all kinds decreased by 0.12%; 0.05%, respectively.</w:t>
      </w:r>
    </w:p>
    <w:p w14:paraId="52B2C6C9" w14:textId="5AAB0204" w:rsidR="0038507E" w:rsidRPr="00207D00" w:rsidRDefault="0038507E" w:rsidP="0038507E">
      <w:pPr>
        <w:pStyle w:val="NormalWeb"/>
        <w:spacing w:before="0" w:beforeAutospacing="0" w:after="120" w:afterAutospacing="0" w:line="264" w:lineRule="auto"/>
        <w:ind w:firstLine="720"/>
        <w:jc w:val="both"/>
        <w:rPr>
          <w:color w:val="000000" w:themeColor="text1"/>
          <w:sz w:val="28"/>
          <w:szCs w:val="28"/>
          <w:lang w:val="en-US"/>
        </w:rPr>
      </w:pPr>
      <w:r w:rsidRPr="00207D00">
        <w:rPr>
          <w:color w:val="000000" w:themeColor="text1"/>
          <w:sz w:val="28"/>
          <w:szCs w:val="28"/>
          <w:lang w:val="en-US"/>
        </w:rPr>
        <w:t xml:space="preserve">- </w:t>
      </w:r>
      <w:r w:rsidRPr="00A370C9">
        <w:rPr>
          <w:i/>
          <w:color w:val="000000" w:themeColor="text1"/>
          <w:sz w:val="28"/>
          <w:szCs w:val="28"/>
          <w:lang w:val="en-US"/>
        </w:rPr>
        <w:t xml:space="preserve">The group of other </w:t>
      </w:r>
      <w:r w:rsidR="009428E0" w:rsidRPr="009428E0">
        <w:rPr>
          <w:i/>
          <w:color w:val="000000" w:themeColor="text1"/>
          <w:sz w:val="28"/>
          <w:szCs w:val="28"/>
          <w:lang w:val="en-US"/>
        </w:rPr>
        <w:t>consumer</w:t>
      </w:r>
      <w:r w:rsidR="009428E0">
        <w:rPr>
          <w:i/>
          <w:color w:val="000000" w:themeColor="text1"/>
          <w:sz w:val="28"/>
          <w:szCs w:val="28"/>
          <w:lang w:val="en-US"/>
        </w:rPr>
        <w:t xml:space="preserve"> </w:t>
      </w:r>
      <w:r w:rsidRPr="00A370C9">
        <w:rPr>
          <w:i/>
          <w:color w:val="000000" w:themeColor="text1"/>
          <w:sz w:val="28"/>
          <w:szCs w:val="28"/>
          <w:lang w:val="en-US"/>
        </w:rPr>
        <w:t>goods and services</w:t>
      </w:r>
      <w:r w:rsidRPr="00207D00">
        <w:rPr>
          <w:color w:val="000000" w:themeColor="text1"/>
          <w:sz w:val="28"/>
          <w:szCs w:val="28"/>
          <w:lang w:val="en-US"/>
        </w:rPr>
        <w:t xml:space="preserve"> increased by 1.30%, focusing on a rise in prices of some items: Jewelry shot up 8.23% in line with the price of domestic gold; haircut and shampooing services soared by 4.27% due to high demand for beauty services at the end of the year; personal care services; wedding related items and services; funeral related items and services; administrative and legal services climbed up 3.36%; 1.23%; 0.83%; 0.27%, respectively.</w:t>
      </w:r>
    </w:p>
    <w:p w14:paraId="2F80FBD7" w14:textId="375A4F14" w:rsidR="0038507E" w:rsidRPr="00207D00" w:rsidRDefault="0038507E" w:rsidP="0038507E">
      <w:pPr>
        <w:pStyle w:val="NormalWeb"/>
        <w:spacing w:before="0" w:beforeAutospacing="0" w:after="120" w:afterAutospacing="0" w:line="264" w:lineRule="auto"/>
        <w:ind w:firstLine="720"/>
        <w:jc w:val="both"/>
        <w:rPr>
          <w:color w:val="000000" w:themeColor="text1"/>
          <w:sz w:val="28"/>
          <w:szCs w:val="28"/>
          <w:lang w:val="en-US"/>
        </w:rPr>
      </w:pPr>
      <w:r w:rsidRPr="00207D00">
        <w:rPr>
          <w:color w:val="000000" w:themeColor="text1"/>
          <w:sz w:val="28"/>
          <w:szCs w:val="28"/>
          <w:lang w:val="en-US"/>
        </w:rPr>
        <w:t xml:space="preserve">- </w:t>
      </w:r>
      <w:r w:rsidRPr="00207D00">
        <w:rPr>
          <w:i/>
          <w:color w:val="000000" w:themeColor="text1"/>
          <w:sz w:val="28"/>
          <w:szCs w:val="28"/>
          <w:lang w:val="en-US"/>
        </w:rPr>
        <w:t>The transport group</w:t>
      </w:r>
      <w:r w:rsidRPr="00207D00">
        <w:rPr>
          <w:color w:val="000000" w:themeColor="text1"/>
          <w:sz w:val="28"/>
          <w:szCs w:val="28"/>
          <w:lang w:val="en-US"/>
        </w:rPr>
        <w:t xml:space="preserve"> expanded by 1.23%, contributing to an increase of 0.12 percentage points in the overall CPI, of which: The CPI of </w:t>
      </w:r>
      <w:r w:rsidR="005A16C6" w:rsidRPr="005A16C6">
        <w:rPr>
          <w:color w:val="000000" w:themeColor="text1"/>
          <w:sz w:val="28"/>
          <w:szCs w:val="28"/>
          <w:lang w:val="en-US"/>
        </w:rPr>
        <w:t>petroleum</w:t>
      </w:r>
      <w:r w:rsidRPr="00207D00">
        <w:rPr>
          <w:color w:val="000000" w:themeColor="text1"/>
          <w:sz w:val="28"/>
          <w:szCs w:val="28"/>
          <w:lang w:val="en-US"/>
        </w:rPr>
        <w:t xml:space="preserve">; diesel jumped up 1.95%, 6.34%, respectively. The price of passenger transported by airway; roadway; taxi; bus soared by 21.07%; 3.60%; 0.76%; 0.37%, respectively. </w:t>
      </w:r>
      <w:r w:rsidRPr="00207D00">
        <w:rPr>
          <w:sz w:val="28"/>
          <w:szCs w:val="28"/>
          <w:lang w:val="en-US"/>
        </w:rPr>
        <w:t>Baggage h</w:t>
      </w:r>
      <w:r w:rsidRPr="00207D00">
        <w:rPr>
          <w:color w:val="000000" w:themeColor="text1"/>
          <w:sz w:val="28"/>
          <w:szCs w:val="28"/>
          <w:lang w:val="en-US"/>
        </w:rPr>
        <w:t xml:space="preserve">andling and checked services jumped up 4.33%. Price of </w:t>
      </w:r>
      <w:r w:rsidR="005A16C6">
        <w:rPr>
          <w:color w:val="000000" w:themeColor="text1"/>
          <w:sz w:val="28"/>
          <w:szCs w:val="28"/>
          <w:lang w:val="en-US"/>
        </w:rPr>
        <w:t>automobile spare</w:t>
      </w:r>
      <w:r w:rsidR="005A16C6" w:rsidRPr="00207D00">
        <w:rPr>
          <w:color w:val="000000" w:themeColor="text1"/>
          <w:sz w:val="28"/>
          <w:szCs w:val="28"/>
          <w:lang w:val="en-US"/>
        </w:rPr>
        <w:t xml:space="preserve"> </w:t>
      </w:r>
      <w:r w:rsidRPr="00207D00">
        <w:rPr>
          <w:color w:val="000000" w:themeColor="text1"/>
          <w:sz w:val="28"/>
          <w:szCs w:val="28"/>
          <w:lang w:val="en-US"/>
        </w:rPr>
        <w:t xml:space="preserve">parts; motorcycle tires and its tubes; bicycle tires and its tubes; other motorcycle parts; vehicle washing and tire pumping services; vehicle maintenance </w:t>
      </w:r>
      <w:r w:rsidR="00A370C9" w:rsidRPr="00207D00">
        <w:rPr>
          <w:color w:val="000000" w:themeColor="text1"/>
          <w:sz w:val="28"/>
          <w:szCs w:val="28"/>
          <w:lang w:val="en-US"/>
        </w:rPr>
        <w:t>services; and</w:t>
      </w:r>
      <w:r w:rsidRPr="00207D00">
        <w:rPr>
          <w:color w:val="000000" w:themeColor="text1"/>
          <w:sz w:val="28"/>
          <w:szCs w:val="28"/>
          <w:lang w:val="en-US"/>
        </w:rPr>
        <w:t xml:space="preserve"> parking services accelerated by 0.69%; 0.60%; 0.50%; 0.31%; 4.42%; 2.03%; and 1.75%, respectively. In contrast, the price index of new </w:t>
      </w:r>
      <w:r w:rsidR="005A16C6">
        <w:rPr>
          <w:color w:val="000000" w:themeColor="text1"/>
          <w:sz w:val="28"/>
          <w:szCs w:val="28"/>
          <w:lang w:val="en-US"/>
        </w:rPr>
        <w:t xml:space="preserve">automobile </w:t>
      </w:r>
      <w:r w:rsidR="009428E0" w:rsidRPr="00207D00">
        <w:rPr>
          <w:color w:val="000000" w:themeColor="text1"/>
          <w:sz w:val="28"/>
          <w:szCs w:val="28"/>
          <w:lang w:val="en-US"/>
        </w:rPr>
        <w:t xml:space="preserve">and </w:t>
      </w:r>
      <w:r w:rsidR="005A16C6" w:rsidRPr="005A16C6">
        <w:rPr>
          <w:color w:val="000000" w:themeColor="text1"/>
          <w:sz w:val="28"/>
          <w:szCs w:val="28"/>
          <w:lang w:val="en-US"/>
        </w:rPr>
        <w:t xml:space="preserve">used </w:t>
      </w:r>
      <w:r w:rsidR="005A16C6">
        <w:rPr>
          <w:color w:val="000000" w:themeColor="text1"/>
          <w:sz w:val="28"/>
          <w:szCs w:val="28"/>
          <w:lang w:val="en-US"/>
        </w:rPr>
        <w:t xml:space="preserve">automobile </w:t>
      </w:r>
      <w:r w:rsidRPr="00207D00">
        <w:rPr>
          <w:color w:val="000000" w:themeColor="text1"/>
          <w:sz w:val="28"/>
          <w:szCs w:val="28"/>
          <w:lang w:val="en-US"/>
        </w:rPr>
        <w:t>declined by 0.07%; and 0.39%, respectively.</w:t>
      </w:r>
    </w:p>
    <w:p w14:paraId="024A3363" w14:textId="27E2875A" w:rsidR="0038507E" w:rsidRPr="00207D00" w:rsidRDefault="0038507E" w:rsidP="0038507E">
      <w:pPr>
        <w:pStyle w:val="NormalWeb"/>
        <w:spacing w:before="0" w:beforeAutospacing="0" w:after="120" w:afterAutospacing="0" w:line="264" w:lineRule="auto"/>
        <w:ind w:firstLine="720"/>
        <w:jc w:val="both"/>
        <w:rPr>
          <w:color w:val="000000" w:themeColor="text1"/>
          <w:sz w:val="28"/>
          <w:szCs w:val="28"/>
          <w:lang w:val="en-US"/>
        </w:rPr>
      </w:pPr>
      <w:r w:rsidRPr="00207D00">
        <w:rPr>
          <w:color w:val="000000" w:themeColor="text1"/>
          <w:sz w:val="28"/>
          <w:szCs w:val="28"/>
          <w:lang w:val="en-US"/>
        </w:rPr>
        <w:t xml:space="preserve">- </w:t>
      </w:r>
      <w:r w:rsidRPr="00207D00">
        <w:rPr>
          <w:i/>
          <w:color w:val="000000" w:themeColor="text1"/>
          <w:sz w:val="28"/>
          <w:szCs w:val="28"/>
          <w:lang w:val="en-US"/>
        </w:rPr>
        <w:t xml:space="preserve">The group of beverage and </w:t>
      </w:r>
      <w:r w:rsidR="005A16C6" w:rsidRPr="005A16C6">
        <w:rPr>
          <w:i/>
          <w:color w:val="000000" w:themeColor="text1"/>
          <w:sz w:val="28"/>
          <w:szCs w:val="28"/>
          <w:lang w:val="en-US"/>
        </w:rPr>
        <w:t>cigarette</w:t>
      </w:r>
      <w:r w:rsidR="005A16C6" w:rsidRPr="005A16C6" w:rsidDel="005A16C6">
        <w:rPr>
          <w:i/>
          <w:color w:val="000000" w:themeColor="text1"/>
          <w:sz w:val="28"/>
          <w:szCs w:val="28"/>
          <w:lang w:val="en-US"/>
        </w:rPr>
        <w:t xml:space="preserve"> </w:t>
      </w:r>
      <w:r w:rsidRPr="00207D00">
        <w:rPr>
          <w:color w:val="000000" w:themeColor="text1"/>
          <w:sz w:val="28"/>
          <w:szCs w:val="28"/>
          <w:lang w:val="en-US"/>
        </w:rPr>
        <w:t xml:space="preserve">climbed up 1.18% due to increasing demand for consumption and </w:t>
      </w:r>
      <w:r w:rsidRPr="00207D00">
        <w:rPr>
          <w:sz w:val="28"/>
          <w:szCs w:val="28"/>
          <w:lang w:val="en-US"/>
        </w:rPr>
        <w:t>usage</w:t>
      </w:r>
      <w:r w:rsidRPr="00207D00">
        <w:rPr>
          <w:color w:val="000000" w:themeColor="text1"/>
          <w:sz w:val="28"/>
          <w:szCs w:val="28"/>
          <w:lang w:val="en-US"/>
        </w:rPr>
        <w:t xml:space="preserve"> as gifts during the Lunar New Year, resulting in an increase of 1.69% in the price of alcohol and beer; an upturn of 0.59% in the prices of both cigarettes and non-alcoholic beverages. </w:t>
      </w:r>
    </w:p>
    <w:p w14:paraId="73A20CFE" w14:textId="18495DC2" w:rsidR="0038507E" w:rsidRPr="00207D00" w:rsidRDefault="0038507E" w:rsidP="0038507E">
      <w:pPr>
        <w:pStyle w:val="NormalWeb"/>
        <w:spacing w:before="0" w:beforeAutospacing="0" w:after="120" w:afterAutospacing="0" w:line="264" w:lineRule="auto"/>
        <w:ind w:firstLine="720"/>
        <w:jc w:val="both"/>
        <w:rPr>
          <w:color w:val="000000" w:themeColor="text1"/>
          <w:sz w:val="28"/>
          <w:szCs w:val="28"/>
          <w:lang w:val="en-US"/>
        </w:rPr>
      </w:pPr>
      <w:r w:rsidRPr="00207D00">
        <w:rPr>
          <w:color w:val="000000" w:themeColor="text1"/>
          <w:sz w:val="28"/>
          <w:szCs w:val="28"/>
          <w:lang w:val="en-US"/>
        </w:rPr>
        <w:t xml:space="preserve">- </w:t>
      </w:r>
      <w:r w:rsidRPr="00207D00">
        <w:rPr>
          <w:i/>
          <w:color w:val="000000" w:themeColor="text1"/>
          <w:sz w:val="28"/>
          <w:szCs w:val="28"/>
          <w:lang w:val="en-US"/>
        </w:rPr>
        <w:t>The group of household equipment and goods</w:t>
      </w:r>
      <w:r w:rsidRPr="00207D00">
        <w:rPr>
          <w:color w:val="000000" w:themeColor="text1"/>
          <w:sz w:val="28"/>
          <w:szCs w:val="28"/>
          <w:lang w:val="en-US"/>
        </w:rPr>
        <w:t xml:space="preserve"> increased by 0.57% due to increasing demand for shopping during the Lunar New Year. Of which, prices of glassware, ceramics, and porcelain</w:t>
      </w:r>
      <w:r w:rsidRPr="00207D00">
        <w:rPr>
          <w:sz w:val="28"/>
          <w:szCs w:val="28"/>
          <w:lang w:val="en-US"/>
        </w:rPr>
        <w:t xml:space="preserve"> products</w:t>
      </w:r>
      <w:r w:rsidRPr="00207D00">
        <w:rPr>
          <w:color w:val="000000" w:themeColor="text1"/>
          <w:sz w:val="28"/>
          <w:szCs w:val="28"/>
          <w:lang w:val="en-US"/>
        </w:rPr>
        <w:t xml:space="preserve">; metalware; home textiles; </w:t>
      </w:r>
      <w:r w:rsidR="00AE752E">
        <w:rPr>
          <w:color w:val="000000" w:themeColor="text1"/>
          <w:sz w:val="28"/>
          <w:szCs w:val="28"/>
          <w:lang w:val="en-US"/>
        </w:rPr>
        <w:t>furniture</w:t>
      </w:r>
      <w:r w:rsidRPr="00207D00">
        <w:rPr>
          <w:color w:val="000000" w:themeColor="text1"/>
          <w:sz w:val="28"/>
          <w:szCs w:val="28"/>
          <w:lang w:val="en-US"/>
        </w:rPr>
        <w:t xml:space="preserve">; </w:t>
      </w:r>
      <w:r w:rsidRPr="00207D00">
        <w:rPr>
          <w:color w:val="000000" w:themeColor="text1"/>
          <w:sz w:val="28"/>
          <w:szCs w:val="28"/>
          <w:lang w:val="en-US"/>
        </w:rPr>
        <w:lastRenderedPageBreak/>
        <w:t xml:space="preserve">soap and detergents; plastic and rubber products; electric irons; electric cookers; vacuum cleaners edged up 0.91%; 0.74%; 0.63%; 0.62%; 0.55%; 0.54%; 0.44%; 0.21%; and 0.09%, respectively. The prices of household services surged up 5.01% due to increasing demand for house cleaning and family care services during </w:t>
      </w:r>
      <w:r w:rsidR="00AE752E" w:rsidRPr="00AE752E">
        <w:rPr>
          <w:color w:val="000000" w:themeColor="text1"/>
          <w:sz w:val="28"/>
          <w:szCs w:val="28"/>
          <w:lang w:val="en-US"/>
        </w:rPr>
        <w:t>the Lunar New Year</w:t>
      </w:r>
      <w:r w:rsidR="00AE752E" w:rsidRPr="00AE752E" w:rsidDel="00AE752E">
        <w:rPr>
          <w:color w:val="000000" w:themeColor="text1"/>
          <w:sz w:val="28"/>
          <w:szCs w:val="28"/>
          <w:lang w:val="en-US"/>
        </w:rPr>
        <w:t xml:space="preserve"> </w:t>
      </w:r>
      <w:r w:rsidRPr="00207D00">
        <w:rPr>
          <w:color w:val="000000" w:themeColor="text1"/>
          <w:sz w:val="28"/>
          <w:szCs w:val="28"/>
          <w:lang w:val="en-US"/>
        </w:rPr>
        <w:t>holiday; and the prices of household appliance repair climbed up 0.78% due to higher costs of labor and replacement parts.</w:t>
      </w:r>
    </w:p>
    <w:p w14:paraId="2AD956AD" w14:textId="519E9372" w:rsidR="0038507E" w:rsidRPr="00207D00" w:rsidRDefault="0038507E" w:rsidP="0038507E">
      <w:pPr>
        <w:pStyle w:val="Normal1"/>
        <w:spacing w:before="0" w:beforeAutospacing="0" w:after="120" w:afterAutospacing="0" w:line="264" w:lineRule="auto"/>
        <w:ind w:firstLine="720"/>
        <w:jc w:val="both"/>
        <w:rPr>
          <w:rFonts w:ascii="Times New Roman" w:hAnsi="Times New Roman" w:cs="Times New Roman"/>
          <w:color w:val="000000" w:themeColor="text1"/>
          <w:spacing w:val="-4"/>
          <w:sz w:val="28"/>
          <w:szCs w:val="28"/>
        </w:rPr>
      </w:pPr>
      <w:r w:rsidRPr="00207D00">
        <w:rPr>
          <w:rFonts w:ascii="Times New Roman" w:hAnsi="Times New Roman" w:cs="Times New Roman"/>
          <w:color w:val="000000" w:themeColor="text1"/>
          <w:spacing w:val="-4"/>
          <w:sz w:val="28"/>
          <w:szCs w:val="28"/>
        </w:rPr>
        <w:t xml:space="preserve">- </w:t>
      </w:r>
      <w:r w:rsidRPr="00207D00">
        <w:rPr>
          <w:rFonts w:ascii="Times New Roman" w:hAnsi="Times New Roman" w:cs="Times New Roman"/>
          <w:i/>
          <w:color w:val="000000" w:themeColor="text1"/>
          <w:spacing w:val="-4"/>
          <w:sz w:val="28"/>
          <w:szCs w:val="28"/>
        </w:rPr>
        <w:t>The group of housing</w:t>
      </w:r>
      <w:r w:rsidR="00AE752E">
        <w:rPr>
          <w:rFonts w:ascii="Times New Roman" w:hAnsi="Times New Roman" w:cs="Times New Roman"/>
          <w:i/>
          <w:color w:val="000000" w:themeColor="text1"/>
          <w:spacing w:val="-4"/>
          <w:sz w:val="28"/>
          <w:szCs w:val="28"/>
        </w:rPr>
        <w:t xml:space="preserve"> </w:t>
      </w:r>
      <w:r w:rsidRPr="00207D00">
        <w:rPr>
          <w:rFonts w:ascii="Times New Roman" w:hAnsi="Times New Roman" w:cs="Times New Roman"/>
          <w:i/>
          <w:color w:val="000000" w:themeColor="text1"/>
          <w:spacing w:val="-4"/>
          <w:sz w:val="28"/>
          <w:szCs w:val="28"/>
        </w:rPr>
        <w:t>and construction materials</w:t>
      </w:r>
      <w:r w:rsidRPr="00207D00">
        <w:rPr>
          <w:rFonts w:ascii="Times New Roman" w:hAnsi="Times New Roman" w:cs="Times New Roman"/>
          <w:color w:val="000000" w:themeColor="text1"/>
          <w:spacing w:val="-4"/>
          <w:sz w:val="28"/>
          <w:szCs w:val="28"/>
        </w:rPr>
        <w:t xml:space="preserve"> rose by 0.56% (contributing to an increase of 0.13 percentage points in the overall CPI), mainly due to a rise in the price of the following items: Housing maintenance materials; housing repair services; other housing-related services; gas; household electricity; tap water; household electricity service; tap water service; kerosene climbed up 0.67%; 1.02%; 0.44%; 1.40%; 0.52%; 0.72%</w:t>
      </w:r>
      <w:r w:rsidRPr="00207D00">
        <w:rPr>
          <w:rStyle w:val="FootnoteReference"/>
          <w:rFonts w:ascii="Times New Roman" w:hAnsi="Times New Roman" w:cs="Times New Roman"/>
          <w:color w:val="000000" w:themeColor="text1"/>
          <w:spacing w:val="-4"/>
          <w:sz w:val="28"/>
          <w:szCs w:val="28"/>
        </w:rPr>
        <w:footnoteReference w:id="23"/>
      </w:r>
      <w:r w:rsidRPr="00207D00">
        <w:rPr>
          <w:rFonts w:ascii="Times New Roman" w:hAnsi="Times New Roman" w:cs="Times New Roman"/>
          <w:color w:val="000000" w:themeColor="text1"/>
          <w:spacing w:val="-4"/>
          <w:sz w:val="28"/>
          <w:szCs w:val="28"/>
        </w:rPr>
        <w:t>; 0.80%; 0.73 4.30%, respectively.</w:t>
      </w:r>
    </w:p>
    <w:p w14:paraId="6EDEF2B4" w14:textId="77777777" w:rsidR="0038507E" w:rsidRPr="00207D00" w:rsidRDefault="0038507E" w:rsidP="0038507E">
      <w:pPr>
        <w:pStyle w:val="NormalWeb"/>
        <w:spacing w:before="0" w:beforeAutospacing="0" w:after="120" w:afterAutospacing="0" w:line="264" w:lineRule="auto"/>
        <w:ind w:firstLine="720"/>
        <w:jc w:val="both"/>
        <w:rPr>
          <w:color w:val="000000" w:themeColor="text1"/>
          <w:sz w:val="28"/>
          <w:szCs w:val="28"/>
          <w:lang w:val="en-US"/>
        </w:rPr>
      </w:pPr>
      <w:r w:rsidRPr="00207D00">
        <w:rPr>
          <w:color w:val="000000" w:themeColor="text1"/>
          <w:sz w:val="28"/>
          <w:szCs w:val="28"/>
          <w:lang w:val="en-US"/>
        </w:rPr>
        <w:t xml:space="preserve">- </w:t>
      </w:r>
      <w:r w:rsidRPr="00207D00">
        <w:rPr>
          <w:i/>
          <w:color w:val="000000" w:themeColor="text1"/>
          <w:sz w:val="28"/>
          <w:szCs w:val="28"/>
          <w:lang w:val="en-US"/>
        </w:rPr>
        <w:t>The group of garment, hat and footwear</w:t>
      </w:r>
      <w:r w:rsidRPr="00207D00">
        <w:rPr>
          <w:color w:val="000000" w:themeColor="text1"/>
          <w:sz w:val="28"/>
          <w:szCs w:val="28"/>
          <w:lang w:val="en-US"/>
        </w:rPr>
        <w:t xml:space="preserve"> expanded by 0.55% due to rising costs of labor and material and increasing demand for </w:t>
      </w:r>
      <w:r w:rsidRPr="00207D00">
        <w:rPr>
          <w:spacing w:val="-4"/>
          <w:sz w:val="28"/>
          <w:szCs w:val="28"/>
          <w:lang w:val="en-US"/>
        </w:rPr>
        <w:t xml:space="preserve">purchase of </w:t>
      </w:r>
      <w:r w:rsidRPr="00207D00">
        <w:rPr>
          <w:color w:val="000000" w:themeColor="text1"/>
          <w:sz w:val="28"/>
          <w:szCs w:val="28"/>
          <w:lang w:val="en-US"/>
        </w:rPr>
        <w:t xml:space="preserve">clothes and footwear during the Lunar New Year. Of which, </w:t>
      </w:r>
      <w:r w:rsidRPr="00207D00">
        <w:rPr>
          <w:spacing w:val="-4"/>
          <w:sz w:val="28"/>
          <w:szCs w:val="28"/>
          <w:lang w:val="en-US"/>
        </w:rPr>
        <w:t xml:space="preserve">the price of fabrics of all kinds </w:t>
      </w:r>
      <w:r w:rsidRPr="00207D00">
        <w:rPr>
          <w:color w:val="000000" w:themeColor="text1"/>
          <w:sz w:val="28"/>
          <w:szCs w:val="28"/>
          <w:lang w:val="en-US"/>
        </w:rPr>
        <w:t xml:space="preserve">witnessed a month-on-month increase of 0.78%; ready-made clothes; footwear; other garments; garment services; footwear services edged up 0.55%; 0.49%; 0.68%; 1.34%; 1.33%, respectively. In contrast, hats shrunk by 0.21% because some stores offered promotion to stimulate consumer demand. </w:t>
      </w:r>
    </w:p>
    <w:p w14:paraId="7A11C4A5" w14:textId="4B8B708D" w:rsidR="0038507E" w:rsidRPr="00207D00" w:rsidRDefault="0038507E" w:rsidP="0038507E">
      <w:pPr>
        <w:pStyle w:val="NormalWeb"/>
        <w:spacing w:before="0" w:beforeAutospacing="0" w:after="120" w:afterAutospacing="0" w:line="264" w:lineRule="auto"/>
        <w:ind w:firstLine="720"/>
        <w:jc w:val="both"/>
        <w:rPr>
          <w:color w:val="000000" w:themeColor="text1"/>
          <w:sz w:val="28"/>
          <w:szCs w:val="28"/>
          <w:lang w:val="en-US"/>
        </w:rPr>
      </w:pPr>
      <w:r w:rsidRPr="00207D00">
        <w:rPr>
          <w:color w:val="000000" w:themeColor="text1"/>
          <w:sz w:val="28"/>
          <w:szCs w:val="28"/>
          <w:lang w:val="en-US"/>
        </w:rPr>
        <w:t xml:space="preserve">- </w:t>
      </w:r>
      <w:r w:rsidRPr="00207D00">
        <w:rPr>
          <w:i/>
          <w:color w:val="000000" w:themeColor="text1"/>
          <w:sz w:val="28"/>
          <w:szCs w:val="28"/>
          <w:lang w:val="en-US"/>
        </w:rPr>
        <w:t>The group of medicine and health care services</w:t>
      </w:r>
      <w:r w:rsidRPr="00207D00">
        <w:rPr>
          <w:color w:val="000000" w:themeColor="text1"/>
          <w:sz w:val="28"/>
          <w:szCs w:val="28"/>
          <w:lang w:val="en-US"/>
        </w:rPr>
        <w:t xml:space="preserve"> accelerated by 0.14%, of which the CPI of health care services went up 0.14%, and medicines rose by 0.14% due to the spread of flu, respiratory illnesses, and people’s increasing demand for painkillers, fever reduction, respiratory drugs, vitamins, and minerals. Specifically, the prices of painkillers, fever reduction, non-steroidal anti-inflammatory drugs, and drugs for gout and bone diseases added up 0.16%; respiratory drugs; vitamin and mineral; and gastrointestinal drugs all climbed up 0.08%; and cardiovascular drugs jumped up 0.13%.</w:t>
      </w:r>
    </w:p>
    <w:p w14:paraId="16B1E574" w14:textId="77777777" w:rsidR="0038507E" w:rsidRPr="00207D00" w:rsidRDefault="0038507E" w:rsidP="0038507E">
      <w:pPr>
        <w:pStyle w:val="NormalWeb"/>
        <w:spacing w:before="0" w:beforeAutospacing="0" w:after="120" w:afterAutospacing="0" w:line="264" w:lineRule="auto"/>
        <w:ind w:firstLine="720"/>
        <w:jc w:val="both"/>
        <w:rPr>
          <w:sz w:val="28"/>
          <w:szCs w:val="28"/>
          <w:lang w:val="en-US"/>
        </w:rPr>
      </w:pPr>
      <w:r w:rsidRPr="00207D00">
        <w:rPr>
          <w:sz w:val="28"/>
          <w:szCs w:val="28"/>
          <w:lang w:val="en-US"/>
        </w:rPr>
        <w:t xml:space="preserve">- </w:t>
      </w:r>
      <w:r w:rsidRPr="00207D00">
        <w:rPr>
          <w:i/>
          <w:sz w:val="28"/>
          <w:szCs w:val="28"/>
          <w:lang w:val="en-US"/>
        </w:rPr>
        <w:t>The education group</w:t>
      </w:r>
      <w:r w:rsidRPr="00207D00">
        <w:rPr>
          <w:sz w:val="28"/>
          <w:szCs w:val="28"/>
          <w:lang w:val="en-US"/>
        </w:rPr>
        <w:t xml:space="preserve"> increased by 0.09%, of which educational services went up 0.09%, mainly due to the adjustments of tuition fee in some private schools and tutoring centers. Besides, the price of paper products; pens of all kinds; stationery and other school supplies edged up 0.10%; 0.20%; 0.17%, respectively.</w:t>
      </w:r>
    </w:p>
    <w:p w14:paraId="41BC6231" w14:textId="3F69BFE4" w:rsidR="0038507E" w:rsidRPr="00207D00" w:rsidRDefault="0038507E" w:rsidP="0038507E">
      <w:pPr>
        <w:pStyle w:val="NormalWeb"/>
        <w:spacing w:before="0" w:beforeAutospacing="0" w:after="120" w:afterAutospacing="0" w:line="264" w:lineRule="auto"/>
        <w:ind w:firstLine="720"/>
        <w:jc w:val="both"/>
        <w:rPr>
          <w:sz w:val="28"/>
          <w:szCs w:val="28"/>
          <w:lang w:val="en-US"/>
        </w:rPr>
      </w:pPr>
      <w:r w:rsidRPr="00207D00">
        <w:rPr>
          <w:i/>
          <w:color w:val="000000" w:themeColor="text1"/>
          <w:sz w:val="28"/>
          <w:szCs w:val="28"/>
          <w:lang w:val="en-US"/>
        </w:rPr>
        <w:t xml:space="preserve">- The group of information and communication </w:t>
      </w:r>
      <w:r w:rsidRPr="00207D00">
        <w:rPr>
          <w:color w:val="000000" w:themeColor="text1"/>
          <w:sz w:val="28"/>
          <w:szCs w:val="28"/>
          <w:lang w:val="en-US"/>
        </w:rPr>
        <w:t xml:space="preserve">increased by 0.01%, of which the prices of fixed-line telephone; </w:t>
      </w:r>
      <w:r w:rsidR="00B46736">
        <w:rPr>
          <w:color w:val="000000" w:themeColor="text1"/>
          <w:sz w:val="28"/>
          <w:szCs w:val="28"/>
          <w:lang w:val="en-US"/>
        </w:rPr>
        <w:t>f</w:t>
      </w:r>
      <w:r w:rsidR="00B46736" w:rsidRPr="00B46736">
        <w:rPr>
          <w:color w:val="000000" w:themeColor="text1"/>
          <w:sz w:val="28"/>
          <w:szCs w:val="28"/>
          <w:lang w:val="en-US"/>
        </w:rPr>
        <w:t xml:space="preserve">eature </w:t>
      </w:r>
      <w:r w:rsidRPr="00207D00">
        <w:rPr>
          <w:color w:val="000000" w:themeColor="text1"/>
          <w:sz w:val="28"/>
          <w:szCs w:val="28"/>
          <w:lang w:val="en-US"/>
        </w:rPr>
        <w:t xml:space="preserve">phones soared by 0.28%; 0.19%, respectively; phone repair service rose by 0.49% due to increasing costs of labor. In contrast, the prices of smart phones and tablets; audio equipment; accessories for smart phone and tablet; color televisions declined by 0.45%; 0.43%; 0.25%; </w:t>
      </w:r>
      <w:r w:rsidRPr="00207D00">
        <w:rPr>
          <w:color w:val="000000" w:themeColor="text1"/>
          <w:sz w:val="28"/>
          <w:szCs w:val="28"/>
          <w:lang w:val="en-US"/>
        </w:rPr>
        <w:lastRenderedPageBreak/>
        <w:t xml:space="preserve">0.18%, respectively because </w:t>
      </w:r>
      <w:r w:rsidRPr="00207D00">
        <w:rPr>
          <w:sz w:val="28"/>
          <w:szCs w:val="28"/>
          <w:lang w:val="en-US"/>
        </w:rPr>
        <w:t>enterprises</w:t>
      </w:r>
      <w:r w:rsidRPr="00207D00">
        <w:rPr>
          <w:color w:val="000000" w:themeColor="text1"/>
          <w:sz w:val="28"/>
          <w:szCs w:val="28"/>
          <w:lang w:val="en-US"/>
        </w:rPr>
        <w:t xml:space="preserve"> continued to downward adjust the sale prices, implemented promotion programs, and clearance sale in the end of the year to stimulate consumer demand. </w:t>
      </w:r>
    </w:p>
    <w:p w14:paraId="730FBD7A" w14:textId="77777777" w:rsidR="0038507E" w:rsidRPr="00207D00" w:rsidRDefault="0038507E" w:rsidP="0038507E">
      <w:pPr>
        <w:pStyle w:val="NormalWeb"/>
        <w:spacing w:before="0" w:beforeAutospacing="0" w:after="120" w:afterAutospacing="0" w:line="252" w:lineRule="auto"/>
        <w:ind w:firstLine="720"/>
        <w:jc w:val="both"/>
        <w:rPr>
          <w:color w:val="000000" w:themeColor="text1"/>
          <w:spacing w:val="-2"/>
          <w:sz w:val="28"/>
          <w:szCs w:val="28"/>
          <w:lang w:val="en-US"/>
        </w:rPr>
      </w:pPr>
      <w:r w:rsidRPr="00207D00">
        <w:rPr>
          <w:color w:val="000000" w:themeColor="text1"/>
          <w:spacing w:val="-2"/>
          <w:sz w:val="28"/>
          <w:szCs w:val="28"/>
          <w:lang w:val="en-US"/>
        </w:rPr>
        <w:t>Core inflation</w:t>
      </w:r>
      <w:r w:rsidRPr="00207D00">
        <w:rPr>
          <w:rStyle w:val="FootnoteReference"/>
          <w:color w:val="000000" w:themeColor="text1"/>
          <w:spacing w:val="-2"/>
          <w:sz w:val="28"/>
          <w:szCs w:val="28"/>
          <w:lang w:val="en-US"/>
        </w:rPr>
        <w:footnoteReference w:id="24"/>
      </w:r>
      <w:r w:rsidRPr="00207D00">
        <w:rPr>
          <w:color w:val="000000" w:themeColor="text1"/>
          <w:spacing w:val="-2"/>
          <w:sz w:val="28"/>
          <w:szCs w:val="28"/>
          <w:lang w:val="en-US"/>
        </w:rPr>
        <w:t xml:space="preserve"> in February 2026 experienced a month-on-month increase of 0.82% and a rise of 3.74% compared to that in the same period last year. The average core inflation in the first two months of 2026 witnessed a year-on-year upturn of 3.47%, higher than a soar of 2.94% in the overall CPI. The main reason was the price of food and energy</w:t>
      </w:r>
      <w:r w:rsidRPr="00207D00">
        <w:rPr>
          <w:lang w:val="en-US"/>
        </w:rPr>
        <w:t xml:space="preserve"> </w:t>
      </w:r>
      <w:r w:rsidRPr="00207D00">
        <w:rPr>
          <w:color w:val="000000" w:themeColor="text1"/>
          <w:spacing w:val="-2"/>
          <w:sz w:val="28"/>
          <w:szCs w:val="28"/>
          <w:lang w:val="en-US"/>
        </w:rPr>
        <w:t xml:space="preserve">which contributed to a shrink in the overall CPI but were excluded from the list for calculation of core inflation. </w:t>
      </w:r>
    </w:p>
    <w:p w14:paraId="3DE4DCB1" w14:textId="3DF2A645" w:rsidR="0038507E" w:rsidRPr="00207D00" w:rsidRDefault="0038507E" w:rsidP="0038507E">
      <w:pPr>
        <w:spacing w:after="120" w:line="252" w:lineRule="auto"/>
        <w:ind w:firstLine="720"/>
        <w:jc w:val="both"/>
        <w:rPr>
          <w:rFonts w:eastAsia="Calibri"/>
          <w:color w:val="000000" w:themeColor="text1"/>
        </w:rPr>
      </w:pPr>
      <w:r w:rsidRPr="00207D00">
        <w:rPr>
          <w:rStyle w:val="a21"/>
          <w:rFonts w:ascii="Times New Roman" w:eastAsia="Calibri" w:hAnsi="Times New Roman" w:cs="Times New Roman"/>
          <w:color w:val="000000" w:themeColor="text1"/>
          <w:sz w:val="28"/>
          <w:szCs w:val="28"/>
        </w:rPr>
        <w:t>Domestic gold prices fluctuated in line with world gold prices. As of February 28</w:t>
      </w:r>
      <w:r w:rsidR="008423D9" w:rsidRPr="00A370C9">
        <w:rPr>
          <w:rStyle w:val="a21"/>
          <w:rFonts w:ascii="Times New Roman" w:eastAsia="Calibri" w:hAnsi="Times New Roman" w:cs="Times New Roman"/>
          <w:color w:val="000000" w:themeColor="text1"/>
          <w:sz w:val="28"/>
          <w:szCs w:val="28"/>
          <w:vertAlign w:val="superscript"/>
        </w:rPr>
        <w:t>th</w:t>
      </w:r>
      <w:r w:rsidRPr="00207D00">
        <w:rPr>
          <w:rStyle w:val="a21"/>
          <w:rFonts w:ascii="Times New Roman" w:eastAsia="Calibri" w:hAnsi="Times New Roman" w:cs="Times New Roman"/>
          <w:color w:val="000000" w:themeColor="text1"/>
          <w:sz w:val="28"/>
          <w:szCs w:val="28"/>
        </w:rPr>
        <w:t>, 2026, the average price of world gold was 5,023.09 USD/ ounce, a month-on-month increase of 6.12%, stemming from continuously increasing demand of investor in the context of persistent economic and geopolitical uncertainties, particularly trade tensions and concerns about global economic growth. Besides, lower US bond yields increased gold's attractiveness to investors, leading to a rise in the price of gold during the month. Domestically, increasing demand for gold purchase as a lucky charm on the God of Wealth Day after the Lunar New Year contributed to a month-on-month soar of 11.42% in the gold price in February 2026; a year-on-year surge of 88.42%; and a spite 17.01% compared to that in December 2025. The average gold price index in the first two months of 2026 witnessed a period-on-period spite of 82.67%.</w:t>
      </w:r>
    </w:p>
    <w:p w14:paraId="5A092492" w14:textId="547DAA0A" w:rsidR="009379C9" w:rsidRPr="00207D00" w:rsidRDefault="0038507E" w:rsidP="0038507E">
      <w:pPr>
        <w:pStyle w:val="NormalWeb"/>
        <w:spacing w:before="0" w:beforeAutospacing="0" w:after="120" w:afterAutospacing="0" w:line="252" w:lineRule="auto"/>
        <w:ind w:firstLine="720"/>
        <w:jc w:val="both"/>
        <w:rPr>
          <w:sz w:val="28"/>
          <w:szCs w:val="28"/>
          <w:lang w:val="en-US"/>
        </w:rPr>
      </w:pPr>
      <w:r w:rsidRPr="00207D00">
        <w:rPr>
          <w:sz w:val="28"/>
          <w:szCs w:val="28"/>
          <w:lang w:val="en-US"/>
        </w:rPr>
        <w:t>As of February 28</w:t>
      </w:r>
      <w:r w:rsidR="008423D9" w:rsidRPr="00A370C9">
        <w:rPr>
          <w:sz w:val="28"/>
          <w:szCs w:val="28"/>
          <w:vertAlign w:val="superscript"/>
          <w:lang w:val="en-US"/>
        </w:rPr>
        <w:t>th</w:t>
      </w:r>
      <w:r w:rsidRPr="00207D00">
        <w:rPr>
          <w:sz w:val="28"/>
          <w:szCs w:val="28"/>
          <w:lang w:val="en-US"/>
        </w:rPr>
        <w:t xml:space="preserve">, 2026, the US dollar price index in the international market reached 97.31 points, a month-on-month reduction of 0.81%, mainly due to the relatively weak USD but recovery of some key currencies. Besides, more stable market sentiment and the trend of investment capital reallocation toward other sectors decreased the demand for the short-term USD holding, thus leading to a fall in the US </w:t>
      </w:r>
      <w:r w:rsidRPr="00207D00">
        <w:rPr>
          <w:rStyle w:val="a21"/>
          <w:rFonts w:ascii="Times New Roman" w:hAnsi="Times New Roman" w:cs="Times New Roman"/>
          <w:sz w:val="28"/>
          <w:szCs w:val="28"/>
          <w:lang w:val="en-US"/>
        </w:rPr>
        <w:t>dollar</w:t>
      </w:r>
      <w:r w:rsidRPr="00207D00">
        <w:rPr>
          <w:sz w:val="28"/>
          <w:szCs w:val="28"/>
          <w:lang w:val="en-US"/>
        </w:rPr>
        <w:t xml:space="preserve"> index during the month. The domestic US dollar price index in February 2026 saw a month-on-month decline of 0.89%; a</w:t>
      </w:r>
      <w:r w:rsidR="00AA26FF">
        <w:rPr>
          <w:sz w:val="28"/>
          <w:szCs w:val="28"/>
          <w:lang w:val="en-US"/>
        </w:rPr>
        <w:t>n</w:t>
      </w:r>
      <w:r w:rsidRPr="00207D00">
        <w:rPr>
          <w:sz w:val="28"/>
          <w:szCs w:val="28"/>
          <w:lang w:val="en-US"/>
        </w:rPr>
        <w:t xml:space="preserve"> increase of 2.31%</w:t>
      </w:r>
      <w:r w:rsidR="00AA26FF" w:rsidRPr="00AA26FF">
        <w:rPr>
          <w:sz w:val="28"/>
          <w:szCs w:val="28"/>
          <w:lang w:val="en-US"/>
        </w:rPr>
        <w:t xml:space="preserve"> </w:t>
      </w:r>
      <w:r w:rsidR="00AA26FF" w:rsidRPr="00207D00">
        <w:rPr>
          <w:sz w:val="28"/>
          <w:szCs w:val="28"/>
          <w:lang w:val="en-US"/>
        </w:rPr>
        <w:t>compared to</w:t>
      </w:r>
      <w:r w:rsidR="00AA26FF">
        <w:rPr>
          <w:sz w:val="28"/>
          <w:szCs w:val="28"/>
          <w:lang w:val="en-US"/>
        </w:rPr>
        <w:t xml:space="preserve"> the same period last year</w:t>
      </w:r>
      <w:r w:rsidRPr="00207D00">
        <w:rPr>
          <w:sz w:val="28"/>
          <w:szCs w:val="28"/>
          <w:lang w:val="en-US"/>
        </w:rPr>
        <w:t>; and a drop of 1.18% compared to that in December 2025. The average US dollar price index in the first two months of 2026 experienced a</w:t>
      </w:r>
      <w:r w:rsidR="00AA26FF">
        <w:rPr>
          <w:sz w:val="28"/>
          <w:szCs w:val="28"/>
          <w:lang w:val="en-US"/>
        </w:rPr>
        <w:t xml:space="preserve">n </w:t>
      </w:r>
      <w:r w:rsidRPr="00207D00">
        <w:rPr>
          <w:sz w:val="28"/>
          <w:szCs w:val="28"/>
          <w:lang w:val="en-US"/>
        </w:rPr>
        <w:t>upturn of 2.74%</w:t>
      </w:r>
      <w:r w:rsidR="00AA26FF">
        <w:rPr>
          <w:sz w:val="28"/>
          <w:szCs w:val="28"/>
          <w:lang w:val="en-US"/>
        </w:rPr>
        <w:t xml:space="preserve"> </w:t>
      </w:r>
      <w:r w:rsidR="00AA26FF" w:rsidRPr="00207D00">
        <w:rPr>
          <w:sz w:val="28"/>
          <w:szCs w:val="28"/>
          <w:lang w:val="en-US"/>
        </w:rPr>
        <w:t>compared to</w:t>
      </w:r>
      <w:r w:rsidR="00AA26FF">
        <w:rPr>
          <w:sz w:val="28"/>
          <w:szCs w:val="28"/>
          <w:lang w:val="en-US"/>
        </w:rPr>
        <w:t xml:space="preserve"> the same period last year</w:t>
      </w:r>
      <w:r w:rsidRPr="00207D00">
        <w:rPr>
          <w:sz w:val="28"/>
          <w:szCs w:val="28"/>
          <w:lang w:val="en-US"/>
        </w:rPr>
        <w:t>.</w:t>
      </w:r>
    </w:p>
    <w:p w14:paraId="5707FB2F" w14:textId="77777777" w:rsidR="00AA5F0A" w:rsidRPr="00207D00" w:rsidRDefault="00AA5F0A" w:rsidP="00AA5F0A">
      <w:pPr>
        <w:spacing w:after="120" w:line="264" w:lineRule="auto"/>
        <w:ind w:firstLine="720"/>
        <w:jc w:val="both"/>
        <w:rPr>
          <w:b/>
          <w:bCs/>
          <w:i/>
          <w:iCs/>
        </w:rPr>
      </w:pPr>
      <w:r w:rsidRPr="00207D00">
        <w:rPr>
          <w:b/>
          <w:i/>
        </w:rPr>
        <w:t>d) Passenger and freight transport</w:t>
      </w:r>
    </w:p>
    <w:p w14:paraId="683C1F26" w14:textId="77777777" w:rsidR="00AA5F0A" w:rsidRPr="00207D00" w:rsidRDefault="00AA5F0A" w:rsidP="00AA5F0A">
      <w:pPr>
        <w:spacing w:after="120" w:line="264" w:lineRule="auto"/>
        <w:ind w:firstLine="720"/>
        <w:jc w:val="both"/>
        <w:rPr>
          <w:rFonts w:ascii="Times New Roman Italic" w:eastAsia="Calibri" w:hAnsi="Times New Roman Italic"/>
          <w:bCs/>
          <w:i/>
          <w:spacing w:val="-4"/>
        </w:rPr>
      </w:pPr>
      <w:r w:rsidRPr="00207D00">
        <w:rPr>
          <w:rFonts w:ascii="Times New Roman Italic" w:hAnsi="Times New Roman Italic"/>
          <w:i/>
        </w:rPr>
        <w:t xml:space="preserve">As February coincided with the 2026 Lunar New Year holiday, there was a surge in demand for both passenger and freight transport. In February 2026, passengers carried and passenger carried (passenger-kilometers) experienced a year-on-year rise of 23.5% and 20.7%, respectively; freight transported and </w:t>
      </w:r>
      <w:r w:rsidRPr="00207D00">
        <w:rPr>
          <w:rFonts w:ascii="Times New Roman Italic" w:hAnsi="Times New Roman Italic"/>
          <w:i/>
        </w:rPr>
        <w:lastRenderedPageBreak/>
        <w:t xml:space="preserve">freight transported (ton-kilometers) recorded a year-on-year increase of 14.4% and 12.0%, respectively. </w:t>
      </w:r>
    </w:p>
    <w:p w14:paraId="6583F647" w14:textId="3606E05D" w:rsidR="00AA5F0A" w:rsidRPr="00207D00" w:rsidRDefault="00AA5F0A" w:rsidP="00AA5F0A">
      <w:pPr>
        <w:tabs>
          <w:tab w:val="left" w:pos="567"/>
        </w:tabs>
        <w:spacing w:after="120" w:line="264" w:lineRule="auto"/>
        <w:ind w:firstLine="720"/>
        <w:jc w:val="both"/>
        <w:rPr>
          <w:rFonts w:eastAsia="Calibri"/>
          <w:i/>
        </w:rPr>
      </w:pPr>
      <w:r w:rsidRPr="00207D00">
        <w:rPr>
          <w:i/>
        </w:rPr>
        <w:t xml:space="preserve">Overall, in </w:t>
      </w:r>
      <w:r w:rsidR="00C64601">
        <w:rPr>
          <w:i/>
        </w:rPr>
        <w:t xml:space="preserve">the </w:t>
      </w:r>
      <w:r w:rsidRPr="00207D00">
        <w:rPr>
          <w:i/>
        </w:rPr>
        <w:t>first two months of 2026, passengers carried and passenger carried (passenger-kilometers) experienced a year-on-year rise of 23.6% and 17.0%, respectively; freight transported and freight transported (ton-kilometers) recorded a year-on-year increase of 14.7% and 6.4%, respectively.</w:t>
      </w:r>
    </w:p>
    <w:p w14:paraId="128BFD34" w14:textId="77777777" w:rsidR="00AA5F0A" w:rsidRPr="00207D00" w:rsidRDefault="00AA5F0A" w:rsidP="00AA5F0A">
      <w:pPr>
        <w:spacing w:after="120" w:line="264" w:lineRule="auto"/>
        <w:ind w:firstLine="720"/>
        <w:jc w:val="both"/>
      </w:pPr>
      <w:r w:rsidRPr="00207D00">
        <w:rPr>
          <w:i/>
          <w:iCs/>
        </w:rPr>
        <w:t>Passenger carried</w:t>
      </w:r>
      <w:r w:rsidRPr="00207D00">
        <w:t xml:space="preserve"> in February 2026 was estimated at 596.3 million persons, a month-on-month increase of 6.7% and passenger carried (passenger-kilometers) reached 31.5 billion persons.km, a rise of 7.5%. Overall, in first two months of 2026, passengers carried was 1.155,2 million passengers, a year-on-year rise of 23.6% and passenger carried (passenger-kilometers) reached 60.8 billion passengers-kilometers, a year-on-year growth of 17.0%.  Of which, domestic passengers carried were estimated at 1,151.8 million passengers, a year-on-year increase of 23.6% and 49.7 billion passengers-kilometers, a year-on-year upturn of 19.9%; outbound passengers carried were estimated at 3.4 million passengers, a year-on-year expansion of 5.9% and 11.1 billion passengers-kilometers, a year-on-year rise of 5.6%. </w:t>
      </w:r>
    </w:p>
    <w:p w14:paraId="1F7D6D96" w14:textId="40DA122C" w:rsidR="00AA5F0A" w:rsidRPr="00207D00" w:rsidRDefault="00AA5F0A" w:rsidP="00AA5F0A">
      <w:pPr>
        <w:tabs>
          <w:tab w:val="left" w:pos="567"/>
        </w:tabs>
        <w:spacing w:before="120" w:after="240"/>
        <w:jc w:val="center"/>
        <w:rPr>
          <w:rFonts w:ascii="Arial" w:hAnsi="Arial" w:cs="Arial"/>
          <w:b/>
          <w:bCs/>
          <w:sz w:val="24"/>
          <w:szCs w:val="24"/>
        </w:rPr>
      </w:pPr>
      <w:r w:rsidRPr="00207D00">
        <w:rPr>
          <w:rFonts w:ascii="Arial" w:hAnsi="Arial"/>
          <w:b/>
          <w:sz w:val="24"/>
        </w:rPr>
        <w:t xml:space="preserve">Table 6. Passengers carried in the first two months of 2026 </w:t>
      </w:r>
      <w:r w:rsidR="00C64601">
        <w:rPr>
          <w:rFonts w:ascii="Arial" w:hAnsi="Arial"/>
          <w:b/>
          <w:sz w:val="24"/>
        </w:rPr>
        <w:br/>
      </w:r>
      <w:r w:rsidRPr="00207D00">
        <w:rPr>
          <w:rFonts w:ascii="Arial" w:hAnsi="Arial"/>
          <w:b/>
          <w:sz w:val="24"/>
        </w:rPr>
        <w:t>by type of transport</w:t>
      </w:r>
    </w:p>
    <w:tbl>
      <w:tblPr>
        <w:tblW w:w="9092" w:type="dxa"/>
        <w:jc w:val="center"/>
        <w:tblLook w:val="04A0" w:firstRow="1" w:lastRow="0" w:firstColumn="1" w:lastColumn="0" w:noHBand="0" w:noVBand="1"/>
      </w:tblPr>
      <w:tblGrid>
        <w:gridCol w:w="2191"/>
        <w:gridCol w:w="1794"/>
        <w:gridCol w:w="1859"/>
        <w:gridCol w:w="1758"/>
        <w:gridCol w:w="1490"/>
      </w:tblGrid>
      <w:tr w:rsidR="00AA5F0A" w:rsidRPr="00207D00" w14:paraId="5B325811" w14:textId="77777777" w:rsidTr="00D563AA">
        <w:trPr>
          <w:trHeight w:val="436"/>
          <w:tblHeader/>
          <w:jc w:val="center"/>
        </w:trPr>
        <w:tc>
          <w:tcPr>
            <w:tcW w:w="2191" w:type="dxa"/>
            <w:tcBorders>
              <w:top w:val="single" w:sz="4" w:space="0" w:color="auto"/>
              <w:left w:val="nil"/>
              <w:bottom w:val="nil"/>
              <w:right w:val="nil"/>
            </w:tcBorders>
            <w:vAlign w:val="center"/>
            <w:hideMark/>
          </w:tcPr>
          <w:p w14:paraId="29E1E817" w14:textId="77777777" w:rsidR="00AA5F0A" w:rsidRPr="00207D00" w:rsidRDefault="00AA5F0A" w:rsidP="00D563AA">
            <w:pPr>
              <w:rPr>
                <w:rFonts w:ascii="Arial" w:hAnsi="Arial" w:cs="Arial"/>
                <w:b/>
                <w:bCs/>
                <w:sz w:val="24"/>
                <w:szCs w:val="24"/>
              </w:rPr>
            </w:pPr>
          </w:p>
        </w:tc>
        <w:tc>
          <w:tcPr>
            <w:tcW w:w="3653" w:type="dxa"/>
            <w:gridSpan w:val="2"/>
            <w:tcBorders>
              <w:top w:val="single" w:sz="4" w:space="0" w:color="auto"/>
              <w:left w:val="nil"/>
              <w:bottom w:val="single" w:sz="4" w:space="0" w:color="auto"/>
              <w:right w:val="nil"/>
            </w:tcBorders>
            <w:vAlign w:val="center"/>
            <w:hideMark/>
          </w:tcPr>
          <w:p w14:paraId="5A91709A" w14:textId="77777777" w:rsidR="00AA5F0A" w:rsidRPr="00207D00" w:rsidRDefault="00AA5F0A" w:rsidP="00D563AA">
            <w:pPr>
              <w:jc w:val="center"/>
              <w:rPr>
                <w:rFonts w:ascii="Arial" w:hAnsi="Arial" w:cs="Arial"/>
                <w:sz w:val="20"/>
                <w:szCs w:val="20"/>
              </w:rPr>
            </w:pPr>
            <w:r w:rsidRPr="00207D00">
              <w:rPr>
                <w:rFonts w:ascii="Arial" w:hAnsi="Arial"/>
                <w:sz w:val="20"/>
              </w:rPr>
              <w:t>Number of passengers</w:t>
            </w:r>
          </w:p>
        </w:tc>
        <w:tc>
          <w:tcPr>
            <w:tcW w:w="3248" w:type="dxa"/>
            <w:gridSpan w:val="2"/>
            <w:tcBorders>
              <w:top w:val="single" w:sz="4" w:space="0" w:color="auto"/>
              <w:left w:val="nil"/>
              <w:bottom w:val="single" w:sz="4" w:space="0" w:color="auto"/>
              <w:right w:val="nil"/>
            </w:tcBorders>
            <w:vAlign w:val="center"/>
            <w:hideMark/>
          </w:tcPr>
          <w:p w14:paraId="1899B145" w14:textId="77777777" w:rsidR="00AA5F0A" w:rsidRPr="00207D00" w:rsidRDefault="00AA5F0A" w:rsidP="00D563AA">
            <w:pPr>
              <w:jc w:val="center"/>
              <w:rPr>
                <w:rFonts w:ascii="Arial" w:hAnsi="Arial" w:cs="Arial"/>
                <w:sz w:val="20"/>
                <w:szCs w:val="20"/>
              </w:rPr>
            </w:pPr>
            <w:r w:rsidRPr="00207D00">
              <w:rPr>
                <w:rFonts w:ascii="Arial" w:hAnsi="Arial"/>
                <w:sz w:val="20"/>
              </w:rPr>
              <w:t>Y-o-Y growth rate (%)</w:t>
            </w:r>
          </w:p>
        </w:tc>
      </w:tr>
      <w:tr w:rsidR="00AA5F0A" w:rsidRPr="00207D00" w14:paraId="17A6C5E7" w14:textId="77777777" w:rsidTr="00D563AA">
        <w:trPr>
          <w:trHeight w:val="426"/>
          <w:tblHeader/>
          <w:jc w:val="center"/>
        </w:trPr>
        <w:tc>
          <w:tcPr>
            <w:tcW w:w="2191" w:type="dxa"/>
            <w:vAlign w:val="center"/>
            <w:hideMark/>
          </w:tcPr>
          <w:p w14:paraId="35696043" w14:textId="77777777" w:rsidR="00AA5F0A" w:rsidRPr="00207D00" w:rsidRDefault="00AA5F0A" w:rsidP="00D563AA">
            <w:pPr>
              <w:rPr>
                <w:rFonts w:ascii="Arial" w:hAnsi="Arial" w:cs="Arial"/>
                <w:sz w:val="20"/>
                <w:szCs w:val="20"/>
                <w:lang w:eastAsia="vi-VN"/>
              </w:rPr>
            </w:pPr>
          </w:p>
        </w:tc>
        <w:tc>
          <w:tcPr>
            <w:tcW w:w="1794" w:type="dxa"/>
            <w:tcBorders>
              <w:top w:val="single" w:sz="4" w:space="0" w:color="auto"/>
              <w:left w:val="nil"/>
              <w:bottom w:val="single" w:sz="4" w:space="0" w:color="auto"/>
              <w:right w:val="nil"/>
            </w:tcBorders>
            <w:vAlign w:val="center"/>
            <w:hideMark/>
          </w:tcPr>
          <w:p w14:paraId="269ECD3F" w14:textId="77777777" w:rsidR="00AA5F0A" w:rsidRPr="00207D00" w:rsidRDefault="00AA5F0A" w:rsidP="00D563AA">
            <w:pPr>
              <w:jc w:val="center"/>
              <w:rPr>
                <w:rFonts w:ascii="Arial" w:hAnsi="Arial" w:cs="Arial"/>
                <w:sz w:val="20"/>
                <w:szCs w:val="20"/>
              </w:rPr>
            </w:pPr>
            <w:r w:rsidRPr="00207D00">
              <w:rPr>
                <w:rFonts w:ascii="Arial" w:hAnsi="Arial"/>
                <w:sz w:val="20"/>
              </w:rPr>
              <w:t>Carried</w:t>
            </w:r>
            <w:r w:rsidRPr="00207D00">
              <w:rPr>
                <w:rFonts w:ascii="Arial" w:hAnsi="Arial"/>
                <w:sz w:val="20"/>
              </w:rPr>
              <w:br/>
              <w:t>(Mill. persons)</w:t>
            </w:r>
          </w:p>
        </w:tc>
        <w:tc>
          <w:tcPr>
            <w:tcW w:w="1859" w:type="dxa"/>
            <w:tcBorders>
              <w:top w:val="single" w:sz="4" w:space="0" w:color="auto"/>
              <w:left w:val="nil"/>
              <w:bottom w:val="single" w:sz="4" w:space="0" w:color="auto"/>
              <w:right w:val="nil"/>
            </w:tcBorders>
            <w:vAlign w:val="center"/>
            <w:hideMark/>
          </w:tcPr>
          <w:p w14:paraId="3534BABC" w14:textId="77777777" w:rsidR="00AA5F0A" w:rsidRPr="00207D00" w:rsidRDefault="00AA5F0A" w:rsidP="00D563AA">
            <w:pPr>
              <w:jc w:val="center"/>
              <w:rPr>
                <w:rFonts w:ascii="Arial" w:hAnsi="Arial" w:cs="Arial"/>
                <w:sz w:val="20"/>
                <w:szCs w:val="20"/>
              </w:rPr>
            </w:pPr>
            <w:r w:rsidRPr="00207D00">
              <w:rPr>
                <w:rFonts w:ascii="Arial" w:hAnsi="Arial"/>
                <w:sz w:val="20"/>
              </w:rPr>
              <w:t>Carried (passenger-kilometers)</w:t>
            </w:r>
            <w:r w:rsidRPr="00207D00">
              <w:rPr>
                <w:rFonts w:ascii="Arial" w:hAnsi="Arial"/>
                <w:sz w:val="20"/>
              </w:rPr>
              <w:br/>
              <w:t>(Bill. persons-km)</w:t>
            </w:r>
          </w:p>
        </w:tc>
        <w:tc>
          <w:tcPr>
            <w:tcW w:w="1758" w:type="dxa"/>
            <w:tcBorders>
              <w:top w:val="single" w:sz="4" w:space="0" w:color="auto"/>
              <w:left w:val="nil"/>
              <w:bottom w:val="single" w:sz="4" w:space="0" w:color="auto"/>
              <w:right w:val="nil"/>
            </w:tcBorders>
            <w:vAlign w:val="center"/>
            <w:hideMark/>
          </w:tcPr>
          <w:p w14:paraId="42EC97C3" w14:textId="77777777" w:rsidR="00AA5F0A" w:rsidRPr="00207D00" w:rsidRDefault="00AA5F0A" w:rsidP="00D563AA">
            <w:pPr>
              <w:jc w:val="center"/>
              <w:rPr>
                <w:rFonts w:ascii="Arial" w:hAnsi="Arial" w:cs="Arial"/>
                <w:sz w:val="20"/>
                <w:szCs w:val="20"/>
              </w:rPr>
            </w:pPr>
            <w:r w:rsidRPr="00207D00">
              <w:rPr>
                <w:rFonts w:ascii="Arial" w:hAnsi="Arial"/>
                <w:sz w:val="20"/>
              </w:rPr>
              <w:t>Carried</w:t>
            </w:r>
          </w:p>
        </w:tc>
        <w:tc>
          <w:tcPr>
            <w:tcW w:w="1490" w:type="dxa"/>
            <w:tcBorders>
              <w:top w:val="single" w:sz="4" w:space="0" w:color="auto"/>
              <w:left w:val="nil"/>
              <w:bottom w:val="single" w:sz="4" w:space="0" w:color="auto"/>
              <w:right w:val="nil"/>
            </w:tcBorders>
            <w:vAlign w:val="center"/>
            <w:hideMark/>
          </w:tcPr>
          <w:p w14:paraId="0986E909" w14:textId="77777777" w:rsidR="00AA5F0A" w:rsidRPr="00207D00" w:rsidRDefault="00AA5F0A" w:rsidP="00D563AA">
            <w:pPr>
              <w:jc w:val="center"/>
              <w:rPr>
                <w:rFonts w:ascii="Arial" w:hAnsi="Arial" w:cs="Arial"/>
                <w:sz w:val="20"/>
                <w:szCs w:val="20"/>
              </w:rPr>
            </w:pPr>
            <w:r w:rsidRPr="00207D00">
              <w:rPr>
                <w:rFonts w:ascii="Arial" w:hAnsi="Arial"/>
                <w:sz w:val="20"/>
              </w:rPr>
              <w:t>Carried (passenger-kilometers)</w:t>
            </w:r>
          </w:p>
        </w:tc>
      </w:tr>
      <w:tr w:rsidR="00AA5F0A" w:rsidRPr="00207D00" w14:paraId="532CDDAB" w14:textId="77777777" w:rsidTr="00D563AA">
        <w:trPr>
          <w:trHeight w:val="385"/>
          <w:jc w:val="center"/>
        </w:trPr>
        <w:tc>
          <w:tcPr>
            <w:tcW w:w="2191" w:type="dxa"/>
            <w:noWrap/>
            <w:vAlign w:val="center"/>
            <w:hideMark/>
          </w:tcPr>
          <w:p w14:paraId="7402FB44" w14:textId="77777777" w:rsidR="00AA5F0A" w:rsidRPr="00207D00" w:rsidRDefault="00AA5F0A" w:rsidP="00D563AA">
            <w:pPr>
              <w:rPr>
                <w:rFonts w:ascii="Arial" w:hAnsi="Arial" w:cs="Arial"/>
                <w:b/>
                <w:bCs/>
                <w:sz w:val="20"/>
                <w:szCs w:val="20"/>
              </w:rPr>
            </w:pPr>
            <w:r w:rsidRPr="00207D00">
              <w:rPr>
                <w:rFonts w:ascii="Arial" w:hAnsi="Arial"/>
                <w:b/>
                <w:sz w:val="20"/>
              </w:rPr>
              <w:t>Total</w:t>
            </w:r>
          </w:p>
        </w:tc>
        <w:tc>
          <w:tcPr>
            <w:tcW w:w="1794" w:type="dxa"/>
            <w:tcBorders>
              <w:top w:val="single" w:sz="4" w:space="0" w:color="auto"/>
              <w:left w:val="nil"/>
              <w:bottom w:val="nil"/>
              <w:right w:val="nil"/>
            </w:tcBorders>
            <w:noWrap/>
            <w:vAlign w:val="center"/>
            <w:hideMark/>
          </w:tcPr>
          <w:p w14:paraId="316E636E" w14:textId="77777777" w:rsidR="00AA5F0A" w:rsidRPr="00207D00" w:rsidRDefault="00AA5F0A" w:rsidP="00D563AA">
            <w:pPr>
              <w:ind w:right="394"/>
              <w:jc w:val="right"/>
              <w:rPr>
                <w:rFonts w:ascii="Arial" w:hAnsi="Arial" w:cs="Arial"/>
                <w:b/>
                <w:bCs/>
                <w:sz w:val="20"/>
                <w:szCs w:val="20"/>
              </w:rPr>
            </w:pPr>
            <w:r w:rsidRPr="00207D00">
              <w:rPr>
                <w:rFonts w:ascii="Arial" w:hAnsi="Arial"/>
                <w:b/>
                <w:color w:val="000000"/>
                <w:sz w:val="20"/>
              </w:rPr>
              <w:t>1,155.2</w:t>
            </w:r>
          </w:p>
        </w:tc>
        <w:tc>
          <w:tcPr>
            <w:tcW w:w="1859" w:type="dxa"/>
            <w:tcBorders>
              <w:top w:val="single" w:sz="4" w:space="0" w:color="auto"/>
              <w:left w:val="nil"/>
              <w:bottom w:val="nil"/>
              <w:right w:val="nil"/>
            </w:tcBorders>
            <w:noWrap/>
            <w:vAlign w:val="center"/>
            <w:hideMark/>
          </w:tcPr>
          <w:p w14:paraId="72E93306" w14:textId="77777777" w:rsidR="00AA5F0A" w:rsidRPr="00207D00" w:rsidRDefault="00AA5F0A" w:rsidP="00D563AA">
            <w:pPr>
              <w:ind w:right="579"/>
              <w:jc w:val="right"/>
              <w:rPr>
                <w:rFonts w:ascii="Arial" w:hAnsi="Arial" w:cs="Arial"/>
                <w:b/>
                <w:bCs/>
                <w:sz w:val="20"/>
                <w:szCs w:val="20"/>
              </w:rPr>
            </w:pPr>
            <w:r w:rsidRPr="00207D00">
              <w:rPr>
                <w:rFonts w:ascii="Arial" w:hAnsi="Arial"/>
                <w:b/>
                <w:color w:val="000000"/>
                <w:sz w:val="20"/>
              </w:rPr>
              <w:t>60.8</w:t>
            </w:r>
          </w:p>
        </w:tc>
        <w:tc>
          <w:tcPr>
            <w:tcW w:w="1758" w:type="dxa"/>
            <w:tcBorders>
              <w:top w:val="single" w:sz="4" w:space="0" w:color="auto"/>
              <w:left w:val="nil"/>
              <w:bottom w:val="nil"/>
              <w:right w:val="nil"/>
            </w:tcBorders>
            <w:noWrap/>
            <w:vAlign w:val="center"/>
            <w:hideMark/>
          </w:tcPr>
          <w:p w14:paraId="775752A1" w14:textId="77777777" w:rsidR="00AA5F0A" w:rsidRPr="00207D00" w:rsidRDefault="00AA5F0A" w:rsidP="00D563AA">
            <w:pPr>
              <w:ind w:right="520"/>
              <w:jc w:val="right"/>
              <w:rPr>
                <w:rFonts w:ascii="Arial" w:hAnsi="Arial" w:cs="Arial"/>
                <w:b/>
                <w:bCs/>
                <w:sz w:val="20"/>
                <w:szCs w:val="20"/>
              </w:rPr>
            </w:pPr>
            <w:r w:rsidRPr="00207D00">
              <w:rPr>
                <w:rFonts w:ascii="Arial" w:hAnsi="Arial"/>
                <w:b/>
                <w:color w:val="000000"/>
                <w:sz w:val="20"/>
              </w:rPr>
              <w:t>23.6</w:t>
            </w:r>
          </w:p>
        </w:tc>
        <w:tc>
          <w:tcPr>
            <w:tcW w:w="1490" w:type="dxa"/>
            <w:tcBorders>
              <w:top w:val="single" w:sz="4" w:space="0" w:color="auto"/>
              <w:left w:val="nil"/>
              <w:bottom w:val="nil"/>
              <w:right w:val="nil"/>
            </w:tcBorders>
            <w:noWrap/>
            <w:vAlign w:val="center"/>
            <w:hideMark/>
          </w:tcPr>
          <w:p w14:paraId="6C09E897" w14:textId="77777777" w:rsidR="00AA5F0A" w:rsidRPr="00207D00" w:rsidRDefault="00AA5F0A" w:rsidP="00D563AA">
            <w:pPr>
              <w:ind w:right="322"/>
              <w:jc w:val="right"/>
              <w:rPr>
                <w:rFonts w:ascii="Arial" w:hAnsi="Arial" w:cs="Arial"/>
                <w:b/>
                <w:bCs/>
                <w:sz w:val="20"/>
                <w:szCs w:val="20"/>
              </w:rPr>
            </w:pPr>
            <w:r w:rsidRPr="00207D00">
              <w:rPr>
                <w:rFonts w:ascii="Arial" w:hAnsi="Arial"/>
                <w:b/>
                <w:color w:val="000000"/>
                <w:sz w:val="20"/>
              </w:rPr>
              <w:t>17.0</w:t>
            </w:r>
          </w:p>
        </w:tc>
      </w:tr>
      <w:tr w:rsidR="00AA5F0A" w:rsidRPr="00207D00" w14:paraId="7A50306F" w14:textId="77777777" w:rsidTr="00D563AA">
        <w:trPr>
          <w:trHeight w:val="323"/>
          <w:jc w:val="center"/>
        </w:trPr>
        <w:tc>
          <w:tcPr>
            <w:tcW w:w="2191" w:type="dxa"/>
            <w:noWrap/>
            <w:vAlign w:val="center"/>
            <w:hideMark/>
          </w:tcPr>
          <w:p w14:paraId="7B40C9DA" w14:textId="77777777"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Railway</w:t>
            </w:r>
          </w:p>
        </w:tc>
        <w:tc>
          <w:tcPr>
            <w:tcW w:w="1794" w:type="dxa"/>
            <w:noWrap/>
            <w:vAlign w:val="center"/>
            <w:hideMark/>
          </w:tcPr>
          <w:p w14:paraId="7F8C9D23" w14:textId="77777777" w:rsidR="00AA5F0A" w:rsidRPr="00207D00" w:rsidRDefault="00AA5F0A" w:rsidP="00D563AA">
            <w:pPr>
              <w:ind w:right="394"/>
              <w:jc w:val="right"/>
              <w:rPr>
                <w:rFonts w:ascii="Arial" w:hAnsi="Arial" w:cs="Arial"/>
                <w:sz w:val="20"/>
                <w:szCs w:val="20"/>
              </w:rPr>
            </w:pPr>
            <w:r w:rsidRPr="00207D00">
              <w:rPr>
                <w:rFonts w:ascii="Arial" w:hAnsi="Arial"/>
                <w:color w:val="000000"/>
                <w:sz w:val="20"/>
              </w:rPr>
              <w:t>8.1</w:t>
            </w:r>
          </w:p>
        </w:tc>
        <w:tc>
          <w:tcPr>
            <w:tcW w:w="1859" w:type="dxa"/>
            <w:noWrap/>
            <w:vAlign w:val="center"/>
            <w:hideMark/>
          </w:tcPr>
          <w:p w14:paraId="50754C1D" w14:textId="77777777" w:rsidR="00AA5F0A" w:rsidRPr="00207D00" w:rsidRDefault="00AA5F0A" w:rsidP="00D563AA">
            <w:pPr>
              <w:ind w:right="579"/>
              <w:jc w:val="right"/>
              <w:rPr>
                <w:rFonts w:ascii="Arial" w:hAnsi="Arial" w:cs="Arial"/>
                <w:sz w:val="20"/>
                <w:szCs w:val="20"/>
              </w:rPr>
            </w:pPr>
            <w:r w:rsidRPr="00207D00">
              <w:rPr>
                <w:rFonts w:ascii="Arial" w:hAnsi="Arial"/>
                <w:color w:val="000000"/>
                <w:sz w:val="20"/>
              </w:rPr>
              <w:t>0.6</w:t>
            </w:r>
          </w:p>
        </w:tc>
        <w:tc>
          <w:tcPr>
            <w:tcW w:w="1758" w:type="dxa"/>
            <w:noWrap/>
            <w:vAlign w:val="center"/>
            <w:hideMark/>
          </w:tcPr>
          <w:p w14:paraId="3EF5CCE0" w14:textId="77777777" w:rsidR="00AA5F0A" w:rsidRPr="00207D00" w:rsidRDefault="00AA5F0A" w:rsidP="00D563AA">
            <w:pPr>
              <w:ind w:right="520"/>
              <w:jc w:val="right"/>
              <w:rPr>
                <w:rFonts w:ascii="Arial" w:hAnsi="Arial" w:cs="Arial"/>
                <w:sz w:val="20"/>
                <w:szCs w:val="20"/>
              </w:rPr>
            </w:pPr>
            <w:r w:rsidRPr="00207D00">
              <w:rPr>
                <w:rFonts w:ascii="Arial" w:hAnsi="Arial"/>
                <w:color w:val="000000"/>
                <w:sz w:val="20"/>
              </w:rPr>
              <w:t>1.2</w:t>
            </w:r>
          </w:p>
        </w:tc>
        <w:tc>
          <w:tcPr>
            <w:tcW w:w="1490" w:type="dxa"/>
            <w:noWrap/>
            <w:vAlign w:val="center"/>
            <w:hideMark/>
          </w:tcPr>
          <w:p w14:paraId="76C18D21" w14:textId="77777777" w:rsidR="00AA5F0A" w:rsidRPr="00207D00" w:rsidRDefault="00AA5F0A" w:rsidP="00D563AA">
            <w:pPr>
              <w:ind w:right="322"/>
              <w:jc w:val="right"/>
              <w:rPr>
                <w:rFonts w:ascii="Arial" w:hAnsi="Arial" w:cs="Arial"/>
                <w:sz w:val="20"/>
                <w:szCs w:val="20"/>
              </w:rPr>
            </w:pPr>
            <w:r w:rsidRPr="00207D00">
              <w:rPr>
                <w:rFonts w:ascii="Arial" w:hAnsi="Arial"/>
                <w:color w:val="000000"/>
                <w:sz w:val="20"/>
              </w:rPr>
              <w:t>2.7</w:t>
            </w:r>
          </w:p>
        </w:tc>
      </w:tr>
      <w:tr w:rsidR="00AA5F0A" w:rsidRPr="00207D00" w14:paraId="37340552" w14:textId="77777777" w:rsidTr="00D563AA">
        <w:trPr>
          <w:trHeight w:val="323"/>
          <w:jc w:val="center"/>
        </w:trPr>
        <w:tc>
          <w:tcPr>
            <w:tcW w:w="2191" w:type="dxa"/>
            <w:noWrap/>
            <w:vAlign w:val="center"/>
            <w:hideMark/>
          </w:tcPr>
          <w:p w14:paraId="715EFF7E" w14:textId="77777777"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Seaway</w:t>
            </w:r>
          </w:p>
        </w:tc>
        <w:tc>
          <w:tcPr>
            <w:tcW w:w="1794" w:type="dxa"/>
            <w:noWrap/>
            <w:vAlign w:val="center"/>
            <w:hideMark/>
          </w:tcPr>
          <w:p w14:paraId="647C77A3" w14:textId="77777777" w:rsidR="00AA5F0A" w:rsidRPr="00207D00" w:rsidRDefault="00AA5F0A" w:rsidP="00D563AA">
            <w:pPr>
              <w:ind w:right="394"/>
              <w:jc w:val="right"/>
              <w:rPr>
                <w:rFonts w:ascii="Arial" w:hAnsi="Arial" w:cs="Arial"/>
                <w:sz w:val="20"/>
                <w:szCs w:val="20"/>
              </w:rPr>
            </w:pPr>
            <w:r w:rsidRPr="00207D00">
              <w:rPr>
                <w:rFonts w:ascii="Arial" w:hAnsi="Arial"/>
                <w:color w:val="000000"/>
                <w:sz w:val="20"/>
              </w:rPr>
              <w:t>3.1</w:t>
            </w:r>
          </w:p>
        </w:tc>
        <w:tc>
          <w:tcPr>
            <w:tcW w:w="1859" w:type="dxa"/>
            <w:noWrap/>
            <w:vAlign w:val="center"/>
            <w:hideMark/>
          </w:tcPr>
          <w:p w14:paraId="16069397" w14:textId="77777777" w:rsidR="00AA5F0A" w:rsidRPr="00207D00" w:rsidRDefault="00AA5F0A" w:rsidP="00D563AA">
            <w:pPr>
              <w:ind w:right="579"/>
              <w:jc w:val="right"/>
              <w:rPr>
                <w:rFonts w:ascii="Arial" w:hAnsi="Arial" w:cs="Arial"/>
                <w:sz w:val="20"/>
                <w:szCs w:val="20"/>
              </w:rPr>
            </w:pPr>
            <w:r w:rsidRPr="00207D00">
              <w:rPr>
                <w:rFonts w:ascii="Arial" w:hAnsi="Arial"/>
                <w:color w:val="000000"/>
                <w:sz w:val="20"/>
              </w:rPr>
              <w:t>0.2</w:t>
            </w:r>
          </w:p>
        </w:tc>
        <w:tc>
          <w:tcPr>
            <w:tcW w:w="1758" w:type="dxa"/>
            <w:noWrap/>
            <w:vAlign w:val="center"/>
            <w:hideMark/>
          </w:tcPr>
          <w:p w14:paraId="1558C680" w14:textId="77777777" w:rsidR="00AA5F0A" w:rsidRPr="00207D00" w:rsidRDefault="00AA5F0A" w:rsidP="00D563AA">
            <w:pPr>
              <w:ind w:right="520"/>
              <w:jc w:val="right"/>
              <w:rPr>
                <w:rFonts w:ascii="Arial" w:hAnsi="Arial" w:cs="Arial"/>
                <w:sz w:val="20"/>
                <w:szCs w:val="20"/>
              </w:rPr>
            </w:pPr>
            <w:r w:rsidRPr="00207D00">
              <w:rPr>
                <w:rFonts w:ascii="Arial" w:hAnsi="Arial"/>
                <w:color w:val="000000"/>
                <w:sz w:val="20"/>
              </w:rPr>
              <w:t>2.9</w:t>
            </w:r>
          </w:p>
        </w:tc>
        <w:tc>
          <w:tcPr>
            <w:tcW w:w="1490" w:type="dxa"/>
            <w:noWrap/>
            <w:vAlign w:val="center"/>
            <w:hideMark/>
          </w:tcPr>
          <w:p w14:paraId="09C3CA49" w14:textId="77777777" w:rsidR="00AA5F0A" w:rsidRPr="00207D00" w:rsidRDefault="00AA5F0A" w:rsidP="00D563AA">
            <w:pPr>
              <w:ind w:right="322"/>
              <w:jc w:val="right"/>
              <w:rPr>
                <w:rFonts w:ascii="Arial" w:hAnsi="Arial" w:cs="Arial"/>
                <w:sz w:val="20"/>
                <w:szCs w:val="20"/>
              </w:rPr>
            </w:pPr>
            <w:r w:rsidRPr="00207D00">
              <w:rPr>
                <w:rFonts w:ascii="Arial" w:hAnsi="Arial"/>
                <w:color w:val="000000"/>
                <w:sz w:val="20"/>
              </w:rPr>
              <w:t>14.9</w:t>
            </w:r>
          </w:p>
        </w:tc>
      </w:tr>
      <w:tr w:rsidR="00AA5F0A" w:rsidRPr="00207D00" w14:paraId="52870CC2" w14:textId="77777777" w:rsidTr="00D563AA">
        <w:trPr>
          <w:trHeight w:val="323"/>
          <w:jc w:val="center"/>
        </w:trPr>
        <w:tc>
          <w:tcPr>
            <w:tcW w:w="2191" w:type="dxa"/>
            <w:noWrap/>
            <w:vAlign w:val="center"/>
            <w:hideMark/>
          </w:tcPr>
          <w:p w14:paraId="61BCFA79" w14:textId="77777777"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Inland waterway</w:t>
            </w:r>
          </w:p>
        </w:tc>
        <w:tc>
          <w:tcPr>
            <w:tcW w:w="1794" w:type="dxa"/>
            <w:noWrap/>
            <w:vAlign w:val="center"/>
            <w:hideMark/>
          </w:tcPr>
          <w:p w14:paraId="29E1CC13" w14:textId="77777777" w:rsidR="00AA5F0A" w:rsidRPr="00207D00" w:rsidRDefault="00AA5F0A" w:rsidP="00D563AA">
            <w:pPr>
              <w:ind w:right="394"/>
              <w:jc w:val="right"/>
              <w:rPr>
                <w:rFonts w:ascii="Arial" w:hAnsi="Arial" w:cs="Arial"/>
                <w:sz w:val="20"/>
                <w:szCs w:val="20"/>
              </w:rPr>
            </w:pPr>
            <w:r w:rsidRPr="00207D00">
              <w:rPr>
                <w:rFonts w:ascii="Arial" w:hAnsi="Arial"/>
                <w:color w:val="000000"/>
                <w:sz w:val="20"/>
              </w:rPr>
              <w:t>96.6</w:t>
            </w:r>
          </w:p>
        </w:tc>
        <w:tc>
          <w:tcPr>
            <w:tcW w:w="1859" w:type="dxa"/>
            <w:noWrap/>
            <w:vAlign w:val="center"/>
            <w:hideMark/>
          </w:tcPr>
          <w:p w14:paraId="565EBFC1" w14:textId="77777777" w:rsidR="00AA5F0A" w:rsidRPr="00207D00" w:rsidRDefault="00AA5F0A" w:rsidP="00D563AA">
            <w:pPr>
              <w:ind w:right="579"/>
              <w:jc w:val="right"/>
              <w:rPr>
                <w:rFonts w:ascii="Arial" w:hAnsi="Arial" w:cs="Arial"/>
                <w:sz w:val="20"/>
                <w:szCs w:val="20"/>
              </w:rPr>
            </w:pPr>
            <w:r w:rsidRPr="00207D00">
              <w:rPr>
                <w:rFonts w:ascii="Arial" w:hAnsi="Arial"/>
                <w:color w:val="000000"/>
                <w:sz w:val="20"/>
              </w:rPr>
              <w:t>1.4</w:t>
            </w:r>
          </w:p>
        </w:tc>
        <w:tc>
          <w:tcPr>
            <w:tcW w:w="1758" w:type="dxa"/>
            <w:noWrap/>
            <w:vAlign w:val="center"/>
            <w:hideMark/>
          </w:tcPr>
          <w:p w14:paraId="0BEF3A90" w14:textId="77777777" w:rsidR="00AA5F0A" w:rsidRPr="00207D00" w:rsidRDefault="00AA5F0A" w:rsidP="00D563AA">
            <w:pPr>
              <w:ind w:right="520"/>
              <w:jc w:val="right"/>
              <w:rPr>
                <w:rFonts w:ascii="Arial" w:hAnsi="Arial" w:cs="Arial"/>
                <w:sz w:val="20"/>
                <w:szCs w:val="20"/>
              </w:rPr>
            </w:pPr>
            <w:r w:rsidRPr="00207D00">
              <w:rPr>
                <w:rFonts w:ascii="Arial" w:hAnsi="Arial"/>
                <w:color w:val="000000"/>
                <w:sz w:val="20"/>
              </w:rPr>
              <w:t>14.1</w:t>
            </w:r>
          </w:p>
        </w:tc>
        <w:tc>
          <w:tcPr>
            <w:tcW w:w="1490" w:type="dxa"/>
            <w:noWrap/>
            <w:vAlign w:val="center"/>
            <w:hideMark/>
          </w:tcPr>
          <w:p w14:paraId="73A66BEB" w14:textId="77777777" w:rsidR="00AA5F0A" w:rsidRPr="00207D00" w:rsidRDefault="00AA5F0A" w:rsidP="00D563AA">
            <w:pPr>
              <w:ind w:right="322"/>
              <w:jc w:val="right"/>
              <w:rPr>
                <w:rFonts w:ascii="Arial" w:hAnsi="Arial" w:cs="Arial"/>
                <w:sz w:val="20"/>
                <w:szCs w:val="20"/>
              </w:rPr>
            </w:pPr>
            <w:r w:rsidRPr="00207D00">
              <w:rPr>
                <w:rFonts w:ascii="Arial" w:hAnsi="Arial"/>
                <w:color w:val="000000"/>
                <w:sz w:val="20"/>
              </w:rPr>
              <w:t>6.8</w:t>
            </w:r>
          </w:p>
        </w:tc>
      </w:tr>
      <w:tr w:rsidR="00AA5F0A" w:rsidRPr="00207D00" w14:paraId="601C585E" w14:textId="77777777" w:rsidTr="00D563AA">
        <w:trPr>
          <w:trHeight w:val="323"/>
          <w:jc w:val="center"/>
        </w:trPr>
        <w:tc>
          <w:tcPr>
            <w:tcW w:w="2191" w:type="dxa"/>
            <w:noWrap/>
            <w:vAlign w:val="center"/>
            <w:hideMark/>
          </w:tcPr>
          <w:p w14:paraId="22014805" w14:textId="75EC0BBE"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Road</w:t>
            </w:r>
          </w:p>
        </w:tc>
        <w:tc>
          <w:tcPr>
            <w:tcW w:w="1794" w:type="dxa"/>
            <w:noWrap/>
            <w:vAlign w:val="center"/>
            <w:hideMark/>
          </w:tcPr>
          <w:p w14:paraId="26349D9E" w14:textId="77777777" w:rsidR="00AA5F0A" w:rsidRPr="00207D00" w:rsidRDefault="00AA5F0A" w:rsidP="00D563AA">
            <w:pPr>
              <w:ind w:right="394"/>
              <w:jc w:val="right"/>
              <w:rPr>
                <w:rFonts w:ascii="Arial" w:hAnsi="Arial" w:cs="Arial"/>
                <w:sz w:val="20"/>
                <w:szCs w:val="20"/>
              </w:rPr>
            </w:pPr>
            <w:r w:rsidRPr="00207D00">
              <w:rPr>
                <w:rFonts w:ascii="Arial" w:hAnsi="Arial"/>
                <w:color w:val="000000"/>
                <w:sz w:val="20"/>
              </w:rPr>
              <w:t>1,037.5</w:t>
            </w:r>
          </w:p>
        </w:tc>
        <w:tc>
          <w:tcPr>
            <w:tcW w:w="1859" w:type="dxa"/>
            <w:noWrap/>
            <w:vAlign w:val="center"/>
            <w:hideMark/>
          </w:tcPr>
          <w:p w14:paraId="4B8F79E9" w14:textId="77777777" w:rsidR="00AA5F0A" w:rsidRPr="00207D00" w:rsidRDefault="00AA5F0A" w:rsidP="00D563AA">
            <w:pPr>
              <w:ind w:right="579"/>
              <w:jc w:val="right"/>
              <w:rPr>
                <w:rFonts w:ascii="Arial" w:hAnsi="Arial" w:cs="Arial"/>
                <w:sz w:val="20"/>
                <w:szCs w:val="20"/>
              </w:rPr>
            </w:pPr>
            <w:r w:rsidRPr="00207D00">
              <w:rPr>
                <w:rFonts w:ascii="Arial" w:hAnsi="Arial"/>
                <w:color w:val="000000"/>
                <w:sz w:val="20"/>
              </w:rPr>
              <w:t>42.0</w:t>
            </w:r>
          </w:p>
        </w:tc>
        <w:tc>
          <w:tcPr>
            <w:tcW w:w="1758" w:type="dxa"/>
            <w:noWrap/>
            <w:vAlign w:val="center"/>
            <w:hideMark/>
          </w:tcPr>
          <w:p w14:paraId="5A44AC5F" w14:textId="77777777" w:rsidR="00AA5F0A" w:rsidRPr="00207D00" w:rsidRDefault="00AA5F0A" w:rsidP="00D563AA">
            <w:pPr>
              <w:ind w:right="520"/>
              <w:jc w:val="right"/>
              <w:rPr>
                <w:rFonts w:ascii="Arial" w:hAnsi="Arial" w:cs="Arial"/>
                <w:sz w:val="20"/>
                <w:szCs w:val="20"/>
              </w:rPr>
            </w:pPr>
            <w:r w:rsidRPr="00207D00">
              <w:rPr>
                <w:rFonts w:ascii="Arial" w:hAnsi="Arial"/>
                <w:color w:val="000000"/>
                <w:sz w:val="20"/>
              </w:rPr>
              <w:t>25.0</w:t>
            </w:r>
          </w:p>
        </w:tc>
        <w:tc>
          <w:tcPr>
            <w:tcW w:w="1490" w:type="dxa"/>
            <w:noWrap/>
            <w:vAlign w:val="center"/>
            <w:hideMark/>
          </w:tcPr>
          <w:p w14:paraId="1795925B" w14:textId="77777777" w:rsidR="00AA5F0A" w:rsidRPr="00207D00" w:rsidRDefault="00AA5F0A" w:rsidP="00D563AA">
            <w:pPr>
              <w:ind w:right="322"/>
              <w:jc w:val="right"/>
              <w:rPr>
                <w:rFonts w:ascii="Arial" w:hAnsi="Arial" w:cs="Arial"/>
                <w:sz w:val="20"/>
                <w:szCs w:val="20"/>
              </w:rPr>
            </w:pPr>
            <w:r w:rsidRPr="00207D00">
              <w:rPr>
                <w:rFonts w:ascii="Arial" w:hAnsi="Arial"/>
                <w:color w:val="000000"/>
                <w:sz w:val="20"/>
              </w:rPr>
              <w:t>23.2</w:t>
            </w:r>
          </w:p>
        </w:tc>
      </w:tr>
      <w:tr w:rsidR="00AA5F0A" w:rsidRPr="00207D00" w14:paraId="76A83E8C" w14:textId="77777777" w:rsidTr="00D563AA">
        <w:trPr>
          <w:trHeight w:val="323"/>
          <w:jc w:val="center"/>
        </w:trPr>
        <w:tc>
          <w:tcPr>
            <w:tcW w:w="2191" w:type="dxa"/>
            <w:tcBorders>
              <w:top w:val="nil"/>
              <w:left w:val="nil"/>
              <w:bottom w:val="single" w:sz="4" w:space="0" w:color="auto"/>
              <w:right w:val="nil"/>
            </w:tcBorders>
            <w:noWrap/>
            <w:vAlign w:val="center"/>
            <w:hideMark/>
          </w:tcPr>
          <w:p w14:paraId="3A76E78A" w14:textId="77777777"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Airway</w:t>
            </w:r>
          </w:p>
        </w:tc>
        <w:tc>
          <w:tcPr>
            <w:tcW w:w="1794" w:type="dxa"/>
            <w:tcBorders>
              <w:top w:val="nil"/>
              <w:left w:val="nil"/>
              <w:bottom w:val="single" w:sz="4" w:space="0" w:color="auto"/>
              <w:right w:val="nil"/>
            </w:tcBorders>
            <w:noWrap/>
            <w:vAlign w:val="center"/>
            <w:hideMark/>
          </w:tcPr>
          <w:p w14:paraId="7E9D675B" w14:textId="77777777" w:rsidR="00AA5F0A" w:rsidRPr="00207D00" w:rsidRDefault="00AA5F0A" w:rsidP="00D563AA">
            <w:pPr>
              <w:ind w:right="394"/>
              <w:jc w:val="right"/>
              <w:rPr>
                <w:rFonts w:ascii="Arial" w:hAnsi="Arial" w:cs="Arial"/>
                <w:sz w:val="20"/>
                <w:szCs w:val="20"/>
              </w:rPr>
            </w:pPr>
            <w:r w:rsidRPr="00207D00">
              <w:rPr>
                <w:rFonts w:ascii="Arial" w:hAnsi="Arial"/>
                <w:color w:val="000000"/>
                <w:sz w:val="20"/>
              </w:rPr>
              <w:t>9.9</w:t>
            </w:r>
          </w:p>
        </w:tc>
        <w:tc>
          <w:tcPr>
            <w:tcW w:w="1859" w:type="dxa"/>
            <w:tcBorders>
              <w:top w:val="nil"/>
              <w:left w:val="nil"/>
              <w:bottom w:val="single" w:sz="4" w:space="0" w:color="auto"/>
              <w:right w:val="nil"/>
            </w:tcBorders>
            <w:noWrap/>
            <w:vAlign w:val="center"/>
            <w:hideMark/>
          </w:tcPr>
          <w:p w14:paraId="7793002C" w14:textId="77777777" w:rsidR="00AA5F0A" w:rsidRPr="00207D00" w:rsidRDefault="00AA5F0A" w:rsidP="00D563AA">
            <w:pPr>
              <w:ind w:right="579"/>
              <w:jc w:val="right"/>
              <w:rPr>
                <w:rFonts w:ascii="Arial" w:hAnsi="Arial" w:cs="Arial"/>
                <w:sz w:val="20"/>
                <w:szCs w:val="20"/>
              </w:rPr>
            </w:pPr>
            <w:r w:rsidRPr="00207D00">
              <w:rPr>
                <w:rFonts w:ascii="Arial" w:hAnsi="Arial"/>
                <w:color w:val="000000"/>
                <w:sz w:val="20"/>
              </w:rPr>
              <w:t>16.6</w:t>
            </w:r>
          </w:p>
        </w:tc>
        <w:tc>
          <w:tcPr>
            <w:tcW w:w="1758" w:type="dxa"/>
            <w:tcBorders>
              <w:top w:val="nil"/>
              <w:left w:val="nil"/>
              <w:bottom w:val="single" w:sz="4" w:space="0" w:color="auto"/>
              <w:right w:val="nil"/>
            </w:tcBorders>
            <w:noWrap/>
            <w:vAlign w:val="center"/>
            <w:hideMark/>
          </w:tcPr>
          <w:p w14:paraId="5D7A8A66" w14:textId="77777777" w:rsidR="00AA5F0A" w:rsidRPr="00207D00" w:rsidRDefault="00AA5F0A" w:rsidP="00D563AA">
            <w:pPr>
              <w:ind w:right="520"/>
              <w:jc w:val="right"/>
              <w:rPr>
                <w:rFonts w:ascii="Arial" w:hAnsi="Arial" w:cs="Arial"/>
                <w:sz w:val="20"/>
                <w:szCs w:val="20"/>
              </w:rPr>
            </w:pPr>
            <w:r w:rsidRPr="00207D00">
              <w:rPr>
                <w:rFonts w:ascii="Arial" w:hAnsi="Arial"/>
                <w:color w:val="000000"/>
                <w:sz w:val="20"/>
              </w:rPr>
              <w:t>6.5</w:t>
            </w:r>
          </w:p>
        </w:tc>
        <w:tc>
          <w:tcPr>
            <w:tcW w:w="1490" w:type="dxa"/>
            <w:tcBorders>
              <w:top w:val="nil"/>
              <w:left w:val="nil"/>
              <w:bottom w:val="single" w:sz="4" w:space="0" w:color="auto"/>
              <w:right w:val="nil"/>
            </w:tcBorders>
            <w:noWrap/>
            <w:vAlign w:val="center"/>
            <w:hideMark/>
          </w:tcPr>
          <w:p w14:paraId="411C52FB" w14:textId="77777777" w:rsidR="00AA5F0A" w:rsidRPr="00207D00" w:rsidRDefault="00AA5F0A" w:rsidP="00D563AA">
            <w:pPr>
              <w:ind w:right="322"/>
              <w:jc w:val="right"/>
              <w:rPr>
                <w:rFonts w:ascii="Arial" w:hAnsi="Arial" w:cs="Arial"/>
                <w:sz w:val="20"/>
                <w:szCs w:val="20"/>
              </w:rPr>
            </w:pPr>
            <w:r w:rsidRPr="00207D00">
              <w:rPr>
                <w:rFonts w:ascii="Arial" w:hAnsi="Arial"/>
                <w:color w:val="000000"/>
                <w:sz w:val="20"/>
              </w:rPr>
              <w:t>5.0</w:t>
            </w:r>
          </w:p>
        </w:tc>
      </w:tr>
    </w:tbl>
    <w:p w14:paraId="2F74791F" w14:textId="77777777" w:rsidR="00AA5F0A" w:rsidRPr="00207D00" w:rsidRDefault="00AA5F0A" w:rsidP="00AA5F0A">
      <w:pPr>
        <w:spacing w:before="40" w:after="40" w:line="288" w:lineRule="auto"/>
        <w:ind w:firstLine="567"/>
        <w:jc w:val="both"/>
        <w:rPr>
          <w:bCs/>
          <w:i/>
          <w:iCs/>
          <w:spacing w:val="-2"/>
          <w:sz w:val="6"/>
        </w:rPr>
      </w:pPr>
    </w:p>
    <w:p w14:paraId="22576245" w14:textId="77777777" w:rsidR="00AA5F0A" w:rsidRPr="00207D00" w:rsidRDefault="00AA5F0A" w:rsidP="00AA5F0A">
      <w:pPr>
        <w:spacing w:after="120" w:line="264" w:lineRule="auto"/>
        <w:ind w:firstLine="720"/>
        <w:jc w:val="both"/>
        <w:rPr>
          <w:spacing w:val="-4"/>
        </w:rPr>
      </w:pPr>
      <w:r w:rsidRPr="00207D00">
        <w:rPr>
          <w:i/>
          <w:iCs/>
        </w:rPr>
        <w:t>Freight transported</w:t>
      </w:r>
      <w:r w:rsidRPr="00207D00">
        <w:t xml:space="preserve"> in February 2026 was estimated at 270.0 million tons, a month-on-month decrease of 1.2% and freight transported (ton-kilometers) reached 49.1 billion tons.km, a decrease of 1.6%. Overall, in first two months of 2026, freight transported was estimated at 543.3 million tons, a year-on-year rise of 14.7% and freight transported (ton-kilometers) reached 99.1 billion ton-kilometers, a year-on-year growth of 6.4%. Of which, domestic freight transported were estimated at 533.8 million tons, a year-on-year increase of 14.7% and 61.1 billion ton-kilometers, a year-on-year upturn of 7.9%; outbound freight transported were estimated at 9.5 million tons, a year-on-year expansion of 15.7% and 38.0 billion ton-kilometers, a year-on-year rise of 4.0%. </w:t>
      </w:r>
    </w:p>
    <w:p w14:paraId="0D61B9E6" w14:textId="4B73B478" w:rsidR="00AA5F0A" w:rsidRPr="00207D00" w:rsidRDefault="00AA5F0A" w:rsidP="00AA5F0A">
      <w:pPr>
        <w:spacing w:before="120" w:after="120"/>
        <w:jc w:val="center"/>
        <w:rPr>
          <w:rFonts w:ascii="Arial" w:hAnsi="Arial" w:cs="Arial"/>
          <w:b/>
          <w:bCs/>
          <w:sz w:val="24"/>
          <w:szCs w:val="24"/>
        </w:rPr>
      </w:pPr>
      <w:r w:rsidRPr="00207D00">
        <w:rPr>
          <w:rFonts w:ascii="Arial" w:hAnsi="Arial"/>
          <w:b/>
          <w:sz w:val="24"/>
        </w:rPr>
        <w:lastRenderedPageBreak/>
        <w:t xml:space="preserve">Table 7. Freight transported in the first two months of 2026 </w:t>
      </w:r>
      <w:r w:rsidR="000C1C03">
        <w:rPr>
          <w:rFonts w:ascii="Arial" w:hAnsi="Arial"/>
          <w:b/>
          <w:sz w:val="24"/>
        </w:rPr>
        <w:br/>
      </w:r>
      <w:r w:rsidRPr="00207D00">
        <w:rPr>
          <w:rFonts w:ascii="Arial" w:hAnsi="Arial"/>
          <w:b/>
          <w:sz w:val="24"/>
        </w:rPr>
        <w:t>by type of transport</w:t>
      </w:r>
    </w:p>
    <w:tbl>
      <w:tblPr>
        <w:tblW w:w="9041" w:type="dxa"/>
        <w:jc w:val="center"/>
        <w:tblLook w:val="04A0" w:firstRow="1" w:lastRow="0" w:firstColumn="1" w:lastColumn="0" w:noHBand="0" w:noVBand="1"/>
      </w:tblPr>
      <w:tblGrid>
        <w:gridCol w:w="2178"/>
        <w:gridCol w:w="1782"/>
        <w:gridCol w:w="1852"/>
        <w:gridCol w:w="1749"/>
        <w:gridCol w:w="1480"/>
      </w:tblGrid>
      <w:tr w:rsidR="00AA5F0A" w:rsidRPr="00207D00" w14:paraId="16351516" w14:textId="77777777" w:rsidTr="00D563AA">
        <w:trPr>
          <w:trHeight w:val="504"/>
          <w:jc w:val="center"/>
        </w:trPr>
        <w:tc>
          <w:tcPr>
            <w:tcW w:w="2178" w:type="dxa"/>
            <w:tcBorders>
              <w:top w:val="single" w:sz="4" w:space="0" w:color="auto"/>
              <w:left w:val="nil"/>
              <w:bottom w:val="nil"/>
              <w:right w:val="nil"/>
            </w:tcBorders>
            <w:vAlign w:val="center"/>
            <w:hideMark/>
          </w:tcPr>
          <w:p w14:paraId="7925754F" w14:textId="77777777" w:rsidR="00AA5F0A" w:rsidRPr="00207D00" w:rsidRDefault="00AA5F0A" w:rsidP="00D563AA">
            <w:pPr>
              <w:rPr>
                <w:rFonts w:ascii="Arial" w:hAnsi="Arial" w:cs="Arial"/>
                <w:b/>
                <w:bCs/>
                <w:sz w:val="24"/>
                <w:szCs w:val="24"/>
              </w:rPr>
            </w:pPr>
          </w:p>
        </w:tc>
        <w:tc>
          <w:tcPr>
            <w:tcW w:w="3634" w:type="dxa"/>
            <w:gridSpan w:val="2"/>
            <w:tcBorders>
              <w:top w:val="single" w:sz="4" w:space="0" w:color="auto"/>
              <w:left w:val="nil"/>
              <w:bottom w:val="single" w:sz="4" w:space="0" w:color="auto"/>
              <w:right w:val="nil"/>
            </w:tcBorders>
            <w:vAlign w:val="center"/>
            <w:hideMark/>
          </w:tcPr>
          <w:p w14:paraId="2D123FDA" w14:textId="77777777" w:rsidR="00AA5F0A" w:rsidRPr="00207D00" w:rsidRDefault="00AA5F0A" w:rsidP="00D563AA">
            <w:pPr>
              <w:jc w:val="center"/>
              <w:rPr>
                <w:rFonts w:ascii="Arial" w:hAnsi="Arial" w:cs="Arial"/>
                <w:sz w:val="20"/>
                <w:szCs w:val="20"/>
              </w:rPr>
            </w:pPr>
            <w:r w:rsidRPr="00207D00">
              <w:rPr>
                <w:rFonts w:ascii="Arial" w:hAnsi="Arial"/>
                <w:sz w:val="20"/>
              </w:rPr>
              <w:t>Volume of freight</w:t>
            </w:r>
          </w:p>
        </w:tc>
        <w:tc>
          <w:tcPr>
            <w:tcW w:w="3229" w:type="dxa"/>
            <w:gridSpan w:val="2"/>
            <w:tcBorders>
              <w:top w:val="single" w:sz="4" w:space="0" w:color="auto"/>
              <w:left w:val="nil"/>
              <w:bottom w:val="single" w:sz="4" w:space="0" w:color="auto"/>
              <w:right w:val="nil"/>
            </w:tcBorders>
            <w:vAlign w:val="center"/>
            <w:hideMark/>
          </w:tcPr>
          <w:p w14:paraId="30285441" w14:textId="77777777" w:rsidR="00AA5F0A" w:rsidRPr="00207D00" w:rsidRDefault="00AA5F0A" w:rsidP="00D563AA">
            <w:pPr>
              <w:jc w:val="center"/>
              <w:rPr>
                <w:rFonts w:ascii="Arial" w:hAnsi="Arial" w:cs="Arial"/>
                <w:sz w:val="20"/>
                <w:szCs w:val="20"/>
              </w:rPr>
            </w:pPr>
            <w:r w:rsidRPr="00207D00">
              <w:rPr>
                <w:rFonts w:ascii="Arial" w:hAnsi="Arial"/>
                <w:sz w:val="20"/>
              </w:rPr>
              <w:t>Y-o-Y growth rate (%)</w:t>
            </w:r>
          </w:p>
        </w:tc>
      </w:tr>
      <w:tr w:rsidR="00AA5F0A" w:rsidRPr="00207D00" w14:paraId="52B12985" w14:textId="77777777" w:rsidTr="00D563AA">
        <w:trPr>
          <w:trHeight w:val="439"/>
          <w:jc w:val="center"/>
        </w:trPr>
        <w:tc>
          <w:tcPr>
            <w:tcW w:w="2178" w:type="dxa"/>
            <w:vAlign w:val="center"/>
            <w:hideMark/>
          </w:tcPr>
          <w:p w14:paraId="0D76ADCF" w14:textId="77777777" w:rsidR="00AA5F0A" w:rsidRPr="00207D00" w:rsidRDefault="00AA5F0A" w:rsidP="00D563AA">
            <w:pPr>
              <w:rPr>
                <w:rFonts w:ascii="Arial" w:hAnsi="Arial" w:cs="Arial"/>
                <w:sz w:val="20"/>
                <w:szCs w:val="20"/>
                <w:lang w:eastAsia="vi-VN"/>
              </w:rPr>
            </w:pPr>
          </w:p>
        </w:tc>
        <w:tc>
          <w:tcPr>
            <w:tcW w:w="1782" w:type="dxa"/>
            <w:tcBorders>
              <w:top w:val="single" w:sz="4" w:space="0" w:color="auto"/>
              <w:left w:val="nil"/>
              <w:bottom w:val="single" w:sz="4" w:space="0" w:color="auto"/>
              <w:right w:val="nil"/>
            </w:tcBorders>
            <w:vAlign w:val="center"/>
            <w:hideMark/>
          </w:tcPr>
          <w:p w14:paraId="1CF69640" w14:textId="77777777" w:rsidR="00AA5F0A" w:rsidRPr="00207D00" w:rsidRDefault="00AA5F0A" w:rsidP="00D563AA">
            <w:pPr>
              <w:jc w:val="center"/>
              <w:rPr>
                <w:rFonts w:ascii="Arial" w:hAnsi="Arial" w:cs="Arial"/>
                <w:sz w:val="20"/>
                <w:szCs w:val="20"/>
              </w:rPr>
            </w:pPr>
            <w:r w:rsidRPr="00207D00">
              <w:rPr>
                <w:rFonts w:ascii="Arial" w:hAnsi="Arial"/>
                <w:sz w:val="20"/>
              </w:rPr>
              <w:t>Transported</w:t>
            </w:r>
            <w:r w:rsidRPr="00207D00">
              <w:rPr>
                <w:rFonts w:ascii="Arial" w:hAnsi="Arial"/>
                <w:sz w:val="20"/>
              </w:rPr>
              <w:br/>
              <w:t>(Mill. tons)</w:t>
            </w:r>
          </w:p>
        </w:tc>
        <w:tc>
          <w:tcPr>
            <w:tcW w:w="1852" w:type="dxa"/>
            <w:tcBorders>
              <w:top w:val="single" w:sz="4" w:space="0" w:color="auto"/>
              <w:left w:val="nil"/>
              <w:bottom w:val="single" w:sz="4" w:space="0" w:color="auto"/>
              <w:right w:val="nil"/>
            </w:tcBorders>
            <w:vAlign w:val="center"/>
            <w:hideMark/>
          </w:tcPr>
          <w:p w14:paraId="3AEEC3A2" w14:textId="77777777" w:rsidR="00AA5F0A" w:rsidRPr="00207D00" w:rsidRDefault="00AA5F0A" w:rsidP="00D563AA">
            <w:pPr>
              <w:jc w:val="center"/>
              <w:rPr>
                <w:rFonts w:ascii="Arial" w:hAnsi="Arial" w:cs="Arial"/>
                <w:sz w:val="20"/>
                <w:szCs w:val="20"/>
              </w:rPr>
            </w:pPr>
            <w:r w:rsidRPr="00207D00">
              <w:rPr>
                <w:rFonts w:ascii="Arial" w:hAnsi="Arial"/>
                <w:sz w:val="20"/>
              </w:rPr>
              <w:t>Transported (ton-kilometers)</w:t>
            </w:r>
            <w:r w:rsidRPr="00207D00">
              <w:rPr>
                <w:rFonts w:ascii="Arial" w:hAnsi="Arial"/>
                <w:sz w:val="20"/>
              </w:rPr>
              <w:br/>
              <w:t>(Bill. tons-km)</w:t>
            </w:r>
          </w:p>
        </w:tc>
        <w:tc>
          <w:tcPr>
            <w:tcW w:w="1749" w:type="dxa"/>
            <w:tcBorders>
              <w:top w:val="single" w:sz="4" w:space="0" w:color="auto"/>
              <w:left w:val="nil"/>
              <w:bottom w:val="single" w:sz="4" w:space="0" w:color="auto"/>
              <w:right w:val="nil"/>
            </w:tcBorders>
            <w:vAlign w:val="center"/>
            <w:hideMark/>
          </w:tcPr>
          <w:p w14:paraId="74D3E209" w14:textId="77777777" w:rsidR="00AA5F0A" w:rsidRPr="00207D00" w:rsidRDefault="00AA5F0A" w:rsidP="00D563AA">
            <w:pPr>
              <w:jc w:val="center"/>
              <w:rPr>
                <w:rFonts w:ascii="Arial" w:hAnsi="Arial" w:cs="Arial"/>
                <w:sz w:val="20"/>
                <w:szCs w:val="20"/>
              </w:rPr>
            </w:pPr>
            <w:r w:rsidRPr="00207D00">
              <w:rPr>
                <w:rFonts w:ascii="Arial" w:hAnsi="Arial"/>
                <w:sz w:val="20"/>
              </w:rPr>
              <w:t>Transported</w:t>
            </w:r>
          </w:p>
        </w:tc>
        <w:tc>
          <w:tcPr>
            <w:tcW w:w="1480" w:type="dxa"/>
            <w:tcBorders>
              <w:top w:val="single" w:sz="4" w:space="0" w:color="auto"/>
              <w:left w:val="nil"/>
              <w:bottom w:val="single" w:sz="4" w:space="0" w:color="auto"/>
              <w:right w:val="nil"/>
            </w:tcBorders>
            <w:vAlign w:val="center"/>
            <w:hideMark/>
          </w:tcPr>
          <w:p w14:paraId="7F935858" w14:textId="77777777" w:rsidR="00AA5F0A" w:rsidRPr="00207D00" w:rsidRDefault="00AA5F0A" w:rsidP="00D563AA">
            <w:pPr>
              <w:jc w:val="center"/>
              <w:rPr>
                <w:rFonts w:ascii="Arial" w:hAnsi="Arial" w:cs="Arial"/>
                <w:sz w:val="20"/>
                <w:szCs w:val="20"/>
              </w:rPr>
            </w:pPr>
            <w:r w:rsidRPr="00207D00">
              <w:rPr>
                <w:rFonts w:ascii="Arial" w:hAnsi="Arial"/>
                <w:sz w:val="20"/>
              </w:rPr>
              <w:t>Transported (ton-kilometers)</w:t>
            </w:r>
          </w:p>
        </w:tc>
      </w:tr>
      <w:tr w:rsidR="00AA5F0A" w:rsidRPr="00207D00" w14:paraId="0E7B7A3C" w14:textId="77777777" w:rsidTr="00D563AA">
        <w:trPr>
          <w:trHeight w:val="398"/>
          <w:jc w:val="center"/>
        </w:trPr>
        <w:tc>
          <w:tcPr>
            <w:tcW w:w="2178" w:type="dxa"/>
            <w:noWrap/>
            <w:vAlign w:val="center"/>
            <w:hideMark/>
          </w:tcPr>
          <w:p w14:paraId="7192AF67" w14:textId="77777777" w:rsidR="00AA5F0A" w:rsidRPr="00207D00" w:rsidRDefault="00AA5F0A" w:rsidP="00D563AA">
            <w:pPr>
              <w:rPr>
                <w:rFonts w:ascii="Arial" w:hAnsi="Arial" w:cs="Arial"/>
                <w:b/>
                <w:bCs/>
                <w:sz w:val="20"/>
                <w:szCs w:val="20"/>
              </w:rPr>
            </w:pPr>
            <w:r w:rsidRPr="00207D00">
              <w:rPr>
                <w:rFonts w:ascii="Arial" w:hAnsi="Arial"/>
                <w:b/>
                <w:sz w:val="20"/>
              </w:rPr>
              <w:t>Total</w:t>
            </w:r>
          </w:p>
        </w:tc>
        <w:tc>
          <w:tcPr>
            <w:tcW w:w="1782" w:type="dxa"/>
            <w:tcBorders>
              <w:top w:val="single" w:sz="4" w:space="0" w:color="auto"/>
              <w:left w:val="nil"/>
              <w:bottom w:val="nil"/>
              <w:right w:val="nil"/>
            </w:tcBorders>
            <w:noWrap/>
            <w:vAlign w:val="center"/>
            <w:hideMark/>
          </w:tcPr>
          <w:p w14:paraId="235FE553" w14:textId="77777777" w:rsidR="00AA5F0A" w:rsidRPr="00207D00" w:rsidRDefault="00AA5F0A" w:rsidP="00D563AA">
            <w:pPr>
              <w:ind w:right="484"/>
              <w:jc w:val="right"/>
              <w:rPr>
                <w:rFonts w:ascii="Arial" w:hAnsi="Arial" w:cs="Arial"/>
                <w:b/>
                <w:bCs/>
                <w:sz w:val="20"/>
                <w:szCs w:val="20"/>
              </w:rPr>
            </w:pPr>
            <w:r w:rsidRPr="00207D00">
              <w:rPr>
                <w:rFonts w:ascii="Arial" w:hAnsi="Arial"/>
                <w:b/>
                <w:color w:val="000000"/>
                <w:sz w:val="20"/>
              </w:rPr>
              <w:t>543.3</w:t>
            </w:r>
          </w:p>
        </w:tc>
        <w:tc>
          <w:tcPr>
            <w:tcW w:w="1852" w:type="dxa"/>
            <w:tcBorders>
              <w:top w:val="single" w:sz="4" w:space="0" w:color="auto"/>
              <w:left w:val="nil"/>
              <w:bottom w:val="nil"/>
              <w:right w:val="nil"/>
            </w:tcBorders>
            <w:noWrap/>
            <w:vAlign w:val="center"/>
            <w:hideMark/>
          </w:tcPr>
          <w:p w14:paraId="30ED7200" w14:textId="77777777" w:rsidR="00AA5F0A" w:rsidRPr="00207D00" w:rsidRDefault="00AA5F0A" w:rsidP="00D563AA">
            <w:pPr>
              <w:ind w:right="484"/>
              <w:jc w:val="right"/>
              <w:rPr>
                <w:rFonts w:ascii="Arial" w:hAnsi="Arial" w:cs="Arial"/>
                <w:b/>
                <w:bCs/>
                <w:sz w:val="20"/>
                <w:szCs w:val="20"/>
              </w:rPr>
            </w:pPr>
            <w:r w:rsidRPr="00207D00">
              <w:rPr>
                <w:rFonts w:ascii="Arial" w:hAnsi="Arial"/>
                <w:b/>
                <w:color w:val="000000"/>
                <w:sz w:val="20"/>
              </w:rPr>
              <w:t>99.1</w:t>
            </w:r>
          </w:p>
        </w:tc>
        <w:tc>
          <w:tcPr>
            <w:tcW w:w="1749" w:type="dxa"/>
            <w:tcBorders>
              <w:top w:val="single" w:sz="4" w:space="0" w:color="auto"/>
              <w:left w:val="nil"/>
              <w:bottom w:val="nil"/>
              <w:right w:val="nil"/>
            </w:tcBorders>
            <w:noWrap/>
            <w:vAlign w:val="center"/>
            <w:hideMark/>
          </w:tcPr>
          <w:p w14:paraId="203B4377" w14:textId="77777777" w:rsidR="00AA5F0A" w:rsidRPr="00207D00" w:rsidRDefault="00AA5F0A" w:rsidP="00D563AA">
            <w:pPr>
              <w:ind w:right="484"/>
              <w:jc w:val="right"/>
              <w:rPr>
                <w:rFonts w:ascii="Arial" w:hAnsi="Arial" w:cs="Arial"/>
                <w:b/>
                <w:bCs/>
                <w:sz w:val="20"/>
                <w:szCs w:val="20"/>
              </w:rPr>
            </w:pPr>
            <w:r w:rsidRPr="00207D00">
              <w:rPr>
                <w:rFonts w:ascii="Arial" w:hAnsi="Arial"/>
                <w:b/>
                <w:color w:val="000000"/>
                <w:sz w:val="20"/>
              </w:rPr>
              <w:t>14.7</w:t>
            </w:r>
          </w:p>
        </w:tc>
        <w:tc>
          <w:tcPr>
            <w:tcW w:w="1480" w:type="dxa"/>
            <w:tcBorders>
              <w:top w:val="single" w:sz="4" w:space="0" w:color="auto"/>
              <w:left w:val="nil"/>
              <w:bottom w:val="nil"/>
              <w:right w:val="nil"/>
            </w:tcBorders>
            <w:noWrap/>
            <w:vAlign w:val="center"/>
            <w:hideMark/>
          </w:tcPr>
          <w:p w14:paraId="1C98016D" w14:textId="77777777" w:rsidR="00AA5F0A" w:rsidRPr="00207D00" w:rsidRDefault="00AA5F0A" w:rsidP="00D563AA">
            <w:pPr>
              <w:ind w:right="484"/>
              <w:jc w:val="right"/>
              <w:rPr>
                <w:rFonts w:ascii="Arial" w:hAnsi="Arial" w:cs="Arial"/>
                <w:b/>
                <w:bCs/>
                <w:sz w:val="20"/>
                <w:szCs w:val="20"/>
              </w:rPr>
            </w:pPr>
            <w:r w:rsidRPr="00207D00">
              <w:rPr>
                <w:rFonts w:ascii="Arial" w:hAnsi="Arial"/>
                <w:b/>
                <w:color w:val="000000"/>
                <w:sz w:val="20"/>
              </w:rPr>
              <w:t>6.4</w:t>
            </w:r>
          </w:p>
        </w:tc>
      </w:tr>
      <w:tr w:rsidR="00AA5F0A" w:rsidRPr="00207D00" w14:paraId="597C70A7" w14:textId="77777777" w:rsidTr="00D563AA">
        <w:trPr>
          <w:trHeight w:val="332"/>
          <w:jc w:val="center"/>
        </w:trPr>
        <w:tc>
          <w:tcPr>
            <w:tcW w:w="2178" w:type="dxa"/>
            <w:noWrap/>
            <w:vAlign w:val="center"/>
            <w:hideMark/>
          </w:tcPr>
          <w:p w14:paraId="320CF5C9" w14:textId="77777777"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Railway</w:t>
            </w:r>
          </w:p>
        </w:tc>
        <w:tc>
          <w:tcPr>
            <w:tcW w:w="1782" w:type="dxa"/>
            <w:noWrap/>
            <w:vAlign w:val="center"/>
            <w:hideMark/>
          </w:tcPr>
          <w:p w14:paraId="363DFD62"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0.7</w:t>
            </w:r>
          </w:p>
        </w:tc>
        <w:tc>
          <w:tcPr>
            <w:tcW w:w="1852" w:type="dxa"/>
            <w:noWrap/>
            <w:vAlign w:val="center"/>
            <w:hideMark/>
          </w:tcPr>
          <w:p w14:paraId="032E5885"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0.6</w:t>
            </w:r>
          </w:p>
        </w:tc>
        <w:tc>
          <w:tcPr>
            <w:tcW w:w="1749" w:type="dxa"/>
            <w:noWrap/>
            <w:vAlign w:val="center"/>
            <w:hideMark/>
          </w:tcPr>
          <w:p w14:paraId="24069779"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-8.4</w:t>
            </w:r>
          </w:p>
        </w:tc>
        <w:tc>
          <w:tcPr>
            <w:tcW w:w="1480" w:type="dxa"/>
            <w:noWrap/>
            <w:vAlign w:val="center"/>
            <w:hideMark/>
          </w:tcPr>
          <w:p w14:paraId="2BEDB66E"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2.2</w:t>
            </w:r>
          </w:p>
        </w:tc>
      </w:tr>
      <w:tr w:rsidR="00AA5F0A" w:rsidRPr="00207D00" w14:paraId="5B2A60C7" w14:textId="77777777" w:rsidTr="00D563AA">
        <w:trPr>
          <w:trHeight w:val="332"/>
          <w:jc w:val="center"/>
        </w:trPr>
        <w:tc>
          <w:tcPr>
            <w:tcW w:w="2178" w:type="dxa"/>
            <w:noWrap/>
            <w:vAlign w:val="center"/>
            <w:hideMark/>
          </w:tcPr>
          <w:p w14:paraId="15FA9694" w14:textId="77777777"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Seaway</w:t>
            </w:r>
          </w:p>
        </w:tc>
        <w:tc>
          <w:tcPr>
            <w:tcW w:w="1782" w:type="dxa"/>
            <w:noWrap/>
            <w:vAlign w:val="center"/>
            <w:hideMark/>
          </w:tcPr>
          <w:p w14:paraId="496F726C"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29.0</w:t>
            </w:r>
          </w:p>
        </w:tc>
        <w:tc>
          <w:tcPr>
            <w:tcW w:w="1852" w:type="dxa"/>
            <w:noWrap/>
            <w:vAlign w:val="center"/>
            <w:hideMark/>
          </w:tcPr>
          <w:p w14:paraId="53857E16"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51.2</w:t>
            </w:r>
          </w:p>
        </w:tc>
        <w:tc>
          <w:tcPr>
            <w:tcW w:w="1749" w:type="dxa"/>
            <w:noWrap/>
            <w:vAlign w:val="center"/>
            <w:hideMark/>
          </w:tcPr>
          <w:p w14:paraId="4342FE90"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10.2</w:t>
            </w:r>
          </w:p>
        </w:tc>
        <w:tc>
          <w:tcPr>
            <w:tcW w:w="1480" w:type="dxa"/>
            <w:noWrap/>
            <w:vAlign w:val="center"/>
            <w:hideMark/>
          </w:tcPr>
          <w:p w14:paraId="7C2CBBB7"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0.9</w:t>
            </w:r>
          </w:p>
        </w:tc>
      </w:tr>
      <w:tr w:rsidR="00AA5F0A" w:rsidRPr="00207D00" w14:paraId="0D4879C0" w14:textId="77777777" w:rsidTr="00D563AA">
        <w:trPr>
          <w:trHeight w:val="332"/>
          <w:jc w:val="center"/>
        </w:trPr>
        <w:tc>
          <w:tcPr>
            <w:tcW w:w="2178" w:type="dxa"/>
            <w:noWrap/>
            <w:vAlign w:val="center"/>
            <w:hideMark/>
          </w:tcPr>
          <w:p w14:paraId="03CF9188" w14:textId="77777777"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Inland waterway</w:t>
            </w:r>
          </w:p>
        </w:tc>
        <w:tc>
          <w:tcPr>
            <w:tcW w:w="1782" w:type="dxa"/>
            <w:noWrap/>
            <w:vAlign w:val="center"/>
            <w:hideMark/>
          </w:tcPr>
          <w:p w14:paraId="4D0EBCB6"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113.9</w:t>
            </w:r>
          </w:p>
        </w:tc>
        <w:tc>
          <w:tcPr>
            <w:tcW w:w="1852" w:type="dxa"/>
            <w:noWrap/>
            <w:vAlign w:val="center"/>
            <w:hideMark/>
          </w:tcPr>
          <w:p w14:paraId="496A75B2"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21.7</w:t>
            </w:r>
          </w:p>
        </w:tc>
        <w:tc>
          <w:tcPr>
            <w:tcW w:w="1749" w:type="dxa"/>
            <w:noWrap/>
            <w:vAlign w:val="center"/>
            <w:hideMark/>
          </w:tcPr>
          <w:p w14:paraId="143216DE"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14.9</w:t>
            </w:r>
          </w:p>
        </w:tc>
        <w:tc>
          <w:tcPr>
            <w:tcW w:w="1480" w:type="dxa"/>
            <w:noWrap/>
            <w:vAlign w:val="center"/>
            <w:hideMark/>
          </w:tcPr>
          <w:p w14:paraId="60A3F706"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13.8</w:t>
            </w:r>
          </w:p>
        </w:tc>
      </w:tr>
      <w:tr w:rsidR="00AA5F0A" w:rsidRPr="00207D00" w14:paraId="1513591C" w14:textId="77777777" w:rsidTr="00D563AA">
        <w:trPr>
          <w:trHeight w:val="332"/>
          <w:jc w:val="center"/>
        </w:trPr>
        <w:tc>
          <w:tcPr>
            <w:tcW w:w="2178" w:type="dxa"/>
            <w:noWrap/>
            <w:vAlign w:val="center"/>
            <w:hideMark/>
          </w:tcPr>
          <w:p w14:paraId="307362B0" w14:textId="50738222"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Road</w:t>
            </w:r>
          </w:p>
        </w:tc>
        <w:tc>
          <w:tcPr>
            <w:tcW w:w="1782" w:type="dxa"/>
            <w:noWrap/>
            <w:vAlign w:val="center"/>
            <w:hideMark/>
          </w:tcPr>
          <w:p w14:paraId="559DCCA8"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399.6</w:t>
            </w:r>
          </w:p>
        </w:tc>
        <w:tc>
          <w:tcPr>
            <w:tcW w:w="1852" w:type="dxa"/>
            <w:noWrap/>
            <w:vAlign w:val="center"/>
            <w:hideMark/>
          </w:tcPr>
          <w:p w14:paraId="21C13741"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23.9</w:t>
            </w:r>
          </w:p>
        </w:tc>
        <w:tc>
          <w:tcPr>
            <w:tcW w:w="1749" w:type="dxa"/>
            <w:noWrap/>
            <w:vAlign w:val="center"/>
            <w:hideMark/>
          </w:tcPr>
          <w:p w14:paraId="0C717383"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15.1</w:t>
            </w:r>
          </w:p>
        </w:tc>
        <w:tc>
          <w:tcPr>
            <w:tcW w:w="1480" w:type="dxa"/>
            <w:noWrap/>
            <w:vAlign w:val="center"/>
            <w:hideMark/>
          </w:tcPr>
          <w:p w14:paraId="77691339"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13.2</w:t>
            </w:r>
          </w:p>
        </w:tc>
      </w:tr>
      <w:tr w:rsidR="00AA5F0A" w:rsidRPr="00207D00" w14:paraId="3D7F04E0" w14:textId="77777777" w:rsidTr="00D563AA">
        <w:trPr>
          <w:trHeight w:val="332"/>
          <w:jc w:val="center"/>
        </w:trPr>
        <w:tc>
          <w:tcPr>
            <w:tcW w:w="2178" w:type="dxa"/>
            <w:tcBorders>
              <w:top w:val="nil"/>
              <w:left w:val="nil"/>
              <w:bottom w:val="single" w:sz="4" w:space="0" w:color="auto"/>
              <w:right w:val="nil"/>
            </w:tcBorders>
            <w:noWrap/>
            <w:vAlign w:val="center"/>
            <w:hideMark/>
          </w:tcPr>
          <w:p w14:paraId="224E5420" w14:textId="77777777" w:rsidR="00AA5F0A" w:rsidRPr="00207D00" w:rsidRDefault="00AA5F0A" w:rsidP="00D563AA">
            <w:pPr>
              <w:tabs>
                <w:tab w:val="left" w:pos="407"/>
              </w:tabs>
              <w:ind w:firstLine="182"/>
              <w:rPr>
                <w:rFonts w:ascii="Arial" w:hAnsi="Arial" w:cs="Arial"/>
                <w:sz w:val="20"/>
                <w:szCs w:val="20"/>
              </w:rPr>
            </w:pPr>
            <w:r w:rsidRPr="00207D00">
              <w:rPr>
                <w:rFonts w:ascii="Arial" w:hAnsi="Arial"/>
                <w:sz w:val="20"/>
              </w:rPr>
              <w:t>Airway</w:t>
            </w:r>
          </w:p>
        </w:tc>
        <w:tc>
          <w:tcPr>
            <w:tcW w:w="1782" w:type="dxa"/>
            <w:tcBorders>
              <w:top w:val="nil"/>
              <w:left w:val="nil"/>
              <w:bottom w:val="single" w:sz="4" w:space="0" w:color="auto"/>
              <w:right w:val="nil"/>
            </w:tcBorders>
            <w:noWrap/>
            <w:vAlign w:val="center"/>
            <w:hideMark/>
          </w:tcPr>
          <w:p w14:paraId="31FE1802"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0.1</w:t>
            </w:r>
          </w:p>
        </w:tc>
        <w:tc>
          <w:tcPr>
            <w:tcW w:w="1852" w:type="dxa"/>
            <w:tcBorders>
              <w:top w:val="nil"/>
              <w:left w:val="nil"/>
              <w:bottom w:val="single" w:sz="4" w:space="0" w:color="auto"/>
              <w:right w:val="nil"/>
            </w:tcBorders>
            <w:noWrap/>
            <w:vAlign w:val="center"/>
            <w:hideMark/>
          </w:tcPr>
          <w:p w14:paraId="7BEBCA08"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1.7</w:t>
            </w:r>
          </w:p>
        </w:tc>
        <w:tc>
          <w:tcPr>
            <w:tcW w:w="1749" w:type="dxa"/>
            <w:tcBorders>
              <w:top w:val="nil"/>
              <w:left w:val="nil"/>
              <w:bottom w:val="single" w:sz="4" w:space="0" w:color="auto"/>
              <w:right w:val="nil"/>
            </w:tcBorders>
            <w:noWrap/>
            <w:vAlign w:val="center"/>
            <w:hideMark/>
          </w:tcPr>
          <w:p w14:paraId="1FB295C9"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13.4</w:t>
            </w:r>
          </w:p>
        </w:tc>
        <w:tc>
          <w:tcPr>
            <w:tcW w:w="1480" w:type="dxa"/>
            <w:tcBorders>
              <w:top w:val="nil"/>
              <w:left w:val="nil"/>
              <w:bottom w:val="single" w:sz="4" w:space="0" w:color="auto"/>
              <w:right w:val="nil"/>
            </w:tcBorders>
            <w:noWrap/>
            <w:vAlign w:val="center"/>
            <w:hideMark/>
          </w:tcPr>
          <w:p w14:paraId="212903AF" w14:textId="77777777" w:rsidR="00AA5F0A" w:rsidRPr="00207D00" w:rsidRDefault="00AA5F0A" w:rsidP="00D563AA">
            <w:pPr>
              <w:ind w:right="484"/>
              <w:jc w:val="right"/>
              <w:rPr>
                <w:rFonts w:ascii="Arial" w:hAnsi="Arial" w:cs="Arial"/>
                <w:sz w:val="20"/>
                <w:szCs w:val="20"/>
              </w:rPr>
            </w:pPr>
            <w:r w:rsidRPr="00207D00">
              <w:rPr>
                <w:rFonts w:ascii="Arial" w:hAnsi="Arial"/>
                <w:color w:val="000000"/>
                <w:sz w:val="20"/>
              </w:rPr>
              <w:t>4.8</w:t>
            </w:r>
          </w:p>
        </w:tc>
      </w:tr>
    </w:tbl>
    <w:p w14:paraId="4CEAD6F9" w14:textId="77777777" w:rsidR="00AA5F0A" w:rsidRPr="00207D00" w:rsidRDefault="00AA5F0A" w:rsidP="00AA5F0A">
      <w:pPr>
        <w:spacing w:before="120" w:after="120" w:line="245" w:lineRule="auto"/>
        <w:ind w:firstLine="720"/>
        <w:jc w:val="both"/>
        <w:rPr>
          <w:b/>
          <w:bCs/>
          <w:i/>
        </w:rPr>
      </w:pPr>
      <w:r w:rsidRPr="00207D00">
        <w:rPr>
          <w:b/>
          <w:i/>
        </w:rPr>
        <w:t>đ) International visitors to Viet Nam</w:t>
      </w:r>
      <w:r w:rsidRPr="00207D00">
        <w:rPr>
          <w:rFonts w:eastAsia="Calibri"/>
          <w:i/>
          <w:iCs/>
          <w:vertAlign w:val="superscript"/>
        </w:rPr>
        <w:footnoteReference w:id="25"/>
      </w:r>
    </w:p>
    <w:p w14:paraId="6845E0E0" w14:textId="77777777" w:rsidR="00AA5F0A" w:rsidRPr="00207D00" w:rsidRDefault="00AA5F0A" w:rsidP="00AA5F0A">
      <w:pPr>
        <w:spacing w:after="120" w:line="252" w:lineRule="auto"/>
        <w:ind w:firstLine="720"/>
        <w:jc w:val="both"/>
        <w:rPr>
          <w:rFonts w:eastAsia="Calibri"/>
          <w:i/>
          <w:iCs/>
          <w:spacing w:val="-4"/>
        </w:rPr>
      </w:pPr>
      <w:r w:rsidRPr="00207D00">
        <w:rPr>
          <w:i/>
        </w:rPr>
        <w:t xml:space="preserve">The surge in international arrivals was attributed to favorable visa reforms, innovative tourism marketing strategies, and a commitment to broadening tourism products while elevating service standards. </w:t>
      </w:r>
    </w:p>
    <w:p w14:paraId="5BD0EA15" w14:textId="13A0B369" w:rsidR="00AA5F0A" w:rsidRPr="00207D00" w:rsidRDefault="00AA5F0A" w:rsidP="00AA5F0A">
      <w:pPr>
        <w:spacing w:before="120" w:after="120" w:line="245" w:lineRule="auto"/>
        <w:ind w:firstLine="720"/>
        <w:jc w:val="both"/>
        <w:rPr>
          <w:rFonts w:ascii="Arial" w:hAnsi="Arial" w:cs="Arial"/>
          <w:b/>
          <w:sz w:val="24"/>
          <w:szCs w:val="24"/>
        </w:rPr>
      </w:pPr>
      <w:r w:rsidRPr="00207D00">
        <w:t>In February</w:t>
      </w:r>
      <w:r w:rsidRPr="00207D00">
        <w:rPr>
          <w:rFonts w:eastAsia="Calibri"/>
          <w:vertAlign w:val="superscript"/>
        </w:rPr>
        <w:footnoteReference w:id="26"/>
      </w:r>
      <w:r w:rsidRPr="00207D00">
        <w:t xml:space="preserve">, the number of international visitors to Viet Nam reached over 2.2 million, a month-on-month decrease of 9.2% and a year-on-year rise of 17.7%. Overall, for the first two months of 2026, the international visitors to Viet Nam reached nearly 4.7 million, a year-on-year increase of 18.1%.  Of which, visitors by airway reached over 3.8 million, accounted for 81.8% of international </w:t>
      </w:r>
      <w:r w:rsidR="000C1C03" w:rsidRPr="00207D00">
        <w:t xml:space="preserve">visitors </w:t>
      </w:r>
      <w:r w:rsidRPr="00207D00">
        <w:t xml:space="preserve">and experienced a year-on-year growth of 12.8%; visitors by road reached 741,2 thousand, comprised 15.8%, a spread of 58.6%; visitors by seaway reached 109.5 thousand, made up 2.4%, an expansion of 10.2%. </w:t>
      </w:r>
    </w:p>
    <w:p w14:paraId="78B1195E" w14:textId="4E538A4B" w:rsidR="00AA5F0A" w:rsidRPr="00207D00" w:rsidRDefault="00AA5F0A" w:rsidP="00AA5F0A">
      <w:pPr>
        <w:spacing w:before="80" w:after="120"/>
        <w:jc w:val="center"/>
        <w:rPr>
          <w:rFonts w:ascii="Arial" w:hAnsi="Arial" w:cs="Arial"/>
          <w:b/>
          <w:sz w:val="24"/>
          <w:szCs w:val="24"/>
        </w:rPr>
      </w:pPr>
      <w:r w:rsidRPr="00207D00">
        <w:rPr>
          <w:rFonts w:ascii="Arial" w:hAnsi="Arial"/>
          <w:b/>
          <w:sz w:val="24"/>
        </w:rPr>
        <w:t xml:space="preserve">Figure 16. International visitors to Viet Nam </w:t>
      </w:r>
      <w:r w:rsidR="000C1C03">
        <w:rPr>
          <w:rFonts w:ascii="Arial" w:hAnsi="Arial"/>
          <w:b/>
          <w:sz w:val="24"/>
        </w:rPr>
        <w:br/>
      </w:r>
      <w:r w:rsidRPr="00207D00">
        <w:rPr>
          <w:rFonts w:ascii="Arial" w:hAnsi="Arial"/>
          <w:b/>
          <w:sz w:val="24"/>
        </w:rPr>
        <w:t>in the first two months of 2026 by territories</w:t>
      </w:r>
    </w:p>
    <w:p w14:paraId="3D272103" w14:textId="77777777" w:rsidR="00AA5F0A" w:rsidRPr="00207D00" w:rsidRDefault="00AA5F0A" w:rsidP="00AA5F0A"/>
    <w:p w14:paraId="212A3F4B" w14:textId="77777777" w:rsidR="00AA5F0A" w:rsidRPr="00207D00" w:rsidRDefault="00AA5F0A" w:rsidP="00AA5F0A">
      <w:r w:rsidRPr="00207D00">
        <w:rPr>
          <w:noProof/>
        </w:rPr>
        <w:lastRenderedPageBreak/>
        <w:drawing>
          <wp:inline distT="0" distB="0" distL="0" distR="0" wp14:anchorId="6CCAD37F" wp14:editId="3C209244">
            <wp:extent cx="5699760" cy="2856213"/>
            <wp:effectExtent l="0" t="0" r="0" b="1905"/>
            <wp:docPr id="15" name="Picture 15" descr="E:\GSO tailieu Kien\3. CÔNG VIỆC\2026\5. Dich bao cao Quy 2026\2. Dich BC T2 2026\Th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SO tailieu Kien\3. CÔNG VIỆC\2026\5. Dich bao cao Quy 2026\2. Dich BC T2 2026\Thao.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99760" cy="2856213"/>
                    </a:xfrm>
                    <a:prstGeom prst="rect">
                      <a:avLst/>
                    </a:prstGeom>
                    <a:noFill/>
                    <a:ln>
                      <a:noFill/>
                    </a:ln>
                  </pic:spPr>
                </pic:pic>
              </a:graphicData>
            </a:graphic>
          </wp:inline>
        </w:drawing>
      </w:r>
    </w:p>
    <w:p w14:paraId="14FCA7A7" w14:textId="77777777" w:rsidR="0038507E" w:rsidRPr="00207D00" w:rsidRDefault="0038507E" w:rsidP="0038507E">
      <w:pPr>
        <w:spacing w:before="120" w:after="120" w:line="259" w:lineRule="auto"/>
        <w:ind w:firstLine="720"/>
        <w:jc w:val="both"/>
        <w:rPr>
          <w:b/>
          <w:bCs/>
        </w:rPr>
      </w:pPr>
      <w:r w:rsidRPr="00207D00">
        <w:rPr>
          <w:b/>
          <w:bCs/>
        </w:rPr>
        <w:t>7. Social situation</w:t>
      </w:r>
    </w:p>
    <w:p w14:paraId="3BB87062" w14:textId="06164758" w:rsidR="0038507E" w:rsidRPr="00207D00" w:rsidRDefault="0038507E" w:rsidP="0038507E">
      <w:pPr>
        <w:tabs>
          <w:tab w:val="left" w:pos="709"/>
          <w:tab w:val="left" w:pos="1134"/>
        </w:tabs>
        <w:spacing w:after="120" w:line="259" w:lineRule="auto"/>
        <w:ind w:firstLine="720"/>
        <w:jc w:val="both"/>
        <w:rPr>
          <w:b/>
          <w:i/>
        </w:rPr>
      </w:pPr>
      <w:r w:rsidRPr="00207D00">
        <w:rPr>
          <w:b/>
          <w:i/>
        </w:rPr>
        <w:t xml:space="preserve">a) People's </w:t>
      </w:r>
      <w:r w:rsidR="000C1C03" w:rsidRPr="000C1C03">
        <w:rPr>
          <w:b/>
          <w:i/>
        </w:rPr>
        <w:t>living conditions</w:t>
      </w:r>
      <w:r w:rsidR="000C1C03" w:rsidRPr="000C1C03" w:rsidDel="000C1C03">
        <w:rPr>
          <w:b/>
          <w:i/>
        </w:rPr>
        <w:t xml:space="preserve"> </w:t>
      </w:r>
    </w:p>
    <w:p w14:paraId="2DBC3AB7" w14:textId="3995FF24" w:rsidR="0038507E" w:rsidRPr="00207D00" w:rsidRDefault="0038507E" w:rsidP="0038507E">
      <w:pPr>
        <w:tabs>
          <w:tab w:val="left" w:pos="851"/>
        </w:tabs>
        <w:spacing w:after="120" w:line="259" w:lineRule="auto"/>
        <w:ind w:firstLine="720"/>
        <w:jc w:val="both"/>
        <w:rPr>
          <w:bCs/>
          <w:snapToGrid w:val="0"/>
        </w:rPr>
      </w:pPr>
      <w:r w:rsidRPr="00207D00">
        <w:rPr>
          <w:bCs/>
          <w:snapToGrid w:val="0"/>
        </w:rPr>
        <w:t>According to preliminary results of the Labor Force Survey, 95.5% households reported their income in February remained unchanged or increased compared to the same month last year (a rise of 0.2 percentage points compared to the January 2026 reporting period</w:t>
      </w:r>
      <w:r w:rsidR="00737E4E">
        <w:rPr>
          <w:bCs/>
          <w:snapToGrid w:val="0"/>
        </w:rPr>
        <w:t>,</w:t>
      </w:r>
      <w:r w:rsidRPr="00207D00">
        <w:rPr>
          <w:bCs/>
          <w:snapToGrid w:val="0"/>
        </w:rPr>
        <w:t xml:space="preserve"> and a decrease of 1.5 percentage points year-on-year); 4.5% households said that their income decreased or undetermined.</w:t>
      </w:r>
    </w:p>
    <w:p w14:paraId="29255387" w14:textId="7FFD479D" w:rsidR="0038507E" w:rsidRPr="00207D00" w:rsidRDefault="0038507E" w:rsidP="0038507E">
      <w:pPr>
        <w:tabs>
          <w:tab w:val="left" w:pos="851"/>
        </w:tabs>
        <w:spacing w:after="120" w:line="259" w:lineRule="auto"/>
        <w:ind w:firstLine="720"/>
        <w:jc w:val="both"/>
        <w:rPr>
          <w:bCs/>
          <w:snapToGrid w:val="0"/>
        </w:rPr>
      </w:pPr>
      <w:r w:rsidRPr="00207D00">
        <w:rPr>
          <w:bCs/>
          <w:snapToGrid w:val="0"/>
        </w:rPr>
        <w:t>Households with decreased income identified the main reasons as a reduction in household income sources</w:t>
      </w:r>
      <w:r w:rsidRPr="00207D00">
        <w:rPr>
          <w:rStyle w:val="FootnoteReference"/>
          <w:bCs/>
          <w:snapToGrid w:val="0"/>
        </w:rPr>
        <w:footnoteReference w:id="27"/>
      </w:r>
      <w:r w:rsidRPr="00207D00">
        <w:rPr>
          <w:bCs/>
          <w:snapToGrid w:val="0"/>
        </w:rPr>
        <w:t>, of which 44.7% of households experienced a reduced income from household members' salaries and wages; 37.9% of households</w:t>
      </w:r>
      <w:r w:rsidRPr="00207D00">
        <w:rPr>
          <w:bCs/>
          <w:snapToGrid w:val="0"/>
          <w:spacing w:val="-4"/>
        </w:rPr>
        <w:t xml:space="preserve"> witnessed a declined income from agricultural, forestry, and </w:t>
      </w:r>
      <w:r w:rsidR="00737E4E" w:rsidRPr="00207D00">
        <w:rPr>
          <w:bCs/>
          <w:snapToGrid w:val="0"/>
          <w:spacing w:val="-4"/>
        </w:rPr>
        <w:t>fisher</w:t>
      </w:r>
      <w:r w:rsidR="00737E4E">
        <w:rPr>
          <w:bCs/>
          <w:snapToGrid w:val="0"/>
          <w:spacing w:val="-4"/>
        </w:rPr>
        <w:t>y</w:t>
      </w:r>
      <w:r w:rsidR="00737E4E" w:rsidRPr="00207D00">
        <w:rPr>
          <w:bCs/>
          <w:snapToGrid w:val="0"/>
          <w:spacing w:val="-4"/>
        </w:rPr>
        <w:t xml:space="preserve"> </w:t>
      </w:r>
      <w:r w:rsidRPr="00207D00">
        <w:rPr>
          <w:bCs/>
          <w:snapToGrid w:val="0"/>
          <w:spacing w:val="-4"/>
        </w:rPr>
        <w:t>activities</w:t>
      </w:r>
      <w:r w:rsidRPr="00207D00">
        <w:rPr>
          <w:bCs/>
          <w:snapToGrid w:val="0"/>
        </w:rPr>
        <w:t>; and 26.2% of households noted a decrease in income from non-agricultural, forestry, and fishery production, business, or service activities.</w:t>
      </w:r>
    </w:p>
    <w:p w14:paraId="18021BBE" w14:textId="77777777" w:rsidR="0038507E" w:rsidRPr="00207D00" w:rsidRDefault="0038507E" w:rsidP="0038507E">
      <w:pPr>
        <w:tabs>
          <w:tab w:val="left" w:pos="851"/>
        </w:tabs>
        <w:spacing w:after="120" w:line="259" w:lineRule="auto"/>
        <w:ind w:firstLine="720"/>
        <w:jc w:val="both"/>
        <w:rPr>
          <w:bCs/>
          <w:snapToGrid w:val="0"/>
        </w:rPr>
      </w:pPr>
      <w:r w:rsidRPr="00207D00">
        <w:rPr>
          <w:bCs/>
          <w:snapToGrid w:val="0"/>
        </w:rPr>
        <w:t xml:space="preserve">Additionally, other main reasons for income reduction identified by households include: </w:t>
      </w:r>
      <w:r w:rsidRPr="00E00CA5">
        <w:rPr>
          <w:bCs/>
          <w:snapToGrid w:val="0"/>
        </w:rPr>
        <w:t xml:space="preserve">29.9% </w:t>
      </w:r>
      <w:r w:rsidRPr="00E00CA5">
        <w:t>attributed the income decline to</w:t>
      </w:r>
      <w:r w:rsidRPr="00E00CA5">
        <w:rPr>
          <w:bCs/>
          <w:snapToGrid w:val="0"/>
        </w:rPr>
        <w:t xml:space="preserve"> reduced selling prices of products made from household production and business (P&amp;B) activities; 26.7% reported that</w:t>
      </w:r>
      <w:r w:rsidRPr="00207D00">
        <w:rPr>
          <w:bCs/>
          <w:snapToGrid w:val="0"/>
        </w:rPr>
        <w:t xml:space="preserve"> input costs for P&amp;B activities increased; 20.3% reported illness or disease, severe injury and death of household members; 20.1% cited a decline in the size of household’s P&amp;B activities; and 18.6% reported a temporary quit of job of household members.</w:t>
      </w:r>
    </w:p>
    <w:p w14:paraId="23EEF642" w14:textId="77777777" w:rsidR="0038507E" w:rsidRPr="00207D00" w:rsidRDefault="0038507E" w:rsidP="0038507E">
      <w:pPr>
        <w:tabs>
          <w:tab w:val="left" w:pos="851"/>
        </w:tabs>
        <w:spacing w:after="120" w:line="259" w:lineRule="auto"/>
        <w:ind w:firstLine="720"/>
        <w:jc w:val="both"/>
        <w:rPr>
          <w:bCs/>
          <w:snapToGrid w:val="0"/>
        </w:rPr>
      </w:pPr>
      <w:r w:rsidRPr="00207D00">
        <w:rPr>
          <w:bCs/>
          <w:snapToGrid w:val="0"/>
        </w:rPr>
        <w:t xml:space="preserve">Regarding the impact of negative events on life </w:t>
      </w:r>
      <w:r w:rsidRPr="00E00CA5">
        <w:rPr>
          <w:bCs/>
          <w:snapToGrid w:val="0"/>
        </w:rPr>
        <w:t>in the first two months</w:t>
      </w:r>
      <w:r w:rsidRPr="00207D00">
        <w:rPr>
          <w:bCs/>
          <w:snapToGrid w:val="0"/>
        </w:rPr>
        <w:t xml:space="preserve"> of 2026, households assessed that: 31.6% were affected by rising prices of goods and services; 9.7% were negatively impacted by natural disasters and climate </w:t>
      </w:r>
      <w:r w:rsidRPr="00207D00">
        <w:rPr>
          <w:bCs/>
          <w:snapToGrid w:val="0"/>
        </w:rPr>
        <w:lastRenderedPageBreak/>
        <w:t xml:space="preserve">change; 4.2% suffered from epidemics in livestock and crops; and 3.0% </w:t>
      </w:r>
      <w:r w:rsidRPr="00207D00">
        <w:t>faced adverse conditions due to</w:t>
      </w:r>
      <w:r w:rsidRPr="00207D00">
        <w:rPr>
          <w:bCs/>
          <w:snapToGrid w:val="0"/>
        </w:rPr>
        <w:t xml:space="preserve"> human epidemics.</w:t>
      </w:r>
    </w:p>
    <w:p w14:paraId="2169F83A" w14:textId="77777777" w:rsidR="0038507E" w:rsidRPr="00207D00" w:rsidRDefault="0038507E" w:rsidP="0038507E">
      <w:pPr>
        <w:tabs>
          <w:tab w:val="left" w:pos="851"/>
        </w:tabs>
        <w:spacing w:after="120" w:line="259" w:lineRule="auto"/>
        <w:ind w:firstLine="720"/>
        <w:jc w:val="both"/>
        <w:rPr>
          <w:bCs/>
          <w:snapToGrid w:val="0"/>
        </w:rPr>
      </w:pPr>
      <w:r w:rsidRPr="00207D00">
        <w:rPr>
          <w:bCs/>
          <w:snapToGrid w:val="0"/>
        </w:rPr>
        <w:t>In February, 20.1% of surveyed households received assistance from various sources, of which: 10.9% from national programs and policies; 9.8% from relatives and family members; 7.7% from local programs and policies; 3.1% from charitable activities of other organizations and individuals; and 0.1% from other sources.</w:t>
      </w:r>
    </w:p>
    <w:p w14:paraId="79649006" w14:textId="2C52B663" w:rsidR="0038507E" w:rsidRPr="00207D00" w:rsidRDefault="0038507E" w:rsidP="0038507E">
      <w:pPr>
        <w:pStyle w:val="BodyTextIndent"/>
        <w:tabs>
          <w:tab w:val="left" w:pos="0"/>
          <w:tab w:val="left" w:pos="720"/>
        </w:tabs>
        <w:spacing w:after="120" w:line="259" w:lineRule="auto"/>
        <w:ind w:left="0" w:firstLine="720"/>
        <w:jc w:val="both"/>
        <w:rPr>
          <w:rFonts w:ascii="Times New Roman" w:hAnsi="Times New Roman"/>
          <w:snapToGrid w:val="0"/>
        </w:rPr>
      </w:pPr>
      <w:r w:rsidRPr="00207D00">
        <w:rPr>
          <w:rFonts w:ascii="Times New Roman" w:hAnsi="Times New Roman"/>
          <w:snapToGrid w:val="0"/>
        </w:rPr>
        <w:t xml:space="preserve">Social security work was implemented promptly and effectively by </w:t>
      </w:r>
      <w:r w:rsidR="005C3071">
        <w:rPr>
          <w:rFonts w:ascii="Times New Roman" w:hAnsi="Times New Roman"/>
          <w:snapToGrid w:val="0"/>
        </w:rPr>
        <w:t>authorities</w:t>
      </w:r>
      <w:r w:rsidRPr="00207D00">
        <w:rPr>
          <w:rFonts w:ascii="Times New Roman" w:hAnsi="Times New Roman"/>
          <w:snapToGrid w:val="0"/>
        </w:rPr>
        <w:t xml:space="preserve"> </w:t>
      </w:r>
      <w:r w:rsidR="00447DFC">
        <w:rPr>
          <w:rFonts w:ascii="Times New Roman" w:hAnsi="Times New Roman"/>
          <w:snapToGrid w:val="0"/>
        </w:rPr>
        <w:t xml:space="preserve">at all levels </w:t>
      </w:r>
      <w:r w:rsidRPr="00207D00">
        <w:rPr>
          <w:rFonts w:ascii="Times New Roman" w:hAnsi="Times New Roman"/>
          <w:snapToGrid w:val="0"/>
        </w:rPr>
        <w:t xml:space="preserve">to support the people in overcoming difficulties caused by natural disasters or hunger during holidays and festivals, celebrating the </w:t>
      </w:r>
      <w:r w:rsidR="003D1F0F" w:rsidRPr="00207D00">
        <w:rPr>
          <w:rFonts w:ascii="Times New Roman" w:hAnsi="Times New Roman"/>
          <w:snapToGrid w:val="0"/>
        </w:rPr>
        <w:t xml:space="preserve">2026 </w:t>
      </w:r>
      <w:r w:rsidRPr="00207D00">
        <w:rPr>
          <w:rFonts w:ascii="Times New Roman" w:hAnsi="Times New Roman"/>
          <w:snapToGrid w:val="0"/>
        </w:rPr>
        <w:t>Lunar New Year in a joyful, healthy, safe, and economical manner. Cumulatively from the beginning of the year to February 27</w:t>
      </w:r>
      <w:r w:rsidRPr="00207D00">
        <w:rPr>
          <w:rFonts w:ascii="Times New Roman" w:hAnsi="Times New Roman"/>
          <w:snapToGrid w:val="0"/>
          <w:vertAlign w:val="superscript"/>
        </w:rPr>
        <w:t>th</w:t>
      </w:r>
      <w:r w:rsidRPr="00207D00">
        <w:rPr>
          <w:rFonts w:ascii="Times New Roman" w:hAnsi="Times New Roman"/>
          <w:snapToGrid w:val="0"/>
        </w:rPr>
        <w:t>, 2026, the Government supported the people with 15.3 thousand tons of rice, of which: nearly 9.1 thousand tons of rice for hunger relief during the Lunar New Year for 604.6 thousand persons; 5.6 thousand tons of rice for hunger relief during the pre-harvest season for 372.9 thousand persons; and over 604 tons of rice to overcome the consequences of natural disasters and floods for 40.3 thousand persons.</w:t>
      </w:r>
    </w:p>
    <w:p w14:paraId="540D9D5F" w14:textId="7649F8E7" w:rsidR="00B2529D" w:rsidRPr="00207D00" w:rsidRDefault="0038507E" w:rsidP="0038507E">
      <w:pPr>
        <w:spacing w:after="120" w:line="259" w:lineRule="auto"/>
        <w:ind w:firstLine="720"/>
        <w:jc w:val="both"/>
      </w:pPr>
      <w:r w:rsidRPr="00207D00">
        <w:t>Regarding the implementation of the "Quang Trung Campaign", after 1.5 months of deployment, the Campaign was two weeks ahead of schedule</w:t>
      </w:r>
      <w:r w:rsidR="003D1F0F">
        <w:t>,</w:t>
      </w:r>
      <w:r w:rsidRPr="00207D00">
        <w:t xml:space="preserve"> 34,759 damaged houses were completely repaired for people to return before December 31</w:t>
      </w:r>
      <w:r w:rsidRPr="00207D00">
        <w:rPr>
          <w:vertAlign w:val="superscript"/>
        </w:rPr>
        <w:t>st</w:t>
      </w:r>
      <w:r w:rsidRPr="00207D00">
        <w:t>, 2025. All 1,597 houses that collapsed, were destroyed, or swept away by floods were rebuilt and completed before January 15</w:t>
      </w:r>
      <w:r w:rsidRPr="00207D00">
        <w:rPr>
          <w:vertAlign w:val="superscript"/>
        </w:rPr>
        <w:t>th</w:t>
      </w:r>
      <w:r w:rsidRPr="00207D00">
        <w:t>, 2026, providing the people with sturdy homes to welcome the 14</w:t>
      </w:r>
      <w:r w:rsidRPr="00207D00">
        <w:rPr>
          <w:vertAlign w:val="superscript"/>
        </w:rPr>
        <w:t>th</w:t>
      </w:r>
      <w:r w:rsidRPr="00207D00">
        <w:t xml:space="preserve"> National Party Congress and prepare for the new spring</w:t>
      </w:r>
      <w:r w:rsidRPr="00207D00">
        <w:rPr>
          <w:rStyle w:val="FootnoteReference"/>
        </w:rPr>
        <w:footnoteReference w:id="28"/>
      </w:r>
      <w:r w:rsidRPr="00207D00">
        <w:t>.</w:t>
      </w:r>
    </w:p>
    <w:p w14:paraId="49BA3D69" w14:textId="77777777" w:rsidR="00AA5F0A" w:rsidRPr="00207D00" w:rsidRDefault="00AA5F0A" w:rsidP="00AA5F0A">
      <w:pPr>
        <w:pStyle w:val="BodyTextIndent"/>
        <w:tabs>
          <w:tab w:val="left" w:pos="0"/>
          <w:tab w:val="left" w:pos="720"/>
        </w:tabs>
        <w:spacing w:after="120" w:line="259" w:lineRule="auto"/>
        <w:ind w:left="0" w:firstLine="720"/>
        <w:jc w:val="both"/>
        <w:rPr>
          <w:rStyle w:val="normalchar"/>
          <w:rFonts w:ascii="Times New Roman" w:hAnsi="Times New Roman"/>
          <w:b/>
          <w:bCs/>
          <w:i/>
          <w:iCs/>
        </w:rPr>
      </w:pPr>
      <w:r w:rsidRPr="00207D00">
        <w:rPr>
          <w:rStyle w:val="normalchar"/>
          <w:rFonts w:ascii="Times New Roman" w:hAnsi="Times New Roman"/>
          <w:b/>
          <w:i/>
        </w:rPr>
        <w:t>b) Epidemic diseases and food poisoning</w:t>
      </w:r>
    </w:p>
    <w:p w14:paraId="08D2CF19" w14:textId="37ADC49C" w:rsidR="00AA5F0A" w:rsidRPr="00207D00" w:rsidRDefault="00AA5F0A" w:rsidP="00AA5F0A">
      <w:pPr>
        <w:spacing w:after="120" w:line="259" w:lineRule="auto"/>
        <w:ind w:firstLine="720"/>
        <w:jc w:val="both"/>
      </w:pPr>
      <w:r w:rsidRPr="00207D00">
        <w:t>According to the Ministry of Health's report, during the month (from</w:t>
      </w:r>
      <w:r w:rsidR="00051339">
        <w:t xml:space="preserve"> </w:t>
      </w:r>
      <w:r w:rsidRPr="00207D00">
        <w:t>January</w:t>
      </w:r>
      <w:r w:rsidR="00051339">
        <w:t xml:space="preserve"> 19</w:t>
      </w:r>
      <w:r w:rsidR="00051339" w:rsidRPr="00A370C9">
        <w:rPr>
          <w:vertAlign w:val="superscript"/>
        </w:rPr>
        <w:t>th</w:t>
      </w:r>
      <w:r w:rsidR="00051339">
        <w:t xml:space="preserve"> </w:t>
      </w:r>
      <w:r w:rsidRPr="00207D00">
        <w:t>to February</w:t>
      </w:r>
      <w:r w:rsidR="00051339">
        <w:t xml:space="preserve"> 18</w:t>
      </w:r>
      <w:r w:rsidR="00051339" w:rsidRPr="00A370C9">
        <w:rPr>
          <w:vertAlign w:val="superscript"/>
        </w:rPr>
        <w:t>th</w:t>
      </w:r>
      <w:r w:rsidR="00051339">
        <w:t xml:space="preserve">, </w:t>
      </w:r>
      <w:r w:rsidRPr="00207D00">
        <w:t xml:space="preserve">2026), Viet Nam recorded </w:t>
      </w:r>
      <w:r w:rsidRPr="00207D00">
        <w:rPr>
          <w:snapToGrid w:val="0"/>
        </w:rPr>
        <w:t xml:space="preserve">12.8 </w:t>
      </w:r>
      <w:r w:rsidR="00A370C9" w:rsidRPr="00207D00">
        <w:rPr>
          <w:snapToGrid w:val="0"/>
        </w:rPr>
        <w:t xml:space="preserve">thousand </w:t>
      </w:r>
      <w:r w:rsidR="00A370C9" w:rsidRPr="00207D00">
        <w:t>cases</w:t>
      </w:r>
      <w:r w:rsidRPr="00207D00">
        <w:t xml:space="preserve"> of dengue fever; </w:t>
      </w:r>
      <w:r w:rsidRPr="00207D00">
        <w:rPr>
          <w:snapToGrid w:val="0"/>
        </w:rPr>
        <w:t>8,696</w:t>
      </w:r>
      <w:r w:rsidRPr="00207D00">
        <w:t xml:space="preserve"> cases of hand, foot and mouth disease; </w:t>
      </w:r>
      <w:r w:rsidRPr="00207D00">
        <w:rPr>
          <w:snapToGrid w:val="0"/>
        </w:rPr>
        <w:t>865</w:t>
      </w:r>
      <w:r w:rsidRPr="00207D00">
        <w:t xml:space="preserve"> cases of rash fever suspected of measles; </w:t>
      </w:r>
      <w:r w:rsidRPr="00207D00">
        <w:rPr>
          <w:snapToGrid w:val="0"/>
        </w:rPr>
        <w:t>34</w:t>
      </w:r>
      <w:r w:rsidRPr="00207D00">
        <w:t xml:space="preserve"> cases of viral encephalitis; </w:t>
      </w:r>
      <w:r w:rsidRPr="00207D00">
        <w:rPr>
          <w:snapToGrid w:val="0"/>
        </w:rPr>
        <w:t xml:space="preserve">06 </w:t>
      </w:r>
      <w:r w:rsidR="00A370C9" w:rsidRPr="00207D00">
        <w:t xml:space="preserve">cases </w:t>
      </w:r>
      <w:r w:rsidR="00A370C9" w:rsidRPr="00207D00">
        <w:rPr>
          <w:snapToGrid w:val="0"/>
        </w:rPr>
        <w:t>of</w:t>
      </w:r>
      <w:r w:rsidRPr="00207D00">
        <w:rPr>
          <w:snapToGrid w:val="0"/>
        </w:rPr>
        <w:t xml:space="preserve"> meningococcal meningitis (01 death), and 05 deaths of rabies</w:t>
      </w:r>
      <w:r w:rsidRPr="00207D00">
        <w:t>. Overall, for the first two months of 2026, Viet Nam recorded nearly 33.0</w:t>
      </w:r>
      <w:r w:rsidRPr="00207D00">
        <w:rPr>
          <w:snapToGrid w:val="0"/>
        </w:rPr>
        <w:t xml:space="preserve"> </w:t>
      </w:r>
      <w:r w:rsidR="00A370C9" w:rsidRPr="00207D00">
        <w:rPr>
          <w:snapToGrid w:val="0"/>
        </w:rPr>
        <w:t xml:space="preserve">thousand </w:t>
      </w:r>
      <w:r w:rsidR="00A370C9" w:rsidRPr="00207D00">
        <w:t>cases</w:t>
      </w:r>
      <w:r w:rsidRPr="00207D00">
        <w:t xml:space="preserve"> of dengue fever (02 deaths); </w:t>
      </w:r>
      <w:r w:rsidRPr="00207D00">
        <w:rPr>
          <w:snapToGrid w:val="0"/>
        </w:rPr>
        <w:t xml:space="preserve">16.6 thousand </w:t>
      </w:r>
      <w:r w:rsidRPr="00207D00">
        <w:t xml:space="preserve">cases of hand, foot and mouth disease </w:t>
      </w:r>
      <w:r w:rsidRPr="00207D00">
        <w:rPr>
          <w:snapToGrid w:val="0"/>
        </w:rPr>
        <w:t>(02 deaths</w:t>
      </w:r>
      <w:r w:rsidRPr="00207D00">
        <w:rPr>
          <w:rStyle w:val="FootnoteReference"/>
        </w:rPr>
        <w:footnoteReference w:id="29"/>
      </w:r>
      <w:r w:rsidRPr="00207D00">
        <w:rPr>
          <w:snapToGrid w:val="0"/>
        </w:rPr>
        <w:t>)</w:t>
      </w:r>
      <w:r w:rsidRPr="00207D00">
        <w:t xml:space="preserve">; </w:t>
      </w:r>
      <w:r w:rsidRPr="00207D00">
        <w:rPr>
          <w:snapToGrid w:val="0"/>
        </w:rPr>
        <w:t>1,854</w:t>
      </w:r>
      <w:r w:rsidRPr="00207D00">
        <w:t xml:space="preserve"> cases of rash fever suspected of measles; </w:t>
      </w:r>
      <w:r w:rsidRPr="00207D00">
        <w:rPr>
          <w:snapToGrid w:val="0"/>
        </w:rPr>
        <w:t>60</w:t>
      </w:r>
      <w:r w:rsidRPr="00207D00">
        <w:t xml:space="preserve"> cases of viral encephalitis </w:t>
      </w:r>
      <w:r w:rsidRPr="00207D00">
        <w:rPr>
          <w:snapToGrid w:val="0"/>
        </w:rPr>
        <w:t>(01 ca death)</w:t>
      </w:r>
      <w:r w:rsidRPr="00207D00">
        <w:t>; 12</w:t>
      </w:r>
      <w:r w:rsidRPr="00207D00">
        <w:rPr>
          <w:snapToGrid w:val="0"/>
        </w:rPr>
        <w:t xml:space="preserve"> </w:t>
      </w:r>
      <w:r w:rsidRPr="00207D00">
        <w:t>cases of</w:t>
      </w:r>
      <w:r w:rsidRPr="00207D00">
        <w:rPr>
          <w:snapToGrid w:val="0"/>
        </w:rPr>
        <w:t xml:space="preserve"> meningococcal meningitis (01 death), and </w:t>
      </w:r>
      <w:r w:rsidRPr="00207D00">
        <w:t>07 deaths of rabies.</w:t>
      </w:r>
    </w:p>
    <w:p w14:paraId="1A5F9F6B" w14:textId="4FF3804A" w:rsidR="00AA5F0A" w:rsidRPr="00207D00" w:rsidRDefault="00AA5F0A" w:rsidP="00AA5F0A">
      <w:pPr>
        <w:spacing w:after="120" w:line="259" w:lineRule="auto"/>
        <w:ind w:firstLine="720"/>
        <w:jc w:val="both"/>
      </w:pPr>
      <w:r w:rsidRPr="00207D00">
        <w:lastRenderedPageBreak/>
        <w:t>As of February</w:t>
      </w:r>
      <w:r w:rsidR="00051339">
        <w:t xml:space="preserve"> 13</w:t>
      </w:r>
      <w:r w:rsidR="00051339" w:rsidRPr="00A370C9">
        <w:rPr>
          <w:vertAlign w:val="superscript"/>
        </w:rPr>
        <w:t>th</w:t>
      </w:r>
      <w:r w:rsidR="00051339">
        <w:t xml:space="preserve">, </w:t>
      </w:r>
      <w:r w:rsidRPr="00207D00">
        <w:t xml:space="preserve">2026, the total number of people living with HIV nationwide was </w:t>
      </w:r>
      <w:r w:rsidRPr="00207D00">
        <w:rPr>
          <w:snapToGrid w:val="0"/>
        </w:rPr>
        <w:t xml:space="preserve">255.2 </w:t>
      </w:r>
      <w:r w:rsidRPr="00207D00">
        <w:t>thousand persons and the number of deaths from HIV/AIDS was 117.9 thousand persons.</w:t>
      </w:r>
    </w:p>
    <w:p w14:paraId="61737B39" w14:textId="4B8D89D3" w:rsidR="00AA5F0A" w:rsidRPr="00207D00" w:rsidRDefault="00AA5F0A" w:rsidP="00AA5F0A">
      <w:pPr>
        <w:spacing w:after="120" w:line="259" w:lineRule="auto"/>
        <w:ind w:firstLine="720"/>
        <w:jc w:val="both"/>
        <w:rPr>
          <w:spacing w:val="-4"/>
        </w:rPr>
      </w:pPr>
      <w:r w:rsidRPr="00207D00">
        <w:t xml:space="preserve">In February 2026, there were 08 cases of food poisoning, involving </w:t>
      </w:r>
      <w:r w:rsidRPr="00207D00">
        <w:rPr>
          <w:snapToGrid w:val="0"/>
        </w:rPr>
        <w:t>186</w:t>
      </w:r>
      <w:r w:rsidRPr="00207D00">
        <w:t xml:space="preserve"> victims, with 02 reported deaths. Overall, during the first two months of 2026 (</w:t>
      </w:r>
      <w:r w:rsidR="00051339" w:rsidRPr="00207D00">
        <w:t>January</w:t>
      </w:r>
      <w:r w:rsidR="00051339">
        <w:t xml:space="preserve"> 19</w:t>
      </w:r>
      <w:r w:rsidR="00051339" w:rsidRPr="001F5E40">
        <w:rPr>
          <w:vertAlign w:val="superscript"/>
        </w:rPr>
        <w:t>th</w:t>
      </w:r>
      <w:r w:rsidR="00051339">
        <w:t xml:space="preserve"> </w:t>
      </w:r>
      <w:r w:rsidR="00051339" w:rsidRPr="00207D00">
        <w:t>to February</w:t>
      </w:r>
      <w:r w:rsidR="00051339">
        <w:t xml:space="preserve"> 13</w:t>
      </w:r>
      <w:r w:rsidR="00051339" w:rsidRPr="001F5E40">
        <w:rPr>
          <w:vertAlign w:val="superscript"/>
        </w:rPr>
        <w:t>th</w:t>
      </w:r>
      <w:r w:rsidRPr="00207D00">
        <w:t xml:space="preserve">, 2026), Viet Nam recorded 11 food poisoning cases, involving </w:t>
      </w:r>
      <w:r w:rsidRPr="00207D00">
        <w:rPr>
          <w:snapToGrid w:val="0"/>
        </w:rPr>
        <w:t>275</w:t>
      </w:r>
      <w:r w:rsidRPr="00207D00">
        <w:t xml:space="preserve"> victims, including 3 deaths.</w:t>
      </w:r>
    </w:p>
    <w:p w14:paraId="264B321E" w14:textId="77777777" w:rsidR="00AA5F0A" w:rsidRPr="00207D00" w:rsidRDefault="00AA5F0A" w:rsidP="00AA5F0A">
      <w:pPr>
        <w:spacing w:after="120" w:line="259" w:lineRule="auto"/>
        <w:ind w:firstLine="720"/>
        <w:jc w:val="both"/>
        <w:outlineLvl w:val="0"/>
        <w:rPr>
          <w:rStyle w:val="normalchar"/>
          <w:b/>
          <w:i/>
          <w:iCs/>
        </w:rPr>
      </w:pPr>
      <w:r w:rsidRPr="00207D00">
        <w:rPr>
          <w:b/>
          <w:i/>
        </w:rPr>
        <w:t xml:space="preserve">c) </w:t>
      </w:r>
      <w:r w:rsidRPr="00207D00">
        <w:rPr>
          <w:rStyle w:val="normalchar"/>
          <w:b/>
          <w:i/>
        </w:rPr>
        <w:t>Culture and Sports</w:t>
      </w:r>
    </w:p>
    <w:p w14:paraId="2DCE7EC5" w14:textId="3A031B3B" w:rsidR="00AA5F0A" w:rsidRPr="00207D00" w:rsidRDefault="00AA5F0A" w:rsidP="00AA5F0A">
      <w:pPr>
        <w:tabs>
          <w:tab w:val="left" w:pos="567"/>
          <w:tab w:val="num" w:pos="720"/>
        </w:tabs>
        <w:spacing w:after="120" w:line="259" w:lineRule="auto"/>
        <w:ind w:firstLine="720"/>
        <w:jc w:val="both"/>
      </w:pPr>
      <w:r w:rsidRPr="00207D00">
        <w:t xml:space="preserve">Cultural events flourished nationwide throughout February, reaching their peak during the Lunar New Year and early spring festivals, including </w:t>
      </w:r>
      <w:r w:rsidR="00A370C9">
        <w:t>t</w:t>
      </w:r>
      <w:r w:rsidRPr="00207D00">
        <w:t>he “Homeland Spring” program series at the Viet Nam National Village for Ethnic Culture and Tourism ran from February 1 to 28, 2026. This was followed by the Spring Calligraphy Festival at the Temple of Literature (Van Mieu - Quoc Tu Giam) from February 11</w:t>
      </w:r>
      <w:r w:rsidR="00447DFC">
        <w:rPr>
          <w:vertAlign w:val="superscript"/>
        </w:rPr>
        <w:t>th</w:t>
      </w:r>
      <w:r w:rsidRPr="00207D00">
        <w:t xml:space="preserve"> to March 1</w:t>
      </w:r>
      <w:r w:rsidR="00447DFC">
        <w:rPr>
          <w:vertAlign w:val="superscript"/>
        </w:rPr>
        <w:t>st</w:t>
      </w:r>
      <w:r w:rsidRPr="00207D00">
        <w:t xml:space="preserve">, 2026. Additionally, the “Happy </w:t>
      </w:r>
      <w:r w:rsidR="00A370C9">
        <w:t>Lunar New Year</w:t>
      </w:r>
      <w:r w:rsidRPr="00207D00">
        <w:t xml:space="preserve"> 2026 </w:t>
      </w:r>
      <w:r w:rsidR="00A370C9">
        <w:t>–</w:t>
      </w:r>
      <w:r w:rsidRPr="00207D00">
        <w:t xml:space="preserve"> </w:t>
      </w:r>
      <w:r w:rsidR="00A370C9">
        <w:t>Lunar New Year is happy</w:t>
      </w:r>
      <w:r w:rsidRPr="00207D00">
        <w:t>” experiential space at the Imperial Citadel of Thang Long, held from February 6</w:t>
      </w:r>
      <w:r w:rsidR="00447DFC">
        <w:rPr>
          <w:vertAlign w:val="superscript"/>
        </w:rPr>
        <w:t>th</w:t>
      </w:r>
      <w:r w:rsidRPr="00207D00">
        <w:t xml:space="preserve"> to 10</w:t>
      </w:r>
      <w:r w:rsidR="00447DFC">
        <w:rPr>
          <w:vertAlign w:val="superscript"/>
        </w:rPr>
        <w:t>th</w:t>
      </w:r>
      <w:r w:rsidRPr="00207D00">
        <w:t>, 2026, featured activities such as Chung</w:t>
      </w:r>
      <w:r w:rsidR="00447DFC">
        <w:t xml:space="preserve"> cake</w:t>
      </w:r>
      <w:r w:rsidRPr="00207D00">
        <w:t xml:space="preserve"> wrapping, art performances, and displays of ancient Tet customs. These events collectively helped citizens gain a deeper understanding of the nation's cultural heritage. A wide range of festival events continued to unfold across multiple heritage sites, museums, and regions nationwide.</w:t>
      </w:r>
    </w:p>
    <w:p w14:paraId="65E2052F" w14:textId="26B14F81" w:rsidR="00AA5F0A" w:rsidRPr="00207D00" w:rsidRDefault="00AA5F0A" w:rsidP="00AA5F0A">
      <w:pPr>
        <w:spacing w:after="120" w:line="259" w:lineRule="auto"/>
        <w:ind w:firstLine="720"/>
        <w:jc w:val="both"/>
        <w:outlineLvl w:val="0"/>
      </w:pPr>
      <w:r w:rsidRPr="00207D00">
        <w:t>In February, the sports sector remained highly active with several key events: The 2</w:t>
      </w:r>
      <w:r w:rsidR="00447DFC">
        <w:rPr>
          <w:vertAlign w:val="superscript"/>
        </w:rPr>
        <w:t>nd</w:t>
      </w:r>
      <w:r w:rsidRPr="00207D00">
        <w:t xml:space="preserve"> Hanoi Open Taekwondo Festival - Thang Long Cup 2026, held from January 31</w:t>
      </w:r>
      <w:r w:rsidR="00051339" w:rsidRPr="00A370C9">
        <w:rPr>
          <w:vertAlign w:val="superscript"/>
        </w:rPr>
        <w:t>st</w:t>
      </w:r>
      <w:r w:rsidR="00051339">
        <w:t xml:space="preserve"> </w:t>
      </w:r>
      <w:r w:rsidRPr="00207D00">
        <w:t>to February 1</w:t>
      </w:r>
      <w:r w:rsidR="00051339" w:rsidRPr="00A370C9">
        <w:rPr>
          <w:vertAlign w:val="superscript"/>
        </w:rPr>
        <w:t>st</w:t>
      </w:r>
      <w:r w:rsidRPr="00207D00">
        <w:t>, attracted nearly 2,000 athletes. Meanwhile, the Viet Nam National Futsal Team competed in the 2026 AFC Futsal Asian Cup in Indonesia from January 27</w:t>
      </w:r>
      <w:r w:rsidR="00051339" w:rsidRPr="00A370C9">
        <w:rPr>
          <w:vertAlign w:val="superscript"/>
        </w:rPr>
        <w:t>th</w:t>
      </w:r>
      <w:r w:rsidR="00051339">
        <w:t xml:space="preserve"> </w:t>
      </w:r>
      <w:r w:rsidRPr="00207D00">
        <w:t>to February 7</w:t>
      </w:r>
      <w:r w:rsidR="00051339" w:rsidRPr="00A370C9">
        <w:rPr>
          <w:vertAlign w:val="superscript"/>
        </w:rPr>
        <w:t>th</w:t>
      </w:r>
      <w:r w:rsidRPr="00207D00">
        <w:t xml:space="preserve">. Furthermore, Vietnamese sports were fully focused on preparations for </w:t>
      </w:r>
      <w:r w:rsidR="00447DFC">
        <w:t>the 20</w:t>
      </w:r>
      <w:r w:rsidR="00447DFC">
        <w:rPr>
          <w:vertAlign w:val="superscript"/>
        </w:rPr>
        <w:t>th</w:t>
      </w:r>
      <w:r w:rsidR="00447DFC">
        <w:t xml:space="preserve"> </w:t>
      </w:r>
      <w:r w:rsidRPr="00207D00">
        <w:t xml:space="preserve">ASIAD in Japan, aiming for the highest possible achievements on the continental arena and following the recent successes at </w:t>
      </w:r>
      <w:r w:rsidR="00447DFC">
        <w:t>the 33</w:t>
      </w:r>
      <w:r w:rsidR="00447DFC">
        <w:rPr>
          <w:vertAlign w:val="superscript"/>
        </w:rPr>
        <w:t>rd</w:t>
      </w:r>
      <w:r w:rsidR="00447DFC">
        <w:t xml:space="preserve"> </w:t>
      </w:r>
      <w:r w:rsidRPr="00207D00">
        <w:t>SEA Games.</w:t>
      </w:r>
    </w:p>
    <w:p w14:paraId="2AEDD011" w14:textId="77777777" w:rsidR="00AA5F0A" w:rsidRPr="00207D00" w:rsidRDefault="00AA5F0A" w:rsidP="00AA5F0A">
      <w:pPr>
        <w:spacing w:after="120" w:line="259" w:lineRule="auto"/>
        <w:ind w:firstLine="720"/>
        <w:jc w:val="both"/>
        <w:outlineLvl w:val="0"/>
        <w:rPr>
          <w:b/>
          <w:i/>
        </w:rPr>
      </w:pPr>
      <w:r w:rsidRPr="00207D00">
        <w:rPr>
          <w:b/>
          <w:i/>
        </w:rPr>
        <w:t>d) Traffic accidents</w:t>
      </w:r>
      <w:r w:rsidRPr="00207D00">
        <w:rPr>
          <w:b/>
          <w:bCs/>
          <w:iCs/>
          <w:vertAlign w:val="superscript"/>
        </w:rPr>
        <w:footnoteReference w:id="30"/>
      </w:r>
    </w:p>
    <w:p w14:paraId="0053D68D" w14:textId="38BCF313" w:rsidR="00AA5F0A" w:rsidRPr="00207D00" w:rsidRDefault="00AA5F0A" w:rsidP="00AA5F0A">
      <w:pPr>
        <w:tabs>
          <w:tab w:val="left" w:pos="567"/>
        </w:tabs>
        <w:spacing w:after="120" w:line="259" w:lineRule="auto"/>
        <w:ind w:firstLine="720"/>
        <w:jc w:val="both"/>
      </w:pPr>
      <w:r w:rsidRPr="00207D00">
        <w:t>In February (from January 26</w:t>
      </w:r>
      <w:r w:rsidR="00051339" w:rsidRPr="00A370C9">
        <w:rPr>
          <w:vertAlign w:val="superscript"/>
        </w:rPr>
        <w:t>th</w:t>
      </w:r>
      <w:r w:rsidRPr="00207D00">
        <w:t xml:space="preserve"> to February 25</w:t>
      </w:r>
      <w:r w:rsidR="00051339" w:rsidRPr="00A370C9">
        <w:rPr>
          <w:vertAlign w:val="superscript"/>
        </w:rPr>
        <w:t>th</w:t>
      </w:r>
      <w:r w:rsidRPr="00207D00">
        <w:t xml:space="preserve">, 2026), there were 1,404 traffic accidents nationwide, resulting in 876 deaths and 854 injuries. In comparison with January 2026, traffic accidents, deaths, and injuries saw decreases of 8.1%, 3.1%, and 9.6%, respectively. Compared with the same period last year, traffic accidents dropped by 5.9%, number of deaths rose by 5.7%, and number of injuries declined by 20.3%. </w:t>
      </w:r>
    </w:p>
    <w:p w14:paraId="2B5A7F72" w14:textId="77777777" w:rsidR="00AA5F0A" w:rsidRPr="00207D00" w:rsidRDefault="00AA5F0A" w:rsidP="00AA5F0A">
      <w:pPr>
        <w:tabs>
          <w:tab w:val="left" w:pos="567"/>
        </w:tabs>
        <w:spacing w:after="120" w:line="259" w:lineRule="auto"/>
        <w:ind w:firstLine="720"/>
        <w:jc w:val="both"/>
      </w:pPr>
      <w:r w:rsidRPr="00207D00">
        <w:t xml:space="preserve">Overall, in the first two months of 2026, there were 2,932 traffic accidents nationwide, resulting in 1,780 deaths and 1,799 injuries. Compared to the same </w:t>
      </w:r>
      <w:r w:rsidRPr="00207D00">
        <w:lastRenderedPageBreak/>
        <w:t xml:space="preserve">period last year, the number of traffic accidents, number of deaths, and number of injuries declined by 10.8%, 2.6% and 18.0%, respectively. On average, there were 47 traffic accidents per day nationwide during the first two months of 2026, resulting in 29 deaths and 29 injuries. </w:t>
      </w:r>
    </w:p>
    <w:p w14:paraId="49D7EFF0" w14:textId="77777777" w:rsidR="00AA5F0A" w:rsidRPr="00207D00" w:rsidRDefault="00AA5F0A" w:rsidP="00AA5F0A">
      <w:pPr>
        <w:tabs>
          <w:tab w:val="left" w:pos="426"/>
          <w:tab w:val="left" w:pos="900"/>
        </w:tabs>
        <w:spacing w:after="120" w:line="259" w:lineRule="auto"/>
        <w:ind w:firstLine="720"/>
        <w:jc w:val="both"/>
        <w:rPr>
          <w:rFonts w:eastAsia="Calibri"/>
          <w:b/>
          <w:i/>
        </w:rPr>
      </w:pPr>
      <w:r w:rsidRPr="00207D00">
        <w:rPr>
          <w:b/>
          <w:i/>
        </w:rPr>
        <w:t>đ) Environment protection, fire and explosion prevention</w:t>
      </w:r>
    </w:p>
    <w:p w14:paraId="7C1CA2E6" w14:textId="006668C0" w:rsidR="00AA5F0A" w:rsidRPr="00207D00" w:rsidRDefault="00AA5F0A" w:rsidP="00AA5F0A">
      <w:pPr>
        <w:tabs>
          <w:tab w:val="left" w:pos="426"/>
          <w:tab w:val="left" w:pos="900"/>
        </w:tabs>
        <w:spacing w:after="120" w:line="259" w:lineRule="auto"/>
        <w:ind w:firstLine="720"/>
        <w:jc w:val="both"/>
        <w:rPr>
          <w:rFonts w:eastAsia="Calibri"/>
        </w:rPr>
      </w:pPr>
      <w:r w:rsidRPr="00207D00">
        <w:t>In February (from January 18</w:t>
      </w:r>
      <w:r w:rsidR="00051339" w:rsidRPr="00A370C9">
        <w:rPr>
          <w:vertAlign w:val="superscript"/>
        </w:rPr>
        <w:t>th</w:t>
      </w:r>
      <w:r w:rsidR="00051339">
        <w:t xml:space="preserve"> </w:t>
      </w:r>
      <w:r w:rsidRPr="00207D00">
        <w:t>to February 17</w:t>
      </w:r>
      <w:r w:rsidR="00051339" w:rsidRPr="00A370C9">
        <w:rPr>
          <w:vertAlign w:val="superscript"/>
        </w:rPr>
        <w:t>th</w:t>
      </w:r>
      <w:r w:rsidRPr="00207D00">
        <w:t>, 2026)</w:t>
      </w:r>
      <w:r w:rsidRPr="00207D00">
        <w:rPr>
          <w:rStyle w:val="FootnoteReference"/>
          <w:rFonts w:eastAsia="Calibri"/>
        </w:rPr>
        <w:footnoteReference w:id="31"/>
      </w:r>
      <w:r w:rsidRPr="00207D00">
        <w:t xml:space="preserve">, </w:t>
      </w:r>
      <w:r w:rsidR="00447DFC">
        <w:t xml:space="preserve">the </w:t>
      </w:r>
      <w:r w:rsidRPr="00207D00">
        <w:t>authorities identified 2,013 environmental violations across 33 out of 34 localities</w:t>
      </w:r>
      <w:r w:rsidRPr="00207D00">
        <w:rPr>
          <w:rStyle w:val="FootnoteReference"/>
        </w:rPr>
        <w:footnoteReference w:id="32"/>
      </w:r>
      <w:r w:rsidRPr="00207D00">
        <w:t>.</w:t>
      </w:r>
      <w:r w:rsidR="00447DFC">
        <w:t xml:space="preserve"> Of which</w:t>
      </w:r>
      <w:r w:rsidRPr="00207D00">
        <w:t>, 1,691 cases were addressed with total fine of 32.1 billion VND, experiencing a month-on-month decrease of 7.3% and a year-on-year increase of 27.5%. Overall, in the first two months of 2026, 4,695 cases of violating regulations of environment protection were detected, of which 3,899 cases were addressed with total fine of 66.7 billion VND, a year-on-year increase of 19.4%.</w:t>
      </w:r>
    </w:p>
    <w:p w14:paraId="71A25427" w14:textId="72E25D45" w:rsidR="00AA5F0A" w:rsidRPr="00207D00" w:rsidRDefault="00AA5F0A" w:rsidP="00AA5F0A">
      <w:pPr>
        <w:pStyle w:val="Normal1"/>
        <w:spacing w:before="0" w:beforeAutospacing="0" w:after="120" w:afterAutospacing="0" w:line="259" w:lineRule="auto"/>
        <w:ind w:firstLine="720"/>
        <w:jc w:val="both"/>
        <w:rPr>
          <w:rFonts w:eastAsia="Calibri"/>
          <w:b/>
          <w:i/>
        </w:rPr>
      </w:pPr>
      <w:r w:rsidRPr="00207D00">
        <w:rPr>
          <w:rFonts w:ascii="Times New Roman" w:hAnsi="Times New Roman"/>
          <w:sz w:val="28"/>
        </w:rPr>
        <w:t>During the month (from January 15</w:t>
      </w:r>
      <w:r w:rsidR="00051339" w:rsidRPr="00A370C9">
        <w:rPr>
          <w:rFonts w:ascii="Times New Roman" w:hAnsi="Times New Roman"/>
          <w:sz w:val="28"/>
          <w:vertAlign w:val="superscript"/>
        </w:rPr>
        <w:t>th</w:t>
      </w:r>
      <w:r w:rsidRPr="00207D00">
        <w:rPr>
          <w:rFonts w:ascii="Times New Roman" w:hAnsi="Times New Roman"/>
          <w:sz w:val="28"/>
        </w:rPr>
        <w:t xml:space="preserve"> to February 14</w:t>
      </w:r>
      <w:r w:rsidR="00051339" w:rsidRPr="00A370C9">
        <w:rPr>
          <w:rFonts w:ascii="Times New Roman" w:hAnsi="Times New Roman"/>
          <w:sz w:val="28"/>
          <w:vertAlign w:val="superscript"/>
        </w:rPr>
        <w:t>th</w:t>
      </w:r>
      <w:r w:rsidRPr="00207D00">
        <w:rPr>
          <w:rFonts w:ascii="Times New Roman" w:hAnsi="Times New Roman"/>
          <w:sz w:val="28"/>
        </w:rPr>
        <w:t>, 2026)</w:t>
      </w:r>
      <w:r w:rsidRPr="00207D00">
        <w:rPr>
          <w:rStyle w:val="FootnoteReference"/>
          <w:rFonts w:ascii="Times New Roman" w:eastAsia="Calibri" w:hAnsi="Times New Roman" w:cs="Times New Roman"/>
          <w:spacing w:val="2"/>
          <w:sz w:val="28"/>
          <w:szCs w:val="28"/>
        </w:rPr>
        <w:footnoteReference w:id="33"/>
      </w:r>
      <w:r w:rsidRPr="00207D00">
        <w:rPr>
          <w:rFonts w:ascii="Times New Roman" w:hAnsi="Times New Roman"/>
          <w:sz w:val="28"/>
        </w:rPr>
        <w:t>, 255 cases of fires and explosions occurred nationwide, resulting in 11 deaths and 15 injuries, with an estimated loss of 29.8 billion VND, experiencing a month-on-month decrease of 84.6% and a year-on-year increase of 21.3%. Overall, for the first 2 months of 2026, there were 515 fires and explosions nationwide, causing 23 deaths and 27 injuries, with an estimated loss of 223.0 billion VND, a 6.1 times higher than the same period last year./.</w:t>
      </w:r>
    </w:p>
    <w:tbl>
      <w:tblPr>
        <w:tblStyle w:val="TableGrid1"/>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873"/>
      </w:tblGrid>
      <w:tr w:rsidR="00AA5F0A" w:rsidRPr="00207D00" w14:paraId="7DB07045" w14:textId="77777777" w:rsidTr="00A370C9">
        <w:tc>
          <w:tcPr>
            <w:tcW w:w="5103" w:type="dxa"/>
          </w:tcPr>
          <w:p w14:paraId="7B834D15" w14:textId="77777777" w:rsidR="00AA5F0A" w:rsidRPr="00207D00" w:rsidRDefault="00AA5F0A" w:rsidP="00D563AA">
            <w:pPr>
              <w:ind w:left="-57"/>
              <w:rPr>
                <w:rFonts w:eastAsia="Calibri"/>
                <w:b/>
                <w:i/>
                <w:sz w:val="24"/>
                <w:szCs w:val="22"/>
                <w:lang w:val="en-US"/>
              </w:rPr>
            </w:pPr>
            <w:r w:rsidRPr="00207D00">
              <w:rPr>
                <w:b/>
                <w:i/>
                <w:sz w:val="24"/>
                <w:lang w:val="en-US"/>
              </w:rPr>
              <w:t>Recipients:</w:t>
            </w:r>
          </w:p>
          <w:p w14:paraId="773114A3" w14:textId="77777777" w:rsidR="00AA5F0A" w:rsidRPr="00207D00" w:rsidRDefault="00AA5F0A" w:rsidP="00D563AA">
            <w:pPr>
              <w:ind w:left="-57"/>
              <w:rPr>
                <w:rFonts w:eastAsia="Calibri"/>
                <w:sz w:val="22"/>
                <w:szCs w:val="22"/>
                <w:lang w:val="en-US"/>
              </w:rPr>
            </w:pPr>
            <w:r w:rsidRPr="00207D00">
              <w:rPr>
                <w:sz w:val="22"/>
                <w:lang w:val="en-US"/>
              </w:rPr>
              <w:t>- General Secretary;</w:t>
            </w:r>
          </w:p>
          <w:p w14:paraId="30F1B4B7" w14:textId="77777777" w:rsidR="00AA5F0A" w:rsidRPr="00207D00" w:rsidRDefault="00AA5F0A" w:rsidP="00D563AA">
            <w:pPr>
              <w:ind w:left="-57"/>
              <w:rPr>
                <w:rFonts w:eastAsia="Calibri"/>
                <w:sz w:val="22"/>
                <w:szCs w:val="22"/>
                <w:lang w:val="en-US"/>
              </w:rPr>
            </w:pPr>
            <w:r w:rsidRPr="00207D00">
              <w:rPr>
                <w:sz w:val="22"/>
                <w:lang w:val="en-US"/>
              </w:rPr>
              <w:t>- President;</w:t>
            </w:r>
          </w:p>
          <w:p w14:paraId="43AEA1ED" w14:textId="77777777" w:rsidR="00AA5F0A" w:rsidRPr="00207D00" w:rsidRDefault="00AA5F0A" w:rsidP="00D563AA">
            <w:pPr>
              <w:ind w:left="-57"/>
              <w:rPr>
                <w:rFonts w:eastAsia="Calibri"/>
                <w:sz w:val="22"/>
                <w:szCs w:val="22"/>
                <w:lang w:val="en-US"/>
              </w:rPr>
            </w:pPr>
            <w:r w:rsidRPr="00207D00">
              <w:rPr>
                <w:sz w:val="22"/>
                <w:lang w:val="en-US"/>
              </w:rPr>
              <w:t>- Chairperson of the National Assembly;</w:t>
            </w:r>
          </w:p>
          <w:p w14:paraId="1D86EBF3" w14:textId="77777777" w:rsidR="00AA5F0A" w:rsidRPr="00207D00" w:rsidRDefault="00AA5F0A" w:rsidP="00D563AA">
            <w:pPr>
              <w:ind w:left="-57"/>
              <w:rPr>
                <w:rFonts w:eastAsia="Calibri"/>
                <w:sz w:val="22"/>
                <w:szCs w:val="22"/>
                <w:lang w:val="en-US"/>
              </w:rPr>
            </w:pPr>
            <w:r w:rsidRPr="00207D00">
              <w:rPr>
                <w:sz w:val="22"/>
                <w:lang w:val="en-US"/>
              </w:rPr>
              <w:t>- Prime Minister;</w:t>
            </w:r>
          </w:p>
          <w:p w14:paraId="5C167D80" w14:textId="77777777" w:rsidR="00AA5F0A" w:rsidRPr="00207D00" w:rsidRDefault="00AA5F0A" w:rsidP="00D563AA">
            <w:pPr>
              <w:ind w:left="-57"/>
              <w:rPr>
                <w:rFonts w:eastAsia="Calibri"/>
                <w:sz w:val="22"/>
                <w:szCs w:val="22"/>
                <w:lang w:val="en-US"/>
              </w:rPr>
            </w:pPr>
            <w:r w:rsidRPr="00207D00">
              <w:rPr>
                <w:sz w:val="22"/>
                <w:lang w:val="en-US"/>
              </w:rPr>
              <w:t>- Deputy Prime Ministers;</w:t>
            </w:r>
          </w:p>
          <w:p w14:paraId="65D9887D" w14:textId="77777777" w:rsidR="00AA5F0A" w:rsidRPr="00207D00" w:rsidRDefault="00AA5F0A" w:rsidP="00D563AA">
            <w:pPr>
              <w:ind w:left="-57"/>
              <w:rPr>
                <w:rFonts w:eastAsia="Calibri"/>
                <w:sz w:val="22"/>
                <w:szCs w:val="22"/>
                <w:lang w:val="en-US"/>
              </w:rPr>
            </w:pPr>
            <w:r w:rsidRPr="00207D00">
              <w:rPr>
                <w:sz w:val="22"/>
                <w:lang w:val="en-US"/>
              </w:rPr>
              <w:t>- Leaders of Ministry of Finance;</w:t>
            </w:r>
          </w:p>
          <w:p w14:paraId="65562050" w14:textId="77777777" w:rsidR="00AA5F0A" w:rsidRPr="00207D00" w:rsidRDefault="00AA5F0A" w:rsidP="00D563AA">
            <w:pPr>
              <w:ind w:left="-57"/>
              <w:rPr>
                <w:rFonts w:eastAsia="Calibri"/>
                <w:sz w:val="22"/>
                <w:szCs w:val="22"/>
                <w:lang w:val="en-US"/>
              </w:rPr>
            </w:pPr>
            <w:r w:rsidRPr="00207D00">
              <w:rPr>
                <w:sz w:val="22"/>
                <w:lang w:val="en-US"/>
              </w:rPr>
              <w:t>- Agencies under the Central Committee of the Party;</w:t>
            </w:r>
          </w:p>
          <w:p w14:paraId="34229566" w14:textId="77777777" w:rsidR="00AA5F0A" w:rsidRPr="00207D00" w:rsidRDefault="00AA5F0A" w:rsidP="00D563AA">
            <w:pPr>
              <w:ind w:left="-57"/>
              <w:rPr>
                <w:rFonts w:eastAsia="Calibri"/>
                <w:sz w:val="22"/>
                <w:szCs w:val="22"/>
                <w:lang w:val="en-US"/>
              </w:rPr>
            </w:pPr>
            <w:r w:rsidRPr="00207D00">
              <w:rPr>
                <w:sz w:val="22"/>
                <w:lang w:val="en-US"/>
              </w:rPr>
              <w:t>- Office of the President;</w:t>
            </w:r>
          </w:p>
          <w:p w14:paraId="2DCA38F5" w14:textId="77777777" w:rsidR="00AA5F0A" w:rsidRPr="00207D00" w:rsidRDefault="00AA5F0A" w:rsidP="00D563AA">
            <w:pPr>
              <w:ind w:left="-57"/>
              <w:rPr>
                <w:rFonts w:eastAsia="Calibri"/>
                <w:sz w:val="22"/>
                <w:szCs w:val="22"/>
                <w:lang w:val="en-US"/>
              </w:rPr>
            </w:pPr>
            <w:r w:rsidRPr="00207D00">
              <w:rPr>
                <w:sz w:val="22"/>
                <w:lang w:val="en-US"/>
              </w:rPr>
              <w:t>- Agencies under the National Assembly;</w:t>
            </w:r>
          </w:p>
          <w:p w14:paraId="5A7688A3" w14:textId="02A4B9F0" w:rsidR="00AA5F0A" w:rsidRPr="00207D00" w:rsidRDefault="00AA5F0A" w:rsidP="00A370C9">
            <w:pPr>
              <w:ind w:left="-57"/>
              <w:rPr>
                <w:rFonts w:eastAsia="Calibri"/>
                <w:sz w:val="22"/>
                <w:szCs w:val="22"/>
                <w:lang w:val="en-US"/>
              </w:rPr>
            </w:pPr>
            <w:r w:rsidRPr="00207D00">
              <w:rPr>
                <w:sz w:val="22"/>
                <w:lang w:val="en-US"/>
              </w:rPr>
              <w:t>- Ministries and line-ministries; Government agencies;</w:t>
            </w:r>
          </w:p>
          <w:p w14:paraId="1064B979" w14:textId="77777777" w:rsidR="00AA5F0A" w:rsidRPr="00207D00" w:rsidRDefault="00AA5F0A" w:rsidP="00D563AA">
            <w:pPr>
              <w:ind w:left="-57"/>
              <w:rPr>
                <w:rFonts w:eastAsia="Calibri"/>
                <w:sz w:val="22"/>
                <w:szCs w:val="22"/>
                <w:lang w:val="en-US"/>
              </w:rPr>
            </w:pPr>
            <w:r w:rsidRPr="00207D00">
              <w:rPr>
                <w:sz w:val="22"/>
                <w:lang w:val="en-US"/>
              </w:rPr>
              <w:t>- Supreme People’s Court;</w:t>
            </w:r>
          </w:p>
          <w:p w14:paraId="032C0BC9" w14:textId="77777777" w:rsidR="00AA5F0A" w:rsidRPr="00207D00" w:rsidRDefault="00AA5F0A" w:rsidP="00D563AA">
            <w:pPr>
              <w:ind w:left="-57"/>
              <w:rPr>
                <w:rFonts w:eastAsia="Calibri"/>
                <w:sz w:val="22"/>
                <w:szCs w:val="22"/>
                <w:lang w:val="en-US"/>
              </w:rPr>
            </w:pPr>
            <w:r w:rsidRPr="00207D00">
              <w:rPr>
                <w:sz w:val="22"/>
                <w:lang w:val="en-US"/>
              </w:rPr>
              <w:t>- Supreme People's Procuracy;</w:t>
            </w:r>
          </w:p>
          <w:p w14:paraId="4BCCD3AB" w14:textId="77777777" w:rsidR="00AA5F0A" w:rsidRPr="00207D00" w:rsidRDefault="00AA5F0A" w:rsidP="00D563AA">
            <w:pPr>
              <w:ind w:left="-57"/>
              <w:rPr>
                <w:rFonts w:eastAsia="Calibri"/>
                <w:sz w:val="22"/>
                <w:szCs w:val="22"/>
                <w:lang w:val="en-US"/>
              </w:rPr>
            </w:pPr>
            <w:r w:rsidRPr="00207D00">
              <w:rPr>
                <w:sz w:val="22"/>
                <w:lang w:val="en-US"/>
              </w:rPr>
              <w:t>- Central mass organizations;</w:t>
            </w:r>
          </w:p>
          <w:p w14:paraId="0BE12310" w14:textId="77777777" w:rsidR="00AA5F0A" w:rsidRPr="00207D00" w:rsidRDefault="00AA5F0A" w:rsidP="00D563AA">
            <w:pPr>
              <w:ind w:left="-57"/>
              <w:rPr>
                <w:rFonts w:eastAsia="Calibri"/>
                <w:sz w:val="22"/>
                <w:szCs w:val="22"/>
                <w:lang w:val="en-US"/>
              </w:rPr>
            </w:pPr>
            <w:r w:rsidRPr="00207D00">
              <w:rPr>
                <w:sz w:val="22"/>
                <w:lang w:val="en-US"/>
              </w:rPr>
              <w:t>- Provinces and centrally governed cities;</w:t>
            </w:r>
          </w:p>
          <w:p w14:paraId="570AE26B" w14:textId="77777777" w:rsidR="00AA5F0A" w:rsidRPr="00207D00" w:rsidRDefault="00AA5F0A" w:rsidP="00D563AA">
            <w:pPr>
              <w:ind w:left="-57"/>
              <w:rPr>
                <w:rFonts w:eastAsia="Calibri"/>
                <w:sz w:val="22"/>
                <w:szCs w:val="22"/>
                <w:lang w:val="en-US"/>
              </w:rPr>
            </w:pPr>
            <w:r w:rsidRPr="00207D00">
              <w:rPr>
                <w:sz w:val="22"/>
                <w:lang w:val="en-US"/>
              </w:rPr>
              <w:t>- Viet Nam Chamber of Commerce and Industry (VCCI);</w:t>
            </w:r>
          </w:p>
          <w:p w14:paraId="579D1942" w14:textId="77777777" w:rsidR="00AA5F0A" w:rsidRPr="00207D00" w:rsidRDefault="00AA5F0A" w:rsidP="00D563AA">
            <w:pPr>
              <w:ind w:left="-57"/>
              <w:rPr>
                <w:rFonts w:eastAsia="Calibri"/>
                <w:sz w:val="22"/>
                <w:szCs w:val="22"/>
                <w:lang w:val="en-US"/>
              </w:rPr>
            </w:pPr>
            <w:r w:rsidRPr="00207D00">
              <w:rPr>
                <w:sz w:val="22"/>
                <w:lang w:val="en-US"/>
              </w:rPr>
              <w:t>- Units under the Ministry of Finance;</w:t>
            </w:r>
          </w:p>
          <w:p w14:paraId="40DED284" w14:textId="77777777" w:rsidR="00AA5F0A" w:rsidRPr="00207D00" w:rsidRDefault="00AA5F0A" w:rsidP="00D563AA">
            <w:pPr>
              <w:ind w:left="-57"/>
              <w:rPr>
                <w:rFonts w:eastAsia="Calibri"/>
                <w:sz w:val="22"/>
                <w:szCs w:val="22"/>
                <w:lang w:val="en-US"/>
              </w:rPr>
            </w:pPr>
            <w:r w:rsidRPr="00207D00">
              <w:rPr>
                <w:sz w:val="22"/>
                <w:lang w:val="en-US"/>
              </w:rPr>
              <w:t>- News agencies and press;</w:t>
            </w:r>
          </w:p>
          <w:p w14:paraId="3F3EEE1E" w14:textId="77777777" w:rsidR="00AA5F0A" w:rsidRPr="00207D00" w:rsidRDefault="00AA5F0A" w:rsidP="00D563AA">
            <w:pPr>
              <w:ind w:left="-57"/>
              <w:rPr>
                <w:rFonts w:eastAsia="Calibri"/>
                <w:sz w:val="22"/>
                <w:szCs w:val="22"/>
                <w:lang w:val="en-US"/>
              </w:rPr>
            </w:pPr>
            <w:r w:rsidRPr="00207D00">
              <w:rPr>
                <w:sz w:val="22"/>
                <w:lang w:val="en-US"/>
              </w:rPr>
              <w:t>- Units under the National Statistics Office;</w:t>
            </w:r>
          </w:p>
          <w:p w14:paraId="6C41B868" w14:textId="77777777" w:rsidR="00AA5F0A" w:rsidRPr="00207D00" w:rsidRDefault="00AA5F0A" w:rsidP="00D563AA">
            <w:pPr>
              <w:ind w:left="-57"/>
              <w:rPr>
                <w:rFonts w:eastAsia="Calibri"/>
                <w:b/>
                <w:i/>
                <w:sz w:val="24"/>
                <w:szCs w:val="22"/>
                <w:lang w:val="en-US"/>
              </w:rPr>
            </w:pPr>
            <w:r w:rsidRPr="00207D00">
              <w:rPr>
                <w:sz w:val="22"/>
                <w:lang w:val="en-US"/>
              </w:rPr>
              <w:t>Archives: Correspondence Section, Integrated Statistics and Foreign Affairs Department.</w:t>
            </w:r>
          </w:p>
        </w:tc>
        <w:tc>
          <w:tcPr>
            <w:tcW w:w="3873" w:type="dxa"/>
          </w:tcPr>
          <w:p w14:paraId="304C60DF" w14:textId="77777777" w:rsidR="00AA5F0A" w:rsidRPr="00207D00" w:rsidRDefault="00AA5F0A" w:rsidP="00E00CA5">
            <w:pPr>
              <w:shd w:val="clear" w:color="auto" w:fill="FFFFFF"/>
              <w:tabs>
                <w:tab w:val="left" w:pos="6540"/>
              </w:tabs>
              <w:rPr>
                <w:rFonts w:eastAsia="Calibri"/>
                <w:b/>
                <w:bCs/>
                <w:lang w:val="en-US"/>
              </w:rPr>
            </w:pPr>
            <w:r w:rsidRPr="00207D00">
              <w:rPr>
                <w:b/>
                <w:lang w:val="en-US"/>
              </w:rPr>
              <w:t>DIRECTOR GENERAL</w:t>
            </w:r>
          </w:p>
          <w:p w14:paraId="7D2D24D9" w14:textId="77777777" w:rsidR="00AA5F0A" w:rsidRPr="00207D00" w:rsidRDefault="00AA5F0A" w:rsidP="00D563AA">
            <w:pPr>
              <w:ind w:firstLine="894"/>
              <w:jc w:val="center"/>
              <w:rPr>
                <w:rFonts w:eastAsia="Calibri"/>
                <w:b/>
                <w:bCs/>
                <w:lang w:val="en-US"/>
              </w:rPr>
            </w:pPr>
          </w:p>
          <w:p w14:paraId="47EB90DE" w14:textId="77777777" w:rsidR="00AA5F0A" w:rsidRPr="00207D00" w:rsidRDefault="00AA5F0A" w:rsidP="00D563AA">
            <w:pPr>
              <w:ind w:firstLine="894"/>
              <w:jc w:val="center"/>
              <w:rPr>
                <w:rFonts w:eastAsia="Calibri"/>
                <w:b/>
                <w:bCs/>
                <w:lang w:val="en-US"/>
              </w:rPr>
            </w:pPr>
          </w:p>
          <w:p w14:paraId="33216E30" w14:textId="77777777" w:rsidR="00AA5F0A" w:rsidRPr="00207D00" w:rsidRDefault="00AA5F0A" w:rsidP="00D563AA">
            <w:pPr>
              <w:ind w:firstLine="894"/>
              <w:jc w:val="center"/>
              <w:rPr>
                <w:rFonts w:eastAsia="Calibri"/>
                <w:b/>
                <w:bCs/>
                <w:lang w:val="en-US"/>
              </w:rPr>
            </w:pPr>
          </w:p>
          <w:p w14:paraId="248D039A" w14:textId="77777777" w:rsidR="00AA5F0A" w:rsidRPr="00207D00" w:rsidRDefault="00AA5F0A" w:rsidP="00D563AA">
            <w:pPr>
              <w:ind w:firstLine="894"/>
              <w:jc w:val="center"/>
              <w:rPr>
                <w:rFonts w:eastAsia="Calibri"/>
                <w:b/>
                <w:bCs/>
                <w:lang w:val="en-US"/>
              </w:rPr>
            </w:pPr>
          </w:p>
          <w:p w14:paraId="53FBCB3B" w14:textId="62EC44C3" w:rsidR="00AA5F0A" w:rsidRPr="00207D00" w:rsidRDefault="00E00CA5" w:rsidP="00E00CA5">
            <w:pPr>
              <w:rPr>
                <w:rFonts w:eastAsia="Calibri"/>
                <w:b/>
                <w:iCs/>
                <w:sz w:val="24"/>
                <w:szCs w:val="22"/>
                <w:lang w:val="en-US"/>
              </w:rPr>
            </w:pPr>
            <w:r>
              <w:rPr>
                <w:b/>
                <w:lang w:val="en-US"/>
              </w:rPr>
              <w:t xml:space="preserve">    </w:t>
            </w:r>
            <w:r w:rsidR="00AA5F0A" w:rsidRPr="00207D00">
              <w:rPr>
                <w:b/>
                <w:lang w:val="en-US"/>
              </w:rPr>
              <w:t>Nguyễn Thị Hương</w:t>
            </w:r>
          </w:p>
        </w:tc>
      </w:tr>
    </w:tbl>
    <w:p w14:paraId="3EC86DC2" w14:textId="77777777" w:rsidR="00163059" w:rsidRPr="00207D00" w:rsidRDefault="00163059"/>
    <w:sectPr w:rsidR="00163059" w:rsidRPr="00207D00" w:rsidSect="009E6614">
      <w:headerReference w:type="even" r:id="rId28"/>
      <w:headerReference w:type="default" r:id="rId29"/>
      <w:footerReference w:type="even" r:id="rId30"/>
      <w:footerReference w:type="default" r:id="rId31"/>
      <w:headerReference w:type="first" r:id="rId32"/>
      <w:footerReference w:type="first" r:id="rId33"/>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E2951" w14:textId="77777777" w:rsidR="00587A56" w:rsidRDefault="00587A56" w:rsidP="00053768">
      <w:r>
        <w:separator/>
      </w:r>
    </w:p>
  </w:endnote>
  <w:endnote w:type="continuationSeparator" w:id="0">
    <w:p w14:paraId="4CE58315" w14:textId="77777777" w:rsidR="00587A56" w:rsidRDefault="00587A56"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9F13" w14:textId="77777777" w:rsidR="00660B05" w:rsidRDefault="00660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6519" w14:textId="77777777" w:rsidR="00660B05" w:rsidRDefault="00660B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D222" w14:textId="77777777" w:rsidR="00660B05" w:rsidRDefault="00660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CF6E4" w14:textId="77777777" w:rsidR="00587A56" w:rsidRDefault="00587A56" w:rsidP="00053768">
      <w:r>
        <w:separator/>
      </w:r>
    </w:p>
  </w:footnote>
  <w:footnote w:type="continuationSeparator" w:id="0">
    <w:p w14:paraId="44498F9A" w14:textId="77777777" w:rsidR="00587A56" w:rsidRDefault="00587A56" w:rsidP="00053768">
      <w:r>
        <w:continuationSeparator/>
      </w:r>
    </w:p>
  </w:footnote>
  <w:footnote w:id="1">
    <w:p w14:paraId="375B7F8E" w14:textId="77777777" w:rsidR="00660B05" w:rsidRPr="00E65CB6" w:rsidRDefault="00660B05" w:rsidP="008171C7">
      <w:pPr>
        <w:pStyle w:val="FootnoteText"/>
        <w:spacing w:after="40"/>
        <w:ind w:left="142" w:hanging="142"/>
        <w:jc w:val="both"/>
        <w:rPr>
          <w:lang w:val="en-US"/>
        </w:rPr>
      </w:pPr>
      <w:r>
        <w:rPr>
          <w:rStyle w:val="FootnoteReference"/>
        </w:rPr>
        <w:footnoteRef/>
      </w:r>
      <w:r>
        <w:t xml:space="preserve"> </w:t>
      </w:r>
      <w:r>
        <w:rPr>
          <w:lang w:val="en-US"/>
        </w:rPr>
        <w:t xml:space="preserve">Cultivated </w:t>
      </w:r>
      <w:r w:rsidRPr="00E65CB6">
        <w:t>area decreased</w:t>
      </w:r>
      <w:r>
        <w:rPr>
          <w:lang w:val="en-US"/>
        </w:rPr>
        <w:t xml:space="preserve">, </w:t>
      </w:r>
      <w:r w:rsidRPr="00E65CB6">
        <w:t>compar</w:t>
      </w:r>
      <w:r>
        <w:rPr>
          <w:lang w:val="en-US"/>
        </w:rPr>
        <w:t xml:space="preserve">ing </w:t>
      </w:r>
      <w:r w:rsidRPr="00E65CB6">
        <w:t xml:space="preserve">to the same period last year, mainly due to unfavorable weather </w:t>
      </w:r>
      <w:r>
        <w:rPr>
          <w:lang w:val="en-US"/>
        </w:rPr>
        <w:t xml:space="preserve">causing long lasting </w:t>
      </w:r>
      <w:r w:rsidRPr="00E65CB6">
        <w:t xml:space="preserve">the winter harvest, affecting the land preparation and spring </w:t>
      </w:r>
      <w:r>
        <w:rPr>
          <w:lang w:val="en-US"/>
        </w:rPr>
        <w:t>cultivating</w:t>
      </w:r>
      <w:r w:rsidRPr="00E65CB6">
        <w:t xml:space="preserve">. In addition, the </w:t>
      </w:r>
      <w:r>
        <w:rPr>
          <w:lang w:val="en-US"/>
        </w:rPr>
        <w:t xml:space="preserve">cultivation </w:t>
      </w:r>
      <w:r w:rsidRPr="00E65CB6">
        <w:t>period coincided with the Lunar New Year holiday, causin</w:t>
      </w:r>
      <w:r>
        <w:t>g delays in production progress</w:t>
      </w:r>
      <w:r w:rsidRPr="001B49F7">
        <w:t>.</w:t>
      </w:r>
      <w:r>
        <w:rPr>
          <w:lang w:val="en-US"/>
        </w:rPr>
        <w:t xml:space="preserve"> </w:t>
      </w:r>
    </w:p>
  </w:footnote>
  <w:footnote w:id="2">
    <w:p w14:paraId="4C393178" w14:textId="406A5708" w:rsidR="00660B05" w:rsidRPr="00750B9A" w:rsidRDefault="00660B05" w:rsidP="008171C7">
      <w:pPr>
        <w:pStyle w:val="FootnoteText"/>
        <w:spacing w:after="40"/>
        <w:ind w:left="142" w:hanging="142"/>
        <w:jc w:val="both"/>
        <w:rPr>
          <w:lang w:val="en-GB"/>
        </w:rPr>
      </w:pPr>
      <w:r>
        <w:rPr>
          <w:rStyle w:val="FootnoteReference"/>
        </w:rPr>
        <w:footnoteRef/>
      </w:r>
      <w:r>
        <w:t xml:space="preserve"> </w:t>
      </w:r>
      <w:r w:rsidRPr="00D51A8F">
        <w:rPr>
          <w:lang w:val="en-GB"/>
        </w:rPr>
        <w:t xml:space="preserve">February coincided with the Lunar New Year holiday, during which localities and production </w:t>
      </w:r>
      <w:r w:rsidR="00E47C1D" w:rsidRPr="00D51A8F">
        <w:rPr>
          <w:lang w:val="en-GB"/>
        </w:rPr>
        <w:t>establishments temporarily</w:t>
      </w:r>
      <w:r w:rsidRPr="00D51A8F">
        <w:rPr>
          <w:lang w:val="en-GB"/>
        </w:rPr>
        <w:t xml:space="preserve"> cease operations, causing a smaller area of planted forests, comparing to the same period last year.</w:t>
      </w:r>
    </w:p>
  </w:footnote>
  <w:footnote w:id="3">
    <w:p w14:paraId="492B9BFD" w14:textId="77777777" w:rsidR="00660B05" w:rsidRPr="00F1270D" w:rsidRDefault="00660B05" w:rsidP="008171C7">
      <w:pPr>
        <w:pStyle w:val="FootnoteText"/>
        <w:spacing w:after="40"/>
        <w:ind w:left="142" w:hanging="142"/>
        <w:jc w:val="both"/>
        <w:rPr>
          <w:lang w:val="en-US"/>
        </w:rPr>
      </w:pPr>
      <w:r w:rsidRPr="00F1270D">
        <w:rPr>
          <w:rStyle w:val="FootnoteReference"/>
        </w:rPr>
        <w:footnoteRef/>
      </w:r>
      <w:r w:rsidRPr="00F1270D">
        <w:t xml:space="preserve"> </w:t>
      </w:r>
      <w:r w:rsidRPr="00D51A8F">
        <w:rPr>
          <w:lang w:val="sv-SE"/>
        </w:rPr>
        <w:t>Figures released by Ministry of Agriculture and Environment, from January 16, 2026 to February 15, 2026</w:t>
      </w:r>
    </w:p>
  </w:footnote>
  <w:footnote w:id="4">
    <w:p w14:paraId="290C191F" w14:textId="5382895F" w:rsidR="00660B05" w:rsidRPr="00F1270D" w:rsidRDefault="00660B05" w:rsidP="008171C7">
      <w:pPr>
        <w:pStyle w:val="FootnoteText"/>
        <w:spacing w:after="40"/>
        <w:ind w:left="142" w:hanging="142"/>
        <w:jc w:val="both"/>
        <w:rPr>
          <w:spacing w:val="-4"/>
          <w:lang w:val="en-US"/>
        </w:rPr>
      </w:pPr>
      <w:r w:rsidRPr="00F1270D">
        <w:rPr>
          <w:rStyle w:val="FootnoteReference"/>
        </w:rPr>
        <w:footnoteRef/>
      </w:r>
      <w:r w:rsidRPr="00F1270D">
        <w:t xml:space="preserve"> </w:t>
      </w:r>
      <w:r w:rsidRPr="0021089A">
        <w:t>According to the Viet</w:t>
      </w:r>
      <w:r w:rsidR="00E47C1D">
        <w:t xml:space="preserve"> N</w:t>
      </w:r>
      <w:r w:rsidRPr="0021089A">
        <w:t>am Association of Seafood Processing and Export (VASEP): The price of raw pangasius in the Mekong</w:t>
      </w:r>
      <w:r w:rsidR="00E47C1D">
        <w:t xml:space="preserve"> River</w:t>
      </w:r>
      <w:r w:rsidRPr="0021089A">
        <w:t xml:space="preserve"> Delta </w:t>
      </w:r>
      <w:r>
        <w:rPr>
          <w:lang w:val="vi-VN"/>
        </w:rPr>
        <w:t xml:space="preserve">was estimated </w:t>
      </w:r>
      <w:r w:rsidRPr="0021089A">
        <w:t>at 33,000-34,000 VND/kg, increas</w:t>
      </w:r>
      <w:r>
        <w:rPr>
          <w:lang w:val="vi-VN"/>
        </w:rPr>
        <w:t xml:space="preserve">ing by </w:t>
      </w:r>
      <w:r w:rsidRPr="0021089A">
        <w:t>2,000 VND/kg</w:t>
      </w:r>
      <w:r>
        <w:rPr>
          <w:lang w:val="vi-VN"/>
        </w:rPr>
        <w:t xml:space="preserve">, </w:t>
      </w:r>
      <w:r w:rsidRPr="0021089A">
        <w:t>compar</w:t>
      </w:r>
      <w:r>
        <w:rPr>
          <w:lang w:val="vi-VN"/>
        </w:rPr>
        <w:t xml:space="preserve">ing to </w:t>
      </w:r>
      <w:r w:rsidRPr="0021089A">
        <w:t>the same period last year.</w:t>
      </w:r>
    </w:p>
  </w:footnote>
  <w:footnote w:id="5">
    <w:p w14:paraId="502C766E" w14:textId="77777777" w:rsidR="00660B05" w:rsidRPr="00F1270D" w:rsidRDefault="00660B05" w:rsidP="008171C7">
      <w:pPr>
        <w:pStyle w:val="FootnoteText"/>
        <w:spacing w:after="40"/>
        <w:ind w:left="142" w:hanging="142"/>
        <w:jc w:val="both"/>
        <w:rPr>
          <w:lang w:val="en-GB"/>
        </w:rPr>
      </w:pPr>
      <w:r w:rsidRPr="00F1270D">
        <w:rPr>
          <w:rStyle w:val="FootnoteReference"/>
        </w:rPr>
        <w:footnoteRef/>
      </w:r>
      <w:r>
        <w:t xml:space="preserve"> </w:t>
      </w:r>
      <w:r>
        <w:rPr>
          <w:lang w:val="vi-VN"/>
        </w:rPr>
        <w:t xml:space="preserve">Figures released by </w:t>
      </w:r>
      <w:r w:rsidRPr="000E68CA">
        <w:t xml:space="preserve">provincial and </w:t>
      </w:r>
      <w:r>
        <w:rPr>
          <w:lang w:val="vi-VN"/>
        </w:rPr>
        <w:t xml:space="preserve">city </w:t>
      </w:r>
      <w:r w:rsidRPr="000E68CA">
        <w:t>statistics:</w:t>
      </w:r>
      <w:r>
        <w:rPr>
          <w:lang w:val="vi-VN"/>
        </w:rPr>
        <w:t xml:space="preserve"> office. </w:t>
      </w:r>
      <w:r w:rsidRPr="000E68CA">
        <w:t xml:space="preserve"> The price of white leg shrimp remains high, while the price of raw tiger shrimp increased by 10,000-20,000 VND/kg </w:t>
      </w:r>
      <w:r>
        <w:rPr>
          <w:lang w:val="vi-VN"/>
        </w:rPr>
        <w:t xml:space="preserve">, comparing </w:t>
      </w:r>
      <w:r w:rsidRPr="000E68CA">
        <w:t>to the previous month.</w:t>
      </w:r>
    </w:p>
  </w:footnote>
  <w:footnote w:id="6">
    <w:p w14:paraId="635B9305" w14:textId="77777777" w:rsidR="00660B05" w:rsidRPr="00D72F69" w:rsidRDefault="00660B05" w:rsidP="00850A4A">
      <w:pPr>
        <w:pStyle w:val="FootnoteText"/>
        <w:rPr>
          <w:lang w:val="en-US"/>
        </w:rPr>
      </w:pPr>
      <w:r>
        <w:rPr>
          <w:rStyle w:val="FootnoteReference"/>
        </w:rPr>
        <w:footnoteRef/>
      </w:r>
      <w:r>
        <w:t xml:space="preserve"> </w:t>
      </w:r>
      <w:r>
        <w:t xml:space="preserve">The local month-on-month changes in IIP in </w:t>
      </w:r>
      <w:r>
        <w:rPr>
          <w:lang w:val="en-US"/>
        </w:rPr>
        <w:t>February</w:t>
      </w:r>
      <w:r>
        <w:t xml:space="preserve"> for the large-shared industrial sector provinces and municipalities were as follows: </w:t>
      </w:r>
      <w:r w:rsidRPr="006462D6">
        <w:t>Dong Nai is down 6.3%; Da Nang is down 10.0%; Can Tho is down 13.1%; Vinh Long is down 13.8%; Ho Chi Minh City is down 22.6%; Bac Ninh is down 23.6%; Quang Ninh is down 25.4%; Hai Phong is down 31.9%.</w:t>
      </w:r>
    </w:p>
  </w:footnote>
  <w:footnote w:id="7">
    <w:p w14:paraId="4B2404B4" w14:textId="77777777" w:rsidR="00660B05" w:rsidRPr="006A050D" w:rsidRDefault="00660B05" w:rsidP="00850A4A">
      <w:pPr>
        <w:spacing w:after="40"/>
        <w:ind w:left="198" w:hanging="198"/>
        <w:jc w:val="both"/>
        <w:rPr>
          <w:sz w:val="20"/>
          <w:szCs w:val="20"/>
        </w:rPr>
      </w:pPr>
      <w:r>
        <w:rPr>
          <w:rStyle w:val="FootnoteReference"/>
          <w:rFonts w:eastAsia="DengXian Light"/>
          <w:sz w:val="20"/>
          <w:szCs w:val="20"/>
        </w:rPr>
        <w:footnoteRef/>
      </w:r>
      <w:r>
        <w:rPr>
          <w:color w:val="FF0000"/>
          <w:sz w:val="20"/>
        </w:rPr>
        <w:t xml:space="preserve"> </w:t>
      </w:r>
      <w:r>
        <w:rPr>
          <w:sz w:val="20"/>
          <w:shd w:val="clear" w:color="auto" w:fill="FFFFFF"/>
        </w:rPr>
        <w:t xml:space="preserve">The provinces and municipalities recorded high year-on-year increase in IIP of the manufacturing for the first 2 months of 2026 were as follows: </w:t>
      </w:r>
      <w:r w:rsidRPr="006B0313">
        <w:rPr>
          <w:sz w:val="20"/>
          <w:shd w:val="clear" w:color="auto" w:fill="FFFFFF"/>
        </w:rPr>
        <w:t xml:space="preserve">Ninh Binh </w:t>
      </w:r>
      <w:r>
        <w:rPr>
          <w:sz w:val="20"/>
          <w:shd w:val="clear" w:color="auto" w:fill="FFFFFF"/>
        </w:rPr>
        <w:t>(</w:t>
      </w:r>
      <w:r w:rsidRPr="006B0313">
        <w:rPr>
          <w:sz w:val="20"/>
          <w:shd w:val="clear" w:color="auto" w:fill="FFFFFF"/>
        </w:rPr>
        <w:t>33.6%</w:t>
      </w:r>
      <w:r>
        <w:rPr>
          <w:sz w:val="20"/>
          <w:shd w:val="clear" w:color="auto" w:fill="FFFFFF"/>
        </w:rPr>
        <w:t>)</w:t>
      </w:r>
      <w:r w:rsidRPr="006B0313">
        <w:rPr>
          <w:sz w:val="20"/>
          <w:shd w:val="clear" w:color="auto" w:fill="FFFFFF"/>
        </w:rPr>
        <w:t xml:space="preserve">; Phu Tho </w:t>
      </w:r>
      <w:r>
        <w:rPr>
          <w:sz w:val="20"/>
          <w:shd w:val="clear" w:color="auto" w:fill="FFFFFF"/>
        </w:rPr>
        <w:t>(</w:t>
      </w:r>
      <w:r w:rsidRPr="006B0313">
        <w:rPr>
          <w:sz w:val="20"/>
          <w:shd w:val="clear" w:color="auto" w:fill="FFFFFF"/>
        </w:rPr>
        <w:t>32.5%</w:t>
      </w:r>
      <w:r>
        <w:rPr>
          <w:sz w:val="20"/>
          <w:shd w:val="clear" w:color="auto" w:fill="FFFFFF"/>
        </w:rPr>
        <w:t>)</w:t>
      </w:r>
      <w:r w:rsidRPr="006B0313">
        <w:rPr>
          <w:sz w:val="20"/>
          <w:shd w:val="clear" w:color="auto" w:fill="FFFFFF"/>
        </w:rPr>
        <w:t xml:space="preserve">; Bac Ninh </w:t>
      </w:r>
      <w:r>
        <w:rPr>
          <w:sz w:val="20"/>
          <w:shd w:val="clear" w:color="auto" w:fill="FFFFFF"/>
        </w:rPr>
        <w:t>(</w:t>
      </w:r>
      <w:r w:rsidRPr="006B0313">
        <w:rPr>
          <w:sz w:val="20"/>
          <w:shd w:val="clear" w:color="auto" w:fill="FFFFFF"/>
        </w:rPr>
        <w:t>21.0%</w:t>
      </w:r>
      <w:r>
        <w:rPr>
          <w:sz w:val="20"/>
          <w:shd w:val="clear" w:color="auto" w:fill="FFFFFF"/>
        </w:rPr>
        <w:t>)</w:t>
      </w:r>
      <w:r w:rsidRPr="006B0313">
        <w:rPr>
          <w:sz w:val="20"/>
          <w:shd w:val="clear" w:color="auto" w:fill="FFFFFF"/>
        </w:rPr>
        <w:t xml:space="preserve">; Hue </w:t>
      </w:r>
      <w:r>
        <w:rPr>
          <w:sz w:val="20"/>
          <w:shd w:val="clear" w:color="auto" w:fill="FFFFFF"/>
        </w:rPr>
        <w:t>(</w:t>
      </w:r>
      <w:r w:rsidRPr="006B0313">
        <w:rPr>
          <w:sz w:val="20"/>
          <w:shd w:val="clear" w:color="auto" w:fill="FFFFFF"/>
        </w:rPr>
        <w:t>20.2%</w:t>
      </w:r>
      <w:r>
        <w:rPr>
          <w:sz w:val="20"/>
          <w:shd w:val="clear" w:color="auto" w:fill="FFFFFF"/>
        </w:rPr>
        <w:t>)</w:t>
      </w:r>
      <w:r w:rsidRPr="006B0313">
        <w:rPr>
          <w:sz w:val="20"/>
          <w:shd w:val="clear" w:color="auto" w:fill="FFFFFF"/>
        </w:rPr>
        <w:t xml:space="preserve">; Tay Ninh </w:t>
      </w:r>
      <w:r>
        <w:rPr>
          <w:sz w:val="20"/>
          <w:shd w:val="clear" w:color="auto" w:fill="FFFFFF"/>
        </w:rPr>
        <w:t>(</w:t>
      </w:r>
      <w:r w:rsidRPr="006B0313">
        <w:rPr>
          <w:sz w:val="20"/>
          <w:shd w:val="clear" w:color="auto" w:fill="FFFFFF"/>
        </w:rPr>
        <w:t>16.7%</w:t>
      </w:r>
      <w:r>
        <w:rPr>
          <w:sz w:val="20"/>
          <w:shd w:val="clear" w:color="auto" w:fill="FFFFFF"/>
        </w:rPr>
        <w:t xml:space="preserve">). The provinces and municipalities recorded high year-on-year increase in IIP of the electricity generation and distribution were as follows: </w:t>
      </w:r>
      <w:r w:rsidRPr="006B0313">
        <w:rPr>
          <w:sz w:val="20"/>
          <w:shd w:val="clear" w:color="auto" w:fill="FFFFFF"/>
        </w:rPr>
        <w:t xml:space="preserve">Son La </w:t>
      </w:r>
      <w:r>
        <w:rPr>
          <w:sz w:val="20"/>
          <w:shd w:val="clear" w:color="auto" w:fill="FFFFFF"/>
        </w:rPr>
        <w:t>(</w:t>
      </w:r>
      <w:r w:rsidRPr="006B0313">
        <w:rPr>
          <w:sz w:val="20"/>
          <w:shd w:val="clear" w:color="auto" w:fill="FFFFFF"/>
        </w:rPr>
        <w:t>68.2%</w:t>
      </w:r>
      <w:r>
        <w:rPr>
          <w:sz w:val="20"/>
          <w:shd w:val="clear" w:color="auto" w:fill="FFFFFF"/>
        </w:rPr>
        <w:t>)</w:t>
      </w:r>
      <w:r w:rsidRPr="006B0313">
        <w:rPr>
          <w:sz w:val="20"/>
          <w:shd w:val="clear" w:color="auto" w:fill="FFFFFF"/>
        </w:rPr>
        <w:t xml:space="preserve">; Phu Tho </w:t>
      </w:r>
      <w:r>
        <w:rPr>
          <w:sz w:val="20"/>
          <w:shd w:val="clear" w:color="auto" w:fill="FFFFFF"/>
        </w:rPr>
        <w:t>(</w:t>
      </w:r>
      <w:r w:rsidRPr="006B0313">
        <w:rPr>
          <w:sz w:val="20"/>
          <w:shd w:val="clear" w:color="auto" w:fill="FFFFFF"/>
        </w:rPr>
        <w:t>36.3%</w:t>
      </w:r>
      <w:r>
        <w:rPr>
          <w:sz w:val="20"/>
          <w:shd w:val="clear" w:color="auto" w:fill="FFFFFF"/>
        </w:rPr>
        <w:t>)</w:t>
      </w:r>
      <w:r w:rsidRPr="006B0313">
        <w:rPr>
          <w:sz w:val="20"/>
          <w:shd w:val="clear" w:color="auto" w:fill="FFFFFF"/>
        </w:rPr>
        <w:t xml:space="preserve">; Lai Chau </w:t>
      </w:r>
      <w:r>
        <w:rPr>
          <w:sz w:val="20"/>
          <w:shd w:val="clear" w:color="auto" w:fill="FFFFFF"/>
        </w:rPr>
        <w:t>(</w:t>
      </w:r>
      <w:r w:rsidRPr="006B0313">
        <w:rPr>
          <w:sz w:val="20"/>
          <w:shd w:val="clear" w:color="auto" w:fill="FFFFFF"/>
        </w:rPr>
        <w:t>32.9%</w:t>
      </w:r>
      <w:r>
        <w:rPr>
          <w:sz w:val="20"/>
          <w:shd w:val="clear" w:color="auto" w:fill="FFFFFF"/>
        </w:rPr>
        <w:t>)</w:t>
      </w:r>
      <w:r w:rsidRPr="006B0313">
        <w:rPr>
          <w:sz w:val="20"/>
          <w:shd w:val="clear" w:color="auto" w:fill="FFFFFF"/>
        </w:rPr>
        <w:t>.</w:t>
      </w:r>
    </w:p>
  </w:footnote>
  <w:footnote w:id="8">
    <w:p w14:paraId="3FD537B8" w14:textId="1E711C22" w:rsidR="00660B05" w:rsidRPr="006A050D" w:rsidRDefault="00660B05" w:rsidP="00850A4A">
      <w:pPr>
        <w:spacing w:after="40"/>
        <w:ind w:left="198" w:hanging="198"/>
        <w:jc w:val="both"/>
        <w:rPr>
          <w:sz w:val="20"/>
          <w:szCs w:val="20"/>
        </w:rPr>
      </w:pPr>
      <w:r>
        <w:rPr>
          <w:rStyle w:val="FootnoteReference"/>
          <w:rFonts w:eastAsia="DengXian Light"/>
          <w:sz w:val="20"/>
          <w:szCs w:val="20"/>
        </w:rPr>
        <w:footnoteRef/>
      </w:r>
      <w:r>
        <w:rPr>
          <w:sz w:val="20"/>
        </w:rPr>
        <w:t xml:space="preserve"> The provinces and municipalities recorded slight year-on-year increase in IIP of the manufacturing for the first 2 months of 2026 were as follows: </w:t>
      </w:r>
      <w:r w:rsidRPr="006B0313">
        <w:rPr>
          <w:sz w:val="20"/>
        </w:rPr>
        <w:t>Tuyen Quang and Gia Lai</w:t>
      </w:r>
      <w:r>
        <w:rPr>
          <w:sz w:val="20"/>
        </w:rPr>
        <w:t xml:space="preserve"> (5.8%). The provinces and municipalities recorded decrease in IIP of the electricity generation and distribution for the first 2 months of 2026 were as follows: Lang Son (</w:t>
      </w:r>
      <w:r w:rsidRPr="006B0313">
        <w:rPr>
          <w:sz w:val="20"/>
        </w:rPr>
        <w:t>14.1%</w:t>
      </w:r>
      <w:r>
        <w:rPr>
          <w:sz w:val="20"/>
        </w:rPr>
        <w:t>); Vinh Long (</w:t>
      </w:r>
      <w:r w:rsidRPr="006B0313">
        <w:rPr>
          <w:sz w:val="20"/>
        </w:rPr>
        <w:t>3.1%</w:t>
      </w:r>
      <w:r>
        <w:rPr>
          <w:sz w:val="20"/>
        </w:rPr>
        <w:t>); Quang Tri (</w:t>
      </w:r>
      <w:r w:rsidRPr="006B0313">
        <w:rPr>
          <w:sz w:val="20"/>
        </w:rPr>
        <w:t>1.5%</w:t>
      </w:r>
      <w:r>
        <w:rPr>
          <w:sz w:val="20"/>
        </w:rPr>
        <w:t xml:space="preserve">). The provinces and municipalities recorded a year-on-year decrease in IIP of the mining and </w:t>
      </w:r>
      <w:r w:rsidR="00E47C1D">
        <w:rPr>
          <w:sz w:val="20"/>
        </w:rPr>
        <w:t>quarrying</w:t>
      </w:r>
      <w:r>
        <w:rPr>
          <w:sz w:val="20"/>
        </w:rPr>
        <w:t xml:space="preserve"> for the first 2 months of 2026 were as follows: </w:t>
      </w:r>
      <w:r w:rsidRPr="006B0313">
        <w:rPr>
          <w:sz w:val="20"/>
        </w:rPr>
        <w:t>Thai Nguyen (17.9%); Ca Mau (0.2%); Tuyen Quang (10.0%); Gia Lai (8.9%).</w:t>
      </w:r>
    </w:p>
  </w:footnote>
  <w:footnote w:id="9">
    <w:p w14:paraId="057CBE8E" w14:textId="77777777" w:rsidR="00660B05" w:rsidRPr="00941930" w:rsidRDefault="00660B05" w:rsidP="00C17636">
      <w:pPr>
        <w:pStyle w:val="FootnoteText"/>
        <w:spacing w:after="40"/>
        <w:ind w:left="198" w:hanging="198"/>
        <w:jc w:val="both"/>
        <w:rPr>
          <w:lang w:val="vi-VN"/>
        </w:rPr>
      </w:pPr>
      <w:r w:rsidRPr="00682964">
        <w:rPr>
          <w:rStyle w:val="FootnoteReference"/>
        </w:rPr>
        <w:footnoteRef/>
      </w:r>
      <w:r w:rsidRPr="00682964">
        <w:rPr>
          <w:lang w:val="vi-VN"/>
        </w:rPr>
        <w:t xml:space="preserve"> </w:t>
      </w:r>
      <w:r w:rsidRPr="00682964">
        <w:rPr>
          <w:spacing w:val="-2"/>
          <w:lang w:val="vi-VN"/>
        </w:rPr>
        <w:t xml:space="preserve">Of </w:t>
      </w:r>
      <w:r>
        <w:rPr>
          <w:spacing w:val="-2"/>
          <w:lang w:val="en-US"/>
        </w:rPr>
        <w:t>which</w:t>
      </w:r>
      <w:r w:rsidRPr="00682964">
        <w:rPr>
          <w:spacing w:val="-2"/>
          <w:lang w:val="vi-VN"/>
        </w:rPr>
        <w:t xml:space="preserve">, the additional registered capital of </w:t>
      </w:r>
      <w:r>
        <w:rPr>
          <w:spacing w:val="-2"/>
          <w:lang w:val="en-US"/>
        </w:rPr>
        <w:t>active enterprises</w:t>
      </w:r>
      <w:r w:rsidRPr="00682964">
        <w:rPr>
          <w:spacing w:val="-2"/>
          <w:lang w:val="vi-VN"/>
        </w:rPr>
        <w:t xml:space="preserve"> in the </w:t>
      </w:r>
      <w:r>
        <w:rPr>
          <w:spacing w:val="-2"/>
          <w:lang w:val="en-US"/>
        </w:rPr>
        <w:t xml:space="preserve">first </w:t>
      </w:r>
      <w:r w:rsidRPr="00682964">
        <w:rPr>
          <w:spacing w:val="-2"/>
          <w:lang w:val="en-US"/>
        </w:rPr>
        <w:t xml:space="preserve">two </w:t>
      </w:r>
      <w:r w:rsidRPr="00682964">
        <w:rPr>
          <w:spacing w:val="-2"/>
          <w:lang w:val="vi-VN"/>
        </w:rPr>
        <w:t xml:space="preserve">months </w:t>
      </w:r>
      <w:r w:rsidRPr="00682964">
        <w:rPr>
          <w:spacing w:val="-2"/>
          <w:lang w:val="en-US"/>
        </w:rPr>
        <w:t xml:space="preserve">of </w:t>
      </w:r>
      <w:r w:rsidRPr="00682964">
        <w:rPr>
          <w:spacing w:val="-2"/>
          <w:lang w:val="vi-VN"/>
        </w:rPr>
        <w:t xml:space="preserve">2026 reached </w:t>
      </w:r>
      <w:r>
        <w:rPr>
          <w:spacing w:val="-2"/>
          <w:lang w:val="en-US"/>
        </w:rPr>
        <w:t>over</w:t>
      </w:r>
      <w:r w:rsidRPr="00682964">
        <w:rPr>
          <w:spacing w:val="-2"/>
          <w:lang w:val="en-US"/>
        </w:rPr>
        <w:t xml:space="preserve"> 538.2 trillion </w:t>
      </w:r>
      <w:r w:rsidRPr="00682964">
        <w:rPr>
          <w:spacing w:val="-2"/>
          <w:lang w:val="vi-VN"/>
        </w:rPr>
        <w:t>VND (a</w:t>
      </w:r>
      <w:r>
        <w:rPr>
          <w:spacing w:val="-2"/>
          <w:lang w:val="en-US"/>
        </w:rPr>
        <w:t xml:space="preserve"> year-on-year </w:t>
      </w:r>
      <w:r w:rsidRPr="00682964">
        <w:rPr>
          <w:spacing w:val="-2"/>
          <w:lang w:val="vi-VN"/>
        </w:rPr>
        <w:t xml:space="preserve">increase </w:t>
      </w:r>
      <w:r w:rsidRPr="00682964">
        <w:rPr>
          <w:spacing w:val="-2"/>
          <w:lang w:val="en-US"/>
        </w:rPr>
        <w:t xml:space="preserve">of 12.4%) </w:t>
      </w:r>
      <w:r w:rsidRPr="00682964">
        <w:rPr>
          <w:spacing w:val="-2"/>
          <w:lang w:val="vi-VN"/>
        </w:rPr>
        <w:t>.</w:t>
      </w:r>
    </w:p>
  </w:footnote>
  <w:footnote w:id="10">
    <w:p w14:paraId="2C92B41F" w14:textId="77777777" w:rsidR="00660B05" w:rsidRPr="00CA5470" w:rsidRDefault="00660B05" w:rsidP="0099216C">
      <w:pPr>
        <w:pStyle w:val="FootnoteText"/>
      </w:pPr>
      <w:r w:rsidRPr="00CA5470">
        <w:rPr>
          <w:rStyle w:val="FootnoteReference"/>
        </w:rPr>
        <w:footnoteRef/>
      </w:r>
      <w:r>
        <w:rPr>
          <w:lang w:val="en-GB"/>
        </w:rPr>
        <w:t xml:space="preserve"> </w:t>
      </w:r>
      <w:r w:rsidRPr="007B129F">
        <w:rPr>
          <w:lang w:val="en-GB"/>
        </w:rPr>
        <w:t xml:space="preserve">According to the report of the Foreign Investment Agency, Ministry of Finance, received on </w:t>
      </w:r>
      <w:r>
        <w:rPr>
          <w:lang w:val="en-GB"/>
        </w:rPr>
        <w:t>March</w:t>
      </w:r>
      <w:r w:rsidRPr="007B129F">
        <w:rPr>
          <w:lang w:val="en-GB"/>
        </w:rPr>
        <w:t xml:space="preserve"> 3rd, 2026</w:t>
      </w:r>
      <w:r w:rsidRPr="00CA5470">
        <w:t>.</w:t>
      </w:r>
    </w:p>
  </w:footnote>
  <w:footnote w:id="11">
    <w:p w14:paraId="2D1179BB" w14:textId="77777777" w:rsidR="00660B05" w:rsidRPr="00F1270D" w:rsidRDefault="00660B05" w:rsidP="00AA5F0A">
      <w:pPr>
        <w:spacing w:after="40"/>
        <w:ind w:left="198" w:hanging="198"/>
        <w:jc w:val="both"/>
      </w:pPr>
      <w:r>
        <w:rPr>
          <w:rStyle w:val="FootnoteReference"/>
          <w:sz w:val="20"/>
          <w:szCs w:val="20"/>
        </w:rPr>
        <w:footnoteRef/>
      </w:r>
      <w:r>
        <w:rPr>
          <w:sz w:val="20"/>
        </w:rPr>
        <w:t xml:space="preserve"> Data received from the State Budget Department - Ministry of Finance on February 28, 2026.</w:t>
      </w:r>
    </w:p>
  </w:footnote>
  <w:footnote w:id="12">
    <w:p w14:paraId="1277C08C" w14:textId="77777777" w:rsidR="00660B05" w:rsidRPr="00B014CF" w:rsidRDefault="00660B05" w:rsidP="00AA5F0A">
      <w:pPr>
        <w:pStyle w:val="FootnoteText"/>
        <w:spacing w:after="40"/>
        <w:ind w:left="198" w:hanging="198"/>
        <w:jc w:val="both"/>
      </w:pPr>
      <w:r>
        <w:rPr>
          <w:rStyle w:val="FootnoteReference"/>
        </w:rPr>
        <w:footnoteRef/>
      </w:r>
      <w:r>
        <w:t xml:space="preserve"> Domestic revenue collection outperformed forecasts and saw a year-on-year increase, driven by robust economic growth in 2025 which bolstered receipts from corporate income tax and value-added tax.</w:t>
      </w:r>
    </w:p>
  </w:footnote>
  <w:footnote w:id="13">
    <w:p w14:paraId="3278C3B4" w14:textId="77777777" w:rsidR="00660B05" w:rsidRPr="00270BF4" w:rsidRDefault="00660B05" w:rsidP="00356412">
      <w:pPr>
        <w:pStyle w:val="FootnoteText"/>
        <w:ind w:left="198" w:hanging="198"/>
        <w:jc w:val="both"/>
        <w:rPr>
          <w:lang w:val="en-US"/>
        </w:rPr>
      </w:pPr>
      <w:r>
        <w:rPr>
          <w:rStyle w:val="FootnoteReference"/>
        </w:rPr>
        <w:footnoteRef/>
      </w:r>
      <w:r>
        <w:t xml:space="preserve"> </w:t>
      </w:r>
      <w:r w:rsidRPr="00390539">
        <w:rPr>
          <w:spacing w:val="-4"/>
        </w:rPr>
        <w:t xml:space="preserve">As the Lunar New Year holiday this year fell in February, the number of working days was fewer than in the same period last year (art, entertainment and recreation services increased by 9.7%; health services </w:t>
      </w:r>
      <w:r>
        <w:rPr>
          <w:spacing w:val="-4"/>
        </w:rPr>
        <w:t>increased by 8.7%</w:t>
      </w:r>
      <w:r>
        <w:rPr>
          <w:spacing w:val="-4"/>
          <w:lang w:val="en-US"/>
        </w:rPr>
        <w:t xml:space="preserve">; </w:t>
      </w:r>
      <w:r w:rsidRPr="00390539">
        <w:rPr>
          <w:spacing w:val="-4"/>
        </w:rPr>
        <w:t>other services increased by 6.0%; education and training services increased by 5.5%; administrative and support services increased by 4.6%; and real est</w:t>
      </w:r>
      <w:r>
        <w:rPr>
          <w:spacing w:val="-4"/>
        </w:rPr>
        <w:t>ate services decreased by 1.0%)</w:t>
      </w:r>
      <w:r w:rsidRPr="001F543E">
        <w:rPr>
          <w:spacing w:val="-4"/>
        </w:rPr>
        <w:t>.</w:t>
      </w:r>
    </w:p>
  </w:footnote>
  <w:footnote w:id="14">
    <w:p w14:paraId="5DF8A967" w14:textId="77777777" w:rsidR="00660B05" w:rsidRPr="00B014CF" w:rsidRDefault="00660B05" w:rsidP="00356412">
      <w:pPr>
        <w:pStyle w:val="FootnoteText"/>
        <w:spacing w:after="40"/>
        <w:ind w:left="198" w:hanging="198"/>
        <w:jc w:val="both"/>
        <w:rPr>
          <w:lang w:val="it-IT"/>
        </w:rPr>
      </w:pPr>
      <w:r w:rsidRPr="00F9148F">
        <w:rPr>
          <w:rStyle w:val="FootnoteReference"/>
        </w:rPr>
        <w:footnoteRef/>
      </w:r>
      <w:r w:rsidRPr="00722356">
        <w:rPr>
          <w:lang w:val="vi-VN"/>
        </w:rPr>
        <w:t xml:space="preserve"> </w:t>
      </w:r>
      <w:r w:rsidRPr="000E5B92">
        <w:rPr>
          <w:lang w:val="it-IT"/>
        </w:rPr>
        <w:t>The value of export turnover was calculated at F.O.B price and import turnover was calculated at C.I.F price (including transportation and ins</w:t>
      </w:r>
      <w:r>
        <w:rPr>
          <w:lang w:val="it-IT"/>
        </w:rPr>
        <w:t>urance costs of imported goods)</w:t>
      </w:r>
      <w:r w:rsidRPr="007503F8">
        <w:rPr>
          <w:lang w:val="vi-VN"/>
        </w:rPr>
        <w:t>.</w:t>
      </w:r>
    </w:p>
  </w:footnote>
  <w:footnote w:id="15">
    <w:p w14:paraId="2787CC88" w14:textId="77777777" w:rsidR="00660B05" w:rsidRPr="00B014CF" w:rsidRDefault="00660B05" w:rsidP="00356412">
      <w:pPr>
        <w:spacing w:after="40"/>
        <w:ind w:left="198" w:hanging="198"/>
        <w:jc w:val="both"/>
        <w:rPr>
          <w:rFonts w:asciiTheme="minorHAnsi" w:eastAsiaTheme="minorHAnsi" w:hAnsiTheme="minorHAnsi" w:cstheme="minorBidi"/>
          <w:sz w:val="22"/>
          <w:szCs w:val="22"/>
          <w:lang w:val="it-IT"/>
        </w:rPr>
      </w:pPr>
      <w:r w:rsidRPr="00BC5895">
        <w:rPr>
          <w:rStyle w:val="FootnoteReference"/>
          <w:sz w:val="20"/>
          <w:szCs w:val="20"/>
        </w:rPr>
        <w:footnoteRef/>
      </w:r>
      <w:r w:rsidRPr="00B014CF">
        <w:rPr>
          <w:spacing w:val="-2"/>
          <w:sz w:val="20"/>
          <w:szCs w:val="20"/>
          <w:lang w:val="it-IT"/>
        </w:rPr>
        <w:t xml:space="preserve"> </w:t>
      </w:r>
      <w:r w:rsidRPr="00842E40">
        <w:rPr>
          <w:spacing w:val="-2"/>
          <w:sz w:val="20"/>
          <w:szCs w:val="20"/>
        </w:rPr>
        <w:t xml:space="preserve">The preliminary data of export and import of goods in </w:t>
      </w:r>
      <w:r>
        <w:rPr>
          <w:spacing w:val="-2"/>
          <w:sz w:val="20"/>
          <w:szCs w:val="20"/>
        </w:rPr>
        <w:t>February 2026</w:t>
      </w:r>
      <w:r w:rsidRPr="00842E40">
        <w:rPr>
          <w:spacing w:val="-2"/>
          <w:sz w:val="20"/>
          <w:szCs w:val="20"/>
        </w:rPr>
        <w:t xml:space="preserve"> were provided by the Viet Na</w:t>
      </w:r>
      <w:r>
        <w:rPr>
          <w:spacing w:val="-2"/>
          <w:sz w:val="20"/>
          <w:szCs w:val="20"/>
        </w:rPr>
        <w:t>m Customs on March 2</w:t>
      </w:r>
      <w:r>
        <w:rPr>
          <w:spacing w:val="-2"/>
          <w:sz w:val="20"/>
          <w:szCs w:val="20"/>
          <w:vertAlign w:val="superscript"/>
        </w:rPr>
        <w:t>n</w:t>
      </w:r>
      <w:r w:rsidRPr="00D417F2">
        <w:rPr>
          <w:spacing w:val="-2"/>
          <w:sz w:val="20"/>
          <w:szCs w:val="20"/>
          <w:vertAlign w:val="superscript"/>
        </w:rPr>
        <w:t>d</w:t>
      </w:r>
      <w:r>
        <w:rPr>
          <w:spacing w:val="-2"/>
          <w:sz w:val="20"/>
          <w:szCs w:val="20"/>
        </w:rPr>
        <w:t>, 2026</w:t>
      </w:r>
      <w:r w:rsidRPr="003748A5">
        <w:rPr>
          <w:spacing w:val="-2"/>
          <w:sz w:val="20"/>
          <w:szCs w:val="20"/>
        </w:rPr>
        <w:t>.</w:t>
      </w:r>
    </w:p>
  </w:footnote>
  <w:footnote w:id="16">
    <w:p w14:paraId="1FBE3767" w14:textId="77777777" w:rsidR="00660B05" w:rsidRPr="002417ED" w:rsidRDefault="00660B05" w:rsidP="00356412">
      <w:pPr>
        <w:pStyle w:val="FootnoteText"/>
        <w:spacing w:after="40"/>
        <w:ind w:left="198" w:hanging="198"/>
        <w:jc w:val="both"/>
      </w:pPr>
      <w:r>
        <w:rPr>
          <w:rStyle w:val="FootnoteReference"/>
        </w:rPr>
        <w:footnoteRef/>
      </w:r>
      <w:r>
        <w:t xml:space="preserve"> </w:t>
      </w:r>
      <w:r w:rsidRPr="00670DE4">
        <w:t>As the Lunar New Year holiday fell in February this year, the number of working days in February this year was five days f</w:t>
      </w:r>
      <w:r>
        <w:t>ewer than in February last year</w:t>
      </w:r>
      <w:r w:rsidRPr="00956712">
        <w:rPr>
          <w:spacing w:val="-2"/>
        </w:rPr>
        <w:t>.</w:t>
      </w:r>
    </w:p>
  </w:footnote>
  <w:footnote w:id="17">
    <w:p w14:paraId="5F603485" w14:textId="77777777" w:rsidR="00660B05" w:rsidRPr="0083640D" w:rsidRDefault="00660B05" w:rsidP="00356412">
      <w:pPr>
        <w:pStyle w:val="FootnoteText"/>
        <w:spacing w:after="40"/>
        <w:ind w:left="198" w:hanging="198"/>
        <w:jc w:val="both"/>
        <w:rPr>
          <w:rFonts w:asciiTheme="minorHAnsi" w:eastAsiaTheme="minorHAnsi" w:hAnsiTheme="minorHAnsi" w:cstheme="minorBidi"/>
          <w:sz w:val="22"/>
          <w:szCs w:val="22"/>
        </w:rPr>
      </w:pPr>
      <w:r w:rsidRPr="00BC5895">
        <w:rPr>
          <w:rStyle w:val="FootnoteReference"/>
        </w:rPr>
        <w:footnoteRef/>
      </w:r>
      <w:r w:rsidRPr="009F297E">
        <w:rPr>
          <w:lang w:val="vi-VN"/>
        </w:rPr>
        <w:t xml:space="preserve"> </w:t>
      </w:r>
      <w:r>
        <w:rPr>
          <w:lang w:val="en-US"/>
        </w:rPr>
        <w:t>T</w:t>
      </w:r>
      <w:r w:rsidRPr="00765D73">
        <w:rPr>
          <w:lang w:val="vi-VN"/>
        </w:rPr>
        <w:t>he total export and import turnover of goods in</w:t>
      </w:r>
      <w:r>
        <w:rPr>
          <w:lang w:val="en-US"/>
        </w:rPr>
        <w:t xml:space="preserve"> the first</w:t>
      </w:r>
      <w:r w:rsidRPr="00765D73">
        <w:rPr>
          <w:lang w:val="vi-VN"/>
        </w:rPr>
        <w:t xml:space="preserve"> </w:t>
      </w:r>
      <w:r>
        <w:rPr>
          <w:lang w:val="en-US"/>
        </w:rPr>
        <w:t>two months of</w:t>
      </w:r>
      <w:r>
        <w:rPr>
          <w:lang w:val="vi-VN"/>
        </w:rPr>
        <w:t xml:space="preserve"> 2025 amounted to 127.38</w:t>
      </w:r>
      <w:r w:rsidRPr="00765D73">
        <w:rPr>
          <w:lang w:val="vi-VN"/>
        </w:rPr>
        <w:t xml:space="preserve"> billion USD, </w:t>
      </w:r>
      <w:r>
        <w:rPr>
          <w:lang w:val="en-US"/>
        </w:rPr>
        <w:t xml:space="preserve">going </w:t>
      </w:r>
      <w:r>
        <w:rPr>
          <w:lang w:val="vi-VN"/>
        </w:rPr>
        <w:t>up 1</w:t>
      </w:r>
      <w:r w:rsidRPr="00765D73">
        <w:rPr>
          <w:lang w:val="vi-VN"/>
        </w:rPr>
        <w:t>2</w:t>
      </w:r>
      <w:r>
        <w:rPr>
          <w:lang w:val="en-US"/>
        </w:rPr>
        <w:t>.1</w:t>
      </w:r>
      <w:r w:rsidRPr="00765D73">
        <w:rPr>
          <w:lang w:val="vi-VN"/>
        </w:rPr>
        <w:t>% year-on-y</w:t>
      </w:r>
      <w:r>
        <w:rPr>
          <w:lang w:val="vi-VN"/>
        </w:rPr>
        <w:t>ear, of which exports reached 64.57</w:t>
      </w:r>
      <w:r w:rsidRPr="00765D73">
        <w:rPr>
          <w:lang w:val="vi-VN"/>
        </w:rPr>
        <w:t xml:space="preserve"> billion USD, </w:t>
      </w:r>
      <w:r>
        <w:rPr>
          <w:lang w:val="en-US"/>
        </w:rPr>
        <w:t>in</w:t>
      </w:r>
      <w:r w:rsidRPr="00765D73">
        <w:rPr>
          <w:lang w:val="vi-VN"/>
        </w:rPr>
        <w:t>creasing</w:t>
      </w:r>
      <w:r>
        <w:rPr>
          <w:lang w:val="en-US"/>
        </w:rPr>
        <w:t xml:space="preserve"> by</w:t>
      </w:r>
      <w:r>
        <w:rPr>
          <w:lang w:val="vi-VN"/>
        </w:rPr>
        <w:t xml:space="preserve"> </w:t>
      </w:r>
      <w:r w:rsidRPr="00765D73">
        <w:rPr>
          <w:lang w:val="vi-VN"/>
        </w:rPr>
        <w:t>8</w:t>
      </w:r>
      <w:r>
        <w:rPr>
          <w:lang w:val="en-US"/>
        </w:rPr>
        <w:t>.7</w:t>
      </w:r>
      <w:r>
        <w:rPr>
          <w:lang w:val="vi-VN"/>
        </w:rPr>
        <w:t>%, and imports reached 62.81</w:t>
      </w:r>
      <w:r w:rsidRPr="00765D73">
        <w:rPr>
          <w:lang w:val="vi-VN"/>
        </w:rPr>
        <w:t xml:space="preserve"> billion USD, </w:t>
      </w:r>
      <w:r>
        <w:rPr>
          <w:lang w:val="en-US"/>
        </w:rPr>
        <w:t>in</w:t>
      </w:r>
      <w:r w:rsidRPr="00765D73">
        <w:rPr>
          <w:lang w:val="vi-VN"/>
        </w:rPr>
        <w:t>creasing</w:t>
      </w:r>
      <w:r>
        <w:rPr>
          <w:lang w:val="en-US"/>
        </w:rPr>
        <w:t xml:space="preserve"> by</w:t>
      </w:r>
      <w:r>
        <w:rPr>
          <w:lang w:val="vi-VN"/>
        </w:rPr>
        <w:t xml:space="preserve"> 1</w:t>
      </w:r>
      <w:r w:rsidRPr="00765D73">
        <w:rPr>
          <w:lang w:val="vi-VN"/>
        </w:rPr>
        <w:t>5</w:t>
      </w:r>
      <w:r>
        <w:rPr>
          <w:lang w:val="en-US"/>
        </w:rPr>
        <w:t>.9</w:t>
      </w:r>
      <w:r w:rsidRPr="00765D73">
        <w:rPr>
          <w:lang w:val="vi-VN"/>
        </w:rPr>
        <w:t>%</w:t>
      </w:r>
      <w:r>
        <w:rPr>
          <w:lang w:val="en-US"/>
        </w:rPr>
        <w:t>.</w:t>
      </w:r>
    </w:p>
  </w:footnote>
  <w:footnote w:id="18">
    <w:p w14:paraId="08CBC4CF" w14:textId="508789FA" w:rsidR="00660B05" w:rsidRPr="00783753" w:rsidRDefault="00660B05" w:rsidP="00356412">
      <w:pPr>
        <w:pStyle w:val="FootnoteText"/>
        <w:spacing w:after="40"/>
        <w:ind w:left="198" w:hanging="198"/>
        <w:jc w:val="both"/>
      </w:pPr>
      <w:r>
        <w:rPr>
          <w:rStyle w:val="FootnoteReference"/>
        </w:rPr>
        <w:footnoteRef/>
      </w:r>
      <w:r>
        <w:t xml:space="preserve"> </w:t>
      </w:r>
      <w:r w:rsidRPr="00822C5D">
        <w:t>This fig</w:t>
      </w:r>
      <w:r>
        <w:t>ure was 23</w:t>
      </w:r>
      <w:r w:rsidRPr="00822C5D">
        <w:t xml:space="preserve"> million USD higher than the data submitted by the</w:t>
      </w:r>
      <w:r>
        <w:rPr>
          <w:lang w:val="en-US"/>
        </w:rPr>
        <w:t xml:space="preserve"> </w:t>
      </w:r>
      <w:r w:rsidR="00E47C1D">
        <w:rPr>
          <w:lang w:val="en-US"/>
        </w:rPr>
        <w:t>Viet</w:t>
      </w:r>
      <w:r>
        <w:rPr>
          <w:lang w:val="en-US"/>
        </w:rPr>
        <w:t xml:space="preserve"> Nam</w:t>
      </w:r>
      <w:r w:rsidRPr="00822C5D">
        <w:t xml:space="preserve"> Customs to the</w:t>
      </w:r>
      <w:r>
        <w:rPr>
          <w:lang w:val="en-US"/>
        </w:rPr>
        <w:t xml:space="preserve"> National</w:t>
      </w:r>
      <w:r w:rsidRPr="00822C5D">
        <w:t xml:space="preserve"> Statistics Office</w:t>
      </w:r>
      <w:r>
        <w:rPr>
          <w:lang w:val="en-US"/>
        </w:rPr>
        <w:t xml:space="preserve"> on</w:t>
      </w:r>
      <w:r w:rsidRPr="00822C5D">
        <w:t xml:space="preserve"> </w:t>
      </w:r>
      <w:r>
        <w:rPr>
          <w:spacing w:val="-2"/>
          <w:lang w:val="en-US"/>
        </w:rPr>
        <w:t>Febr</w:t>
      </w:r>
      <w:r>
        <w:rPr>
          <w:spacing w:val="-2"/>
        </w:rPr>
        <w:t xml:space="preserve">uary </w:t>
      </w:r>
      <w:r w:rsidRPr="00D417F2">
        <w:rPr>
          <w:spacing w:val="-2"/>
        </w:rPr>
        <w:t>3</w:t>
      </w:r>
      <w:r w:rsidRPr="00D417F2">
        <w:rPr>
          <w:spacing w:val="-2"/>
          <w:vertAlign w:val="superscript"/>
        </w:rPr>
        <w:t>rd</w:t>
      </w:r>
      <w:r>
        <w:rPr>
          <w:spacing w:val="-2"/>
        </w:rPr>
        <w:t xml:space="preserve"> 2026</w:t>
      </w:r>
      <w:r>
        <w:rPr>
          <w:bCs/>
          <w:lang w:val="de-DE"/>
        </w:rPr>
        <w:t>.</w:t>
      </w:r>
    </w:p>
  </w:footnote>
  <w:footnote w:id="19">
    <w:p w14:paraId="0C4A01A9" w14:textId="130E9ACC" w:rsidR="00660B05" w:rsidRPr="00274429" w:rsidRDefault="00660B05" w:rsidP="00356412">
      <w:pPr>
        <w:pStyle w:val="FootnoteText"/>
      </w:pPr>
      <w:r>
        <w:rPr>
          <w:rStyle w:val="FootnoteReference"/>
        </w:rPr>
        <w:footnoteRef/>
      </w:r>
      <w:r>
        <w:t xml:space="preserve"> </w:t>
      </w:r>
      <w:r w:rsidRPr="00822C5D">
        <w:t>This fig</w:t>
      </w:r>
      <w:r>
        <w:t>ure was 8</w:t>
      </w:r>
      <w:r w:rsidRPr="00822C5D">
        <w:t xml:space="preserve"> million USD higher than the data submitted by the</w:t>
      </w:r>
      <w:r>
        <w:rPr>
          <w:lang w:val="en-US"/>
        </w:rPr>
        <w:t xml:space="preserve"> </w:t>
      </w:r>
      <w:r w:rsidR="00E47C1D">
        <w:rPr>
          <w:lang w:val="en-US"/>
        </w:rPr>
        <w:t>Viet</w:t>
      </w:r>
      <w:r>
        <w:rPr>
          <w:lang w:val="en-US"/>
        </w:rPr>
        <w:t xml:space="preserve"> Nam</w:t>
      </w:r>
      <w:r w:rsidRPr="00822C5D">
        <w:t xml:space="preserve"> Customs to the</w:t>
      </w:r>
      <w:r>
        <w:rPr>
          <w:lang w:val="en-US"/>
        </w:rPr>
        <w:t xml:space="preserve"> National</w:t>
      </w:r>
      <w:r w:rsidRPr="00822C5D">
        <w:t xml:space="preserve"> Statistics Office</w:t>
      </w:r>
      <w:r>
        <w:rPr>
          <w:lang w:val="en-US"/>
        </w:rPr>
        <w:t xml:space="preserve"> on</w:t>
      </w:r>
      <w:r w:rsidRPr="00822C5D">
        <w:t xml:space="preserve"> </w:t>
      </w:r>
      <w:r>
        <w:rPr>
          <w:spacing w:val="-2"/>
          <w:lang w:val="en-US"/>
        </w:rPr>
        <w:t>Febr</w:t>
      </w:r>
      <w:r>
        <w:rPr>
          <w:spacing w:val="-2"/>
        </w:rPr>
        <w:t xml:space="preserve">uary </w:t>
      </w:r>
      <w:r w:rsidRPr="00D417F2">
        <w:rPr>
          <w:spacing w:val="-2"/>
        </w:rPr>
        <w:t>3</w:t>
      </w:r>
      <w:r w:rsidRPr="00D417F2">
        <w:rPr>
          <w:spacing w:val="-2"/>
          <w:vertAlign w:val="superscript"/>
        </w:rPr>
        <w:t>rd</w:t>
      </w:r>
      <w:r>
        <w:rPr>
          <w:bCs/>
          <w:lang w:val="de-DE"/>
        </w:rPr>
        <w:t>.</w:t>
      </w:r>
    </w:p>
  </w:footnote>
  <w:footnote w:id="20">
    <w:p w14:paraId="19CCD6B9" w14:textId="77777777" w:rsidR="00660B05" w:rsidRPr="00594201" w:rsidRDefault="00660B05" w:rsidP="0038507E">
      <w:pPr>
        <w:pStyle w:val="FootnoteText"/>
        <w:jc w:val="both"/>
        <w:rPr>
          <w:lang w:val="en-US"/>
        </w:rPr>
      </w:pPr>
      <w:r>
        <w:rPr>
          <w:rStyle w:val="FootnoteReference"/>
        </w:rPr>
        <w:footnoteRef/>
      </w:r>
      <w:r>
        <w:t xml:space="preserve"> </w:t>
      </w:r>
      <w:r>
        <w:rPr>
          <w:lang w:val="en-US"/>
        </w:rPr>
        <w:t>I</w:t>
      </w:r>
      <w:r>
        <w:t>ncreas</w:t>
      </w:r>
      <w:r>
        <w:rPr>
          <w:lang w:val="en-US"/>
        </w:rPr>
        <w:t>ing</w:t>
      </w:r>
      <w:r w:rsidRPr="00594201">
        <w:t xml:space="preserve"> </w:t>
      </w:r>
      <w:r>
        <w:rPr>
          <w:lang w:val="en-US"/>
        </w:rPr>
        <w:t>d</w:t>
      </w:r>
      <w:r w:rsidRPr="00594201">
        <w:t xml:space="preserve">emand for rice and processed food during </w:t>
      </w:r>
      <w:r>
        <w:rPr>
          <w:lang w:val="en-US"/>
        </w:rPr>
        <w:t>Binh Ngo</w:t>
      </w:r>
      <w:r>
        <w:t xml:space="preserve"> Lunar New Year (Tet</w:t>
      </w:r>
      <w:r w:rsidRPr="00594201">
        <w:t xml:space="preserve"> holiday</w:t>
      </w:r>
      <w:r>
        <w:rPr>
          <w:lang w:val="en-US"/>
        </w:rPr>
        <w:t>)</w:t>
      </w:r>
      <w:r w:rsidRPr="00594201">
        <w:t xml:space="preserve"> </w:t>
      </w:r>
      <w:r>
        <w:t>in 2026</w:t>
      </w:r>
      <w:r>
        <w:rPr>
          <w:lang w:val="en-US"/>
        </w:rPr>
        <w:t xml:space="preserve"> together with </w:t>
      </w:r>
      <w:r w:rsidRPr="00594201">
        <w:t>the</w:t>
      </w:r>
      <w:r>
        <w:rPr>
          <w:lang w:val="en-US"/>
        </w:rPr>
        <w:t xml:space="preserve"> great</w:t>
      </w:r>
      <w:r w:rsidRPr="00594201">
        <w:t xml:space="preserve"> need for </w:t>
      </w:r>
      <w:r>
        <w:rPr>
          <w:lang w:val="en-US"/>
        </w:rPr>
        <w:t>reserve</w:t>
      </w:r>
      <w:r w:rsidRPr="00594201">
        <w:t xml:space="preserve"> and preparations for </w:t>
      </w:r>
      <w:r>
        <w:rPr>
          <w:lang w:val="en-US"/>
        </w:rPr>
        <w:t xml:space="preserve">Tet </w:t>
      </w:r>
      <w:r w:rsidRPr="00594201">
        <w:t xml:space="preserve">holiday </w:t>
      </w:r>
      <w:r>
        <w:t>in many localities</w:t>
      </w:r>
      <w:r>
        <w:rPr>
          <w:lang w:val="en-US"/>
        </w:rPr>
        <w:t xml:space="preserve"> and </w:t>
      </w:r>
      <w:r w:rsidRPr="00594201">
        <w:t xml:space="preserve">rising costs </w:t>
      </w:r>
      <w:r>
        <w:rPr>
          <w:lang w:val="en-US"/>
        </w:rPr>
        <w:t xml:space="preserve">of </w:t>
      </w:r>
      <w:r w:rsidRPr="00594201">
        <w:t xml:space="preserve">transport and distribution </w:t>
      </w:r>
      <w:r>
        <w:rPr>
          <w:lang w:val="en-US"/>
        </w:rPr>
        <w:t>at</w:t>
      </w:r>
      <w:r w:rsidRPr="00594201">
        <w:t xml:space="preserve"> the peak </w:t>
      </w:r>
      <w:r>
        <w:rPr>
          <w:lang w:val="en-US"/>
        </w:rPr>
        <w:t xml:space="preserve">of </w:t>
      </w:r>
      <w:r w:rsidRPr="00594201">
        <w:t xml:space="preserve">Tet </w:t>
      </w:r>
      <w:r>
        <w:rPr>
          <w:lang w:val="en-US"/>
        </w:rPr>
        <w:t>holiday</w:t>
      </w:r>
      <w:r w:rsidRPr="00594201">
        <w:t xml:space="preserve">. </w:t>
      </w:r>
      <w:r>
        <w:rPr>
          <w:lang w:val="en-US"/>
        </w:rPr>
        <w:t>Of which</w:t>
      </w:r>
      <w:r w:rsidRPr="00594201">
        <w:t xml:space="preserve">, the price index </w:t>
      </w:r>
      <w:r>
        <w:rPr>
          <w:lang w:val="en-US"/>
        </w:rPr>
        <w:t xml:space="preserve">of </w:t>
      </w:r>
      <w:r w:rsidRPr="00594201">
        <w:t xml:space="preserve">the rice group </w:t>
      </w:r>
      <w:r>
        <w:rPr>
          <w:lang w:val="en-US"/>
        </w:rPr>
        <w:t>added up</w:t>
      </w:r>
      <w:r w:rsidRPr="00594201">
        <w:t xml:space="preserve"> 1.0% (regular rice</w:t>
      </w:r>
      <w:r>
        <w:rPr>
          <w:lang w:val="en-US"/>
        </w:rPr>
        <w:t xml:space="preserve">, </w:t>
      </w:r>
      <w:r w:rsidRPr="00594201">
        <w:t>premium rice</w:t>
      </w:r>
      <w:r>
        <w:rPr>
          <w:lang w:val="en-US"/>
        </w:rPr>
        <w:t>,</w:t>
      </w:r>
      <w:r w:rsidRPr="00F30A48">
        <w:t xml:space="preserve"> </w:t>
      </w:r>
      <w:r w:rsidRPr="00F30A48">
        <w:rPr>
          <w:lang w:val="en-US"/>
        </w:rPr>
        <w:t>glutinous rice</w:t>
      </w:r>
      <w:r>
        <w:rPr>
          <w:lang w:val="en-US"/>
        </w:rPr>
        <w:t xml:space="preserve">, </w:t>
      </w:r>
      <w:r w:rsidRPr="00594201">
        <w:t>brown rice</w:t>
      </w:r>
      <w:r>
        <w:rPr>
          <w:lang w:val="en-US"/>
        </w:rPr>
        <w:t xml:space="preserve"> expanded by </w:t>
      </w:r>
      <w:r w:rsidRPr="00594201">
        <w:t>0.79%, 1.33%, 3.26%, and 0.82%</w:t>
      </w:r>
      <w:r>
        <w:rPr>
          <w:lang w:val="en-US"/>
        </w:rPr>
        <w:t>, respectively</w:t>
      </w:r>
      <w:r w:rsidRPr="00594201">
        <w:t xml:space="preserve">). </w:t>
      </w:r>
      <w:r>
        <w:rPr>
          <w:lang w:val="en-US"/>
        </w:rPr>
        <w:t>Besides</w:t>
      </w:r>
      <w:r w:rsidRPr="00594201">
        <w:t xml:space="preserve">, prices of </w:t>
      </w:r>
      <w:r>
        <w:rPr>
          <w:lang w:val="en-US"/>
        </w:rPr>
        <w:t>some</w:t>
      </w:r>
      <w:r w:rsidRPr="00594201">
        <w:t xml:space="preserve"> food items increased</w:t>
      </w:r>
      <w:r>
        <w:rPr>
          <w:lang w:val="en-US"/>
        </w:rPr>
        <w:t>, such as</w:t>
      </w:r>
      <w:r w:rsidRPr="00594201">
        <w:t xml:space="preserve">: potatoes </w:t>
      </w:r>
      <w:r>
        <w:rPr>
          <w:lang w:val="en-US"/>
        </w:rPr>
        <w:t>up</w:t>
      </w:r>
      <w:r w:rsidRPr="00594201">
        <w:t xml:space="preserve"> 1.83%;</w:t>
      </w:r>
      <w:r>
        <w:rPr>
          <w:lang w:val="en-US"/>
        </w:rPr>
        <w:t xml:space="preserve"> </w:t>
      </w:r>
      <w:r>
        <w:t>rice noodles</w:t>
      </w:r>
      <w:r w:rsidRPr="00594201">
        <w:t xml:space="preserve"> and rice </w:t>
      </w:r>
      <w:r>
        <w:rPr>
          <w:lang w:val="en-US"/>
        </w:rPr>
        <w:t>paper wrapper up</w:t>
      </w:r>
      <w:r w:rsidRPr="00594201">
        <w:t xml:space="preserve"> 1.34%; vermicelli </w:t>
      </w:r>
      <w:r>
        <w:rPr>
          <w:lang w:val="en-US"/>
        </w:rPr>
        <w:t xml:space="preserve">up </w:t>
      </w:r>
      <w:r w:rsidRPr="00594201">
        <w:t xml:space="preserve">1.20%; corn flour </w:t>
      </w:r>
      <w:r>
        <w:rPr>
          <w:lang w:val="en-US"/>
        </w:rPr>
        <w:t>up</w:t>
      </w:r>
      <w:r w:rsidRPr="00594201">
        <w:t xml:space="preserve"> 0.96%; other grains </w:t>
      </w:r>
      <w:r>
        <w:rPr>
          <w:lang w:val="en-US"/>
        </w:rPr>
        <w:t>up</w:t>
      </w:r>
      <w:r w:rsidRPr="00594201">
        <w:t xml:space="preserve"> 0.83%; wheat flour </w:t>
      </w:r>
      <w:r>
        <w:rPr>
          <w:lang w:val="en-US"/>
        </w:rPr>
        <w:t xml:space="preserve">up </w:t>
      </w:r>
      <w:r w:rsidRPr="00594201">
        <w:t xml:space="preserve">0.82%; and instant noodles, instant pho, and instant porridge </w:t>
      </w:r>
      <w:r>
        <w:rPr>
          <w:lang w:val="en-US"/>
        </w:rPr>
        <w:t>up</w:t>
      </w:r>
      <w:r w:rsidRPr="00594201">
        <w:t xml:space="preserve"> 0.49%.</w:t>
      </w:r>
    </w:p>
  </w:footnote>
  <w:footnote w:id="21">
    <w:p w14:paraId="62562570" w14:textId="77777777" w:rsidR="00660B05" w:rsidRPr="00F30A48" w:rsidRDefault="00660B05" w:rsidP="0038507E">
      <w:pPr>
        <w:pStyle w:val="FootnoteText"/>
        <w:jc w:val="both"/>
        <w:rPr>
          <w:lang w:val="en-US"/>
        </w:rPr>
      </w:pPr>
      <w:r>
        <w:rPr>
          <w:rStyle w:val="FootnoteReference"/>
        </w:rPr>
        <w:footnoteRef/>
      </w:r>
      <w:r>
        <w:t xml:space="preserve"> </w:t>
      </w:r>
      <w:r w:rsidRPr="00F30A48">
        <w:t xml:space="preserve">The price index </w:t>
      </w:r>
      <w:r>
        <w:rPr>
          <w:lang w:val="en-US"/>
        </w:rPr>
        <w:t>of</w:t>
      </w:r>
      <w:r w:rsidRPr="00F30A48">
        <w:t xml:space="preserve"> pork</w:t>
      </w:r>
      <w:r>
        <w:rPr>
          <w:lang w:val="en-US"/>
        </w:rPr>
        <w:t xml:space="preserve">; </w:t>
      </w:r>
      <w:r w:rsidRPr="00F30A48">
        <w:t>poultry</w:t>
      </w:r>
      <w:r>
        <w:rPr>
          <w:lang w:val="en-US"/>
        </w:rPr>
        <w:t xml:space="preserve">; </w:t>
      </w:r>
      <w:r w:rsidRPr="00F30A48">
        <w:t>fresh seafood</w:t>
      </w:r>
      <w:r>
        <w:rPr>
          <w:lang w:val="en-US"/>
        </w:rPr>
        <w:t xml:space="preserve">; </w:t>
      </w:r>
      <w:r w:rsidRPr="00F30A48">
        <w:t>fresh and processed fruit</w:t>
      </w:r>
      <w:r>
        <w:rPr>
          <w:lang w:val="en-US"/>
        </w:rPr>
        <w:t xml:space="preserve">; </w:t>
      </w:r>
      <w:r w:rsidRPr="003B58A4">
        <w:rPr>
          <w:lang w:val="en-US"/>
        </w:rPr>
        <w:t>confection, jam</w:t>
      </w:r>
      <w:r>
        <w:rPr>
          <w:lang w:val="en-US"/>
        </w:rPr>
        <w:t xml:space="preserve">; </w:t>
      </w:r>
      <w:r w:rsidRPr="00F30A48">
        <w:t>beans and nuts</w:t>
      </w:r>
      <w:r>
        <w:rPr>
          <w:lang w:val="en-US"/>
        </w:rPr>
        <w:t xml:space="preserve">; </w:t>
      </w:r>
      <w:r w:rsidRPr="00F30A48">
        <w:t>tea, coffee, and cocoa</w:t>
      </w:r>
      <w:r>
        <w:rPr>
          <w:lang w:val="en-US"/>
        </w:rPr>
        <w:t xml:space="preserve">; </w:t>
      </w:r>
      <w:r w:rsidRPr="00F30A48">
        <w:t>spices</w:t>
      </w:r>
      <w:r>
        <w:rPr>
          <w:lang w:val="en-US"/>
        </w:rPr>
        <w:t xml:space="preserve">; </w:t>
      </w:r>
      <w:r w:rsidRPr="003B58A4">
        <w:rPr>
          <w:lang w:val="en-US"/>
        </w:rPr>
        <w:t>fish sauce and condiment</w:t>
      </w:r>
      <w:r>
        <w:rPr>
          <w:lang w:val="en-US"/>
        </w:rPr>
        <w:t xml:space="preserve">; </w:t>
      </w:r>
      <w:r w:rsidRPr="003B58A4">
        <w:rPr>
          <w:lang w:val="en-US"/>
        </w:rPr>
        <w:t>milk, butter, and cheese</w:t>
      </w:r>
      <w:r>
        <w:rPr>
          <w:lang w:val="en-US"/>
        </w:rPr>
        <w:t xml:space="preserve">; </w:t>
      </w:r>
      <w:r w:rsidRPr="003B58A4">
        <w:rPr>
          <w:lang w:val="en-US"/>
        </w:rPr>
        <w:t>sugar and syrup</w:t>
      </w:r>
      <w:r>
        <w:rPr>
          <w:lang w:val="en-US"/>
        </w:rPr>
        <w:t xml:space="preserve"> </w:t>
      </w:r>
      <w:r w:rsidRPr="00F30A48">
        <w:t xml:space="preserve">and eggs </w:t>
      </w:r>
      <w:r>
        <w:rPr>
          <w:lang w:val="en-US"/>
        </w:rPr>
        <w:t>accelerated</w:t>
      </w:r>
      <w:r w:rsidRPr="00F30A48">
        <w:t xml:space="preserve"> by 7.43%; 2.58%; 2.59%; 5.13%; 1.08%; 1.26%; 1.0%; 0.79%; 0.67%; 0.61%; 0.53%; 0.31%</w:t>
      </w:r>
      <w:r>
        <w:rPr>
          <w:lang w:val="en-US"/>
        </w:rPr>
        <w:t>, respectively</w:t>
      </w:r>
      <w:r w:rsidRPr="00F30A48">
        <w:t xml:space="preserve">. </w:t>
      </w:r>
      <w:r w:rsidRPr="003B58A4">
        <w:t>In contrast</w:t>
      </w:r>
      <w:r w:rsidRPr="00F30A48">
        <w:t xml:space="preserve">, the price index </w:t>
      </w:r>
      <w:r>
        <w:rPr>
          <w:lang w:val="en-US"/>
        </w:rPr>
        <w:t>of</w:t>
      </w:r>
      <w:r w:rsidRPr="00F30A48">
        <w:t xml:space="preserve"> fresh, dried, and processed vegetables decreased by 7.77% </w:t>
      </w:r>
      <w:r>
        <w:rPr>
          <w:lang w:val="en-US"/>
        </w:rPr>
        <w:t>because</w:t>
      </w:r>
      <w:r w:rsidRPr="00F30A48">
        <w:t xml:space="preserve"> favorable weather conditions </w:t>
      </w:r>
      <w:r>
        <w:rPr>
          <w:lang w:val="en-US"/>
        </w:rPr>
        <w:t>facilitated the</w:t>
      </w:r>
      <w:r w:rsidRPr="00F30A48">
        <w:t xml:space="preserve"> stable</w:t>
      </w:r>
      <w:r w:rsidRPr="003B58A4">
        <w:t xml:space="preserve"> </w:t>
      </w:r>
      <w:r w:rsidRPr="00F30A48">
        <w:t>production</w:t>
      </w:r>
      <w:r>
        <w:rPr>
          <w:lang w:val="en-US"/>
        </w:rPr>
        <w:t xml:space="preserve"> of</w:t>
      </w:r>
      <w:r w:rsidRPr="00F30A48">
        <w:t xml:space="preserve"> winter vegetable, resulting in an abundant and diverse supply of vegetables.</w:t>
      </w:r>
      <w:r>
        <w:rPr>
          <w:lang w:val="en-US"/>
        </w:rPr>
        <w:t xml:space="preserve"> </w:t>
      </w:r>
    </w:p>
  </w:footnote>
  <w:footnote w:id="22">
    <w:p w14:paraId="1DE7164D" w14:textId="77777777" w:rsidR="00660B05" w:rsidRPr="00874236" w:rsidRDefault="00660B05" w:rsidP="0038507E">
      <w:pPr>
        <w:pStyle w:val="FootnoteText"/>
        <w:rPr>
          <w:lang w:val="en-US"/>
        </w:rPr>
      </w:pPr>
      <w:r>
        <w:rPr>
          <w:rStyle w:val="FootnoteReference"/>
        </w:rPr>
        <w:footnoteRef/>
      </w:r>
      <w:r>
        <w:t xml:space="preserve"> </w:t>
      </w:r>
      <w:r w:rsidRPr="00874236">
        <w:t xml:space="preserve">Due to high prices </w:t>
      </w:r>
      <w:r>
        <w:rPr>
          <w:lang w:val="en-US"/>
        </w:rPr>
        <w:t xml:space="preserve">of </w:t>
      </w:r>
      <w:r w:rsidRPr="00874236">
        <w:t xml:space="preserve">raw material </w:t>
      </w:r>
      <w:r>
        <w:t>and increas</w:t>
      </w:r>
      <w:r>
        <w:rPr>
          <w:lang w:val="en-US"/>
        </w:rPr>
        <w:t>ing</w:t>
      </w:r>
      <w:r>
        <w:t xml:space="preserve"> labor costs</w:t>
      </w:r>
      <w:r w:rsidRPr="00874236">
        <w:t xml:space="preserve"> </w:t>
      </w:r>
      <w:r>
        <w:rPr>
          <w:lang w:val="en-US"/>
        </w:rPr>
        <w:t>together</w:t>
      </w:r>
      <w:r w:rsidRPr="00874236">
        <w:t xml:space="preserve"> with the </w:t>
      </w:r>
      <w:r>
        <w:rPr>
          <w:lang w:val="en-US"/>
        </w:rPr>
        <w:t>high</w:t>
      </w:r>
      <w:r w:rsidRPr="00874236">
        <w:t xml:space="preserve"> demand for celebrations, </w:t>
      </w:r>
      <w:r>
        <w:rPr>
          <w:lang w:val="en-US"/>
        </w:rPr>
        <w:t xml:space="preserve">ending </w:t>
      </w:r>
      <w:r>
        <w:t>year</w:t>
      </w:r>
      <w:r w:rsidRPr="00874236">
        <w:t xml:space="preserve"> parties, New Year's parties, and spring outings,</w:t>
      </w:r>
      <w:r>
        <w:rPr>
          <w:lang w:val="en-US"/>
        </w:rPr>
        <w:t xml:space="preserve"> the</w:t>
      </w:r>
      <w:r w:rsidRPr="00874236">
        <w:t xml:space="preserve"> prices </w:t>
      </w:r>
      <w:r>
        <w:rPr>
          <w:lang w:val="en-US"/>
        </w:rPr>
        <w:t>of</w:t>
      </w:r>
      <w:r w:rsidRPr="00874236">
        <w:t xml:space="preserve"> eating out</w:t>
      </w:r>
      <w:r>
        <w:rPr>
          <w:lang w:val="en-US"/>
        </w:rPr>
        <w:t xml:space="preserve">; </w:t>
      </w:r>
      <w:r w:rsidRPr="00874236">
        <w:t>drinks out</w:t>
      </w:r>
      <w:r>
        <w:rPr>
          <w:lang w:val="en-US"/>
        </w:rPr>
        <w:t>;</w:t>
      </w:r>
      <w:r w:rsidRPr="00874236">
        <w:t xml:space="preserve"> and takeaway fast food</w:t>
      </w:r>
      <w:r>
        <w:rPr>
          <w:lang w:val="en-US"/>
        </w:rPr>
        <w:t xml:space="preserve"> soared </w:t>
      </w:r>
      <w:r w:rsidRPr="00874236">
        <w:t>by 1.84%; 1.17%; 1.47%</w:t>
      </w:r>
      <w:r>
        <w:rPr>
          <w:lang w:val="en-US"/>
        </w:rPr>
        <w:t>, respectively</w:t>
      </w:r>
      <w:r w:rsidRPr="00874236">
        <w:t>.</w:t>
      </w:r>
      <w:r>
        <w:rPr>
          <w:lang w:val="en-US"/>
        </w:rPr>
        <w:t xml:space="preserve"> </w:t>
      </w:r>
    </w:p>
  </w:footnote>
  <w:footnote w:id="23">
    <w:p w14:paraId="454F4EEE" w14:textId="77777777" w:rsidR="00660B05" w:rsidRPr="00320AE8" w:rsidRDefault="00660B05" w:rsidP="0038507E">
      <w:pPr>
        <w:pStyle w:val="FootnoteText"/>
        <w:jc w:val="both"/>
        <w:rPr>
          <w:lang w:val="en-US"/>
        </w:rPr>
      </w:pPr>
      <w:r>
        <w:rPr>
          <w:rStyle w:val="FootnoteReference"/>
        </w:rPr>
        <w:footnoteRef/>
      </w:r>
      <w:r>
        <w:t xml:space="preserve"> </w:t>
      </w:r>
      <w:r>
        <w:rPr>
          <w:lang w:val="en-US"/>
        </w:rPr>
        <w:t>T</w:t>
      </w:r>
      <w:r w:rsidRPr="00320AE8">
        <w:t>he</w:t>
      </w:r>
      <w:r>
        <w:rPr>
          <w:lang w:val="en-US"/>
        </w:rPr>
        <w:t xml:space="preserve"> CPI of household </w:t>
      </w:r>
      <w:r w:rsidRPr="00320AE8">
        <w:t xml:space="preserve">electricity and </w:t>
      </w:r>
      <w:r>
        <w:rPr>
          <w:lang w:val="en-US"/>
        </w:rPr>
        <w:t xml:space="preserve">tap </w:t>
      </w:r>
      <w:r w:rsidRPr="00320AE8">
        <w:t xml:space="preserve">water </w:t>
      </w:r>
      <w:r>
        <w:rPr>
          <w:lang w:val="en-US"/>
        </w:rPr>
        <w:t>in</w:t>
      </w:r>
      <w:r w:rsidRPr="00320AE8">
        <w:t xml:space="preserve"> February 2026 reflects </w:t>
      </w:r>
      <w:r w:rsidRPr="00F108D5">
        <w:t xml:space="preserve">a one-month lag </w:t>
      </w:r>
      <w:r>
        <w:t>than other items</w:t>
      </w:r>
      <w:r>
        <w:rPr>
          <w:lang w:val="en-US"/>
        </w:rPr>
        <w:t xml:space="preserve"> </w:t>
      </w:r>
      <w:r w:rsidRPr="00F108D5">
        <w:t>based on</w:t>
      </w:r>
      <w:r>
        <w:rPr>
          <w:lang w:val="en-US"/>
        </w:rPr>
        <w:t xml:space="preserve"> </w:t>
      </w:r>
      <w:r w:rsidRPr="00320AE8">
        <w:t>January 2026</w:t>
      </w:r>
      <w:r>
        <w:rPr>
          <w:lang w:val="en-US"/>
        </w:rPr>
        <w:t xml:space="preserve"> </w:t>
      </w:r>
      <w:r w:rsidRPr="00F108D5">
        <w:rPr>
          <w:lang w:val="en-US"/>
        </w:rPr>
        <w:t>revenue and consumption</w:t>
      </w:r>
      <w:r>
        <w:rPr>
          <w:lang w:val="en-US"/>
        </w:rPr>
        <w:t>.</w:t>
      </w:r>
    </w:p>
  </w:footnote>
  <w:footnote w:id="24">
    <w:p w14:paraId="0E93DAD4" w14:textId="77777777" w:rsidR="00660B05" w:rsidRPr="00D6640C" w:rsidRDefault="00660B05" w:rsidP="0038507E">
      <w:pPr>
        <w:pStyle w:val="FootnoteText"/>
        <w:jc w:val="both"/>
        <w:rPr>
          <w:lang w:val="en-US"/>
        </w:rPr>
      </w:pPr>
      <w:r>
        <w:rPr>
          <w:rStyle w:val="FootnoteReference"/>
        </w:rPr>
        <w:footnoteRef/>
      </w:r>
      <w:r>
        <w:t xml:space="preserve"> </w:t>
      </w:r>
      <w:r w:rsidRPr="00D6640C">
        <w:t>The CPI after excluding food, fresh produce, energy, and State-managed goods</w:t>
      </w:r>
      <w:r>
        <w:rPr>
          <w:lang w:val="en-US"/>
        </w:rPr>
        <w:t xml:space="preserve"> which </w:t>
      </w:r>
      <w:r>
        <w:t>includ</w:t>
      </w:r>
      <w:r>
        <w:rPr>
          <w:lang w:val="en-US"/>
        </w:rPr>
        <w:t>ed</w:t>
      </w:r>
      <w:r w:rsidRPr="00D6640C">
        <w:t xml:space="preserve"> healthcare and education services.</w:t>
      </w:r>
    </w:p>
  </w:footnote>
  <w:footnote w:id="25">
    <w:p w14:paraId="48982088" w14:textId="77777777" w:rsidR="00660B05" w:rsidRPr="006A050D" w:rsidRDefault="00660B05" w:rsidP="00AA5F0A">
      <w:pPr>
        <w:pStyle w:val="FootnoteText"/>
        <w:spacing w:after="40"/>
        <w:ind w:left="198" w:hanging="198"/>
        <w:jc w:val="both"/>
      </w:pPr>
      <w:r>
        <w:rPr>
          <w:rStyle w:val="FootnoteReference"/>
        </w:rPr>
        <w:footnoteRef/>
      </w:r>
      <w:r>
        <w:t xml:space="preserve"> </w:t>
      </w:r>
      <w:r>
        <w:t>According to reports from the Department of Border Gate (Border Guard Command, Ministry of National Defence) and the Immigration Department (Ministry of Public Security).</w:t>
      </w:r>
    </w:p>
  </w:footnote>
  <w:footnote w:id="26">
    <w:p w14:paraId="0F24D57B" w14:textId="283667BC" w:rsidR="00660B05" w:rsidRPr="006A050D" w:rsidRDefault="00660B05" w:rsidP="00AA5F0A">
      <w:pPr>
        <w:pStyle w:val="FootnoteText"/>
        <w:spacing w:after="40"/>
        <w:ind w:left="198" w:hanging="198"/>
        <w:jc w:val="both"/>
      </w:pPr>
      <w:r>
        <w:rPr>
          <w:rStyle w:val="FootnoteReference"/>
        </w:rPr>
        <w:footnoteRef/>
      </w:r>
      <w:r>
        <w:t xml:space="preserve"> </w:t>
      </w:r>
      <w:r>
        <w:t>Reporting period: From January 26</w:t>
      </w:r>
      <w:r w:rsidR="00447DFC">
        <w:rPr>
          <w:vertAlign w:val="superscript"/>
        </w:rPr>
        <w:t>th</w:t>
      </w:r>
      <w:r>
        <w:t>, 2026 to February 25</w:t>
      </w:r>
      <w:r w:rsidR="00447DFC">
        <w:rPr>
          <w:vertAlign w:val="superscript"/>
        </w:rPr>
        <w:t>th</w:t>
      </w:r>
      <w:r>
        <w:t>, 2026.</w:t>
      </w:r>
    </w:p>
  </w:footnote>
  <w:footnote w:id="27">
    <w:p w14:paraId="38E1E0DE" w14:textId="77777777" w:rsidR="00660B05" w:rsidRPr="00A07335" w:rsidRDefault="00660B05" w:rsidP="0038507E">
      <w:pPr>
        <w:pStyle w:val="FootnoteText"/>
        <w:rPr>
          <w:lang w:val="en-US"/>
        </w:rPr>
      </w:pPr>
      <w:r>
        <w:rPr>
          <w:rStyle w:val="FootnoteReference"/>
        </w:rPr>
        <w:footnoteRef/>
      </w:r>
      <w:r>
        <w:t xml:space="preserve"> </w:t>
      </w:r>
      <w:r w:rsidRPr="00136D20">
        <w:t>A household could select multiple causes leading to decreased income.</w:t>
      </w:r>
    </w:p>
  </w:footnote>
  <w:footnote w:id="28">
    <w:p w14:paraId="4C7C666F" w14:textId="77777777" w:rsidR="00660B05" w:rsidRPr="00136D20" w:rsidRDefault="00660B05" w:rsidP="0038507E">
      <w:pPr>
        <w:pStyle w:val="FootnoteText"/>
        <w:rPr>
          <w:lang w:val="en-US"/>
        </w:rPr>
      </w:pPr>
      <w:r>
        <w:rPr>
          <w:rStyle w:val="FootnoteReference"/>
        </w:rPr>
        <w:footnoteRef/>
      </w:r>
      <w:r>
        <w:t xml:space="preserve"> </w:t>
      </w:r>
      <w:r w:rsidRPr="00136D20">
        <w:t>According to Notice No. 36/TB-VPCP dated January 20</w:t>
      </w:r>
      <w:r w:rsidRPr="001F43FA">
        <w:rPr>
          <w:vertAlign w:val="superscript"/>
        </w:rPr>
        <w:t>th</w:t>
      </w:r>
      <w:r w:rsidRPr="00136D20">
        <w:t>, 2026 of the Government Office.</w:t>
      </w:r>
    </w:p>
  </w:footnote>
  <w:footnote w:id="29">
    <w:p w14:paraId="74CFFF19" w14:textId="77777777" w:rsidR="00660B05" w:rsidRPr="001F543E" w:rsidRDefault="00660B05" w:rsidP="00AA5F0A">
      <w:pPr>
        <w:pStyle w:val="FootnoteText"/>
      </w:pPr>
      <w:r>
        <w:rPr>
          <w:rStyle w:val="FootnoteReference"/>
        </w:rPr>
        <w:footnoteRef/>
      </w:r>
      <w:r>
        <w:t xml:space="preserve"> Note: Figures for January 2026 include an additional two deaths.</w:t>
      </w:r>
    </w:p>
  </w:footnote>
  <w:footnote w:id="30">
    <w:p w14:paraId="6A7A61FB" w14:textId="77777777" w:rsidR="00660B05" w:rsidRPr="00F1270D" w:rsidRDefault="00660B05" w:rsidP="00AA5F0A">
      <w:pPr>
        <w:pStyle w:val="FootnoteText"/>
        <w:ind w:left="198" w:hanging="198"/>
        <w:jc w:val="both"/>
      </w:pPr>
      <w:r>
        <w:rPr>
          <w:rStyle w:val="FootnoteReference"/>
        </w:rPr>
        <w:footnoteRef/>
      </w:r>
      <w:r>
        <w:t xml:space="preserve"> According to quick reports from the Office of the and the Viet Nam Maritime and Waterway Administration (Ministry of Construction) on February 28, 2026</w:t>
      </w:r>
    </w:p>
  </w:footnote>
  <w:footnote w:id="31">
    <w:p w14:paraId="740DDCC8" w14:textId="77777777" w:rsidR="00660B05" w:rsidRPr="00F1270D" w:rsidRDefault="00660B05" w:rsidP="00AA5F0A">
      <w:pPr>
        <w:pStyle w:val="FootnoteText"/>
        <w:spacing w:after="40"/>
        <w:ind w:left="198" w:hanging="198"/>
        <w:jc w:val="both"/>
      </w:pPr>
      <w:r>
        <w:rPr>
          <w:rStyle w:val="FootnoteReference"/>
        </w:rPr>
        <w:footnoteRef/>
      </w:r>
      <w:r>
        <w:t xml:space="preserve"> According to data compiled by Provincial Statistics Offices from the reports from Provincial Departments of Agriculture and Environment and Provincial and Municipal Police Departments.</w:t>
      </w:r>
    </w:p>
  </w:footnote>
  <w:footnote w:id="32">
    <w:p w14:paraId="52DBD57F" w14:textId="77777777" w:rsidR="00660B05" w:rsidRPr="00F1270D" w:rsidRDefault="00660B05" w:rsidP="00AA5F0A">
      <w:pPr>
        <w:tabs>
          <w:tab w:val="left" w:pos="426"/>
          <w:tab w:val="left" w:pos="900"/>
        </w:tabs>
        <w:spacing w:after="40"/>
        <w:ind w:left="198" w:hanging="198"/>
        <w:jc w:val="both"/>
        <w:rPr>
          <w:sz w:val="20"/>
          <w:szCs w:val="20"/>
        </w:rPr>
      </w:pPr>
      <w:r>
        <w:rPr>
          <w:rStyle w:val="FootnoteReference"/>
          <w:sz w:val="20"/>
          <w:szCs w:val="20"/>
        </w:rPr>
        <w:footnoteRef/>
      </w:r>
      <w:r>
        <w:rPr>
          <w:sz w:val="20"/>
        </w:rPr>
        <w:t xml:space="preserve"> No environmental violations were identified in Hue City in February 2026.</w:t>
      </w:r>
    </w:p>
  </w:footnote>
  <w:footnote w:id="33">
    <w:p w14:paraId="569A5841" w14:textId="118B27F3" w:rsidR="00660B05" w:rsidRPr="00F1270D" w:rsidRDefault="00660B05" w:rsidP="00AA5F0A">
      <w:pPr>
        <w:pStyle w:val="FootnoteText"/>
        <w:spacing w:after="40"/>
        <w:ind w:left="198" w:hanging="198"/>
      </w:pPr>
      <w:r>
        <w:rPr>
          <w:rStyle w:val="FootnoteReference"/>
        </w:rPr>
        <w:footnoteRef/>
      </w:r>
      <w:r>
        <w:t xml:space="preserve"> </w:t>
      </w:r>
      <w:r>
        <w:t>According to a quick report from the Ministry of Public Security dated February 23</w:t>
      </w:r>
      <w:r w:rsidR="00E00CA5">
        <w:rPr>
          <w:vertAlign w:val="superscript"/>
        </w:rPr>
        <w:t>rd</w:t>
      </w:r>
      <w:r>
        <w:t>,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9161" w14:textId="77777777" w:rsidR="00660B05" w:rsidRDefault="00660B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334082"/>
      <w:docPartObj>
        <w:docPartGallery w:val="Page Numbers (Top of Page)"/>
        <w:docPartUnique/>
      </w:docPartObj>
    </w:sdtPr>
    <w:sdtEndPr>
      <w:rPr>
        <w:noProof/>
      </w:rPr>
    </w:sdtEndPr>
    <w:sdtContent>
      <w:p w14:paraId="1DE310E9" w14:textId="54E2B0E1" w:rsidR="00660B05" w:rsidRDefault="00660B05">
        <w:pPr>
          <w:pStyle w:val="Header"/>
          <w:jc w:val="center"/>
        </w:pPr>
        <w:r>
          <w:fldChar w:fldCharType="begin"/>
        </w:r>
        <w:r>
          <w:instrText xml:space="preserve"> PAGE   \* MERGEFORMAT </w:instrText>
        </w:r>
        <w:r>
          <w:fldChar w:fldCharType="separate"/>
        </w:r>
        <w:r w:rsidR="00051339">
          <w:rPr>
            <w:noProof/>
          </w:rPr>
          <w:t>30</w:t>
        </w:r>
        <w:r>
          <w:rPr>
            <w:noProof/>
          </w:rPr>
          <w:fldChar w:fldCharType="end"/>
        </w:r>
      </w:p>
    </w:sdtContent>
  </w:sdt>
  <w:p w14:paraId="39289854" w14:textId="77777777" w:rsidR="00660B05" w:rsidRDefault="00660B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F2A6" w14:textId="77777777" w:rsidR="00660B05" w:rsidRDefault="00660B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BC96019"/>
    <w:multiLevelType w:val="hybridMultilevel"/>
    <w:tmpl w:val="6322A5B2"/>
    <w:lvl w:ilvl="0" w:tplc="E0248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18768E"/>
    <w:multiLevelType w:val="hybridMultilevel"/>
    <w:tmpl w:val="8BA0FA32"/>
    <w:lvl w:ilvl="0" w:tplc="D98ECC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6149460">
    <w:abstractNumId w:val="0"/>
  </w:num>
  <w:num w:numId="2" w16cid:durableId="893155467">
    <w:abstractNumId w:val="1"/>
  </w:num>
  <w:num w:numId="3" w16cid:durableId="1229730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768"/>
    <w:rsid w:val="00000D47"/>
    <w:rsid w:val="00001FBB"/>
    <w:rsid w:val="0000394C"/>
    <w:rsid w:val="00006881"/>
    <w:rsid w:val="000077A3"/>
    <w:rsid w:val="00010B1A"/>
    <w:rsid w:val="000121CD"/>
    <w:rsid w:val="000137E5"/>
    <w:rsid w:val="000152D2"/>
    <w:rsid w:val="000153D1"/>
    <w:rsid w:val="00015881"/>
    <w:rsid w:val="0001673B"/>
    <w:rsid w:val="00021D24"/>
    <w:rsid w:val="00024081"/>
    <w:rsid w:val="00030143"/>
    <w:rsid w:val="0003458E"/>
    <w:rsid w:val="000369C9"/>
    <w:rsid w:val="000410B2"/>
    <w:rsid w:val="00041274"/>
    <w:rsid w:val="00041809"/>
    <w:rsid w:val="00046FE1"/>
    <w:rsid w:val="00051339"/>
    <w:rsid w:val="000528E8"/>
    <w:rsid w:val="0005300F"/>
    <w:rsid w:val="00053768"/>
    <w:rsid w:val="00065182"/>
    <w:rsid w:val="000712EB"/>
    <w:rsid w:val="00077F57"/>
    <w:rsid w:val="000819C5"/>
    <w:rsid w:val="0008799D"/>
    <w:rsid w:val="0009370B"/>
    <w:rsid w:val="00094F25"/>
    <w:rsid w:val="000A1904"/>
    <w:rsid w:val="000A3C90"/>
    <w:rsid w:val="000A4BFA"/>
    <w:rsid w:val="000A4DD5"/>
    <w:rsid w:val="000A5ACE"/>
    <w:rsid w:val="000A70AE"/>
    <w:rsid w:val="000A74BB"/>
    <w:rsid w:val="000B3545"/>
    <w:rsid w:val="000B380E"/>
    <w:rsid w:val="000B60EE"/>
    <w:rsid w:val="000B6125"/>
    <w:rsid w:val="000B6804"/>
    <w:rsid w:val="000C1635"/>
    <w:rsid w:val="000C17A2"/>
    <w:rsid w:val="000C1C03"/>
    <w:rsid w:val="000C36C3"/>
    <w:rsid w:val="000C3F60"/>
    <w:rsid w:val="000C4654"/>
    <w:rsid w:val="000D02EA"/>
    <w:rsid w:val="000E0351"/>
    <w:rsid w:val="000E13BE"/>
    <w:rsid w:val="000E2DAC"/>
    <w:rsid w:val="000E3814"/>
    <w:rsid w:val="000F2A82"/>
    <w:rsid w:val="000F4316"/>
    <w:rsid w:val="000F5C03"/>
    <w:rsid w:val="001037D8"/>
    <w:rsid w:val="00107F3D"/>
    <w:rsid w:val="00110192"/>
    <w:rsid w:val="0011234E"/>
    <w:rsid w:val="00113FB8"/>
    <w:rsid w:val="00115153"/>
    <w:rsid w:val="00115917"/>
    <w:rsid w:val="00115C03"/>
    <w:rsid w:val="0012442C"/>
    <w:rsid w:val="001300EF"/>
    <w:rsid w:val="001430BA"/>
    <w:rsid w:val="00143375"/>
    <w:rsid w:val="00144F8C"/>
    <w:rsid w:val="0014750F"/>
    <w:rsid w:val="00147B74"/>
    <w:rsid w:val="00150724"/>
    <w:rsid w:val="00150C59"/>
    <w:rsid w:val="00152432"/>
    <w:rsid w:val="001567F3"/>
    <w:rsid w:val="00163059"/>
    <w:rsid w:val="00164564"/>
    <w:rsid w:val="00164CF6"/>
    <w:rsid w:val="00170966"/>
    <w:rsid w:val="0017160E"/>
    <w:rsid w:val="001729A3"/>
    <w:rsid w:val="00172A13"/>
    <w:rsid w:val="001736C0"/>
    <w:rsid w:val="001930D3"/>
    <w:rsid w:val="00194482"/>
    <w:rsid w:val="001A28E9"/>
    <w:rsid w:val="001A2935"/>
    <w:rsid w:val="001A4398"/>
    <w:rsid w:val="001A663A"/>
    <w:rsid w:val="001B0758"/>
    <w:rsid w:val="001B0CB3"/>
    <w:rsid w:val="001B7182"/>
    <w:rsid w:val="001C09FE"/>
    <w:rsid w:val="001C38BD"/>
    <w:rsid w:val="001C710B"/>
    <w:rsid w:val="001D18E3"/>
    <w:rsid w:val="001D4086"/>
    <w:rsid w:val="001D4198"/>
    <w:rsid w:val="001E385F"/>
    <w:rsid w:val="001E419F"/>
    <w:rsid w:val="001E45D8"/>
    <w:rsid w:val="001E4964"/>
    <w:rsid w:val="001E704B"/>
    <w:rsid w:val="001F02AF"/>
    <w:rsid w:val="001F543E"/>
    <w:rsid w:val="001F753D"/>
    <w:rsid w:val="00205F6E"/>
    <w:rsid w:val="00207D00"/>
    <w:rsid w:val="00213996"/>
    <w:rsid w:val="002173C3"/>
    <w:rsid w:val="002209FD"/>
    <w:rsid w:val="0022251B"/>
    <w:rsid w:val="00227754"/>
    <w:rsid w:val="00230689"/>
    <w:rsid w:val="0023085B"/>
    <w:rsid w:val="00232E0C"/>
    <w:rsid w:val="00234456"/>
    <w:rsid w:val="00237569"/>
    <w:rsid w:val="00237DD5"/>
    <w:rsid w:val="00242185"/>
    <w:rsid w:val="00243438"/>
    <w:rsid w:val="00250364"/>
    <w:rsid w:val="002503FC"/>
    <w:rsid w:val="00254190"/>
    <w:rsid w:val="0025724C"/>
    <w:rsid w:val="0026529B"/>
    <w:rsid w:val="00267E54"/>
    <w:rsid w:val="002703C2"/>
    <w:rsid w:val="002734A3"/>
    <w:rsid w:val="00273F0D"/>
    <w:rsid w:val="0028020A"/>
    <w:rsid w:val="0028043C"/>
    <w:rsid w:val="00290615"/>
    <w:rsid w:val="0029089B"/>
    <w:rsid w:val="00292CE1"/>
    <w:rsid w:val="00293C6B"/>
    <w:rsid w:val="00295ACC"/>
    <w:rsid w:val="002976A5"/>
    <w:rsid w:val="002A1B24"/>
    <w:rsid w:val="002A26C8"/>
    <w:rsid w:val="002A34B9"/>
    <w:rsid w:val="002A46D8"/>
    <w:rsid w:val="002A49C3"/>
    <w:rsid w:val="002A59FD"/>
    <w:rsid w:val="002A6770"/>
    <w:rsid w:val="002A68B8"/>
    <w:rsid w:val="002A7012"/>
    <w:rsid w:val="002C3382"/>
    <w:rsid w:val="002D3762"/>
    <w:rsid w:val="002E0563"/>
    <w:rsid w:val="002E61CD"/>
    <w:rsid w:val="002F0924"/>
    <w:rsid w:val="002F1D7A"/>
    <w:rsid w:val="002F518D"/>
    <w:rsid w:val="00300757"/>
    <w:rsid w:val="00302F0F"/>
    <w:rsid w:val="0030475D"/>
    <w:rsid w:val="00306C05"/>
    <w:rsid w:val="00310A59"/>
    <w:rsid w:val="00312592"/>
    <w:rsid w:val="00315444"/>
    <w:rsid w:val="00322F72"/>
    <w:rsid w:val="00322FED"/>
    <w:rsid w:val="003240D9"/>
    <w:rsid w:val="00325042"/>
    <w:rsid w:val="00334D3E"/>
    <w:rsid w:val="00335BB0"/>
    <w:rsid w:val="00336DB1"/>
    <w:rsid w:val="00336FB1"/>
    <w:rsid w:val="00337366"/>
    <w:rsid w:val="003402DD"/>
    <w:rsid w:val="003416E5"/>
    <w:rsid w:val="0034650B"/>
    <w:rsid w:val="00356412"/>
    <w:rsid w:val="00356520"/>
    <w:rsid w:val="00357AD2"/>
    <w:rsid w:val="00362C4F"/>
    <w:rsid w:val="00363493"/>
    <w:rsid w:val="00364A78"/>
    <w:rsid w:val="00365FC7"/>
    <w:rsid w:val="00366E7C"/>
    <w:rsid w:val="003679D7"/>
    <w:rsid w:val="00367D1E"/>
    <w:rsid w:val="003745B4"/>
    <w:rsid w:val="0037466C"/>
    <w:rsid w:val="0038501F"/>
    <w:rsid w:val="0038507E"/>
    <w:rsid w:val="00393919"/>
    <w:rsid w:val="00393976"/>
    <w:rsid w:val="00395A52"/>
    <w:rsid w:val="003A0702"/>
    <w:rsid w:val="003A2A2E"/>
    <w:rsid w:val="003A5A3E"/>
    <w:rsid w:val="003A6049"/>
    <w:rsid w:val="003A6C0C"/>
    <w:rsid w:val="003B30C5"/>
    <w:rsid w:val="003B5FE3"/>
    <w:rsid w:val="003C1366"/>
    <w:rsid w:val="003C1778"/>
    <w:rsid w:val="003C1F72"/>
    <w:rsid w:val="003C27A0"/>
    <w:rsid w:val="003C6758"/>
    <w:rsid w:val="003D1F0F"/>
    <w:rsid w:val="003D5A95"/>
    <w:rsid w:val="003D7EB5"/>
    <w:rsid w:val="003E05C9"/>
    <w:rsid w:val="003E2EA9"/>
    <w:rsid w:val="003E3B7F"/>
    <w:rsid w:val="003E59E1"/>
    <w:rsid w:val="003F1C14"/>
    <w:rsid w:val="003F243D"/>
    <w:rsid w:val="003F27DD"/>
    <w:rsid w:val="00400480"/>
    <w:rsid w:val="00402782"/>
    <w:rsid w:val="0040324F"/>
    <w:rsid w:val="004037C6"/>
    <w:rsid w:val="00405F19"/>
    <w:rsid w:val="0041084F"/>
    <w:rsid w:val="00411E95"/>
    <w:rsid w:val="004124CB"/>
    <w:rsid w:val="004137C2"/>
    <w:rsid w:val="00421CFE"/>
    <w:rsid w:val="00423435"/>
    <w:rsid w:val="00427844"/>
    <w:rsid w:val="004442D5"/>
    <w:rsid w:val="004449AC"/>
    <w:rsid w:val="0044549D"/>
    <w:rsid w:val="0044652B"/>
    <w:rsid w:val="00446E14"/>
    <w:rsid w:val="00447DFC"/>
    <w:rsid w:val="00451302"/>
    <w:rsid w:val="00456724"/>
    <w:rsid w:val="004568D5"/>
    <w:rsid w:val="00457A56"/>
    <w:rsid w:val="004606A9"/>
    <w:rsid w:val="00460807"/>
    <w:rsid w:val="00463535"/>
    <w:rsid w:val="00470BF2"/>
    <w:rsid w:val="00474340"/>
    <w:rsid w:val="00474786"/>
    <w:rsid w:val="004778A6"/>
    <w:rsid w:val="004865B8"/>
    <w:rsid w:val="00487CC0"/>
    <w:rsid w:val="00487D5A"/>
    <w:rsid w:val="00490248"/>
    <w:rsid w:val="00492FE2"/>
    <w:rsid w:val="00496C77"/>
    <w:rsid w:val="00497F6C"/>
    <w:rsid w:val="004A00F8"/>
    <w:rsid w:val="004A1C28"/>
    <w:rsid w:val="004A52D6"/>
    <w:rsid w:val="004A62A5"/>
    <w:rsid w:val="004C502C"/>
    <w:rsid w:val="004D25EF"/>
    <w:rsid w:val="004D3AFC"/>
    <w:rsid w:val="004D5DE1"/>
    <w:rsid w:val="004E30CD"/>
    <w:rsid w:val="004E5EA8"/>
    <w:rsid w:val="004F2FCA"/>
    <w:rsid w:val="004F4479"/>
    <w:rsid w:val="004F77BE"/>
    <w:rsid w:val="004F7D76"/>
    <w:rsid w:val="00500734"/>
    <w:rsid w:val="00501BB4"/>
    <w:rsid w:val="00503388"/>
    <w:rsid w:val="00506A65"/>
    <w:rsid w:val="00510DFB"/>
    <w:rsid w:val="00516F94"/>
    <w:rsid w:val="005228DD"/>
    <w:rsid w:val="00523D4D"/>
    <w:rsid w:val="00523D54"/>
    <w:rsid w:val="00524873"/>
    <w:rsid w:val="00524C68"/>
    <w:rsid w:val="00526BD3"/>
    <w:rsid w:val="00527B54"/>
    <w:rsid w:val="005303FE"/>
    <w:rsid w:val="005316D5"/>
    <w:rsid w:val="005373D4"/>
    <w:rsid w:val="0054488F"/>
    <w:rsid w:val="00545CB2"/>
    <w:rsid w:val="00547852"/>
    <w:rsid w:val="00547B59"/>
    <w:rsid w:val="005521E7"/>
    <w:rsid w:val="005522CC"/>
    <w:rsid w:val="00552563"/>
    <w:rsid w:val="00554CB7"/>
    <w:rsid w:val="00555AD3"/>
    <w:rsid w:val="00567AEE"/>
    <w:rsid w:val="00570826"/>
    <w:rsid w:val="005720B5"/>
    <w:rsid w:val="005769DA"/>
    <w:rsid w:val="00586EE5"/>
    <w:rsid w:val="00587A56"/>
    <w:rsid w:val="0059033E"/>
    <w:rsid w:val="0059213B"/>
    <w:rsid w:val="00594B17"/>
    <w:rsid w:val="005952D3"/>
    <w:rsid w:val="00597C48"/>
    <w:rsid w:val="005A1252"/>
    <w:rsid w:val="005A16C6"/>
    <w:rsid w:val="005A1B70"/>
    <w:rsid w:val="005A4286"/>
    <w:rsid w:val="005B28DD"/>
    <w:rsid w:val="005B6A2D"/>
    <w:rsid w:val="005B6CE8"/>
    <w:rsid w:val="005C1B20"/>
    <w:rsid w:val="005C3071"/>
    <w:rsid w:val="005C3D95"/>
    <w:rsid w:val="005C64EF"/>
    <w:rsid w:val="005D5124"/>
    <w:rsid w:val="005E06B2"/>
    <w:rsid w:val="005E6CD6"/>
    <w:rsid w:val="005E741F"/>
    <w:rsid w:val="005E7E3F"/>
    <w:rsid w:val="005F03B9"/>
    <w:rsid w:val="00602005"/>
    <w:rsid w:val="00602DC6"/>
    <w:rsid w:val="0060421C"/>
    <w:rsid w:val="00604D79"/>
    <w:rsid w:val="00607ABA"/>
    <w:rsid w:val="00610205"/>
    <w:rsid w:val="0061193D"/>
    <w:rsid w:val="006143B0"/>
    <w:rsid w:val="0061627F"/>
    <w:rsid w:val="00616B53"/>
    <w:rsid w:val="00627009"/>
    <w:rsid w:val="00634F19"/>
    <w:rsid w:val="00636053"/>
    <w:rsid w:val="00636F24"/>
    <w:rsid w:val="006377D0"/>
    <w:rsid w:val="00641365"/>
    <w:rsid w:val="0064473C"/>
    <w:rsid w:val="00646268"/>
    <w:rsid w:val="00646990"/>
    <w:rsid w:val="00652EDE"/>
    <w:rsid w:val="00660B05"/>
    <w:rsid w:val="00660BB2"/>
    <w:rsid w:val="006613FB"/>
    <w:rsid w:val="006639B2"/>
    <w:rsid w:val="0068012E"/>
    <w:rsid w:val="00682964"/>
    <w:rsid w:val="006851E4"/>
    <w:rsid w:val="006927A0"/>
    <w:rsid w:val="00692C74"/>
    <w:rsid w:val="006A050D"/>
    <w:rsid w:val="006A3961"/>
    <w:rsid w:val="006A629C"/>
    <w:rsid w:val="006A6B4B"/>
    <w:rsid w:val="006B1136"/>
    <w:rsid w:val="006B2130"/>
    <w:rsid w:val="006B29AB"/>
    <w:rsid w:val="006C0A6E"/>
    <w:rsid w:val="006C151C"/>
    <w:rsid w:val="006C2640"/>
    <w:rsid w:val="006C5A93"/>
    <w:rsid w:val="006D01CD"/>
    <w:rsid w:val="006D196E"/>
    <w:rsid w:val="006D3476"/>
    <w:rsid w:val="006D3AD1"/>
    <w:rsid w:val="006D6E1A"/>
    <w:rsid w:val="006E230A"/>
    <w:rsid w:val="006E5731"/>
    <w:rsid w:val="006E6D5B"/>
    <w:rsid w:val="006E70F3"/>
    <w:rsid w:val="006F1E1C"/>
    <w:rsid w:val="006F4A6A"/>
    <w:rsid w:val="007021D9"/>
    <w:rsid w:val="00704CD6"/>
    <w:rsid w:val="00714FAE"/>
    <w:rsid w:val="007157C0"/>
    <w:rsid w:val="007231F4"/>
    <w:rsid w:val="0073107F"/>
    <w:rsid w:val="007344E2"/>
    <w:rsid w:val="007351E5"/>
    <w:rsid w:val="00737E4E"/>
    <w:rsid w:val="007438AE"/>
    <w:rsid w:val="00743CFF"/>
    <w:rsid w:val="00744A8E"/>
    <w:rsid w:val="00745299"/>
    <w:rsid w:val="00745E73"/>
    <w:rsid w:val="00745FB2"/>
    <w:rsid w:val="00746EA3"/>
    <w:rsid w:val="00750D2B"/>
    <w:rsid w:val="00750D6C"/>
    <w:rsid w:val="00751D7D"/>
    <w:rsid w:val="007520D2"/>
    <w:rsid w:val="0075449F"/>
    <w:rsid w:val="00754D51"/>
    <w:rsid w:val="0075695E"/>
    <w:rsid w:val="00764977"/>
    <w:rsid w:val="007669D5"/>
    <w:rsid w:val="00775C2D"/>
    <w:rsid w:val="00782DA1"/>
    <w:rsid w:val="00783BB0"/>
    <w:rsid w:val="00791EB6"/>
    <w:rsid w:val="00796815"/>
    <w:rsid w:val="007A07B6"/>
    <w:rsid w:val="007A1442"/>
    <w:rsid w:val="007A2956"/>
    <w:rsid w:val="007A3825"/>
    <w:rsid w:val="007A3E82"/>
    <w:rsid w:val="007B1669"/>
    <w:rsid w:val="007B384A"/>
    <w:rsid w:val="007C6383"/>
    <w:rsid w:val="007D0954"/>
    <w:rsid w:val="007D7001"/>
    <w:rsid w:val="007D7DF6"/>
    <w:rsid w:val="007D7F5F"/>
    <w:rsid w:val="007E074C"/>
    <w:rsid w:val="007E11F1"/>
    <w:rsid w:val="007E7165"/>
    <w:rsid w:val="007F1671"/>
    <w:rsid w:val="007F364C"/>
    <w:rsid w:val="007F367F"/>
    <w:rsid w:val="007F618F"/>
    <w:rsid w:val="008024EB"/>
    <w:rsid w:val="00802EE4"/>
    <w:rsid w:val="0080366F"/>
    <w:rsid w:val="00804006"/>
    <w:rsid w:val="0080578A"/>
    <w:rsid w:val="00812541"/>
    <w:rsid w:val="008171C7"/>
    <w:rsid w:val="008204EF"/>
    <w:rsid w:val="00827C63"/>
    <w:rsid w:val="008357AA"/>
    <w:rsid w:val="00840161"/>
    <w:rsid w:val="00840424"/>
    <w:rsid w:val="008423D9"/>
    <w:rsid w:val="00842592"/>
    <w:rsid w:val="00844161"/>
    <w:rsid w:val="00847D06"/>
    <w:rsid w:val="00850A4A"/>
    <w:rsid w:val="008524CA"/>
    <w:rsid w:val="00853444"/>
    <w:rsid w:val="00863116"/>
    <w:rsid w:val="00863C02"/>
    <w:rsid w:val="00872E9A"/>
    <w:rsid w:val="008749E7"/>
    <w:rsid w:val="008840B4"/>
    <w:rsid w:val="008854E5"/>
    <w:rsid w:val="00887048"/>
    <w:rsid w:val="00896A26"/>
    <w:rsid w:val="00896F1C"/>
    <w:rsid w:val="008A781F"/>
    <w:rsid w:val="008B2576"/>
    <w:rsid w:val="008B46EF"/>
    <w:rsid w:val="008B5944"/>
    <w:rsid w:val="008C2493"/>
    <w:rsid w:val="008C34F4"/>
    <w:rsid w:val="008C37D1"/>
    <w:rsid w:val="008C7F67"/>
    <w:rsid w:val="008D254F"/>
    <w:rsid w:val="008D724C"/>
    <w:rsid w:val="008E1D12"/>
    <w:rsid w:val="008E3B41"/>
    <w:rsid w:val="008E3EB5"/>
    <w:rsid w:val="008E5BC8"/>
    <w:rsid w:val="008E7575"/>
    <w:rsid w:val="00900A3C"/>
    <w:rsid w:val="00904E4F"/>
    <w:rsid w:val="0090544C"/>
    <w:rsid w:val="00905B3E"/>
    <w:rsid w:val="00910C0B"/>
    <w:rsid w:val="0091355E"/>
    <w:rsid w:val="00917E6C"/>
    <w:rsid w:val="00924B7C"/>
    <w:rsid w:val="0093386E"/>
    <w:rsid w:val="00935539"/>
    <w:rsid w:val="009379C9"/>
    <w:rsid w:val="00937F2E"/>
    <w:rsid w:val="009428E0"/>
    <w:rsid w:val="00942D3F"/>
    <w:rsid w:val="00943417"/>
    <w:rsid w:val="00944959"/>
    <w:rsid w:val="00950C12"/>
    <w:rsid w:val="009516FB"/>
    <w:rsid w:val="00951742"/>
    <w:rsid w:val="00951CEA"/>
    <w:rsid w:val="00954751"/>
    <w:rsid w:val="00956DE5"/>
    <w:rsid w:val="009702E5"/>
    <w:rsid w:val="009706F6"/>
    <w:rsid w:val="00970ECF"/>
    <w:rsid w:val="009727E2"/>
    <w:rsid w:val="00972998"/>
    <w:rsid w:val="00975987"/>
    <w:rsid w:val="00976B85"/>
    <w:rsid w:val="009800EF"/>
    <w:rsid w:val="009808FB"/>
    <w:rsid w:val="009828DE"/>
    <w:rsid w:val="009833AB"/>
    <w:rsid w:val="0098739D"/>
    <w:rsid w:val="0098790F"/>
    <w:rsid w:val="00987AF4"/>
    <w:rsid w:val="00987FCB"/>
    <w:rsid w:val="00990378"/>
    <w:rsid w:val="0099216C"/>
    <w:rsid w:val="00994DEA"/>
    <w:rsid w:val="00994ED0"/>
    <w:rsid w:val="00995382"/>
    <w:rsid w:val="00996744"/>
    <w:rsid w:val="009A60BC"/>
    <w:rsid w:val="009B43EB"/>
    <w:rsid w:val="009B5DF5"/>
    <w:rsid w:val="009B7579"/>
    <w:rsid w:val="009D0D70"/>
    <w:rsid w:val="009D1981"/>
    <w:rsid w:val="009D5B4B"/>
    <w:rsid w:val="009D7B71"/>
    <w:rsid w:val="009E1408"/>
    <w:rsid w:val="009E6614"/>
    <w:rsid w:val="009F0173"/>
    <w:rsid w:val="009F1DD5"/>
    <w:rsid w:val="009F4512"/>
    <w:rsid w:val="009F58B2"/>
    <w:rsid w:val="009F7268"/>
    <w:rsid w:val="00A0427A"/>
    <w:rsid w:val="00A1441B"/>
    <w:rsid w:val="00A14C64"/>
    <w:rsid w:val="00A20310"/>
    <w:rsid w:val="00A2135E"/>
    <w:rsid w:val="00A24A05"/>
    <w:rsid w:val="00A24FA2"/>
    <w:rsid w:val="00A26E82"/>
    <w:rsid w:val="00A34EC6"/>
    <w:rsid w:val="00A370C9"/>
    <w:rsid w:val="00A43A87"/>
    <w:rsid w:val="00A43F1F"/>
    <w:rsid w:val="00A50685"/>
    <w:rsid w:val="00A51547"/>
    <w:rsid w:val="00A5362B"/>
    <w:rsid w:val="00A53644"/>
    <w:rsid w:val="00A53F8F"/>
    <w:rsid w:val="00A54EF1"/>
    <w:rsid w:val="00A6046E"/>
    <w:rsid w:val="00A60CA8"/>
    <w:rsid w:val="00A636A3"/>
    <w:rsid w:val="00A64BC1"/>
    <w:rsid w:val="00A64E0C"/>
    <w:rsid w:val="00A6605F"/>
    <w:rsid w:val="00A71953"/>
    <w:rsid w:val="00A75C8B"/>
    <w:rsid w:val="00A76E9E"/>
    <w:rsid w:val="00A815B4"/>
    <w:rsid w:val="00A86FDD"/>
    <w:rsid w:val="00A87A96"/>
    <w:rsid w:val="00A9012A"/>
    <w:rsid w:val="00A91B58"/>
    <w:rsid w:val="00A92EF9"/>
    <w:rsid w:val="00A93031"/>
    <w:rsid w:val="00A94DA6"/>
    <w:rsid w:val="00A9668F"/>
    <w:rsid w:val="00A96923"/>
    <w:rsid w:val="00AA1D9D"/>
    <w:rsid w:val="00AA26FF"/>
    <w:rsid w:val="00AA4CBA"/>
    <w:rsid w:val="00AA5F0A"/>
    <w:rsid w:val="00AB60D7"/>
    <w:rsid w:val="00AB7A18"/>
    <w:rsid w:val="00AC0291"/>
    <w:rsid w:val="00AC2200"/>
    <w:rsid w:val="00AC3C91"/>
    <w:rsid w:val="00AC613B"/>
    <w:rsid w:val="00AD2CD8"/>
    <w:rsid w:val="00AD63F3"/>
    <w:rsid w:val="00AD7E36"/>
    <w:rsid w:val="00AE05A0"/>
    <w:rsid w:val="00AE1773"/>
    <w:rsid w:val="00AE2668"/>
    <w:rsid w:val="00AE3AA4"/>
    <w:rsid w:val="00AE4A0A"/>
    <w:rsid w:val="00AE5224"/>
    <w:rsid w:val="00AE52C6"/>
    <w:rsid w:val="00AE743C"/>
    <w:rsid w:val="00AE752E"/>
    <w:rsid w:val="00AF623D"/>
    <w:rsid w:val="00AF7CC6"/>
    <w:rsid w:val="00B014CF"/>
    <w:rsid w:val="00B062DA"/>
    <w:rsid w:val="00B06D19"/>
    <w:rsid w:val="00B106E2"/>
    <w:rsid w:val="00B21DD2"/>
    <w:rsid w:val="00B23703"/>
    <w:rsid w:val="00B2529D"/>
    <w:rsid w:val="00B27A2E"/>
    <w:rsid w:val="00B3321C"/>
    <w:rsid w:val="00B34472"/>
    <w:rsid w:val="00B361A4"/>
    <w:rsid w:val="00B4083B"/>
    <w:rsid w:val="00B46736"/>
    <w:rsid w:val="00B475B3"/>
    <w:rsid w:val="00B51472"/>
    <w:rsid w:val="00B60E43"/>
    <w:rsid w:val="00B64575"/>
    <w:rsid w:val="00B64F0E"/>
    <w:rsid w:val="00B67FE5"/>
    <w:rsid w:val="00B77C39"/>
    <w:rsid w:val="00B82106"/>
    <w:rsid w:val="00B837D5"/>
    <w:rsid w:val="00B858B2"/>
    <w:rsid w:val="00B93AF6"/>
    <w:rsid w:val="00B944A4"/>
    <w:rsid w:val="00B9790A"/>
    <w:rsid w:val="00BA0245"/>
    <w:rsid w:val="00BA568A"/>
    <w:rsid w:val="00BA6DFA"/>
    <w:rsid w:val="00BB1D65"/>
    <w:rsid w:val="00BB37F6"/>
    <w:rsid w:val="00BC125D"/>
    <w:rsid w:val="00BC465A"/>
    <w:rsid w:val="00BC5F3B"/>
    <w:rsid w:val="00BD0564"/>
    <w:rsid w:val="00BD4442"/>
    <w:rsid w:val="00BD5E18"/>
    <w:rsid w:val="00BD64F8"/>
    <w:rsid w:val="00BE3F0E"/>
    <w:rsid w:val="00BE5150"/>
    <w:rsid w:val="00BE60F1"/>
    <w:rsid w:val="00BE6C1D"/>
    <w:rsid w:val="00BF449C"/>
    <w:rsid w:val="00BF5172"/>
    <w:rsid w:val="00BF5E15"/>
    <w:rsid w:val="00BF6E54"/>
    <w:rsid w:val="00C02672"/>
    <w:rsid w:val="00C0435B"/>
    <w:rsid w:val="00C05051"/>
    <w:rsid w:val="00C13311"/>
    <w:rsid w:val="00C15582"/>
    <w:rsid w:val="00C17636"/>
    <w:rsid w:val="00C212BF"/>
    <w:rsid w:val="00C22991"/>
    <w:rsid w:val="00C25A07"/>
    <w:rsid w:val="00C276CA"/>
    <w:rsid w:val="00C32682"/>
    <w:rsid w:val="00C34208"/>
    <w:rsid w:val="00C357CC"/>
    <w:rsid w:val="00C359C3"/>
    <w:rsid w:val="00C444FE"/>
    <w:rsid w:val="00C459FE"/>
    <w:rsid w:val="00C462EE"/>
    <w:rsid w:val="00C47294"/>
    <w:rsid w:val="00C50C0E"/>
    <w:rsid w:val="00C50CE0"/>
    <w:rsid w:val="00C50DE2"/>
    <w:rsid w:val="00C53575"/>
    <w:rsid w:val="00C547B3"/>
    <w:rsid w:val="00C547CA"/>
    <w:rsid w:val="00C57315"/>
    <w:rsid w:val="00C600D3"/>
    <w:rsid w:val="00C62BC1"/>
    <w:rsid w:val="00C64601"/>
    <w:rsid w:val="00C67D4D"/>
    <w:rsid w:val="00C71D23"/>
    <w:rsid w:val="00C7603D"/>
    <w:rsid w:val="00C824C1"/>
    <w:rsid w:val="00C846FB"/>
    <w:rsid w:val="00C8479C"/>
    <w:rsid w:val="00C84E1B"/>
    <w:rsid w:val="00C84FB4"/>
    <w:rsid w:val="00C87DEE"/>
    <w:rsid w:val="00C9043C"/>
    <w:rsid w:val="00C90B0D"/>
    <w:rsid w:val="00C917C6"/>
    <w:rsid w:val="00C918A8"/>
    <w:rsid w:val="00C93637"/>
    <w:rsid w:val="00C94A41"/>
    <w:rsid w:val="00C960ED"/>
    <w:rsid w:val="00C97E1B"/>
    <w:rsid w:val="00CA1C11"/>
    <w:rsid w:val="00CA2F59"/>
    <w:rsid w:val="00CA6605"/>
    <w:rsid w:val="00CA6784"/>
    <w:rsid w:val="00CA779A"/>
    <w:rsid w:val="00CB2ED4"/>
    <w:rsid w:val="00CB3816"/>
    <w:rsid w:val="00CB654F"/>
    <w:rsid w:val="00CB7CEE"/>
    <w:rsid w:val="00CC0C87"/>
    <w:rsid w:val="00CC115D"/>
    <w:rsid w:val="00CC1BD7"/>
    <w:rsid w:val="00CC4DB2"/>
    <w:rsid w:val="00CC654E"/>
    <w:rsid w:val="00CD3D07"/>
    <w:rsid w:val="00CE0612"/>
    <w:rsid w:val="00CE066F"/>
    <w:rsid w:val="00CE3DD6"/>
    <w:rsid w:val="00CF07E8"/>
    <w:rsid w:val="00CF1092"/>
    <w:rsid w:val="00D0358D"/>
    <w:rsid w:val="00D03E79"/>
    <w:rsid w:val="00D046EB"/>
    <w:rsid w:val="00D12536"/>
    <w:rsid w:val="00D13E7A"/>
    <w:rsid w:val="00D206AF"/>
    <w:rsid w:val="00D20D50"/>
    <w:rsid w:val="00D217B2"/>
    <w:rsid w:val="00D313CF"/>
    <w:rsid w:val="00D32974"/>
    <w:rsid w:val="00D32A32"/>
    <w:rsid w:val="00D32F05"/>
    <w:rsid w:val="00D36007"/>
    <w:rsid w:val="00D36B96"/>
    <w:rsid w:val="00D40F94"/>
    <w:rsid w:val="00D419D2"/>
    <w:rsid w:val="00D425CA"/>
    <w:rsid w:val="00D4456D"/>
    <w:rsid w:val="00D5111C"/>
    <w:rsid w:val="00D563AA"/>
    <w:rsid w:val="00D6457E"/>
    <w:rsid w:val="00D67928"/>
    <w:rsid w:val="00D7570C"/>
    <w:rsid w:val="00D764B8"/>
    <w:rsid w:val="00D8287C"/>
    <w:rsid w:val="00D82D26"/>
    <w:rsid w:val="00D914A8"/>
    <w:rsid w:val="00D924F1"/>
    <w:rsid w:val="00D92D14"/>
    <w:rsid w:val="00D95EC0"/>
    <w:rsid w:val="00D97BF4"/>
    <w:rsid w:val="00DB2AFD"/>
    <w:rsid w:val="00DB4282"/>
    <w:rsid w:val="00DB594E"/>
    <w:rsid w:val="00DC0F95"/>
    <w:rsid w:val="00DC390A"/>
    <w:rsid w:val="00DC40E3"/>
    <w:rsid w:val="00DC4E14"/>
    <w:rsid w:val="00DC5979"/>
    <w:rsid w:val="00DC7295"/>
    <w:rsid w:val="00DD003E"/>
    <w:rsid w:val="00DD6C35"/>
    <w:rsid w:val="00DE046A"/>
    <w:rsid w:val="00DE070D"/>
    <w:rsid w:val="00DE1F18"/>
    <w:rsid w:val="00DF2A70"/>
    <w:rsid w:val="00DF3031"/>
    <w:rsid w:val="00DF3BE2"/>
    <w:rsid w:val="00DF7422"/>
    <w:rsid w:val="00DF7A3A"/>
    <w:rsid w:val="00E00119"/>
    <w:rsid w:val="00E00CA5"/>
    <w:rsid w:val="00E04816"/>
    <w:rsid w:val="00E075BF"/>
    <w:rsid w:val="00E10D8A"/>
    <w:rsid w:val="00E11C99"/>
    <w:rsid w:val="00E14153"/>
    <w:rsid w:val="00E17CFD"/>
    <w:rsid w:val="00E215C1"/>
    <w:rsid w:val="00E2171C"/>
    <w:rsid w:val="00E26115"/>
    <w:rsid w:val="00E30701"/>
    <w:rsid w:val="00E30C7C"/>
    <w:rsid w:val="00E30E62"/>
    <w:rsid w:val="00E3732B"/>
    <w:rsid w:val="00E44462"/>
    <w:rsid w:val="00E45955"/>
    <w:rsid w:val="00E46A95"/>
    <w:rsid w:val="00E47C1D"/>
    <w:rsid w:val="00E515D5"/>
    <w:rsid w:val="00E528DA"/>
    <w:rsid w:val="00E60EC2"/>
    <w:rsid w:val="00E60FE7"/>
    <w:rsid w:val="00E66B8C"/>
    <w:rsid w:val="00E77052"/>
    <w:rsid w:val="00E80885"/>
    <w:rsid w:val="00E83239"/>
    <w:rsid w:val="00E87B45"/>
    <w:rsid w:val="00E90DA9"/>
    <w:rsid w:val="00E9463A"/>
    <w:rsid w:val="00E963CC"/>
    <w:rsid w:val="00EA1546"/>
    <w:rsid w:val="00EA29E9"/>
    <w:rsid w:val="00EA3B11"/>
    <w:rsid w:val="00EC0D81"/>
    <w:rsid w:val="00EC1DB1"/>
    <w:rsid w:val="00ED2D17"/>
    <w:rsid w:val="00ED4876"/>
    <w:rsid w:val="00ED5502"/>
    <w:rsid w:val="00EE0213"/>
    <w:rsid w:val="00EE1BAA"/>
    <w:rsid w:val="00EE1D27"/>
    <w:rsid w:val="00EE23A0"/>
    <w:rsid w:val="00EF01E6"/>
    <w:rsid w:val="00EF381D"/>
    <w:rsid w:val="00EF5431"/>
    <w:rsid w:val="00EF5A46"/>
    <w:rsid w:val="00EF64B7"/>
    <w:rsid w:val="00EF7A8C"/>
    <w:rsid w:val="00F004B8"/>
    <w:rsid w:val="00F010B5"/>
    <w:rsid w:val="00F05F82"/>
    <w:rsid w:val="00F06679"/>
    <w:rsid w:val="00F07FEA"/>
    <w:rsid w:val="00F12980"/>
    <w:rsid w:val="00F14F1B"/>
    <w:rsid w:val="00F1521A"/>
    <w:rsid w:val="00F1640C"/>
    <w:rsid w:val="00F258A8"/>
    <w:rsid w:val="00F27202"/>
    <w:rsid w:val="00F344F5"/>
    <w:rsid w:val="00F36A05"/>
    <w:rsid w:val="00F410E3"/>
    <w:rsid w:val="00F41C4B"/>
    <w:rsid w:val="00F4248B"/>
    <w:rsid w:val="00F464FA"/>
    <w:rsid w:val="00F53409"/>
    <w:rsid w:val="00F5626D"/>
    <w:rsid w:val="00F562A4"/>
    <w:rsid w:val="00F56397"/>
    <w:rsid w:val="00F572C3"/>
    <w:rsid w:val="00F57859"/>
    <w:rsid w:val="00F578DC"/>
    <w:rsid w:val="00F606BE"/>
    <w:rsid w:val="00F649BD"/>
    <w:rsid w:val="00F64AB4"/>
    <w:rsid w:val="00F7671F"/>
    <w:rsid w:val="00F80636"/>
    <w:rsid w:val="00F82A99"/>
    <w:rsid w:val="00F878EE"/>
    <w:rsid w:val="00F9101B"/>
    <w:rsid w:val="00F93032"/>
    <w:rsid w:val="00F937DE"/>
    <w:rsid w:val="00F93C5A"/>
    <w:rsid w:val="00F95134"/>
    <w:rsid w:val="00F95CDB"/>
    <w:rsid w:val="00F97B26"/>
    <w:rsid w:val="00F97CC4"/>
    <w:rsid w:val="00FA0B96"/>
    <w:rsid w:val="00FA1999"/>
    <w:rsid w:val="00FA5BE6"/>
    <w:rsid w:val="00FA5F38"/>
    <w:rsid w:val="00FB2682"/>
    <w:rsid w:val="00FC0A3A"/>
    <w:rsid w:val="00FC0AE6"/>
    <w:rsid w:val="00FC44A7"/>
    <w:rsid w:val="00FC6362"/>
    <w:rsid w:val="00FC6784"/>
    <w:rsid w:val="00FD03BB"/>
    <w:rsid w:val="00FD1239"/>
    <w:rsid w:val="00FE2CBF"/>
    <w:rsid w:val="00FE6FC8"/>
    <w:rsid w:val="00FF1CEC"/>
    <w:rsid w:val="00FF3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15:chartTrackingRefBased/>
  <w15:docId w15:val="{D6FA9F95-A63C-4DFC-BAA5-9F4CDCC1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7438AE"/>
    <w:pPr>
      <w:spacing w:before="100" w:beforeAutospacing="1" w:after="100" w:afterAutospacing="1"/>
    </w:pPr>
    <w:rPr>
      <w:sz w:val="24"/>
      <w:szCs w:val="24"/>
    </w:rPr>
  </w:style>
  <w:style w:type="table" w:customStyle="1" w:styleId="TableGrid6">
    <w:name w:val="Table Grid6"/>
    <w:basedOn w:val="TableNormal"/>
    <w:next w:val="TableGrid"/>
    <w:uiPriority w:val="39"/>
    <w:rsid w:val="0012442C"/>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74786"/>
    <w:pPr>
      <w:spacing w:after="0" w:line="240" w:lineRule="auto"/>
    </w:pPr>
    <w:rPr>
      <w:kern w:val="2"/>
      <w:sz w:val="24"/>
      <w:szCs w:val="24"/>
      <w14:ligatures w14:val="standardContextual"/>
    </w:rPr>
  </w:style>
  <w:style w:type="table" w:customStyle="1" w:styleId="TableGrid7">
    <w:name w:val="Table Grid7"/>
    <w:basedOn w:val="TableNormal"/>
    <w:next w:val="TableGrid"/>
    <w:uiPriority w:val="39"/>
    <w:rsid w:val="00937F2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57AD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0949">
      <w:bodyDiv w:val="1"/>
      <w:marLeft w:val="0"/>
      <w:marRight w:val="0"/>
      <w:marTop w:val="0"/>
      <w:marBottom w:val="0"/>
      <w:divBdr>
        <w:top w:val="none" w:sz="0" w:space="0" w:color="auto"/>
        <w:left w:val="none" w:sz="0" w:space="0" w:color="auto"/>
        <w:bottom w:val="none" w:sz="0" w:space="0" w:color="auto"/>
        <w:right w:val="none" w:sz="0" w:space="0" w:color="auto"/>
      </w:divBdr>
    </w:div>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280116521">
      <w:bodyDiv w:val="1"/>
      <w:marLeft w:val="0"/>
      <w:marRight w:val="0"/>
      <w:marTop w:val="0"/>
      <w:marBottom w:val="0"/>
      <w:divBdr>
        <w:top w:val="none" w:sz="0" w:space="0" w:color="auto"/>
        <w:left w:val="none" w:sz="0" w:space="0" w:color="auto"/>
        <w:bottom w:val="none" w:sz="0" w:space="0" w:color="auto"/>
        <w:right w:val="none" w:sz="0" w:space="0" w:color="auto"/>
      </w:divBdr>
    </w:div>
    <w:div w:id="964696685">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198665927">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576741146">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732727961">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 w:id="207693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9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chart" Target="charts/chart6.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5.xm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00.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8.jp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0.png"/><Relationship Id="rId27" Type="http://schemas.openxmlformats.org/officeDocument/2006/relationships/image" Target="media/image11.jpeg"/><Relationship Id="rId30" Type="http://schemas.openxmlformats.org/officeDocument/2006/relationships/footer" Target="footer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G:\MyDocs\Hai%20Van\DICH_TRANSLATION\NIEN%20GIAM\BAO%20CAO%20THANG-QUY\Thang%2002_2026\Bi&#7875;u%20&#273;&#7891;%20V&#272;T%20th&#225;ng%202%20ti&#7871;ng%20Vi&#7879;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MyDocs\Hai%20Van\DICH_TRANSLATION\NIEN%20GIAM\BAO%20CAO%20THANG-QUY\Thang%2002_2026\bi&#7875;u%20&#273;&#7891;%20FDI%20T2%202026.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htu\OneDrive\Desktop\2026%20Ph&#432;&#417;ng\b&#225;o%20c&#225;o%20th&#225;ng%202%202026\bi&#7875;u%20&#273;&#7891;%20FDI%20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D:\Bao%20cao\Bao%20cao%20KTXH\2026\Thang%202%202026\Info\&#272;&#7891;%20th&#7883;%20t&#7893;ng%20m&#7913;c%202.2026.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Bao%20cao\Bao%20cao%20KTXH\2026\Thang%202%202026\Info\Bi&#7875;u%20&#273;&#7891;%20XNK%2002.2026.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Bao%20cao\Bao%20cao%20KTXH\2026\Thang%202%202026\Info\Bi&#7875;u%20&#273;&#7891;%20XNK%2002.2026.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oleObject" Target="file:///D:\BAO%20CAO%20THANG\Loi%20van\2026\T2\&#272;&#7891;%20th&#7883;%20CPI%202.2026_E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01543582866915E-2"/>
          <c:y val="0.12987603202472423"/>
          <c:w val="0.89996767604437333"/>
          <c:h val="0.66574137320055682"/>
        </c:manualLayout>
      </c:layout>
      <c:barChart>
        <c:barDir val="col"/>
        <c:grouping val="clustered"/>
        <c:varyColors val="0"/>
        <c:ser>
          <c:idx val="0"/>
          <c:order val="0"/>
          <c:tx>
            <c:strRef>
              <c:f>'Hình 7. Địa phương'!$D$4</c:f>
              <c:strCache>
                <c:ptCount val="1"/>
                <c:pt idx="0">
                  <c:v>The first 2 months of 2025</c:v>
                </c:pt>
              </c:strCache>
            </c:strRef>
          </c:tx>
          <c:spPr>
            <a:solidFill>
              <a:srgbClr val="CFB09D"/>
            </a:solidFill>
            <a:ln>
              <a:noFill/>
            </a:ln>
            <a:effectLst/>
          </c:spPr>
          <c:invertIfNegative val="0"/>
          <c:cat>
            <c:strRef>
              <c:f>'Hình 7. Địa phương'!$C$5:$C$13</c:f>
              <c:strCache>
                <c:ptCount val="9"/>
                <c:pt idx="0">
                  <c:v>Ha Noi</c:v>
                </c:pt>
                <c:pt idx="1">
                  <c:v>Ho Chi Minh City</c:v>
                </c:pt>
                <c:pt idx="2">
                  <c:v>Ninh Binh</c:v>
                </c:pt>
                <c:pt idx="3">
                  <c:v>Hung Yen</c:v>
                </c:pt>
                <c:pt idx="4">
                  <c:v>Hai Phong</c:v>
                </c:pt>
                <c:pt idx="5">
                  <c:v>Phu Tho</c:v>
                </c:pt>
                <c:pt idx="6">
                  <c:v>Dong Nai</c:v>
                </c:pt>
                <c:pt idx="7">
                  <c:v>Can Tho</c:v>
                </c:pt>
                <c:pt idx="8">
                  <c:v>Quang Ninh</c:v>
                </c:pt>
              </c:strCache>
            </c:strRef>
          </c:cat>
          <c:val>
            <c:numRef>
              <c:f>'Hình 7. Địa phương'!$D$5:$D$13</c:f>
              <c:numCache>
                <c:formatCode>0.0</c:formatCode>
                <c:ptCount val="9"/>
                <c:pt idx="0">
                  <c:v>9062.6579999999994</c:v>
                </c:pt>
                <c:pt idx="1">
                  <c:v>9363.0349999999999</c:v>
                </c:pt>
                <c:pt idx="2">
                  <c:v>3630.1370000000002</c:v>
                </c:pt>
                <c:pt idx="3">
                  <c:v>4265.8890000000001</c:v>
                </c:pt>
                <c:pt idx="4">
                  <c:v>2819.0729999999999</c:v>
                </c:pt>
                <c:pt idx="5">
                  <c:v>2769.4830000000002</c:v>
                </c:pt>
                <c:pt idx="6">
                  <c:v>2267.998</c:v>
                </c:pt>
                <c:pt idx="7">
                  <c:v>2406.9470000000001</c:v>
                </c:pt>
                <c:pt idx="8">
                  <c:v>1586.66</c:v>
                </c:pt>
              </c:numCache>
            </c:numRef>
          </c:val>
          <c:extLst>
            <c:ext xmlns:c16="http://schemas.microsoft.com/office/drawing/2014/chart" uri="{C3380CC4-5D6E-409C-BE32-E72D297353CC}">
              <c16:uniqueId val="{00000000-7889-4DE8-95E7-7EB99C223A71}"/>
            </c:ext>
          </c:extLst>
        </c:ser>
        <c:ser>
          <c:idx val="1"/>
          <c:order val="1"/>
          <c:tx>
            <c:strRef>
              <c:f>'Hình 7. Địa phương'!$E$4</c:f>
              <c:strCache>
                <c:ptCount val="1"/>
                <c:pt idx="0">
                  <c:v>The first 2 months of 2026</c:v>
                </c:pt>
              </c:strCache>
            </c:strRef>
          </c:tx>
          <c:spPr>
            <a:solidFill>
              <a:srgbClr val="C84863"/>
            </a:solidFill>
            <a:ln>
              <a:noFill/>
            </a:ln>
            <a:effectLst/>
          </c:spPr>
          <c:invertIfNegative val="0"/>
          <c:dLbls>
            <c:dLbl>
              <c:idx val="0"/>
              <c:layout>
                <c:manualLayout>
                  <c:x val="2.4454855231008193E-2"/>
                  <c:y val="8.154943934760449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89-4DE8-95E7-7EB99C223A71}"/>
                </c:ext>
              </c:extLst>
            </c:dLbl>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89-4DE8-95E7-7EB99C223A71}"/>
                </c:ext>
              </c:extLst>
            </c:dLbl>
            <c:dLbl>
              <c:idx val="3"/>
              <c:layout>
                <c:manualLayout>
                  <c:x val="6.2794348508634227E-3"/>
                  <c:y val="2.44648318042812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89-4DE8-95E7-7EB99C223A71}"/>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Ha Noi</c:v>
                </c:pt>
                <c:pt idx="1">
                  <c:v>Ho Chi Minh City</c:v>
                </c:pt>
                <c:pt idx="2">
                  <c:v>Ninh Binh</c:v>
                </c:pt>
                <c:pt idx="3">
                  <c:v>Hung Yen</c:v>
                </c:pt>
                <c:pt idx="4">
                  <c:v>Hai Phong</c:v>
                </c:pt>
                <c:pt idx="5">
                  <c:v>Phu Tho</c:v>
                </c:pt>
                <c:pt idx="6">
                  <c:v>Dong Nai</c:v>
                </c:pt>
                <c:pt idx="7">
                  <c:v>Can Tho</c:v>
                </c:pt>
                <c:pt idx="8">
                  <c:v>Quang Ninh</c:v>
                </c:pt>
              </c:strCache>
            </c:strRef>
          </c:cat>
          <c:val>
            <c:numRef>
              <c:f>'Hình 7. Địa phương'!$E$5:$E$13</c:f>
              <c:numCache>
                <c:formatCode>0.0</c:formatCode>
                <c:ptCount val="9"/>
                <c:pt idx="0">
                  <c:v>12842.638999999999</c:v>
                </c:pt>
                <c:pt idx="1">
                  <c:v>11073.539000000001</c:v>
                </c:pt>
                <c:pt idx="2">
                  <c:v>4683.1480000000001</c:v>
                </c:pt>
                <c:pt idx="3">
                  <c:v>4325.4030000000002</c:v>
                </c:pt>
                <c:pt idx="4">
                  <c:v>3030.9670000000001</c:v>
                </c:pt>
                <c:pt idx="5">
                  <c:v>3013.9749999999999</c:v>
                </c:pt>
                <c:pt idx="6">
                  <c:v>2403.0650000000001</c:v>
                </c:pt>
                <c:pt idx="7">
                  <c:v>2328.9090000000001</c:v>
                </c:pt>
                <c:pt idx="8">
                  <c:v>2048</c:v>
                </c:pt>
              </c:numCache>
            </c:numRef>
          </c:val>
          <c:extLst>
            <c:ext xmlns:c16="http://schemas.microsoft.com/office/drawing/2014/chart" uri="{C3380CC4-5D6E-409C-BE32-E72D297353CC}">
              <c16:uniqueId val="{00000003-7889-4DE8-95E7-7EB99C223A71}"/>
            </c:ext>
          </c:extLst>
        </c:ser>
        <c:dLbls>
          <c:showLegendKey val="0"/>
          <c:showVal val="0"/>
          <c:showCatName val="0"/>
          <c:showSerName val="0"/>
          <c:showPercent val="0"/>
          <c:showBubbleSize val="0"/>
        </c:dLbls>
        <c:gapWidth val="36"/>
        <c:axId val="-546734112"/>
        <c:axId val="-546733024"/>
      </c:barChart>
      <c:catAx>
        <c:axId val="-54673411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46733024"/>
        <c:crosses val="autoZero"/>
        <c:auto val="1"/>
        <c:lblAlgn val="ctr"/>
        <c:lblOffset val="100"/>
        <c:noMultiLvlLbl val="0"/>
      </c:catAx>
      <c:valAx>
        <c:axId val="-5467330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46734112"/>
        <c:crosses val="autoZero"/>
        <c:crossBetween val="between"/>
      </c:valAx>
      <c:spPr>
        <a:noFill/>
        <a:ln>
          <a:noFill/>
        </a:ln>
        <a:effectLst/>
      </c:spPr>
    </c:plotArea>
    <c:legend>
      <c:legendPos val="b"/>
      <c:layout>
        <c:manualLayout>
          <c:xMode val="edge"/>
          <c:yMode val="edge"/>
          <c:x val="9.0302370740242832E-2"/>
          <c:y val="0.90710651994188796"/>
          <c:w val="0.79749602031453382"/>
          <c:h val="6.4135102378257758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Newly licensed capital</c:v>
                </c:pt>
              </c:strCache>
            </c:strRef>
          </c:tx>
          <c:invertIfNegative val="0"/>
          <c:dLbls>
            <c:dLbl>
              <c:idx val="0"/>
              <c:tx>
                <c:rich>
                  <a:bodyPr/>
                  <a:lstStyle/>
                  <a:p>
                    <a:r>
                      <a:rPr lang="en-US"/>
                      <a:t>0.63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53A-48B7-8F7B-F4D7540AA3D5}"/>
                </c:ext>
              </c:extLst>
            </c:dLbl>
            <c:dLbl>
              <c:idx val="1"/>
              <c:tx>
                <c:rich>
                  <a:bodyPr/>
                  <a:lstStyle/>
                  <a:p>
                    <a:r>
                      <a:rPr lang="en-US"/>
                      <a:t>1.76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53A-48B7-8F7B-F4D7540AA3D5}"/>
                </c:ext>
              </c:extLst>
            </c:dLbl>
            <c:dLbl>
              <c:idx val="2"/>
              <c:tx>
                <c:rich>
                  <a:bodyPr/>
                  <a:lstStyle/>
                  <a:p>
                    <a:r>
                      <a:rPr lang="en-US"/>
                      <a:t>4.25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53A-48B7-8F7B-F4D7540AA3D5}"/>
                </c:ext>
              </c:extLst>
            </c:dLbl>
            <c:dLbl>
              <c:idx val="3"/>
              <c:tx>
                <c:rich>
                  <a:bodyPr/>
                  <a:lstStyle/>
                  <a:p>
                    <a:r>
                      <a:rPr lang="en-US"/>
                      <a:t>2.19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53A-48B7-8F7B-F4D7540AA3D5}"/>
                </c:ext>
              </c:extLst>
            </c:dLbl>
            <c:dLbl>
              <c:idx val="4"/>
              <c:tx>
                <c:rich>
                  <a:bodyPr/>
                  <a:lstStyle/>
                  <a:p>
                    <a:r>
                      <a:rPr lang="en-US"/>
                      <a:t>3.54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53A-48B7-8F7B-F4D7540AA3D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2022</c:v>
                </c:pt>
                <c:pt idx="1">
                  <c:v>2023</c:v>
                </c:pt>
                <c:pt idx="2">
                  <c:v>2024</c:v>
                </c:pt>
                <c:pt idx="3">
                  <c:v>2025</c:v>
                </c:pt>
                <c:pt idx="4">
                  <c:v>2026</c:v>
                </c:pt>
              </c:numCache>
            </c:numRef>
          </c:cat>
          <c:val>
            <c:numRef>
              <c:f>'04. FDI SO SANH '!$B$16:$F$16</c:f>
              <c:numCache>
                <c:formatCode>0.00</c:formatCode>
                <c:ptCount val="5"/>
                <c:pt idx="0">
                  <c:v>0.63176240644999992</c:v>
                </c:pt>
                <c:pt idx="1">
                  <c:v>1.76414061691</c:v>
                </c:pt>
                <c:pt idx="2">
                  <c:v>4.2473962185999987</c:v>
                </c:pt>
                <c:pt idx="3">
                  <c:v>2.1910348144399996</c:v>
                </c:pt>
                <c:pt idx="4">
                  <c:v>3.5395873543</c:v>
                </c:pt>
              </c:numCache>
            </c:numRef>
          </c:val>
          <c:extLst>
            <c:ext xmlns:c16="http://schemas.microsoft.com/office/drawing/2014/chart" uri="{C3380CC4-5D6E-409C-BE32-E72D297353CC}">
              <c16:uniqueId val="{00000005-053A-48B7-8F7B-F4D7540AA3D5}"/>
            </c:ext>
          </c:extLst>
        </c:ser>
        <c:ser>
          <c:idx val="1"/>
          <c:order val="1"/>
          <c:tx>
            <c:strRef>
              <c:f>'04. FDI SO SANH '!$A$17</c:f>
              <c:strCache>
                <c:ptCount val="1"/>
                <c:pt idx="0">
                  <c:v>Adjusting registered capital</c:v>
                </c:pt>
              </c:strCache>
            </c:strRef>
          </c:tx>
          <c:invertIfNegative val="0"/>
          <c:dLbls>
            <c:dLbl>
              <c:idx val="0"/>
              <c:tx>
                <c:rich>
                  <a:bodyPr/>
                  <a:lstStyle/>
                  <a:p>
                    <a:r>
                      <a:rPr lang="en-US"/>
                      <a:t>3.59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53A-48B7-8F7B-F4D7540AA3D5}"/>
                </c:ext>
              </c:extLst>
            </c:dLbl>
            <c:dLbl>
              <c:idx val="1"/>
              <c:tx>
                <c:rich>
                  <a:bodyPr/>
                  <a:lstStyle/>
                  <a:p>
                    <a:r>
                      <a:rPr lang="en-US"/>
                      <a:t>0.54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53A-48B7-8F7B-F4D7540AA3D5}"/>
                </c:ext>
              </c:extLst>
            </c:dLbl>
            <c:dLbl>
              <c:idx val="2"/>
              <c:tx>
                <c:rich>
                  <a:bodyPr wrap="square" lIns="38100" tIns="19050" rIns="38100" bIns="19050" anchor="ctr">
                    <a:noAutofit/>
                  </a:bodyPr>
                  <a:lstStyle/>
                  <a:p>
                    <a:pPr>
                      <a:defRPr/>
                    </a:pPr>
                    <a:r>
                      <a:rPr lang="en-US"/>
                      <a:t>0.57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053A-48B7-8F7B-F4D7540AA3D5}"/>
                </c:ext>
              </c:extLst>
            </c:dLbl>
            <c:dLbl>
              <c:idx val="3"/>
              <c:layout>
                <c:manualLayout>
                  <c:x val="7.207205843852202E-3"/>
                  <c:y val="0"/>
                </c:manualLayout>
              </c:layout>
              <c:tx>
                <c:rich>
                  <a:bodyPr/>
                  <a:lstStyle/>
                  <a:p>
                    <a:r>
                      <a:rPr lang="en-US"/>
                      <a:t>4.18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53A-48B7-8F7B-F4D7540AA3D5}"/>
                </c:ext>
              </c:extLst>
            </c:dLbl>
            <c:dLbl>
              <c:idx val="4"/>
              <c:tx>
                <c:rich>
                  <a:bodyPr/>
                  <a:lstStyle/>
                  <a:p>
                    <a:r>
                      <a:rPr lang="en-US"/>
                      <a:t>1.99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053A-48B7-8F7B-F4D7540AA3D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'!$B$17:$F$17</c:f>
              <c:numCache>
                <c:formatCode>0.00</c:formatCode>
                <c:ptCount val="5"/>
                <c:pt idx="0">
                  <c:v>3.5944651162343755</c:v>
                </c:pt>
                <c:pt idx="1">
                  <c:v>0.53535032283984374</c:v>
                </c:pt>
                <c:pt idx="2">
                  <c:v>0.56870454795556635</c:v>
                </c:pt>
                <c:pt idx="3">
                  <c:v>4.1841099008242191</c:v>
                </c:pt>
                <c:pt idx="4">
                  <c:v>1.9941194321679689</c:v>
                </c:pt>
              </c:numCache>
            </c:numRef>
          </c:val>
          <c:extLst>
            <c:ext xmlns:c16="http://schemas.microsoft.com/office/drawing/2014/chart" uri="{C3380CC4-5D6E-409C-BE32-E72D297353CC}">
              <c16:uniqueId val="{0000000B-053A-48B7-8F7B-F4D7540AA3D5}"/>
            </c:ext>
          </c:extLst>
        </c:ser>
        <c:ser>
          <c:idx val="2"/>
          <c:order val="2"/>
          <c:tx>
            <c:strRef>
              <c:f>'04. FDI SO SANH '!$A$18</c:f>
              <c:strCache>
                <c:ptCount val="1"/>
                <c:pt idx="0">
                  <c:v>Capital contribution and purchasing shares</c:v>
                </c:pt>
              </c:strCache>
            </c:strRef>
          </c:tx>
          <c:invertIfNegative val="0"/>
          <c:dLbls>
            <c:dLbl>
              <c:idx val="0"/>
              <c:tx>
                <c:rich>
                  <a:bodyPr/>
                  <a:lstStyle/>
                  <a:p>
                    <a:r>
                      <a:rPr lang="en-US"/>
                      <a:t>0.78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53A-48B7-8F7B-F4D7540AA3D5}"/>
                </c:ext>
              </c:extLst>
            </c:dLbl>
            <c:dLbl>
              <c:idx val="1"/>
              <c:tx>
                <c:rich>
                  <a:bodyPr/>
                  <a:lstStyle/>
                  <a:p>
                    <a:r>
                      <a:rPr lang="en-US" baseline="0"/>
                      <a:t>0.8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53A-48B7-8F7B-F4D7540AA3D5}"/>
                </c:ext>
              </c:extLst>
            </c:dLbl>
            <c:dLbl>
              <c:idx val="2"/>
              <c:layout>
                <c:manualLayout>
                  <c:x val="1.3008127860678512E-2"/>
                  <c:y val="-3.819400322405998E-17"/>
                </c:manualLayout>
              </c:layout>
              <c:tx>
                <c:rich>
                  <a:bodyPr/>
                  <a:lstStyle/>
                  <a:p>
                    <a:r>
                      <a:rPr lang="en-US"/>
                      <a:t>0.28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053A-48B7-8F7B-F4D7540AA3D5}"/>
                </c:ext>
              </c:extLst>
            </c:dLbl>
            <c:dLbl>
              <c:idx val="3"/>
              <c:tx>
                <c:rich>
                  <a:bodyPr wrap="square" lIns="38100" tIns="19050" rIns="38100" bIns="19050" anchor="ctr">
                    <a:noAutofit/>
                  </a:bodyPr>
                  <a:lstStyle/>
                  <a:p>
                    <a:pPr>
                      <a:defRPr/>
                    </a:pPr>
                    <a:r>
                      <a:rPr lang="en-US"/>
                      <a:t>0.53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053A-48B7-8F7B-F4D7540AA3D5}"/>
                </c:ext>
              </c:extLst>
            </c:dLbl>
            <c:dLbl>
              <c:idx val="4"/>
              <c:layout>
                <c:manualLayout>
                  <c:x val="2.4024019479507323E-2"/>
                  <c:y val="0"/>
                </c:manualLayout>
              </c:layout>
              <c:tx>
                <c:rich>
                  <a:bodyPr/>
                  <a:lstStyle/>
                  <a:p>
                    <a:r>
                      <a:rPr lang="en-US"/>
                      <a:t> 0.50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053A-48B7-8F7B-F4D7540AA3D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'!$B$18:$F$18</c:f>
              <c:numCache>
                <c:formatCode>0.00</c:formatCode>
                <c:ptCount val="5"/>
                <c:pt idx="0">
                  <c:v>0.76959727012500001</c:v>
                </c:pt>
                <c:pt idx="1">
                  <c:v>0.79787088626999991</c:v>
                </c:pt>
                <c:pt idx="2">
                  <c:v>0.28066966293999995</c:v>
                </c:pt>
                <c:pt idx="3">
                  <c:v>0.52976791101000031</c:v>
                </c:pt>
                <c:pt idx="4">
                  <c:v>0.49948099478000002</c:v>
                </c:pt>
              </c:numCache>
            </c:numRef>
          </c:val>
          <c:extLst>
            <c:ext xmlns:c16="http://schemas.microsoft.com/office/drawing/2014/chart" uri="{C3380CC4-5D6E-409C-BE32-E72D297353CC}">
              <c16:uniqueId val="{00000011-053A-48B7-8F7B-F4D7540AA3D5}"/>
            </c:ext>
          </c:extLst>
        </c:ser>
        <c:dLbls>
          <c:showLegendKey val="0"/>
          <c:showVal val="0"/>
          <c:showCatName val="0"/>
          <c:showSerName val="0"/>
          <c:showPercent val="0"/>
          <c:showBubbleSize val="0"/>
        </c:dLbls>
        <c:gapWidth val="150"/>
        <c:overlap val="100"/>
        <c:axId val="-546734656"/>
        <c:axId val="-546728672"/>
      </c:barChart>
      <c:catAx>
        <c:axId val="-546734656"/>
        <c:scaling>
          <c:orientation val="minMax"/>
        </c:scaling>
        <c:delete val="0"/>
        <c:axPos val="l"/>
        <c:numFmt formatCode="General" sourceLinked="1"/>
        <c:majorTickMark val="out"/>
        <c:minorTickMark val="none"/>
        <c:tickLblPos val="nextTo"/>
        <c:crossAx val="-546728672"/>
        <c:crosses val="autoZero"/>
        <c:auto val="1"/>
        <c:lblAlgn val="ctr"/>
        <c:lblOffset val="100"/>
        <c:noMultiLvlLbl val="0"/>
      </c:catAx>
      <c:valAx>
        <c:axId val="-546728672"/>
        <c:scaling>
          <c:orientation val="minMax"/>
        </c:scaling>
        <c:delete val="0"/>
        <c:axPos val="b"/>
        <c:majorGridlines/>
        <c:numFmt formatCode="0.00" sourceLinked="1"/>
        <c:majorTickMark val="out"/>
        <c:minorTickMark val="none"/>
        <c:tickLblPos val="nextTo"/>
        <c:crossAx val="-546734656"/>
        <c:crosses val="autoZero"/>
        <c:crossBetween val="between"/>
      </c:valAx>
    </c:plotArea>
    <c:legend>
      <c:legendPos val="b"/>
      <c:layout>
        <c:manualLayout>
          <c:xMode val="edge"/>
          <c:yMode val="edge"/>
          <c:x val="3.4993371591262944E-2"/>
          <c:y val="0.8104157260062772"/>
          <c:w val="0.94131269184572286"/>
          <c:h val="0.16161224602169483"/>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2.68</c:v>
                </c:pt>
                <c:pt idx="1">
                  <c:v>2.5499999999999998</c:v>
                </c:pt>
                <c:pt idx="2">
                  <c:v>2.8</c:v>
                </c:pt>
                <c:pt idx="3">
                  <c:v>2.95</c:v>
                </c:pt>
                <c:pt idx="4">
                  <c:v>3.21</c:v>
                </c:pt>
              </c:numCache>
            </c:numRef>
          </c:val>
          <c:extLst>
            <c:ext xmlns:c16="http://schemas.microsoft.com/office/drawing/2014/chart" uri="{C3380CC4-5D6E-409C-BE32-E72D297353CC}">
              <c16:uniqueId val="{00000000-5CE8-41AA-B660-DFDC8AE49018}"/>
            </c:ext>
          </c:extLst>
        </c:ser>
        <c:dLbls>
          <c:showLegendKey val="0"/>
          <c:showVal val="0"/>
          <c:showCatName val="0"/>
          <c:showSerName val="0"/>
          <c:showPercent val="0"/>
          <c:showBubbleSize val="0"/>
        </c:dLbls>
        <c:gapWidth val="219"/>
        <c:overlap val="-27"/>
        <c:axId val="-546727584"/>
        <c:axId val="-546733568"/>
      </c:barChart>
      <c:catAx>
        <c:axId val="-54672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6733568"/>
        <c:crosses val="autoZero"/>
        <c:auto val="1"/>
        <c:lblAlgn val="ctr"/>
        <c:lblOffset val="100"/>
        <c:noMultiLvlLbl val="0"/>
      </c:catAx>
      <c:valAx>
        <c:axId val="-5467335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46727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40850871901882E-2"/>
          <c:y val="0.14206625130328843"/>
          <c:w val="0.81750628997462271"/>
          <c:h val="0.67437776923084525"/>
        </c:manualLayout>
      </c:layout>
      <c:barChart>
        <c:barDir val="col"/>
        <c:grouping val="clustered"/>
        <c:varyColors val="0"/>
        <c:ser>
          <c:idx val="0"/>
          <c:order val="0"/>
          <c:tx>
            <c:strRef>
              <c:f>EN!$A$4</c:f>
              <c:strCache>
                <c:ptCount val="1"/>
                <c:pt idx="0">
                  <c:v>Total (Trillion dongs)</c:v>
                </c:pt>
              </c:strCache>
            </c:strRef>
          </c:tx>
          <c:spPr>
            <a:solidFill>
              <a:schemeClr val="accent2">
                <a:lumMod val="75000"/>
              </a:schemeClr>
            </a:solidFill>
            <a:ln>
              <a:noFill/>
            </a:ln>
            <a:effectLst/>
          </c:spPr>
          <c:invertIfNegative val="0"/>
          <c:dLbls>
            <c:dLbl>
              <c:idx val="1"/>
              <c:layout>
                <c:manualLayout>
                  <c:x val="-5.521048999309869E-3"/>
                  <c:y val="-8.63580536726166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18-42F4-AD84-D17909C3479A}"/>
                </c:ext>
              </c:extLst>
            </c:dLbl>
            <c:dLbl>
              <c:idx val="2"/>
              <c:layout>
                <c:manualLayout>
                  <c:x val="-1.3802622498274672E-2"/>
                  <c:y val="-0.124310930974818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18-42F4-AD84-D17909C3479A}"/>
                </c:ext>
              </c:extLst>
            </c:dLbl>
            <c:dLbl>
              <c:idx val="3"/>
              <c:layout>
                <c:manualLayout>
                  <c:x val="-2.7605244996549345E-3"/>
                  <c:y val="-0.103765940093313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18-42F4-AD84-D17909C3479A}"/>
                </c:ext>
              </c:extLst>
            </c:dLbl>
            <c:dLbl>
              <c:idx val="4"/>
              <c:layout>
                <c:manualLayout>
                  <c:x val="0"/>
                  <c:y val="-8.3568383119581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18-42F4-AD84-D17909C3479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2022</c:v>
                </c:pt>
                <c:pt idx="1">
                  <c:v>2023</c:v>
                </c:pt>
                <c:pt idx="2">
                  <c:v>2024</c:v>
                </c:pt>
                <c:pt idx="3">
                  <c:v>2025</c:v>
                </c:pt>
                <c:pt idx="4">
                  <c:v>2026</c:v>
                </c:pt>
              </c:numCache>
            </c:numRef>
          </c:cat>
          <c:val>
            <c:numRef>
              <c:f>EN!$B$4:$F$4</c:f>
              <c:numCache>
                <c:formatCode>0.0</c:formatCode>
                <c:ptCount val="5"/>
                <c:pt idx="0">
                  <c:v>831.22413344877202</c:v>
                </c:pt>
                <c:pt idx="1">
                  <c:v>913.77533999756702</c:v>
                </c:pt>
                <c:pt idx="2">
                  <c:v>1047.8193830227658</c:v>
                </c:pt>
                <c:pt idx="3">
                  <c:v>1145.7391122485092</c:v>
                </c:pt>
                <c:pt idx="4">
                  <c:v>1236.591479121478</c:v>
                </c:pt>
              </c:numCache>
            </c:numRef>
          </c:val>
          <c:extLst>
            <c:ext xmlns:c16="http://schemas.microsoft.com/office/drawing/2014/chart" uri="{C3380CC4-5D6E-409C-BE32-E72D297353CC}">
              <c16:uniqueId val="{00000000-5606-4935-9826-9E64D318647C}"/>
            </c:ext>
          </c:extLst>
        </c:ser>
        <c:dLbls>
          <c:showLegendKey val="0"/>
          <c:showVal val="0"/>
          <c:showCatName val="0"/>
          <c:showSerName val="0"/>
          <c:showPercent val="0"/>
          <c:showBubbleSize val="0"/>
        </c:dLbls>
        <c:gapWidth val="122"/>
        <c:overlap val="-27"/>
        <c:axId val="-546731936"/>
        <c:axId val="-546731392"/>
      </c:barChart>
      <c:lineChart>
        <c:grouping val="stacked"/>
        <c:varyColors val="0"/>
        <c:ser>
          <c:idx val="1"/>
          <c:order val="1"/>
          <c:tx>
            <c:strRef>
              <c:f>EN!$A$5</c:f>
              <c:strCache>
                <c:ptCount val="1"/>
                <c:pt idx="0">
                  <c:v>Growth rate year-on-year (%)</c:v>
                </c:pt>
              </c:strCache>
            </c:strRef>
          </c:tx>
          <c:spPr>
            <a:ln w="28575" cap="rnd">
              <a:solidFill>
                <a:srgbClr val="002060"/>
              </a:solidFill>
              <a:round/>
            </a:ln>
            <a:effectLst/>
          </c:spPr>
          <c:marker>
            <c:symbol val="circle"/>
            <c:size val="5"/>
            <c:spPr>
              <a:solidFill>
                <a:srgbClr val="002060"/>
              </a:solidFill>
              <a:ln w="9525">
                <a:noFill/>
              </a:ln>
              <a:effectLst/>
            </c:spPr>
          </c:marker>
          <c:dLbls>
            <c:dLbl>
              <c:idx val="0"/>
              <c:layout>
                <c:manualLayout>
                  <c:x val="-4.1666748178216875E-2"/>
                  <c:y val="3.3662265946838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1B-4258-8BAC-19B9795C5FB9}"/>
                </c:ext>
              </c:extLst>
            </c:dLbl>
            <c:dLbl>
              <c:idx val="1"/>
              <c:layout>
                <c:manualLayout>
                  <c:x val="-4.7170408046820232E-2"/>
                  <c:y val="0.170413272040416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1B-4258-8BAC-19B9795C5FB9}"/>
                </c:ext>
              </c:extLst>
            </c:dLbl>
            <c:dLbl>
              <c:idx val="2"/>
              <c:layout>
                <c:manualLayout>
                  <c:x val="-4.7256701607951181E-2"/>
                  <c:y val="0.15799491154089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1B-4258-8BAC-19B9795C5FB9}"/>
                </c:ext>
              </c:extLst>
            </c:dLbl>
            <c:dLbl>
              <c:idx val="3"/>
              <c:layout>
                <c:manualLayout>
                  <c:x val="-4.1666666666666768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06-4935-9826-9E64D318647C}"/>
                </c:ext>
              </c:extLst>
            </c:dLbl>
            <c:dLbl>
              <c:idx val="4"/>
              <c:layout>
                <c:manualLayout>
                  <c:x val="-4.1666666666666664E-2"/>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1B-4258-8BAC-19B9795C5FB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2022</c:v>
                </c:pt>
                <c:pt idx="1">
                  <c:v>2023</c:v>
                </c:pt>
                <c:pt idx="2">
                  <c:v>2024</c:v>
                </c:pt>
                <c:pt idx="3">
                  <c:v>2025</c:v>
                </c:pt>
                <c:pt idx="4">
                  <c:v>2026</c:v>
                </c:pt>
              </c:numCache>
            </c:numRef>
          </c:cat>
          <c:val>
            <c:numRef>
              <c:f>EN!$B$5:$F$5</c:f>
              <c:numCache>
                <c:formatCode>0.0</c:formatCode>
                <c:ptCount val="5"/>
                <c:pt idx="0">
                  <c:v>3.8917157761362233</c:v>
                </c:pt>
                <c:pt idx="1">
                  <c:v>9.931281254586267</c:v>
                </c:pt>
                <c:pt idx="2">
                  <c:v>14.669255905456552</c:v>
                </c:pt>
                <c:pt idx="3">
                  <c:v>9.3450961885495047</c:v>
                </c:pt>
                <c:pt idx="4">
                  <c:v>7.9295858805650283</c:v>
                </c:pt>
              </c:numCache>
            </c:numRef>
          </c:val>
          <c:smooth val="0"/>
          <c:extLst>
            <c:ext xmlns:c16="http://schemas.microsoft.com/office/drawing/2014/chart" uri="{C3380CC4-5D6E-409C-BE32-E72D297353CC}">
              <c16:uniqueId val="{00000002-5606-4935-9826-9E64D318647C}"/>
            </c:ext>
          </c:extLst>
        </c:ser>
        <c:dLbls>
          <c:showLegendKey val="0"/>
          <c:showVal val="0"/>
          <c:showCatName val="0"/>
          <c:showSerName val="0"/>
          <c:showPercent val="0"/>
          <c:showBubbleSize val="0"/>
        </c:dLbls>
        <c:marker val="1"/>
        <c:smooth val="0"/>
        <c:axId val="-1039960896"/>
        <c:axId val="-546730848"/>
      </c:lineChart>
      <c:catAx>
        <c:axId val="-54673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46731392"/>
        <c:crosses val="autoZero"/>
        <c:auto val="1"/>
        <c:lblAlgn val="ctr"/>
        <c:lblOffset val="100"/>
        <c:noMultiLvlLbl val="0"/>
      </c:catAx>
      <c:valAx>
        <c:axId val="-5467313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731936"/>
        <c:crosses val="autoZero"/>
        <c:crossBetween val="between"/>
      </c:valAx>
      <c:valAx>
        <c:axId val="-54673084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9960896"/>
        <c:crosses val="max"/>
        <c:crossBetween val="between"/>
      </c:valAx>
      <c:catAx>
        <c:axId val="-1039960896"/>
        <c:scaling>
          <c:orientation val="minMax"/>
        </c:scaling>
        <c:delete val="1"/>
        <c:axPos val="b"/>
        <c:numFmt formatCode="General" sourceLinked="1"/>
        <c:majorTickMark val="out"/>
        <c:minorTickMark val="none"/>
        <c:tickLblPos val="nextTo"/>
        <c:crossAx val="-5467308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11.0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DA8-4B04-9444-4CC2879B0D23}"/>
                </c:ext>
              </c:extLst>
            </c:dLbl>
            <c:dLbl>
              <c:idx val="1"/>
              <c:tx>
                <c:rich>
                  <a:bodyPr/>
                  <a:lstStyle/>
                  <a:p>
                    <a:r>
                      <a:rPr lang="en-US"/>
                      <a:t>23.8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DA8-4B04-9444-4CC2879B0D23}"/>
                </c:ext>
              </c:extLst>
            </c:dLbl>
            <c:dLbl>
              <c:idx val="2"/>
              <c:tx>
                <c:rich>
                  <a:bodyPr/>
                  <a:lstStyle/>
                  <a:p>
                    <a:r>
                      <a:rPr lang="en-US"/>
                      <a:t>5.1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DA8-4B04-9444-4CC2879B0D23}"/>
                </c:ext>
              </c:extLst>
            </c:dLbl>
            <c:dLbl>
              <c:idx val="3"/>
              <c:tx>
                <c:rich>
                  <a:bodyPr/>
                  <a:lstStyle/>
                  <a:p>
                    <a:r>
                      <a:rPr lang="en-US"/>
                      <a:t>6.3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DA8-4B04-9444-4CC2879B0D23}"/>
                </c:ext>
              </c:extLst>
            </c:dLbl>
            <c:dLbl>
              <c:idx val="4"/>
              <c:tx>
                <c:rich>
                  <a:bodyPr/>
                  <a:lstStyle/>
                  <a:p>
                    <a:r>
                      <a:rPr lang="en-US"/>
                      <a:t>9.5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DA8-4B04-9444-4CC2879B0D23}"/>
                </c:ext>
              </c:extLst>
            </c:dLbl>
            <c:dLbl>
              <c:idx val="5"/>
              <c:tx>
                <c:rich>
                  <a:bodyPr/>
                  <a:lstStyle/>
                  <a:p>
                    <a:r>
                      <a:rPr lang="en-US"/>
                      <a:t>4.5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DA8-4B04-9444-4CC2879B0D2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11</c:v>
                </c:pt>
                <c:pt idx="1">
                  <c:v>23.8</c:v>
                </c:pt>
                <c:pt idx="2">
                  <c:v>5.0999999999999996</c:v>
                </c:pt>
                <c:pt idx="3">
                  <c:v>6.3</c:v>
                </c:pt>
                <c:pt idx="4">
                  <c:v>9.5</c:v>
                </c:pt>
                <c:pt idx="5">
                  <c:v>4.5</c:v>
                </c:pt>
              </c:numCache>
            </c:numRef>
          </c:val>
          <c:extLst>
            <c:ext xmlns:c16="http://schemas.microsoft.com/office/drawing/2014/chart" uri="{C3380CC4-5D6E-409C-BE32-E72D297353CC}">
              <c16:uniqueId val="{00000000-6842-46E8-AE20-056D8A064EE5}"/>
            </c:ext>
          </c:extLst>
        </c:ser>
        <c:ser>
          <c:idx val="1"/>
          <c:order val="1"/>
          <c:tx>
            <c:v>Nhập khẩu hàng hóa</c:v>
          </c:tx>
          <c:spPr>
            <a:solidFill>
              <a:srgbClr val="7030A0"/>
            </a:solidFill>
            <a:ln w="3175">
              <a:solidFill>
                <a:srgbClr val="7030A0"/>
              </a:solidFill>
            </a:ln>
            <a:effectLst/>
          </c:spPr>
          <c:invertIfNegative val="0"/>
          <c:dLbls>
            <c:dLbl>
              <c:idx val="0"/>
              <c:layout>
                <c:manualLayout>
                  <c:x val="5.1539185303459273E-3"/>
                  <c:y val="-6.7835107697038881E-17"/>
                </c:manualLayout>
              </c:layout>
              <c:tx>
                <c:rich>
                  <a:bodyPr/>
                  <a:lstStyle/>
                  <a:p>
                    <a:r>
                      <a:rPr lang="en-US"/>
                      <a:t>31.9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DA8-4B04-9444-4CC2879B0D23}"/>
                </c:ext>
              </c:extLst>
            </c:dLbl>
            <c:dLbl>
              <c:idx val="1"/>
              <c:layout>
                <c:manualLayout>
                  <c:x val="-4.8966670800076898E-17"/>
                  <c:y val="9.2721372276309694E-3"/>
                </c:manualLayout>
              </c:layout>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42-46E8-AE20-056D8A064EE5}"/>
                </c:ext>
              </c:extLst>
            </c:dLbl>
            <c:dLbl>
              <c:idx val="2"/>
              <c:tx>
                <c:rich>
                  <a:bodyPr/>
                  <a:lstStyle/>
                  <a:p>
                    <a:r>
                      <a:rPr lang="en-US"/>
                      <a:t>11.6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DA8-4B04-9444-4CC2879B0D23}"/>
                </c:ext>
              </c:extLst>
            </c:dLbl>
            <c:dLbl>
              <c:idx val="3"/>
              <c:tx>
                <c:rich>
                  <a:bodyPr/>
                  <a:lstStyle/>
                  <a:p>
                    <a:r>
                      <a:rPr lang="en-US"/>
                      <a:t>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0DA8-4B04-9444-4CC2879B0D23}"/>
                </c:ext>
              </c:extLst>
            </c:dLbl>
            <c:dLbl>
              <c:idx val="4"/>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DA8-4B04-9444-4CC2879B0D23}"/>
                </c:ext>
              </c:extLst>
            </c:dLbl>
            <c:dLbl>
              <c:idx val="5"/>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0DA8-4B04-9444-4CC2879B0D2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31.9</c:v>
                </c:pt>
                <c:pt idx="1">
                  <c:v>3.4</c:v>
                </c:pt>
                <c:pt idx="2">
                  <c:v>11.6</c:v>
                </c:pt>
                <c:pt idx="3">
                  <c:v>8.9</c:v>
                </c:pt>
                <c:pt idx="4">
                  <c:v>2.8</c:v>
                </c:pt>
                <c:pt idx="5">
                  <c:v>4.2</c:v>
                </c:pt>
              </c:numCache>
            </c:numRef>
          </c:val>
          <c:extLst>
            <c:ext xmlns:c16="http://schemas.microsoft.com/office/drawing/2014/chart" uri="{C3380CC4-5D6E-409C-BE32-E72D297353CC}">
              <c16:uniqueId val="{00000002-6842-46E8-AE20-056D8A064EE5}"/>
            </c:ext>
          </c:extLst>
        </c:ser>
        <c:dLbls>
          <c:showLegendKey val="0"/>
          <c:showVal val="0"/>
          <c:showCatName val="0"/>
          <c:showSerName val="0"/>
          <c:showPercent val="0"/>
          <c:showBubbleSize val="0"/>
        </c:dLbls>
        <c:gapWidth val="75"/>
        <c:overlap val="100"/>
        <c:axId val="-1039958720"/>
        <c:axId val="-1039958176"/>
      </c:barChart>
      <c:catAx>
        <c:axId val="-103995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39958176"/>
        <c:crosses val="autoZero"/>
        <c:auto val="1"/>
        <c:lblAlgn val="ctr"/>
        <c:lblOffset val="100"/>
        <c:noMultiLvlLbl val="0"/>
      </c:catAx>
      <c:valAx>
        <c:axId val="-1039958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10399587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year-on-year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38.1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A63-48C0-B3DE-9F296CE3C5E0}"/>
                </c:ext>
              </c:extLst>
            </c:dLbl>
            <c:dLbl>
              <c:idx val="1"/>
              <c:tx>
                <c:rich>
                  <a:bodyPr/>
                  <a:lstStyle/>
                  <a:p>
                    <a:r>
                      <a:rPr lang="en-US"/>
                      <a:t>21.9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A63-48C0-B3DE-9F296CE3C5E0}"/>
                </c:ext>
              </c:extLst>
            </c:dLbl>
            <c:dLbl>
              <c:idx val="2"/>
              <c:tx>
                <c:rich>
                  <a:bodyPr/>
                  <a:lstStyle/>
                  <a:p>
                    <a:r>
                      <a:rPr lang="en-US"/>
                      <a:t>15.7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A63-48C0-B3DE-9F296CE3C5E0}"/>
                </c:ext>
              </c:extLst>
            </c:dLbl>
            <c:dLbl>
              <c:idx val="3"/>
              <c:tx>
                <c:rich>
                  <a:bodyPr/>
                  <a:lstStyle/>
                  <a:p>
                    <a:r>
                      <a:rPr lang="en-US"/>
                      <a:t>10.4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A63-48C0-B3DE-9F296CE3C5E0}"/>
                </c:ext>
              </c:extLst>
            </c:dLbl>
            <c:dLbl>
              <c:idx val="4"/>
              <c:tx>
                <c:rich>
                  <a:bodyPr/>
                  <a:lstStyle/>
                  <a:p>
                    <a:r>
                      <a:rPr lang="en-US"/>
                      <a:t>8.7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A63-48C0-B3DE-9F296CE3C5E0}"/>
                </c:ext>
              </c:extLst>
            </c:dLbl>
            <c:dLbl>
              <c:idx val="5"/>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A63-48C0-B3DE-9F296CE3C5E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c:v>38.1</c:v>
                </c:pt>
                <c:pt idx="1">
                  <c:v>21.9</c:v>
                </c:pt>
                <c:pt idx="2">
                  <c:v>15.7</c:v>
                </c:pt>
                <c:pt idx="3">
                  <c:v>10.4</c:v>
                </c:pt>
                <c:pt idx="4">
                  <c:v>8.6999999999999993</c:v>
                </c:pt>
                <c:pt idx="5">
                  <c:v>7</c:v>
                </c:pt>
              </c:numCache>
            </c:numRef>
          </c:val>
          <c:extLst>
            <c:ext xmlns:c16="http://schemas.microsoft.com/office/drawing/2014/chart" uri="{C3380CC4-5D6E-409C-BE32-E72D297353CC}">
              <c16:uniqueId val="{00000000-77B3-45EF-B1BC-C8762BDDCFF2}"/>
            </c:ext>
          </c:extLst>
        </c:ser>
        <c:ser>
          <c:idx val="1"/>
          <c:order val="1"/>
          <c:tx>
            <c:v>Nhập khẩu hàng hóa</c:v>
          </c:tx>
          <c:spPr>
            <a:solidFill>
              <a:srgbClr val="7030A0"/>
            </a:solidFill>
            <a:ln w="3175">
              <a:solidFill>
                <a:srgbClr val="7030A0"/>
              </a:solidFill>
            </a:ln>
            <a:effectLst/>
          </c:spPr>
          <c:invertIfNegative val="0"/>
          <c:dLbls>
            <c:dLbl>
              <c:idx val="0"/>
              <c:tx>
                <c:rich>
                  <a:bodyPr/>
                  <a:lstStyle/>
                  <a:p>
                    <a:r>
                      <a:rPr lang="en-US"/>
                      <a:t>36.5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A63-48C0-B3DE-9F296CE3C5E0}"/>
                </c:ext>
              </c:extLst>
            </c:dLbl>
            <c:dLbl>
              <c:idx val="1"/>
              <c:layout>
                <c:manualLayout>
                  <c:x val="3.5813458100346151E-4"/>
                  <c:y val="-3.7866857551896922E-3"/>
                </c:manualLayout>
              </c:layout>
              <c:tx>
                <c:rich>
                  <a:bodyPr/>
                  <a:lstStyle/>
                  <a:p>
                    <a:r>
                      <a:rPr lang="en-US"/>
                      <a:t>29.5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333-40E9-A5F8-CEEA04D79C42}"/>
                </c:ext>
              </c:extLst>
            </c:dLbl>
            <c:dLbl>
              <c:idx val="2"/>
              <c:tx>
                <c:rich>
                  <a:bodyPr/>
                  <a:lstStyle/>
                  <a:p>
                    <a:r>
                      <a:rPr lang="en-US"/>
                      <a:t>28.9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A63-48C0-B3DE-9F296CE3C5E0}"/>
                </c:ext>
              </c:extLst>
            </c:dLbl>
            <c:dLbl>
              <c:idx val="3"/>
              <c:tx>
                <c:rich>
                  <a:bodyPr/>
                  <a:lstStyle/>
                  <a:p>
                    <a:r>
                      <a:rPr lang="en-US"/>
                      <a:t>13.2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A63-48C0-B3DE-9F296CE3C5E0}"/>
                </c:ext>
              </c:extLst>
            </c:dLbl>
            <c:dLbl>
              <c:idx val="4"/>
              <c:layout>
                <c:manualLayout>
                  <c:x val="7.6045627376424927E-3"/>
                  <c:y val="1.1364829396325458E-2"/>
                </c:manualLayout>
              </c:layout>
              <c:tx>
                <c:rich>
                  <a:bodyPr/>
                  <a:lstStyle/>
                  <a:p>
                    <a:r>
                      <a:rPr lang="en-US"/>
                      <a:t>14.3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333-40E9-A5F8-CEEA04D79C42}"/>
                </c:ext>
              </c:extLst>
            </c:dLbl>
            <c:dLbl>
              <c:idx val="5"/>
              <c:tx>
                <c:rich>
                  <a:bodyPr/>
                  <a:lstStyle/>
                  <a:p>
                    <a:r>
                      <a:rPr lang="en-US"/>
                      <a:t>12.6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A63-48C0-B3DE-9F296CE3C5E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0.0</c:formatCode>
                <c:ptCount val="6"/>
                <c:pt idx="0">
                  <c:v>36.5</c:v>
                </c:pt>
                <c:pt idx="1">
                  <c:v>29.5</c:v>
                </c:pt>
                <c:pt idx="2">
                  <c:v>28.9</c:v>
                </c:pt>
                <c:pt idx="3">
                  <c:v>13.2</c:v>
                </c:pt>
                <c:pt idx="4">
                  <c:v>14.3</c:v>
                </c:pt>
                <c:pt idx="5">
                  <c:v>12.6</c:v>
                </c:pt>
              </c:numCache>
            </c:numRef>
          </c:val>
          <c:extLst>
            <c:ext xmlns:c16="http://schemas.microsoft.com/office/drawing/2014/chart" uri="{C3380CC4-5D6E-409C-BE32-E72D297353CC}">
              <c16:uniqueId val="{00000001-77B3-45EF-B1BC-C8762BDDCFF2}"/>
            </c:ext>
          </c:extLst>
        </c:ser>
        <c:dLbls>
          <c:showLegendKey val="0"/>
          <c:showVal val="0"/>
          <c:showCatName val="0"/>
          <c:showSerName val="0"/>
          <c:showPercent val="0"/>
          <c:showBubbleSize val="0"/>
        </c:dLbls>
        <c:gapWidth val="50"/>
        <c:overlap val="-27"/>
        <c:axId val="-1039957632"/>
        <c:axId val="-1039961984"/>
      </c:barChart>
      <c:catAx>
        <c:axId val="-10399576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39961984"/>
        <c:crosses val="autoZero"/>
        <c:auto val="1"/>
        <c:lblAlgn val="ctr"/>
        <c:lblOffset val="100"/>
        <c:noMultiLvlLbl val="0"/>
      </c:catAx>
      <c:valAx>
        <c:axId val="-1039961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10399576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36028331386804"/>
          <c:y val="3.3121722329561135E-2"/>
          <c:w val="0.84362748914758856"/>
          <c:h val="0.63710676104763742"/>
        </c:manualLayout>
      </c:layout>
      <c:barChart>
        <c:barDir val="col"/>
        <c:grouping val="clustered"/>
        <c:varyColors val="0"/>
        <c:ser>
          <c:idx val="0"/>
          <c:order val="0"/>
          <c:tx>
            <c:strRef>
              <c:f>'Biểu đồ 1'!$B$1</c:f>
              <c:strCache>
                <c:ptCount val="1"/>
                <c:pt idx="0">
                  <c:v>Hình 1. Tốc độ tăng CPI tháng 01/2025 so với tháng trước</c:v>
                </c:pt>
              </c:strCache>
            </c:strRef>
          </c:tx>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C25D-4E6C-A659-2F286A2AADA6}"/>
              </c:ext>
            </c:extLst>
          </c:dPt>
          <c:dPt>
            <c:idx val="1"/>
            <c:invertIfNegative val="0"/>
            <c:bubble3D val="0"/>
            <c:spPr>
              <a:solidFill>
                <a:srgbClr val="FF0000"/>
              </a:solidFill>
              <a:ln>
                <a:noFill/>
              </a:ln>
              <a:effectLst/>
            </c:spPr>
            <c:extLst>
              <c:ext xmlns:c16="http://schemas.microsoft.com/office/drawing/2014/chart" uri="{C3380CC4-5D6E-409C-BE32-E72D297353CC}">
                <c16:uniqueId val="{00000003-C25D-4E6C-A659-2F286A2AADA6}"/>
              </c:ext>
            </c:extLst>
          </c:dPt>
          <c:dPt>
            <c:idx val="2"/>
            <c:invertIfNegative val="0"/>
            <c:bubble3D val="0"/>
            <c:spPr>
              <a:solidFill>
                <a:srgbClr val="FF0000"/>
              </a:solidFill>
              <a:ln>
                <a:noFill/>
              </a:ln>
              <a:effectLst/>
            </c:spPr>
            <c:extLst>
              <c:ext xmlns:c16="http://schemas.microsoft.com/office/drawing/2014/chart" uri="{C3380CC4-5D6E-409C-BE32-E72D297353CC}">
                <c16:uniqueId val="{00000005-C25D-4E6C-A659-2F286A2AADA6}"/>
              </c:ext>
            </c:extLst>
          </c:dPt>
          <c:dPt>
            <c:idx val="3"/>
            <c:invertIfNegative val="0"/>
            <c:bubble3D val="0"/>
            <c:spPr>
              <a:solidFill>
                <a:srgbClr val="FF0000"/>
              </a:solidFill>
              <a:ln>
                <a:noFill/>
              </a:ln>
              <a:effectLst/>
            </c:spPr>
            <c:extLst>
              <c:ext xmlns:c16="http://schemas.microsoft.com/office/drawing/2014/chart" uri="{C3380CC4-5D6E-409C-BE32-E72D297353CC}">
                <c16:uniqueId val="{00000007-C25D-4E6C-A659-2F286A2AADA6}"/>
              </c:ext>
            </c:extLst>
          </c:dPt>
          <c:dPt>
            <c:idx val="4"/>
            <c:invertIfNegative val="0"/>
            <c:bubble3D val="0"/>
            <c:spPr>
              <a:solidFill>
                <a:srgbClr val="FF0000"/>
              </a:solidFill>
              <a:ln>
                <a:noFill/>
              </a:ln>
              <a:effectLst/>
            </c:spPr>
            <c:extLst>
              <c:ext xmlns:c16="http://schemas.microsoft.com/office/drawing/2014/chart" uri="{C3380CC4-5D6E-409C-BE32-E72D297353CC}">
                <c16:uniqueId val="{00000009-C25D-4E6C-A659-2F286A2AADA6}"/>
              </c:ext>
            </c:extLst>
          </c:dPt>
          <c:dPt>
            <c:idx val="5"/>
            <c:invertIfNegative val="0"/>
            <c:bubble3D val="0"/>
            <c:spPr>
              <a:solidFill>
                <a:srgbClr val="FF0000"/>
              </a:solidFill>
              <a:ln>
                <a:noFill/>
              </a:ln>
              <a:effectLst/>
            </c:spPr>
            <c:extLst>
              <c:ext xmlns:c16="http://schemas.microsoft.com/office/drawing/2014/chart" uri="{C3380CC4-5D6E-409C-BE32-E72D297353CC}">
                <c16:uniqueId val="{0000000B-C25D-4E6C-A659-2F286A2AADA6}"/>
              </c:ext>
            </c:extLst>
          </c:dPt>
          <c:dPt>
            <c:idx val="6"/>
            <c:invertIfNegative val="0"/>
            <c:bubble3D val="0"/>
            <c:spPr>
              <a:solidFill>
                <a:srgbClr val="FF0000"/>
              </a:solidFill>
              <a:ln>
                <a:noFill/>
              </a:ln>
              <a:effectLst/>
            </c:spPr>
            <c:extLst>
              <c:ext xmlns:c16="http://schemas.microsoft.com/office/drawing/2014/chart" uri="{C3380CC4-5D6E-409C-BE32-E72D297353CC}">
                <c16:uniqueId val="{0000000D-C25D-4E6C-A659-2F286A2AADA6}"/>
              </c:ext>
            </c:extLst>
          </c:dPt>
          <c:dPt>
            <c:idx val="7"/>
            <c:invertIfNegative val="0"/>
            <c:bubble3D val="0"/>
            <c:spPr>
              <a:solidFill>
                <a:srgbClr val="FF0000"/>
              </a:solidFill>
              <a:ln>
                <a:noFill/>
              </a:ln>
              <a:effectLst/>
            </c:spPr>
            <c:extLst>
              <c:ext xmlns:c16="http://schemas.microsoft.com/office/drawing/2014/chart" uri="{C3380CC4-5D6E-409C-BE32-E72D297353CC}">
                <c16:uniqueId val="{0000000F-C25D-4E6C-A659-2F286A2AADA6}"/>
              </c:ext>
            </c:extLst>
          </c:dPt>
          <c:dPt>
            <c:idx val="8"/>
            <c:invertIfNegative val="0"/>
            <c:bubble3D val="0"/>
            <c:spPr>
              <a:solidFill>
                <a:srgbClr val="FF0000"/>
              </a:solidFill>
              <a:ln>
                <a:noFill/>
              </a:ln>
              <a:effectLst/>
            </c:spPr>
            <c:extLst>
              <c:ext xmlns:c16="http://schemas.microsoft.com/office/drawing/2014/chart" uri="{C3380CC4-5D6E-409C-BE32-E72D297353CC}">
                <c16:uniqueId val="{00000011-C25D-4E6C-A659-2F286A2AADA6}"/>
              </c:ext>
            </c:extLst>
          </c:dPt>
          <c:dPt>
            <c:idx val="9"/>
            <c:invertIfNegative val="0"/>
            <c:bubble3D val="0"/>
            <c:spPr>
              <a:solidFill>
                <a:srgbClr val="FF0000"/>
              </a:solidFill>
              <a:ln>
                <a:solidFill>
                  <a:srgbClr val="FF0000"/>
                </a:solidFill>
              </a:ln>
              <a:effectLst/>
            </c:spPr>
            <c:extLst>
              <c:ext xmlns:c16="http://schemas.microsoft.com/office/drawing/2014/chart" uri="{C3380CC4-5D6E-409C-BE32-E72D297353CC}">
                <c16:uniqueId val="{00000013-C25D-4E6C-A659-2F286A2AADA6}"/>
              </c:ext>
            </c:extLst>
          </c:dPt>
          <c:dPt>
            <c:idx val="10"/>
            <c:invertIfNegative val="0"/>
            <c:bubble3D val="0"/>
            <c:spPr>
              <a:solidFill>
                <a:srgbClr val="FF0000"/>
              </a:solidFill>
              <a:ln>
                <a:solidFill>
                  <a:srgbClr val="FF0000"/>
                </a:solidFill>
              </a:ln>
              <a:effectLst/>
            </c:spPr>
            <c:extLst>
              <c:ext xmlns:c16="http://schemas.microsoft.com/office/drawing/2014/chart" uri="{C3380CC4-5D6E-409C-BE32-E72D297353CC}">
                <c16:uniqueId val="{00000015-C25D-4E6C-A659-2F286A2AADA6}"/>
              </c:ext>
            </c:extLst>
          </c:dPt>
          <c:dPt>
            <c:idx val="11"/>
            <c:invertIfNegative val="0"/>
            <c:bubble3D val="0"/>
            <c:spPr>
              <a:solidFill>
                <a:srgbClr val="FF0000"/>
              </a:solidFill>
              <a:ln>
                <a:solidFill>
                  <a:srgbClr val="FF0000"/>
                </a:solidFill>
              </a:ln>
              <a:effectLst/>
            </c:spPr>
            <c:extLst>
              <c:ext xmlns:c16="http://schemas.microsoft.com/office/drawing/2014/chart" uri="{C3380CC4-5D6E-409C-BE32-E72D297353CC}">
                <c16:uniqueId val="{00000017-C25D-4E6C-A659-2F286A2AADA6}"/>
              </c:ext>
            </c:extLst>
          </c:dPt>
          <c:dLbls>
            <c:spPr>
              <a:noFill/>
              <a:ln>
                <a:noFill/>
              </a:ln>
              <a:effectLst/>
            </c:spPr>
            <c:txPr>
              <a:bodyPr wrap="square" lIns="38100" tIns="19050" rIns="38100" bIns="19050" anchor="ctr">
                <a:spAutoFit/>
              </a:bodyPr>
              <a:lstStyle/>
              <a:p>
                <a:pPr>
                  <a:defRPr sz="9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'Biểu đồ 1'!$A$2:$A$13</c:f>
              <c:strCache>
                <c:ptCount val="12"/>
                <c:pt idx="0">
                  <c:v>CONSUMER PRICE INDEX</c:v>
                </c:pt>
                <c:pt idx="1">
                  <c:v>I. Food and foodstuff</c:v>
                </c:pt>
                <c:pt idx="2">
                  <c:v>X. Culture, entertainment and tourism</c:v>
                </c:pt>
                <c:pt idx="3">
                  <c:v>XI. Others goods and services</c:v>
                </c:pt>
                <c:pt idx="4">
                  <c:v>VII. Transport</c:v>
                </c:pt>
                <c:pt idx="5">
                  <c:v>II.Beverages and cigarette</c:v>
                </c:pt>
                <c:pt idx="6">
                  <c:v>V. Household equipment and goods </c:v>
                </c:pt>
                <c:pt idx="7">
                  <c:v>IV. Housing and construction materials(*)</c:v>
                </c:pt>
                <c:pt idx="8">
                  <c:v>III. Garment, hat and footwear</c:v>
                </c:pt>
                <c:pt idx="9">
                  <c:v>VI. Medicine and health care services </c:v>
                </c:pt>
                <c:pt idx="10">
                  <c:v>IX. Education</c:v>
                </c:pt>
                <c:pt idx="11">
                  <c:v>VIII. Post and communication</c:v>
                </c:pt>
              </c:strCache>
            </c:strRef>
          </c:cat>
          <c:val>
            <c:numRef>
              <c:f>'Biểu đồ 1'!$B$2:$B$13</c:f>
              <c:numCache>
                <c:formatCode>0.00%</c:formatCode>
                <c:ptCount val="12"/>
                <c:pt idx="0">
                  <c:v>1.1397999999999939E-2</c:v>
                </c:pt>
                <c:pt idx="1">
                  <c:v>2.015100000000004E-2</c:v>
                </c:pt>
                <c:pt idx="2">
                  <c:v>1.3618000000000024E-2</c:v>
                </c:pt>
                <c:pt idx="3">
                  <c:v>1.3046999999999968E-2</c:v>
                </c:pt>
                <c:pt idx="4">
                  <c:v>1.228200000000001E-2</c:v>
                </c:pt>
                <c:pt idx="5">
                  <c:v>1.1792999999999977E-2</c:v>
                </c:pt>
                <c:pt idx="6">
                  <c:v>5.6570000000000674E-3</c:v>
                </c:pt>
                <c:pt idx="7">
                  <c:v>5.6119999999999946E-3</c:v>
                </c:pt>
                <c:pt idx="8">
                  <c:v>5.4519999999999413E-3</c:v>
                </c:pt>
                <c:pt idx="9">
                  <c:v>1.3569999999999993E-3</c:v>
                </c:pt>
                <c:pt idx="10">
                  <c:v>9.0100000000006733E-4</c:v>
                </c:pt>
                <c:pt idx="11">
                  <c:v>1.3999999999995795E-4</c:v>
                </c:pt>
              </c:numCache>
            </c:numRef>
          </c:val>
          <c:extLst>
            <c:ext xmlns:c16="http://schemas.microsoft.com/office/drawing/2014/chart" uri="{C3380CC4-5D6E-409C-BE32-E72D297353CC}">
              <c16:uniqueId val="{00000018-C25D-4E6C-A659-2F286A2AADA6}"/>
            </c:ext>
          </c:extLst>
        </c:ser>
        <c:dLbls>
          <c:showLegendKey val="0"/>
          <c:showVal val="0"/>
          <c:showCatName val="0"/>
          <c:showSerName val="0"/>
          <c:showPercent val="0"/>
          <c:showBubbleSize val="0"/>
        </c:dLbls>
        <c:gapWidth val="166"/>
        <c:axId val="-1039964704"/>
        <c:axId val="-1039960352"/>
      </c:barChart>
      <c:catAx>
        <c:axId val="-1039964704"/>
        <c:scaling>
          <c:orientation val="minMax"/>
        </c:scaling>
        <c:delete val="0"/>
        <c:axPos val="b"/>
        <c:numFmt formatCode="General" sourceLinked="1"/>
        <c:majorTickMark val="none"/>
        <c:min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39960352"/>
        <c:crosses val="autoZero"/>
        <c:auto val="1"/>
        <c:lblAlgn val="ctr"/>
        <c:lblOffset val="100"/>
        <c:noMultiLvlLbl val="0"/>
      </c:catAx>
      <c:valAx>
        <c:axId val="-103996035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039964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0.15224</cdr:x>
      <cdr:y>0.04882</cdr:y>
    </cdr:from>
    <cdr:to>
      <cdr:x>0.33055</cdr:x>
      <cdr:y>0.15039</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923710" y="152067"/>
          <a:ext cx="1081882" cy="31635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41.7%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0.72185</cdr:x>
      <cdr:y>0.50782</cdr:y>
    </cdr:from>
    <cdr:to>
      <cdr:x>0.79689</cdr:x>
      <cdr:y>0.5686</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379774" y="1581701"/>
          <a:ext cx="455300" cy="18931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Bill.</a:t>
          </a:r>
          <a:r>
            <a:rPr lang="en-US" sz="900" b="1" i="1" baseline="0">
              <a:latin typeface="Arial" panose="020B0604020202020204" pitchFamily="34" charset="0"/>
              <a:cs typeface="Arial" panose="020B0604020202020204" pitchFamily="34" charset="0"/>
            </a:rPr>
            <a:t> VND</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0.15031</cdr:x>
      <cdr:y>0.09511</cdr:y>
    </cdr:from>
    <cdr:to>
      <cdr:x>0.16949</cdr:x>
      <cdr:y>0.13052</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424991" y="354533"/>
          <a:ext cx="139415"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0.42405</cdr:x>
      <cdr:y>0.51078</cdr:y>
    </cdr:from>
    <cdr:to>
      <cdr:x>0.44323</cdr:x>
      <cdr:y>0.54619</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2575934" y="1587872"/>
          <a:ext cx="110290" cy="116373"/>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0.62429</cdr:x>
      <cdr:y>0.54095</cdr:y>
    </cdr:from>
    <cdr:to>
      <cdr:x>0.64347</cdr:x>
      <cdr:y>0.57636</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5855711" y="2109872"/>
          <a:ext cx="139414"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0.26845</cdr:x>
      <cdr:y>0.13222</cdr:y>
    </cdr:from>
    <cdr:to>
      <cdr:x>0.35976</cdr:x>
      <cdr:y>0.25389</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628775" y="411812"/>
          <a:ext cx="554048" cy="37896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18.3%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0.34347</cdr:x>
      <cdr:y>0.42508</cdr:y>
    </cdr:from>
    <cdr:to>
      <cdr:x>0.44104</cdr:x>
      <cdr:y>0.57327</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083978" y="1323975"/>
          <a:ext cx="591999" cy="46157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29.0%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0.42927</cdr:x>
      <cdr:y>0.44596</cdr:y>
    </cdr:from>
    <cdr:to>
      <cdr:x>0.52684</cdr:x>
      <cdr:y>0.55256</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604566" y="1389008"/>
          <a:ext cx="591999" cy="33202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0.52856</cdr:x>
      <cdr:y>0.48607</cdr:y>
    </cdr:from>
    <cdr:to>
      <cdr:x>0.62613</cdr:x>
      <cdr:y>0.57644</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207002" y="1513965"/>
          <a:ext cx="591998" cy="28147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0.63523</cdr:x>
      <cdr:y>0.4893</cdr:y>
    </cdr:from>
    <cdr:to>
      <cdr:x>0.7328</cdr:x>
      <cdr:y>0.61417</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854210" y="1524001"/>
          <a:ext cx="591999" cy="38894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8.8%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0.82899</cdr:x>
      <cdr:y>0.50273</cdr:y>
    </cdr:from>
    <cdr:to>
      <cdr:x>0.937</cdr:x>
      <cdr:y>0.56361</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029836" y="1565852"/>
          <a:ext cx="655343" cy="18962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0.92152</cdr:x>
      <cdr:y>0.51067</cdr:y>
    </cdr:from>
    <cdr:to>
      <cdr:x>1</cdr:x>
      <cdr:y>0.58104</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591259" y="1590562"/>
          <a:ext cx="476166" cy="21918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29.1%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0.33417</cdr:x>
      <cdr:y>0.47268</cdr:y>
    </cdr:from>
    <cdr:to>
      <cdr:x>0.35335</cdr:x>
      <cdr:y>0.50809</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3143716" y="1841090"/>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0.52215</cdr:x>
      <cdr:y>0.5366</cdr:y>
    </cdr:from>
    <cdr:to>
      <cdr:x>0.54133</cdr:x>
      <cdr:y>0.57201</cdr:y>
    </cdr:to>
    <cdr:sp macro="" textlink="">
      <cdr:nvSpPr>
        <cdr:cNvPr id="25"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900896" y="2092757"/>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0.26018</cdr:x>
      <cdr:y>0.17815</cdr:y>
    </cdr:from>
    <cdr:to>
      <cdr:x>0.27936</cdr:x>
      <cdr:y>0.21356</cdr:y>
    </cdr:to>
    <cdr:sp macro="" textlink="">
      <cdr:nvSpPr>
        <cdr:cNvPr id="21"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2452036" y="681466"/>
          <a:ext cx="139415"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0.92045</cdr:x>
      <cdr:y>0.59352</cdr:y>
    </cdr:from>
    <cdr:to>
      <cdr:x>0.93963</cdr:x>
      <cdr:y>0.62893</cdr:y>
    </cdr:to>
    <cdr:sp macro="" textlink="">
      <cdr:nvSpPr>
        <cdr:cNvPr id="2" name="Arrow: Right 1">
          <a:extLst xmlns:a="http://schemas.openxmlformats.org/drawingml/2006/main">
            <a:ext uri="{FF2B5EF4-FFF2-40B4-BE49-F238E27FC236}">
              <a16:creationId xmlns:a16="http://schemas.microsoft.com/office/drawing/2014/main" id="{2B77262D-F59F-8BE8-72BC-961DCEBED57F}"/>
            </a:ext>
          </a:extLst>
        </cdr:cNvPr>
        <cdr:cNvSpPr/>
      </cdr:nvSpPr>
      <cdr:spPr>
        <a:xfrm xmlns:a="http://schemas.openxmlformats.org/drawingml/2006/main" rot="16200000">
          <a:off x="8624188" y="2316862"/>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0.8206</cdr:x>
      <cdr:y>0.57659</cdr:y>
    </cdr:from>
    <cdr:to>
      <cdr:x>0.83978</cdr:x>
      <cdr:y>0.612</cdr:y>
    </cdr:to>
    <cdr:sp macro="" textlink="">
      <cdr:nvSpPr>
        <cdr:cNvPr id="9" name="Arrow: Right 8">
          <a:extLst xmlns:a="http://schemas.openxmlformats.org/drawingml/2006/main">
            <a:ext uri="{FF2B5EF4-FFF2-40B4-BE49-F238E27FC236}">
              <a16:creationId xmlns:a16="http://schemas.microsoft.com/office/drawing/2014/main" id="{2B77262D-F59F-8BE8-72BC-961DCEBED57F}"/>
            </a:ext>
          </a:extLst>
        </cdr:cNvPr>
        <cdr:cNvSpPr/>
      </cdr:nvSpPr>
      <cdr:spPr>
        <a:xfrm xmlns:a="http://schemas.openxmlformats.org/drawingml/2006/main" rot="5400000">
          <a:off x="7690774" y="2250188"/>
          <a:ext cx="139414" cy="179292"/>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0.71463</cdr:x>
      <cdr:y>0.56933</cdr:y>
    </cdr:from>
    <cdr:to>
      <cdr:x>0.73381</cdr:x>
      <cdr:y>0.60474</cdr:y>
    </cdr:to>
    <cdr:sp macro="" textlink="">
      <cdr:nvSpPr>
        <cdr:cNvPr id="10" name="Arrow: Right 9">
          <a:extLst xmlns:a="http://schemas.openxmlformats.org/drawingml/2006/main">
            <a:ext uri="{FF2B5EF4-FFF2-40B4-BE49-F238E27FC236}">
              <a16:creationId xmlns:a16="http://schemas.microsoft.com/office/drawing/2014/main" id="{2B77262D-F59F-8BE8-72BC-961DCEBED57F}"/>
            </a:ext>
          </a:extLst>
        </cdr:cNvPr>
        <cdr:cNvSpPr/>
      </cdr:nvSpPr>
      <cdr:spPr>
        <a:xfrm xmlns:a="http://schemas.openxmlformats.org/drawingml/2006/main" rot="16200000">
          <a:off x="6700138" y="2221612"/>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0.85691</cdr:x>
      <cdr:y>0.05278</cdr:y>
    </cdr:from>
    <cdr:to>
      <cdr:x>0.94309</cdr:x>
      <cdr:y>0.14335</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815620" y="143781"/>
          <a:ext cx="484310"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6.03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0.84065</cdr:x>
      <cdr:y>0.19444</cdr:y>
    </cdr:from>
    <cdr:to>
      <cdr:x>0.95495</cdr:x>
      <cdr:y>0.28501</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724243" y="529684"/>
          <a:ext cx="642337"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6.90</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0.85203</cdr:x>
      <cdr:y>0.32188</cdr:y>
    </cdr:from>
    <cdr:to>
      <cdr:x>0.94309</cdr:x>
      <cdr:y>0.41245</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788196" y="876849"/>
          <a:ext cx="511734"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5.10</a:t>
          </a:r>
        </a:p>
      </cdr:txBody>
    </cdr:sp>
  </cdr:relSizeAnchor>
  <cdr:relSizeAnchor xmlns:cdr="http://schemas.openxmlformats.org/drawingml/2006/chartDrawing">
    <cdr:from>
      <cdr:x>0.82764</cdr:x>
      <cdr:y>0.46367</cdr:y>
    </cdr:from>
    <cdr:to>
      <cdr:x>0.96911</cdr:x>
      <cdr:y>0.55424</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651130" y="1263107"/>
          <a:ext cx="795026"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3.10</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0.8374</cdr:x>
      <cdr:y>0.60625</cdr:y>
    </cdr:from>
    <cdr:to>
      <cdr:x>0.96098</cdr:x>
      <cdr:y>0.69682</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705979" y="1651516"/>
          <a:ext cx="694488"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5.00</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259FB-872E-4D0B-AF9E-301D6638F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9109</Words>
  <Characters>51925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Author</cp:lastModifiedBy>
  <cp:revision>3</cp:revision>
  <cp:lastPrinted>2026-03-02T06:53:00Z</cp:lastPrinted>
  <dcterms:created xsi:type="dcterms:W3CDTF">2026-03-13T10:45:00Z</dcterms:created>
  <dcterms:modified xsi:type="dcterms:W3CDTF">2026-03-13T10:45:00Z</dcterms:modified>
</cp:coreProperties>
</file>