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jc w:val="center"/>
        <w:tblLayout w:type="fixed"/>
        <w:tblLook w:val="0000" w:firstRow="0" w:lastRow="0" w:firstColumn="0" w:lastColumn="0" w:noHBand="0" w:noVBand="0"/>
      </w:tblPr>
      <w:tblGrid>
        <w:gridCol w:w="4289"/>
        <w:gridCol w:w="5776"/>
      </w:tblGrid>
      <w:tr w:rsidR="00FD3C3D" w:rsidRPr="00570E28" w14:paraId="668D8121" w14:textId="77777777" w:rsidTr="009630CC">
        <w:trPr>
          <w:jc w:val="center"/>
        </w:trPr>
        <w:tc>
          <w:tcPr>
            <w:tcW w:w="4289" w:type="dxa"/>
          </w:tcPr>
          <w:p w14:paraId="531D33DC" w14:textId="77777777" w:rsidR="00FD3C3D" w:rsidRPr="00570E28" w:rsidRDefault="00FD3C3D" w:rsidP="00FD3C3D">
            <w:pPr>
              <w:spacing w:after="0" w:line="240" w:lineRule="auto"/>
              <w:jc w:val="center"/>
              <w:rPr>
                <w:rFonts w:ascii="Times New Roman" w:hAnsi="Times New Roman" w:cs="Times New Roman"/>
                <w:spacing w:val="-6"/>
                <w:sz w:val="26"/>
                <w:szCs w:val="26"/>
                <w:lang w:val="en-US"/>
              </w:rPr>
            </w:pPr>
            <w:r w:rsidRPr="00570E28">
              <w:rPr>
                <w:rFonts w:ascii="Times New Roman" w:hAnsi="Times New Roman"/>
                <w:sz w:val="26"/>
                <w:lang w:val="en-US"/>
              </w:rPr>
              <w:t>MINISTRY OF FINANCE</w:t>
            </w:r>
          </w:p>
          <w:p w14:paraId="225B60DB" w14:textId="77777777" w:rsidR="00FD3C3D" w:rsidRPr="00570E28" w:rsidRDefault="00FD3C3D" w:rsidP="00FD3C3D">
            <w:pPr>
              <w:spacing w:after="0" w:line="240" w:lineRule="auto"/>
              <w:jc w:val="center"/>
              <w:rPr>
                <w:rFonts w:ascii="Times New Roman" w:hAnsi="Times New Roman" w:cs="Times New Roman"/>
                <w:b/>
                <w:bCs/>
                <w:spacing w:val="-6"/>
                <w:sz w:val="26"/>
                <w:szCs w:val="26"/>
                <w:lang w:val="en-US"/>
              </w:rPr>
            </w:pPr>
            <w:r w:rsidRPr="00570E28">
              <w:rPr>
                <w:rFonts w:ascii="Times New Roman" w:hAnsi="Times New Roman"/>
                <w:b/>
                <w:sz w:val="26"/>
                <w:lang w:val="en-US"/>
              </w:rPr>
              <w:t>NATIONAL STATISTICS OFFICE</w:t>
            </w:r>
          </w:p>
          <w:p w14:paraId="269F748C" w14:textId="77777777" w:rsidR="00FD3C3D" w:rsidRPr="00570E28" w:rsidRDefault="00FD3C3D" w:rsidP="00FD3C3D">
            <w:pPr>
              <w:spacing w:after="0" w:line="144" w:lineRule="auto"/>
              <w:jc w:val="center"/>
              <w:rPr>
                <w:rFonts w:ascii="Times New Roman" w:hAnsi="Times New Roman" w:cs="Times New Roman"/>
                <w:bCs/>
                <w:spacing w:val="-6"/>
                <w:sz w:val="28"/>
                <w:szCs w:val="28"/>
                <w:vertAlign w:val="superscript"/>
                <w:lang w:val="en-US"/>
              </w:rPr>
            </w:pPr>
            <w:r w:rsidRPr="00570E28">
              <w:rPr>
                <w:rFonts w:ascii="Times New Roman" w:hAnsi="Times New Roman"/>
                <w:sz w:val="26"/>
                <w:vertAlign w:val="superscript"/>
                <w:lang w:val="en-US"/>
              </w:rPr>
              <w:t>________________</w:t>
            </w:r>
          </w:p>
          <w:p w14:paraId="524701F4" w14:textId="514EB25B" w:rsidR="00FD3C3D" w:rsidRPr="00570E28" w:rsidRDefault="00FD3C3D" w:rsidP="00FD3C3D">
            <w:pPr>
              <w:spacing w:after="0" w:line="240" w:lineRule="auto"/>
              <w:ind w:hanging="272"/>
              <w:jc w:val="center"/>
              <w:rPr>
                <w:rFonts w:ascii="Times New Roman" w:hAnsi="Times New Roman" w:cs="Times New Roman"/>
                <w:color w:val="000000" w:themeColor="text1"/>
                <w:sz w:val="28"/>
                <w:szCs w:val="28"/>
                <w:lang w:val="en-US"/>
              </w:rPr>
            </w:pPr>
          </w:p>
        </w:tc>
        <w:tc>
          <w:tcPr>
            <w:tcW w:w="5776" w:type="dxa"/>
          </w:tcPr>
          <w:p w14:paraId="10392550" w14:textId="77777777" w:rsidR="00FD3C3D" w:rsidRPr="00570E28" w:rsidRDefault="00FD3C3D" w:rsidP="00FD3C3D">
            <w:pPr>
              <w:spacing w:after="0" w:line="240" w:lineRule="auto"/>
              <w:jc w:val="center"/>
              <w:rPr>
                <w:rFonts w:ascii="Times New Roman" w:hAnsi="Times New Roman" w:cs="Times New Roman"/>
                <w:b/>
                <w:bCs/>
                <w:sz w:val="26"/>
                <w:szCs w:val="26"/>
                <w:lang w:val="en-US"/>
              </w:rPr>
            </w:pPr>
            <w:r w:rsidRPr="00570E28">
              <w:rPr>
                <w:rFonts w:ascii="Times New Roman" w:hAnsi="Times New Roman"/>
                <w:b/>
                <w:sz w:val="26"/>
                <w:lang w:val="en-US"/>
              </w:rPr>
              <w:t>SOCIALIST REPUBLIC OF VIET NAM</w:t>
            </w:r>
          </w:p>
          <w:p w14:paraId="7B5916BF" w14:textId="77777777" w:rsidR="00FD3C3D" w:rsidRPr="00570E28" w:rsidRDefault="00FD3C3D" w:rsidP="00FD3C3D">
            <w:pPr>
              <w:spacing w:after="0" w:line="240" w:lineRule="auto"/>
              <w:jc w:val="center"/>
              <w:rPr>
                <w:rFonts w:ascii="Times New Roman" w:hAnsi="Times New Roman" w:cs="Times New Roman"/>
                <w:b/>
                <w:bCs/>
                <w:sz w:val="28"/>
                <w:szCs w:val="24"/>
                <w:lang w:val="en-US"/>
              </w:rPr>
            </w:pPr>
            <w:r w:rsidRPr="00570E28">
              <w:rPr>
                <w:rFonts w:ascii="Times New Roman" w:hAnsi="Times New Roman"/>
                <w:b/>
                <w:sz w:val="28"/>
                <w:lang w:val="en-US"/>
              </w:rPr>
              <w:t>Independence-Freedom-Happiness</w:t>
            </w:r>
          </w:p>
          <w:p w14:paraId="23CA8F6E" w14:textId="77777777" w:rsidR="00FD3C3D" w:rsidRPr="00570E28" w:rsidRDefault="00FD3C3D" w:rsidP="00FD3C3D">
            <w:pPr>
              <w:spacing w:after="0" w:line="144" w:lineRule="auto"/>
              <w:jc w:val="center"/>
              <w:rPr>
                <w:rFonts w:ascii="Times New Roman" w:hAnsi="Times New Roman" w:cs="Times New Roman"/>
                <w:bCs/>
                <w:sz w:val="28"/>
                <w:szCs w:val="24"/>
                <w:vertAlign w:val="superscript"/>
                <w:lang w:val="en-US"/>
              </w:rPr>
            </w:pPr>
            <w:r w:rsidRPr="00570E28">
              <w:rPr>
                <w:rFonts w:ascii="Times New Roman" w:hAnsi="Times New Roman" w:cs="Times New Roman"/>
                <w:bCs/>
                <w:sz w:val="28"/>
                <w:szCs w:val="24"/>
                <w:vertAlign w:val="superscript"/>
                <w:lang w:val="en-US"/>
              </w:rPr>
              <w:t>______________________________________</w:t>
            </w:r>
          </w:p>
          <w:p w14:paraId="2DE93470" w14:textId="2CED341F" w:rsidR="00FD3C3D" w:rsidRPr="00570E28" w:rsidRDefault="00FD3C3D" w:rsidP="00FD3C3D">
            <w:pPr>
              <w:spacing w:before="120" w:after="0" w:line="240" w:lineRule="auto"/>
              <w:ind w:firstLine="389"/>
              <w:jc w:val="center"/>
              <w:rPr>
                <w:rFonts w:ascii="Times New Roman" w:hAnsi="Times New Roman" w:cs="Times New Roman"/>
                <w:b/>
                <w:bCs/>
                <w:i/>
                <w:iCs/>
                <w:color w:val="000000" w:themeColor="text1"/>
                <w:sz w:val="28"/>
                <w:szCs w:val="28"/>
                <w:lang w:val="en-US"/>
              </w:rPr>
            </w:pPr>
            <w:r w:rsidRPr="00570E28">
              <w:rPr>
                <w:rFonts w:ascii="Times New Roman" w:hAnsi="Times New Roman" w:cs="Times New Roman"/>
                <w:i/>
                <w:iCs/>
                <w:sz w:val="28"/>
                <w:szCs w:val="28"/>
                <w:lang w:val="en-US"/>
              </w:rPr>
              <w:t>Hanoi, April 04</w:t>
            </w:r>
            <w:r w:rsidRPr="00570E28">
              <w:rPr>
                <w:rFonts w:ascii="Times New Roman" w:hAnsi="Times New Roman" w:cs="Times New Roman"/>
                <w:i/>
                <w:iCs/>
                <w:sz w:val="28"/>
                <w:szCs w:val="28"/>
                <w:vertAlign w:val="superscript"/>
                <w:lang w:val="en-US"/>
              </w:rPr>
              <w:t>th</w:t>
            </w:r>
            <w:r w:rsidRPr="00570E28">
              <w:rPr>
                <w:rFonts w:ascii="Times New Roman" w:hAnsi="Times New Roman" w:cs="Times New Roman"/>
                <w:i/>
                <w:iCs/>
                <w:sz w:val="28"/>
                <w:szCs w:val="28"/>
                <w:lang w:val="en-US"/>
              </w:rPr>
              <w:t>, 2026</w:t>
            </w:r>
          </w:p>
        </w:tc>
      </w:tr>
    </w:tbl>
    <w:p w14:paraId="180E4F15" w14:textId="77777777" w:rsidR="00456DAE" w:rsidRPr="00570E28" w:rsidRDefault="00456DAE" w:rsidP="001850B3">
      <w:pPr>
        <w:spacing w:after="0" w:line="240" w:lineRule="auto"/>
        <w:jc w:val="center"/>
        <w:rPr>
          <w:rFonts w:ascii="Times New Roman" w:hAnsi="Times New Roman" w:cs="Times New Roman"/>
          <w:b/>
          <w:bCs/>
          <w:color w:val="000000" w:themeColor="text1"/>
          <w:szCs w:val="30"/>
          <w:lang w:val="en-US"/>
        </w:rPr>
      </w:pPr>
    </w:p>
    <w:p w14:paraId="03549970" w14:textId="77777777" w:rsidR="001850B3" w:rsidRPr="00570E28" w:rsidRDefault="001850B3" w:rsidP="001850B3">
      <w:pPr>
        <w:spacing w:after="0" w:line="240" w:lineRule="auto"/>
        <w:jc w:val="center"/>
        <w:rPr>
          <w:rFonts w:ascii="Times New Roman" w:hAnsi="Times New Roman" w:cs="Times New Roman"/>
          <w:b/>
          <w:bCs/>
          <w:color w:val="000000" w:themeColor="text1"/>
          <w:szCs w:val="30"/>
          <w:lang w:val="en-US"/>
        </w:rPr>
      </w:pPr>
    </w:p>
    <w:p w14:paraId="55300FBE" w14:textId="26BFDE06" w:rsidR="00B54309" w:rsidRPr="00570E28" w:rsidRDefault="0091740A" w:rsidP="001850B3">
      <w:pPr>
        <w:spacing w:after="0" w:line="240" w:lineRule="auto"/>
        <w:jc w:val="center"/>
        <w:rPr>
          <w:rFonts w:ascii="Times New Roman" w:hAnsi="Times New Roman" w:cs="Times New Roman"/>
          <w:b/>
          <w:bCs/>
          <w:color w:val="000000" w:themeColor="text1"/>
          <w:sz w:val="30"/>
          <w:szCs w:val="30"/>
          <w:lang w:val="en-US"/>
        </w:rPr>
      </w:pPr>
      <w:r w:rsidRPr="00570E28">
        <w:rPr>
          <w:rFonts w:ascii="Times New Roman" w:hAnsi="Times New Roman" w:cs="Times New Roman"/>
          <w:b/>
          <w:bCs/>
          <w:color w:val="000000" w:themeColor="text1"/>
          <w:sz w:val="30"/>
          <w:szCs w:val="30"/>
          <w:lang w:val="en-US"/>
        </w:rPr>
        <w:t>PRESS RELEASE</w:t>
      </w:r>
    </w:p>
    <w:p w14:paraId="2FD8C5A4" w14:textId="6D8717A8" w:rsidR="004D1EA5" w:rsidRPr="00570E28" w:rsidRDefault="0091740A" w:rsidP="001850B3">
      <w:pPr>
        <w:spacing w:after="0" w:line="240" w:lineRule="auto"/>
        <w:jc w:val="center"/>
        <w:rPr>
          <w:rFonts w:ascii="Times New Roman" w:hAnsi="Times New Roman" w:cs="Times New Roman"/>
          <w:b/>
          <w:bCs/>
          <w:color w:val="000000" w:themeColor="text1"/>
          <w:sz w:val="30"/>
          <w:szCs w:val="30"/>
          <w:lang w:val="en-US"/>
        </w:rPr>
      </w:pPr>
      <w:r w:rsidRPr="00570E28">
        <w:rPr>
          <w:rFonts w:ascii="Times New Roman" w:hAnsi="Times New Roman" w:cs="Times New Roman"/>
          <w:b/>
          <w:bCs/>
          <w:color w:val="000000" w:themeColor="text1"/>
          <w:sz w:val="30"/>
          <w:szCs w:val="30"/>
          <w:lang w:val="en-US"/>
        </w:rPr>
        <w:t>Socio-Economic Performance</w:t>
      </w:r>
      <w:r w:rsidR="00364FAC">
        <w:rPr>
          <w:rFonts w:ascii="Times New Roman" w:hAnsi="Times New Roman" w:cs="Times New Roman"/>
          <w:b/>
          <w:bCs/>
          <w:color w:val="000000" w:themeColor="text1"/>
          <w:sz w:val="30"/>
          <w:szCs w:val="30"/>
          <w:lang w:val="en-US"/>
        </w:rPr>
        <w:t xml:space="preserve"> in the</w:t>
      </w:r>
      <w:r w:rsidRPr="00570E28">
        <w:rPr>
          <w:rFonts w:ascii="Times New Roman" w:hAnsi="Times New Roman" w:cs="Times New Roman"/>
          <w:b/>
          <w:bCs/>
          <w:color w:val="000000" w:themeColor="text1"/>
          <w:sz w:val="30"/>
          <w:szCs w:val="30"/>
          <w:lang w:val="en-US"/>
        </w:rPr>
        <w:t xml:space="preserve"> Q1 2026</w:t>
      </w:r>
      <w:r w:rsidR="007D7987" w:rsidRPr="00570E28">
        <w:rPr>
          <w:rStyle w:val="FootnoteReference"/>
          <w:rFonts w:ascii="Times New Roman" w:hAnsi="Times New Roman"/>
          <w:b/>
          <w:bCs/>
          <w:color w:val="000000" w:themeColor="text1"/>
          <w:sz w:val="30"/>
          <w:szCs w:val="30"/>
          <w:lang w:val="en-US"/>
        </w:rPr>
        <w:footnoteReference w:id="1"/>
      </w:r>
    </w:p>
    <w:p w14:paraId="2A22E159" w14:textId="77777777" w:rsidR="004D1EA5" w:rsidRPr="00570E28" w:rsidRDefault="00332170" w:rsidP="001850B3">
      <w:pPr>
        <w:spacing w:after="0" w:line="240" w:lineRule="auto"/>
        <w:jc w:val="center"/>
        <w:rPr>
          <w:rFonts w:ascii="Times New Roman" w:hAnsi="Times New Roman" w:cs="Times New Roman"/>
          <w:b/>
          <w:bCs/>
          <w:color w:val="000000" w:themeColor="text1"/>
          <w:sz w:val="34"/>
          <w:szCs w:val="34"/>
          <w:lang w:val="en-US"/>
        </w:rPr>
      </w:pPr>
      <w:r w:rsidRPr="00570E28">
        <w:rPr>
          <w:rFonts w:ascii="Times New Roman" w:hAnsi="Times New Roman" w:cs="Times New Roman"/>
          <w:b/>
          <w:bCs/>
          <w:noProof/>
          <w:color w:val="000000" w:themeColor="text1"/>
          <w:sz w:val="28"/>
          <w:szCs w:val="28"/>
          <w:lang w:val="en-US"/>
        </w:rPr>
        <mc:AlternateContent>
          <mc:Choice Requires="wps">
            <w:drawing>
              <wp:anchor distT="0" distB="0" distL="114300" distR="114300" simplePos="0" relativeHeight="251660288" behindDoc="0" locked="0" layoutInCell="1" allowOverlap="1" wp14:anchorId="3EC139C4" wp14:editId="7E1975D6">
                <wp:simplePos x="0" y="0"/>
                <wp:positionH relativeFrom="column">
                  <wp:posOffset>2120265</wp:posOffset>
                </wp:positionH>
                <wp:positionV relativeFrom="paragraph">
                  <wp:posOffset>24765</wp:posOffset>
                </wp:positionV>
                <wp:extent cx="155275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2375C5" id="_x0000_t32" coordsize="21600,21600" o:spt="32" o:oned="t" path="m,l21600,21600e" filled="f">
                <v:path arrowok="t" fillok="f" o:connecttype="none"/>
                <o:lock v:ext="edit" shapetype="t"/>
              </v:shapetype>
              <v:shape id="AutoShape 4" o:spid="_x0000_s1026" type="#_x0000_t32" style="position:absolute;margin-left:166.95pt;margin-top:1.95pt;width:12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hfHgIAADs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"/>
            </w:pict>
          </mc:Fallback>
        </mc:AlternateContent>
      </w:r>
    </w:p>
    <w:p w14:paraId="0B677E2D" w14:textId="722E5B42" w:rsidR="00ED463D" w:rsidRPr="00570E28" w:rsidRDefault="007C1B13" w:rsidP="007C1B13">
      <w:pPr>
        <w:pStyle w:val="ListParagraph"/>
        <w:keepNext/>
        <w:numPr>
          <w:ilvl w:val="0"/>
          <w:numId w:val="24"/>
        </w:numPr>
        <w:tabs>
          <w:tab w:val="left" w:pos="993"/>
        </w:tabs>
        <w:spacing w:before="120" w:after="120" w:line="360" w:lineRule="exact"/>
        <w:jc w:val="both"/>
        <w:outlineLvl w:val="1"/>
        <w:rPr>
          <w:rFonts w:ascii="Times New Roman" w:hAnsi="Times New Roman" w:cs="Times New Roman"/>
          <w:b/>
          <w:bCs/>
          <w:color w:val="000000" w:themeColor="text1"/>
          <w:sz w:val="28"/>
          <w:szCs w:val="28"/>
          <w:lang w:val="en-US"/>
        </w:rPr>
      </w:pPr>
      <w:r w:rsidRPr="00570E28">
        <w:rPr>
          <w:rFonts w:ascii="Times New Roman" w:hAnsi="Times New Roman" w:cs="Times New Roman"/>
          <w:b/>
          <w:bCs/>
          <w:color w:val="000000" w:themeColor="text1"/>
          <w:sz w:val="28"/>
          <w:szCs w:val="28"/>
          <w:lang w:val="en-US"/>
        </w:rPr>
        <w:t>INTERNATIONAL AND NATIONAL ECONOMIC CONTEXT</w:t>
      </w:r>
    </w:p>
    <w:p w14:paraId="346AC7F1" w14:textId="7FC235A7" w:rsidR="00273515" w:rsidRPr="00570E28" w:rsidRDefault="007C1B13" w:rsidP="00EB4960">
      <w:pPr>
        <w:spacing w:after="120" w:line="264" w:lineRule="auto"/>
        <w:ind w:firstLine="720"/>
        <w:jc w:val="both"/>
        <w:rPr>
          <w:rFonts w:ascii="Times New Roman" w:hAnsi="Times New Roman" w:cs="Times New Roman"/>
          <w:spacing w:val="-2"/>
          <w:sz w:val="28"/>
          <w:szCs w:val="28"/>
          <w:lang w:val="en-US"/>
        </w:rPr>
      </w:pPr>
      <w:r w:rsidRPr="00570E28">
        <w:rPr>
          <w:rFonts w:ascii="Times New Roman" w:hAnsi="Times New Roman" w:cs="Times New Roman"/>
          <w:spacing w:val="-2"/>
          <w:sz w:val="28"/>
          <w:szCs w:val="28"/>
          <w:lang w:val="en-US"/>
        </w:rPr>
        <w:t xml:space="preserve">The global landscape in </w:t>
      </w:r>
      <w:r w:rsidR="00364FAC">
        <w:rPr>
          <w:rFonts w:ascii="Times New Roman" w:hAnsi="Times New Roman" w:cs="Times New Roman"/>
          <w:spacing w:val="-2"/>
          <w:sz w:val="28"/>
          <w:szCs w:val="28"/>
          <w:lang w:val="en-US"/>
        </w:rPr>
        <w:t xml:space="preserve">the </w:t>
      </w:r>
      <w:r w:rsidRPr="00570E28">
        <w:rPr>
          <w:rFonts w:ascii="Times New Roman" w:hAnsi="Times New Roman" w:cs="Times New Roman"/>
          <w:spacing w:val="-2"/>
          <w:sz w:val="28"/>
          <w:szCs w:val="28"/>
          <w:lang w:val="en-US"/>
        </w:rPr>
        <w:t>Q1 2026 remained complex and unpredictable as escalating armed conflicts in the Middle East threatened international peace and security, triggering volatile energy prices, supply chain disruptions, and mounting inflationary pressures. Persistent trade policy uncertainties, coupled with the impacts of natural disasters and climate change, continued to pose significant headwinds to global growth. Against this backdrop, the world economy was projected to sustain its momentum from 2025, driven by an uptick in Foreign Direct Investment (FDI) and a robust surge in high-tech manufacturing investment considered as a new trend to become a primary engine of global growth in 2026</w:t>
      </w:r>
      <w:r w:rsidR="00273515" w:rsidRPr="00570E28">
        <w:rPr>
          <w:rFonts w:ascii="Times New Roman" w:hAnsi="Times New Roman" w:cs="Times New Roman"/>
          <w:spacing w:val="-2"/>
          <w:sz w:val="28"/>
          <w:szCs w:val="28"/>
          <w:lang w:val="en-US"/>
        </w:rPr>
        <w:t>.</w:t>
      </w:r>
    </w:p>
    <w:p w14:paraId="7F853114" w14:textId="7AD67A85" w:rsidR="00273515" w:rsidRPr="00570E28" w:rsidRDefault="007C1B13" w:rsidP="00EB4960">
      <w:pPr>
        <w:spacing w:after="120" w:line="264" w:lineRule="auto"/>
        <w:ind w:firstLine="720"/>
        <w:jc w:val="both"/>
        <w:rPr>
          <w:rFonts w:ascii="Times New Roman" w:hAnsi="Times New Roman" w:cs="Times New Roman"/>
          <w:iCs/>
          <w:spacing w:val="-2"/>
          <w:sz w:val="28"/>
          <w:szCs w:val="28"/>
          <w:lang w:val="en-US"/>
        </w:rPr>
      </w:pPr>
      <w:r w:rsidRPr="00570E28">
        <w:rPr>
          <w:rFonts w:ascii="Times New Roman" w:hAnsi="Times New Roman" w:cs="Times New Roman"/>
          <w:spacing w:val="-2"/>
          <w:sz w:val="28"/>
          <w:szCs w:val="28"/>
          <w:lang w:val="en-US"/>
        </w:rPr>
        <w:t>International organizations had either maintained or upwardly revised their 2026 global growth forecasts compared to previous projections. Stronger-than-expected growth in economies such as the United States and the ASEAN region was anticipated to offset declines in Europe and the rest of the world. In January 2026, t</w:t>
      </w:r>
      <w:r w:rsidRPr="00570E28">
        <w:rPr>
          <w:rFonts w:ascii="Times New Roman" w:hAnsi="Times New Roman" w:cs="Times New Roman"/>
          <w:iCs/>
          <w:spacing w:val="-2"/>
          <w:sz w:val="28"/>
          <w:szCs w:val="28"/>
          <w:lang w:val="en-US"/>
        </w:rPr>
        <w:t>he International Monetary Fund (IMF)</w:t>
      </w:r>
      <w:r w:rsidRPr="00570E28">
        <w:rPr>
          <w:rStyle w:val="FootnoteReference"/>
          <w:rFonts w:ascii="Times New Roman" w:hAnsi="Times New Roman"/>
          <w:iCs/>
          <w:spacing w:val="-2"/>
          <w:sz w:val="28"/>
          <w:szCs w:val="28"/>
          <w:lang w:val="en-US"/>
        </w:rPr>
        <w:footnoteReference w:id="2"/>
      </w:r>
      <w:r w:rsidRPr="00570E28">
        <w:rPr>
          <w:rFonts w:ascii="Times New Roman" w:hAnsi="Times New Roman" w:cs="Times New Roman"/>
          <w:iCs/>
          <w:spacing w:val="-2"/>
          <w:sz w:val="28"/>
          <w:szCs w:val="28"/>
          <w:lang w:val="en-US"/>
        </w:rPr>
        <w:t xml:space="preserve">, </w:t>
      </w:r>
      <w:r w:rsidRPr="00570E28">
        <w:rPr>
          <w:rFonts w:ascii="Times New Roman" w:hAnsi="Times New Roman" w:cs="Times New Roman"/>
          <w:spacing w:val="-2"/>
          <w:sz w:val="28"/>
          <w:szCs w:val="28"/>
          <w:lang w:val="en-US"/>
        </w:rPr>
        <w:t>the United Nations (</w:t>
      </w:r>
      <w:r w:rsidRPr="00570E28">
        <w:rPr>
          <w:rFonts w:ascii="Times New Roman" w:hAnsi="Times New Roman" w:cs="Times New Roman"/>
          <w:iCs/>
          <w:spacing w:val="-2"/>
          <w:sz w:val="28"/>
          <w:szCs w:val="28"/>
          <w:lang w:val="en-US"/>
        </w:rPr>
        <w:t>UN)</w:t>
      </w:r>
      <w:r w:rsidRPr="00570E28">
        <w:rPr>
          <w:rStyle w:val="FootnoteReference"/>
          <w:rFonts w:ascii="Times New Roman" w:eastAsiaTheme="majorEastAsia" w:hAnsi="Times New Roman"/>
          <w:iCs/>
          <w:spacing w:val="-2"/>
          <w:sz w:val="28"/>
          <w:szCs w:val="28"/>
          <w:lang w:val="en-US"/>
        </w:rPr>
        <w:footnoteReference w:id="3"/>
      </w:r>
      <w:r w:rsidRPr="00570E28">
        <w:rPr>
          <w:rFonts w:ascii="Times New Roman" w:hAnsi="Times New Roman" w:cs="Times New Roman"/>
          <w:iCs/>
          <w:spacing w:val="-2"/>
          <w:sz w:val="28"/>
          <w:szCs w:val="28"/>
          <w:lang w:val="en-US"/>
        </w:rPr>
        <w:t xml:space="preserve">, and </w:t>
      </w:r>
      <w:r w:rsidRPr="00570E28">
        <w:rPr>
          <w:rFonts w:ascii="Times New Roman" w:hAnsi="Times New Roman" w:cs="Times New Roman"/>
          <w:spacing w:val="-2"/>
          <w:sz w:val="28"/>
          <w:szCs w:val="28"/>
          <w:lang w:val="en-US"/>
        </w:rPr>
        <w:t>the World Bank (WB</w:t>
      </w:r>
      <w:r w:rsidRPr="00570E28">
        <w:rPr>
          <w:rFonts w:ascii="Times New Roman" w:hAnsi="Times New Roman" w:cs="Times New Roman"/>
          <w:iCs/>
          <w:spacing w:val="-2"/>
          <w:sz w:val="28"/>
          <w:szCs w:val="28"/>
          <w:lang w:val="en-US"/>
        </w:rPr>
        <w:t>)</w:t>
      </w:r>
      <w:r w:rsidRPr="00570E28">
        <w:rPr>
          <w:rStyle w:val="FootnoteReference"/>
          <w:rFonts w:ascii="Times New Roman" w:eastAsiaTheme="majorEastAsia" w:hAnsi="Times New Roman"/>
          <w:iCs/>
          <w:spacing w:val="-2"/>
          <w:sz w:val="28"/>
          <w:szCs w:val="28"/>
          <w:lang w:val="en-US"/>
        </w:rPr>
        <w:footnoteReference w:id="4"/>
      </w:r>
      <w:r w:rsidRPr="00570E28">
        <w:rPr>
          <w:rFonts w:ascii="Times New Roman" w:hAnsi="Times New Roman" w:cs="Times New Roman"/>
          <w:iCs/>
          <w:spacing w:val="-2"/>
          <w:sz w:val="28"/>
          <w:szCs w:val="28"/>
          <w:lang w:val="en-US"/>
        </w:rPr>
        <w:t xml:space="preserve"> </w:t>
      </w:r>
      <w:r w:rsidRPr="00570E28">
        <w:rPr>
          <w:rFonts w:ascii="Times New Roman" w:hAnsi="Times New Roman" w:cs="Times New Roman"/>
          <w:spacing w:val="-2"/>
          <w:sz w:val="28"/>
          <w:szCs w:val="28"/>
          <w:lang w:val="en-US"/>
        </w:rPr>
        <w:t xml:space="preserve">forecasted global economic growth at 3.3%, 2.7%, and 2.6%, respectively, each representing a 0.2 percentage point upward revision. In March 2026, the </w:t>
      </w:r>
      <w:r w:rsidR="008E33F6" w:rsidRPr="00570E28">
        <w:rPr>
          <w:rFonts w:ascii="Times New Roman" w:hAnsi="Times New Roman" w:cs="Times New Roman"/>
          <w:spacing w:val="-2"/>
          <w:sz w:val="28"/>
          <w:szCs w:val="28"/>
          <w:lang w:val="en-US"/>
        </w:rPr>
        <w:t>Organization</w:t>
      </w:r>
      <w:r w:rsidRPr="00570E28">
        <w:rPr>
          <w:rFonts w:ascii="Times New Roman" w:hAnsi="Times New Roman" w:cs="Times New Roman"/>
          <w:spacing w:val="-2"/>
          <w:sz w:val="28"/>
          <w:szCs w:val="28"/>
          <w:lang w:val="en-US"/>
        </w:rPr>
        <w:t xml:space="preserve"> for Economic Co-operation and Development (OECD)</w:t>
      </w:r>
      <w:r w:rsidRPr="00570E28">
        <w:rPr>
          <w:rStyle w:val="FootnoteReference"/>
          <w:rFonts w:ascii="Times New Roman" w:eastAsiaTheme="majorEastAsia" w:hAnsi="Times New Roman"/>
          <w:iCs/>
          <w:spacing w:val="-2"/>
          <w:sz w:val="28"/>
          <w:szCs w:val="28"/>
          <w:lang w:val="en-US"/>
        </w:rPr>
        <w:footnoteReference w:id="5"/>
      </w:r>
      <w:r w:rsidRPr="00570E28">
        <w:rPr>
          <w:rFonts w:ascii="Times New Roman" w:hAnsi="Times New Roman" w:cs="Times New Roman"/>
          <w:spacing w:val="-2"/>
          <w:sz w:val="28"/>
          <w:szCs w:val="28"/>
          <w:lang w:val="en-US"/>
        </w:rPr>
        <w:t>, Fitch Ratings</w:t>
      </w:r>
      <w:r w:rsidRPr="00570E28">
        <w:rPr>
          <w:rStyle w:val="FootnoteReference"/>
          <w:rFonts w:ascii="Times New Roman" w:eastAsiaTheme="majorEastAsia" w:hAnsi="Times New Roman"/>
          <w:iCs/>
          <w:spacing w:val="-2"/>
          <w:sz w:val="28"/>
          <w:szCs w:val="28"/>
          <w:lang w:val="en-US"/>
        </w:rPr>
        <w:footnoteReference w:id="6"/>
      </w:r>
      <w:r w:rsidRPr="00570E28">
        <w:rPr>
          <w:rFonts w:ascii="Times New Roman" w:hAnsi="Times New Roman" w:cs="Times New Roman"/>
          <w:spacing w:val="-2"/>
          <w:sz w:val="28"/>
          <w:szCs w:val="28"/>
          <w:lang w:val="en-US"/>
        </w:rPr>
        <w:t xml:space="preserve"> projected global growth at 2.9% and 2.6%, respectively, remaining unchanged and increasing by 0.2 percentage points compared to their December </w:t>
      </w:r>
      <w:r w:rsidRPr="00570E28">
        <w:rPr>
          <w:rFonts w:ascii="Times New Roman" w:hAnsi="Times New Roman" w:cs="Times New Roman"/>
          <w:spacing w:val="-2"/>
          <w:sz w:val="28"/>
          <w:szCs w:val="28"/>
          <w:lang w:val="en-US"/>
        </w:rPr>
        <w:lastRenderedPageBreak/>
        <w:t>2025 forecasts. However, most international organizations anticipated that 2026 global growth was projected to be 0.1 to 0.4 percentage points lower than in 2025</w:t>
      </w:r>
      <w:r w:rsidRPr="00570E28">
        <w:rPr>
          <w:rFonts w:ascii="Times New Roman" w:hAnsi="Times New Roman" w:cs="Times New Roman"/>
          <w:iCs/>
          <w:spacing w:val="-2"/>
          <w:sz w:val="28"/>
          <w:szCs w:val="28"/>
          <w:lang w:val="en-US"/>
        </w:rPr>
        <w:t>.</w:t>
      </w:r>
      <w:r w:rsidR="00273515" w:rsidRPr="00570E28">
        <w:rPr>
          <w:rFonts w:ascii="Times New Roman" w:hAnsi="Times New Roman" w:cs="Times New Roman"/>
          <w:iCs/>
          <w:spacing w:val="-2"/>
          <w:sz w:val="28"/>
          <w:szCs w:val="28"/>
          <w:lang w:val="en-US"/>
        </w:rPr>
        <w:t xml:space="preserve"> </w:t>
      </w:r>
    </w:p>
    <w:p w14:paraId="33B8C5E0" w14:textId="2EF28E5E" w:rsidR="00273515" w:rsidRPr="00570E28" w:rsidRDefault="007C1B13" w:rsidP="00EB4960">
      <w:pPr>
        <w:spacing w:after="60" w:line="240" w:lineRule="auto"/>
        <w:ind w:firstLine="720"/>
        <w:jc w:val="both"/>
        <w:rPr>
          <w:rFonts w:ascii="Times New Roman" w:hAnsi="Times New Roman" w:cs="Times New Roman"/>
          <w:spacing w:val="-4"/>
          <w:sz w:val="28"/>
          <w:szCs w:val="28"/>
          <w:lang w:val="en-US"/>
        </w:rPr>
      </w:pPr>
      <w:r w:rsidRPr="00570E28">
        <w:rPr>
          <w:rFonts w:ascii="Times New Roman" w:hAnsi="Times New Roman" w:cs="Times New Roman"/>
          <w:sz w:val="28"/>
          <w:szCs w:val="28"/>
          <w:lang w:val="en-US"/>
        </w:rPr>
        <w:t>While international organizations offer varying assessments of Southeast Asian economic growth for 2026</w:t>
      </w:r>
      <w:r w:rsidRPr="00570E28">
        <w:rPr>
          <w:rStyle w:val="FootnoteReference"/>
          <w:rFonts w:ascii="Times New Roman" w:hAnsi="Times New Roman"/>
          <w:sz w:val="28"/>
          <w:szCs w:val="28"/>
          <w:lang w:val="en-US"/>
        </w:rPr>
        <w:footnoteReference w:id="7"/>
      </w:r>
      <w:r w:rsidRPr="00570E28">
        <w:rPr>
          <w:rFonts w:ascii="Times New Roman" w:hAnsi="Times New Roman" w:cs="Times New Roman"/>
          <w:sz w:val="28"/>
          <w:szCs w:val="28"/>
          <w:lang w:val="en-US"/>
        </w:rPr>
        <w:t>, there was a consensus that Vietnam would led the region. Specifically, Viet Nam's 2026 growth was projected to range from 6.0% to 7.6%</w:t>
      </w:r>
      <w:r w:rsidRPr="00570E28">
        <w:rPr>
          <w:rStyle w:val="FootnoteReference"/>
          <w:rFonts w:ascii="Times New Roman" w:hAnsi="Times New Roman"/>
          <w:spacing w:val="-4"/>
          <w:sz w:val="28"/>
          <w:szCs w:val="28"/>
          <w:lang w:val="en-US"/>
        </w:rPr>
        <w:footnoteReference w:id="8"/>
      </w:r>
      <w:r w:rsidRPr="00570E28">
        <w:rPr>
          <w:rFonts w:ascii="Times New Roman" w:hAnsi="Times New Roman" w:cs="Times New Roman"/>
          <w:spacing w:val="-4"/>
          <w:sz w:val="28"/>
          <w:szCs w:val="28"/>
          <w:lang w:val="en-US"/>
        </w:rPr>
        <w:t>. Other regional economies followed, with the Philippines forecasted at 5.3–5.7%, Indonesia at 4.8–5.1%, Malaysia at 4.0–4.3%, Singapore at 1.8–2.1%, and Thailand at 1.6–2.0%.</w:t>
      </w:r>
      <w:r w:rsidR="00273515" w:rsidRPr="00570E28">
        <w:rPr>
          <w:rFonts w:ascii="Times New Roman" w:hAnsi="Times New Roman" w:cs="Times New Roman"/>
          <w:spacing w:val="-4"/>
          <w:sz w:val="28"/>
          <w:szCs w:val="28"/>
          <w:lang w:val="en-US"/>
        </w:rPr>
        <w:t xml:space="preserve"> </w:t>
      </w:r>
    </w:p>
    <w:p w14:paraId="528BF4B8" w14:textId="1FBA6676" w:rsidR="00273515" w:rsidRPr="00570E28" w:rsidRDefault="007C1B13" w:rsidP="00EB4960">
      <w:pPr>
        <w:spacing w:after="120" w:line="252" w:lineRule="auto"/>
        <w:ind w:firstLine="720"/>
        <w:jc w:val="both"/>
        <w:rPr>
          <w:rFonts w:ascii="Times New Roman" w:hAnsi="Times New Roman" w:cs="Times New Roman"/>
          <w:sz w:val="28"/>
          <w:szCs w:val="28"/>
          <w:shd w:val="clear" w:color="auto" w:fill="FFFFFF" w:themeFill="background1"/>
          <w:lang w:val="en-US"/>
        </w:rPr>
      </w:pPr>
      <w:r w:rsidRPr="00570E28">
        <w:rPr>
          <w:rFonts w:ascii="Times New Roman" w:hAnsi="Times New Roman" w:cs="Times New Roman"/>
          <w:sz w:val="28"/>
          <w:szCs w:val="28"/>
          <w:shd w:val="clear" w:color="auto" w:fill="FFFFFF" w:themeFill="background1"/>
          <w:lang w:val="en-US"/>
        </w:rPr>
        <w:t>The year 2026 holds profound significance as Viet Nam convened the 14</w:t>
      </w:r>
      <w:r w:rsidRPr="00570E28">
        <w:rPr>
          <w:rFonts w:ascii="Times New Roman" w:hAnsi="Times New Roman" w:cs="Times New Roman"/>
          <w:sz w:val="28"/>
          <w:szCs w:val="28"/>
          <w:shd w:val="clear" w:color="auto" w:fill="FFFFFF" w:themeFill="background1"/>
          <w:vertAlign w:val="superscript"/>
          <w:lang w:val="en-US"/>
        </w:rPr>
        <w:t>th</w:t>
      </w:r>
      <w:r w:rsidRPr="00570E28">
        <w:rPr>
          <w:rFonts w:ascii="Times New Roman" w:hAnsi="Times New Roman" w:cs="Times New Roman"/>
          <w:sz w:val="28"/>
          <w:szCs w:val="28"/>
          <w:shd w:val="clear" w:color="auto" w:fill="FFFFFF" w:themeFill="background1"/>
          <w:lang w:val="en-US"/>
        </w:rPr>
        <w:t xml:space="preserve"> National Congress of the Communist Party of Viet Nam and conducted elections for the 16</w:t>
      </w:r>
      <w:r w:rsidRPr="00570E28">
        <w:rPr>
          <w:rFonts w:ascii="Times New Roman" w:hAnsi="Times New Roman" w:cs="Times New Roman"/>
          <w:sz w:val="28"/>
          <w:szCs w:val="28"/>
          <w:shd w:val="clear" w:color="auto" w:fill="FFFFFF" w:themeFill="background1"/>
          <w:vertAlign w:val="superscript"/>
          <w:lang w:val="en-US"/>
        </w:rPr>
        <w:t>th</w:t>
      </w:r>
      <w:r w:rsidRPr="00570E28">
        <w:rPr>
          <w:rFonts w:ascii="Times New Roman" w:hAnsi="Times New Roman" w:cs="Times New Roman"/>
          <w:sz w:val="28"/>
          <w:szCs w:val="28"/>
          <w:shd w:val="clear" w:color="auto" w:fill="FFFFFF" w:themeFill="background1"/>
          <w:lang w:val="en-US"/>
        </w:rPr>
        <w:t xml:space="preserve"> National Assembly and People’s Councils at all levels for the 2026–2031 tenure. This year also marks the inaugural phase of the 5-year Socio-Economic Development Plan (2026–2030), which targets an ambitious average annual growth rate of 10% or higher, ushering in a new era of national development. Under the Party’s leadership and the Government and Prime Minister’s flexible, decisive, and effective direction, ministries, line-ministries, and localities have closely monitored global and domestic economic fluctuations since the early months of 2026. They have proactively implemented synchronized tasks and solutions outlined in the National Assembly and Government’s resolutions to achieve the set objectives. Consequently, Viet Nam’s socio-economic performance in</w:t>
      </w:r>
      <w:r w:rsidR="00364FAC">
        <w:rPr>
          <w:rFonts w:ascii="Times New Roman" w:hAnsi="Times New Roman" w:cs="Times New Roman"/>
          <w:sz w:val="28"/>
          <w:szCs w:val="28"/>
          <w:shd w:val="clear" w:color="auto" w:fill="FFFFFF" w:themeFill="background1"/>
          <w:lang w:val="en-US"/>
        </w:rPr>
        <w:t xml:space="preserve"> the</w:t>
      </w:r>
      <w:r w:rsidRPr="00570E28">
        <w:rPr>
          <w:rFonts w:ascii="Times New Roman" w:hAnsi="Times New Roman" w:cs="Times New Roman"/>
          <w:sz w:val="28"/>
          <w:szCs w:val="28"/>
          <w:shd w:val="clear" w:color="auto" w:fill="FFFFFF" w:themeFill="background1"/>
          <w:lang w:val="en-US"/>
        </w:rPr>
        <w:t xml:space="preserve"> Q1 2026 achieved positive results despite a global context of instability and challenges. The sector-specific performance for</w:t>
      </w:r>
      <w:r w:rsidR="00364FAC">
        <w:rPr>
          <w:rFonts w:ascii="Times New Roman" w:hAnsi="Times New Roman" w:cs="Times New Roman"/>
          <w:sz w:val="28"/>
          <w:szCs w:val="28"/>
          <w:shd w:val="clear" w:color="auto" w:fill="FFFFFF" w:themeFill="background1"/>
          <w:lang w:val="en-US"/>
        </w:rPr>
        <w:t xml:space="preserve"> the</w:t>
      </w:r>
      <w:r w:rsidRPr="00570E28">
        <w:rPr>
          <w:rFonts w:ascii="Times New Roman" w:hAnsi="Times New Roman" w:cs="Times New Roman"/>
          <w:sz w:val="28"/>
          <w:szCs w:val="28"/>
          <w:shd w:val="clear" w:color="auto" w:fill="FFFFFF" w:themeFill="background1"/>
          <w:lang w:val="en-US"/>
        </w:rPr>
        <w:t xml:space="preserve"> Q1 2026 </w:t>
      </w:r>
      <w:r w:rsidR="00364FAC" w:rsidRPr="00570E28">
        <w:rPr>
          <w:rFonts w:ascii="Times New Roman" w:hAnsi="Times New Roman" w:cs="Times New Roman"/>
          <w:sz w:val="28"/>
          <w:szCs w:val="28"/>
          <w:shd w:val="clear" w:color="auto" w:fill="FFFFFF" w:themeFill="background1"/>
          <w:lang w:val="en-US"/>
        </w:rPr>
        <w:t>is</w:t>
      </w:r>
      <w:r w:rsidRPr="00570E28">
        <w:rPr>
          <w:rFonts w:ascii="Times New Roman" w:hAnsi="Times New Roman" w:cs="Times New Roman"/>
          <w:sz w:val="28"/>
          <w:szCs w:val="28"/>
          <w:shd w:val="clear" w:color="auto" w:fill="FFFFFF" w:themeFill="background1"/>
          <w:lang w:val="en-US"/>
        </w:rPr>
        <w:t xml:space="preserve"> detailed as follows:</w:t>
      </w:r>
    </w:p>
    <w:p w14:paraId="57792143" w14:textId="3A2DD246" w:rsidR="002262E0" w:rsidRPr="00570E28" w:rsidRDefault="002262E0" w:rsidP="00E83CFB">
      <w:pPr>
        <w:spacing w:after="120" w:line="240" w:lineRule="auto"/>
        <w:ind w:firstLine="720"/>
        <w:jc w:val="both"/>
        <w:rPr>
          <w:rFonts w:ascii="Times New Roman" w:hAnsi="Times New Roman" w:cs="Times New Roman"/>
          <w:b/>
          <w:bCs/>
          <w:sz w:val="28"/>
          <w:szCs w:val="28"/>
          <w:lang w:val="en-US"/>
        </w:rPr>
      </w:pPr>
      <w:r w:rsidRPr="00570E28">
        <w:rPr>
          <w:rFonts w:ascii="Times New Roman" w:hAnsi="Times New Roman" w:cs="Times New Roman"/>
          <w:b/>
          <w:bCs/>
          <w:sz w:val="28"/>
          <w:szCs w:val="28"/>
          <w:lang w:val="en-US"/>
        </w:rPr>
        <w:t>I</w:t>
      </w:r>
      <w:r w:rsidR="00270C15" w:rsidRPr="00570E28">
        <w:rPr>
          <w:rFonts w:ascii="Times New Roman" w:hAnsi="Times New Roman" w:cs="Times New Roman"/>
          <w:b/>
          <w:bCs/>
          <w:sz w:val="28"/>
          <w:szCs w:val="28"/>
          <w:lang w:val="en-US"/>
        </w:rPr>
        <w:t>I</w:t>
      </w:r>
      <w:r w:rsidRPr="00570E28">
        <w:rPr>
          <w:rFonts w:ascii="Times New Roman" w:hAnsi="Times New Roman" w:cs="Times New Roman"/>
          <w:b/>
          <w:bCs/>
          <w:sz w:val="28"/>
          <w:szCs w:val="28"/>
          <w:lang w:val="en-US"/>
        </w:rPr>
        <w:t xml:space="preserve">. </w:t>
      </w:r>
      <w:r w:rsidR="00F52035" w:rsidRPr="00570E28">
        <w:rPr>
          <w:rFonts w:ascii="Times New Roman" w:hAnsi="Times New Roman" w:cs="Times New Roman"/>
          <w:b/>
          <w:bCs/>
          <w:sz w:val="28"/>
          <w:szCs w:val="28"/>
          <w:lang w:val="en-US"/>
        </w:rPr>
        <w:t>ECONOMIC GROWTH</w:t>
      </w:r>
    </w:p>
    <w:p w14:paraId="5CFDDD0F" w14:textId="3F6727D9" w:rsidR="002262E0" w:rsidRPr="00570E28" w:rsidRDefault="002262E0" w:rsidP="00E83CFB">
      <w:pPr>
        <w:spacing w:after="120" w:line="240" w:lineRule="auto"/>
        <w:ind w:firstLine="720"/>
        <w:jc w:val="both"/>
        <w:rPr>
          <w:rFonts w:ascii="Times New Roman" w:hAnsi="Times New Roman" w:cs="Times New Roman"/>
          <w:b/>
          <w:sz w:val="28"/>
          <w:szCs w:val="28"/>
          <w:lang w:val="en-US"/>
        </w:rPr>
      </w:pPr>
      <w:r w:rsidRPr="00570E28">
        <w:rPr>
          <w:rFonts w:ascii="Times New Roman" w:hAnsi="Times New Roman" w:cs="Times New Roman"/>
          <w:b/>
          <w:sz w:val="28"/>
          <w:szCs w:val="28"/>
          <w:lang w:val="en-US"/>
        </w:rPr>
        <w:t xml:space="preserve">1. </w:t>
      </w:r>
      <w:r w:rsidR="00F52035" w:rsidRPr="00570E28">
        <w:rPr>
          <w:rFonts w:ascii="Times New Roman" w:hAnsi="Times New Roman" w:cs="Times New Roman"/>
          <w:b/>
          <w:sz w:val="28"/>
          <w:szCs w:val="28"/>
          <w:lang w:val="en-US"/>
        </w:rPr>
        <w:t>Gross Domestic Product Growth Rate</w:t>
      </w:r>
    </w:p>
    <w:p w14:paraId="62195905" w14:textId="50007960" w:rsidR="00C92264" w:rsidRPr="00570E28" w:rsidRDefault="00F52035" w:rsidP="00EB4960">
      <w:pPr>
        <w:spacing w:after="120" w:line="252" w:lineRule="auto"/>
        <w:ind w:firstLine="720"/>
        <w:jc w:val="both"/>
        <w:rPr>
          <w:rFonts w:ascii="Times New Roman" w:hAnsi="Times New Roman" w:cs="Times New Roman"/>
          <w:color w:val="FF0000"/>
          <w:sz w:val="28"/>
          <w:szCs w:val="28"/>
          <w:lang w:val="en-US"/>
        </w:rPr>
      </w:pPr>
      <w:r w:rsidRPr="00570E28">
        <w:rPr>
          <w:rFonts w:ascii="Times New Roman" w:hAnsi="Times New Roman" w:cs="Times New Roman"/>
          <w:sz w:val="28"/>
          <w:szCs w:val="28"/>
          <w:lang w:val="en-US"/>
        </w:rPr>
        <w:t xml:space="preserve">Viet Nam’s Gross Domestic Product (GDP) in Q1 2026 was estimated to </w:t>
      </w:r>
      <w:r w:rsidR="008E33F6" w:rsidRPr="00570E28">
        <w:rPr>
          <w:rFonts w:ascii="Times New Roman" w:hAnsi="Times New Roman" w:cs="Times New Roman"/>
          <w:sz w:val="28"/>
          <w:szCs w:val="28"/>
          <w:lang w:val="en-US"/>
        </w:rPr>
        <w:t>increase</w:t>
      </w:r>
      <w:r w:rsidRPr="00570E28">
        <w:rPr>
          <w:rFonts w:ascii="Times New Roman" w:hAnsi="Times New Roman" w:cs="Times New Roman"/>
          <w:sz w:val="28"/>
          <w:szCs w:val="28"/>
          <w:lang w:val="en-US"/>
        </w:rPr>
        <w:t xml:space="preserve"> by 7.83%</w:t>
      </w:r>
      <w:r w:rsidRPr="00570E28">
        <w:rPr>
          <w:rFonts w:ascii="Times New Roman" w:hAnsi="Times New Roman" w:cs="Times New Roman"/>
          <w:vertAlign w:val="superscript"/>
          <w:lang w:val="en-US"/>
        </w:rPr>
        <w:footnoteReference w:id="9"/>
      </w:r>
      <w:r w:rsidRPr="00570E28">
        <w:rPr>
          <w:rFonts w:ascii="Times New Roman" w:hAnsi="Times New Roman" w:cs="Times New Roman"/>
          <w:sz w:val="28"/>
          <w:szCs w:val="28"/>
          <w:lang w:val="en-US"/>
        </w:rPr>
        <w:t xml:space="preserve"> year-on-year (corresponding figure in </w:t>
      </w:r>
      <w:r w:rsidR="00364FAC">
        <w:rPr>
          <w:rFonts w:ascii="Times New Roman" w:hAnsi="Times New Roman" w:cs="Times New Roman"/>
          <w:sz w:val="28"/>
          <w:szCs w:val="28"/>
          <w:lang w:val="en-US"/>
        </w:rPr>
        <w:t xml:space="preserve">the </w:t>
      </w:r>
      <w:r w:rsidRPr="00570E28">
        <w:rPr>
          <w:rFonts w:ascii="Times New Roman" w:hAnsi="Times New Roman" w:cs="Times New Roman"/>
          <w:sz w:val="28"/>
          <w:szCs w:val="28"/>
          <w:lang w:val="en-US"/>
        </w:rPr>
        <w:t>Q1 2025 was 7.07%). Specifically, the agriculture, forestry, and fishing sector grew by 3.58%, contributing 5.60% to the gross value added of the economy; the industry and construction sector rose by 8.92%, contributing 44.08%; and the services sector expanded by 8.18%, contributing 50.32%.</w:t>
      </w:r>
      <w:r w:rsidR="00C92264" w:rsidRPr="00570E28">
        <w:rPr>
          <w:rFonts w:ascii="Times New Roman" w:hAnsi="Times New Roman" w:cs="Times New Roman"/>
          <w:sz w:val="28"/>
          <w:szCs w:val="28"/>
          <w:lang w:val="en-US"/>
        </w:rPr>
        <w:t xml:space="preserve"> </w:t>
      </w:r>
    </w:p>
    <w:p w14:paraId="01790776" w14:textId="67170C8F" w:rsidR="00C92264" w:rsidRPr="00570E28" w:rsidRDefault="00F52035" w:rsidP="00EB4960">
      <w:pPr>
        <w:spacing w:after="120" w:line="252" w:lineRule="auto"/>
        <w:ind w:firstLine="720"/>
        <w:jc w:val="both"/>
        <w:rPr>
          <w:rFonts w:ascii="Times New Roman" w:hAnsi="Times New Roman" w:cs="Times New Roman"/>
          <w:sz w:val="28"/>
          <w:szCs w:val="28"/>
          <w:lang w:val="en-US"/>
        </w:rPr>
      </w:pPr>
      <w:r w:rsidRPr="00570E28">
        <w:rPr>
          <w:rFonts w:ascii="Times New Roman" w:hAnsi="Times New Roman" w:cs="Times New Roman"/>
          <w:i/>
          <w:sz w:val="28"/>
          <w:szCs w:val="28"/>
          <w:lang w:val="en-US"/>
        </w:rPr>
        <w:t>The agriculture, forestry, and fishing sector</w:t>
      </w:r>
      <w:r w:rsidRPr="00570E28">
        <w:rPr>
          <w:rFonts w:ascii="Times New Roman" w:hAnsi="Times New Roman" w:cs="Times New Roman"/>
          <w:sz w:val="28"/>
          <w:szCs w:val="28"/>
          <w:lang w:val="en-US"/>
        </w:rPr>
        <w:t xml:space="preserve"> maintained steady growth. Perennial crop yields were favorable, pig farming continued its recovery, and aquaculture output surged thanks to the application of advanced science and technology. In </w:t>
      </w:r>
      <w:r w:rsidR="00364FAC">
        <w:rPr>
          <w:rFonts w:ascii="Times New Roman" w:hAnsi="Times New Roman" w:cs="Times New Roman"/>
          <w:sz w:val="28"/>
          <w:szCs w:val="28"/>
          <w:lang w:val="en-US"/>
        </w:rPr>
        <w:t xml:space="preserve">the </w:t>
      </w:r>
      <w:r w:rsidRPr="00570E28">
        <w:rPr>
          <w:rFonts w:ascii="Times New Roman" w:hAnsi="Times New Roman" w:cs="Times New Roman"/>
          <w:sz w:val="28"/>
          <w:szCs w:val="28"/>
          <w:lang w:val="en-US"/>
        </w:rPr>
        <w:t xml:space="preserve">Q1 2026, the value added of the agricultural </w:t>
      </w:r>
      <w:r w:rsidRPr="00570E28">
        <w:rPr>
          <w:rFonts w:ascii="Times New Roman" w:hAnsi="Times New Roman" w:cs="Times New Roman"/>
          <w:sz w:val="28"/>
          <w:szCs w:val="28"/>
          <w:shd w:val="clear" w:color="auto" w:fill="FFFFFF"/>
          <w:lang w:val="en-US"/>
        </w:rPr>
        <w:t xml:space="preserve">activities </w:t>
      </w:r>
      <w:r w:rsidRPr="00570E28">
        <w:rPr>
          <w:rFonts w:ascii="Times New Roman" w:hAnsi="Times New Roman" w:cs="Times New Roman"/>
          <w:sz w:val="28"/>
          <w:szCs w:val="28"/>
          <w:lang w:val="en-US"/>
        </w:rPr>
        <w:t xml:space="preserve">rose by 3.36% year-on-year, contributing 4.01% </w:t>
      </w:r>
      <w:r w:rsidRPr="00570E28">
        <w:rPr>
          <w:rFonts w:ascii="Times New Roman" w:hAnsi="Times New Roman" w:cs="Times New Roman"/>
          <w:sz w:val="28"/>
          <w:szCs w:val="28"/>
          <w:shd w:val="clear" w:color="auto" w:fill="FFFFFF"/>
          <w:lang w:val="en-US"/>
        </w:rPr>
        <w:t xml:space="preserve">to the </w:t>
      </w:r>
      <w:r w:rsidRPr="00570E28">
        <w:rPr>
          <w:rFonts w:ascii="Times New Roman" w:hAnsi="Times New Roman" w:cs="Times New Roman"/>
          <w:spacing w:val="-2"/>
          <w:sz w:val="28"/>
          <w:szCs w:val="28"/>
          <w:lang w:val="en-US"/>
        </w:rPr>
        <w:t>gross value added of the entire economy</w:t>
      </w:r>
      <w:r w:rsidRPr="00570E28">
        <w:rPr>
          <w:rFonts w:ascii="Times New Roman" w:hAnsi="Times New Roman" w:cs="Times New Roman"/>
          <w:sz w:val="28"/>
          <w:szCs w:val="28"/>
          <w:lang w:val="en-US"/>
        </w:rPr>
        <w:t xml:space="preserve">. The forestry </w:t>
      </w:r>
      <w:r w:rsidRPr="00570E28">
        <w:rPr>
          <w:rFonts w:ascii="Times New Roman" w:hAnsi="Times New Roman" w:cs="Times New Roman"/>
          <w:sz w:val="28"/>
          <w:szCs w:val="28"/>
          <w:shd w:val="clear" w:color="auto" w:fill="FFFFFF"/>
          <w:lang w:val="en-US"/>
        </w:rPr>
        <w:t xml:space="preserve">activities </w:t>
      </w:r>
      <w:r w:rsidRPr="00570E28">
        <w:rPr>
          <w:rFonts w:ascii="Times New Roman" w:hAnsi="Times New Roman" w:cs="Times New Roman"/>
          <w:sz w:val="28"/>
          <w:szCs w:val="28"/>
          <w:lang w:val="en-US"/>
        </w:rPr>
        <w:t>grew by 3.22%, contributing 0.21%, while the fishing sector increased by 4.51%, contributing 1.38%.</w:t>
      </w:r>
    </w:p>
    <w:p w14:paraId="1B1FE9E6" w14:textId="7850C835" w:rsidR="00C92264" w:rsidRPr="00570E28" w:rsidRDefault="00F52035" w:rsidP="00EB4960">
      <w:pPr>
        <w:spacing w:after="120" w:line="252" w:lineRule="auto"/>
        <w:ind w:firstLine="720"/>
        <w:jc w:val="both"/>
        <w:rPr>
          <w:rFonts w:ascii="Times New Roman" w:hAnsi="Times New Roman" w:cs="Times New Roman"/>
          <w:sz w:val="28"/>
          <w:szCs w:val="28"/>
          <w:lang w:val="en-US"/>
        </w:rPr>
      </w:pPr>
      <w:r w:rsidRPr="00570E28">
        <w:rPr>
          <w:rFonts w:ascii="Times New Roman" w:hAnsi="Times New Roman" w:cs="Times New Roman"/>
          <w:i/>
          <w:sz w:val="28"/>
          <w:szCs w:val="28"/>
          <w:lang w:val="en-US"/>
        </w:rPr>
        <w:lastRenderedPageBreak/>
        <w:t>The industry and construction sector,</w:t>
      </w:r>
      <w:r w:rsidRPr="00570E28">
        <w:rPr>
          <w:rFonts w:ascii="Times New Roman" w:hAnsi="Times New Roman" w:cs="Times New Roman"/>
          <w:sz w:val="28"/>
          <w:szCs w:val="28"/>
          <w:lang w:val="en-US"/>
        </w:rPr>
        <w:t xml:space="preserve"> industrial production maintained its positive growth momentum, while construction activities flourished thanks to accelerated public investment disbursement. In</w:t>
      </w:r>
      <w:r w:rsidR="00364FAC">
        <w:rPr>
          <w:rFonts w:ascii="Times New Roman" w:hAnsi="Times New Roman" w:cs="Times New Roman"/>
          <w:sz w:val="28"/>
          <w:szCs w:val="28"/>
          <w:lang w:val="en-US"/>
        </w:rPr>
        <w:t xml:space="preserve"> the</w:t>
      </w:r>
      <w:r w:rsidRPr="00570E28">
        <w:rPr>
          <w:rFonts w:ascii="Times New Roman" w:hAnsi="Times New Roman" w:cs="Times New Roman"/>
          <w:sz w:val="28"/>
          <w:szCs w:val="28"/>
          <w:lang w:val="en-US"/>
        </w:rPr>
        <w:t xml:space="preserve"> Q1 2026, the value added of the industrial activities rose by 9.01% year-on-year (versus 7.63% in</w:t>
      </w:r>
      <w:r w:rsidR="00364FAC">
        <w:rPr>
          <w:rFonts w:ascii="Times New Roman" w:hAnsi="Times New Roman" w:cs="Times New Roman"/>
          <w:sz w:val="28"/>
          <w:szCs w:val="28"/>
          <w:lang w:val="en-US"/>
        </w:rPr>
        <w:t xml:space="preserve"> the</w:t>
      </w:r>
      <w:r w:rsidRPr="00570E28">
        <w:rPr>
          <w:rFonts w:ascii="Times New Roman" w:hAnsi="Times New Roman" w:cs="Times New Roman"/>
          <w:sz w:val="28"/>
          <w:szCs w:val="28"/>
          <w:lang w:val="en-US"/>
        </w:rPr>
        <w:t xml:space="preserve"> Q1 2025), contributing 38.34% to the gross value added of the economy. The manufacturing remained the primary driver of the economy, expanding by 9.73% (versus 9.36% in </w:t>
      </w:r>
      <w:r w:rsidR="00364FAC">
        <w:rPr>
          <w:rFonts w:ascii="Times New Roman" w:hAnsi="Times New Roman" w:cs="Times New Roman"/>
          <w:sz w:val="28"/>
          <w:szCs w:val="28"/>
          <w:lang w:val="en-US"/>
        </w:rPr>
        <w:t xml:space="preserve">the </w:t>
      </w:r>
      <w:r w:rsidRPr="00570E28">
        <w:rPr>
          <w:rFonts w:ascii="Times New Roman" w:hAnsi="Times New Roman" w:cs="Times New Roman"/>
          <w:sz w:val="28"/>
          <w:szCs w:val="28"/>
          <w:lang w:val="en-US"/>
        </w:rPr>
        <w:t>Q1 2025) and contributing 32.52%. Additionally, the electricity supply grew by 6.54%, contributing 3.78%; the water supply, sewerage, waste management and remediation activities rose by 8.58%, contributing 0.63%; and the mining and quarrying increased by 5.42%, contributing 1.41%. The construction expanded by 8.36%, contributing 5.74%.</w:t>
      </w:r>
    </w:p>
    <w:p w14:paraId="325CE098" w14:textId="2F4390FD" w:rsidR="00C92264" w:rsidRPr="00570E28" w:rsidRDefault="00F52035" w:rsidP="00E83CFB">
      <w:pPr>
        <w:spacing w:after="120" w:line="240" w:lineRule="auto"/>
        <w:ind w:firstLine="720"/>
        <w:jc w:val="both"/>
        <w:rPr>
          <w:rFonts w:ascii="Times New Roman" w:hAnsi="Times New Roman" w:cs="Times New Roman"/>
          <w:color w:val="FF0000"/>
          <w:sz w:val="28"/>
          <w:szCs w:val="28"/>
          <w:lang w:val="en-US"/>
        </w:rPr>
      </w:pPr>
      <w:r w:rsidRPr="00570E28">
        <w:rPr>
          <w:rFonts w:ascii="Times New Roman" w:hAnsi="Times New Roman" w:cs="Times New Roman"/>
          <w:i/>
          <w:sz w:val="28"/>
          <w:szCs w:val="28"/>
          <w:lang w:val="en-US"/>
        </w:rPr>
        <w:t>The services sector</w:t>
      </w:r>
      <w:r w:rsidRPr="00570E28">
        <w:rPr>
          <w:rFonts w:ascii="Times New Roman" w:hAnsi="Times New Roman" w:cs="Times New Roman"/>
          <w:sz w:val="28"/>
          <w:szCs w:val="28"/>
          <w:lang w:val="en-US"/>
        </w:rPr>
        <w:t xml:space="preserve">, robust consumer demand during the Lunar New Year and a significant surge in international arrivals to Viet Nam </w:t>
      </w:r>
      <w:r w:rsidR="00364FAC" w:rsidRPr="00570E28">
        <w:rPr>
          <w:rFonts w:ascii="Times New Roman" w:hAnsi="Times New Roman" w:cs="Times New Roman"/>
          <w:sz w:val="28"/>
          <w:szCs w:val="28"/>
          <w:lang w:val="en-US"/>
        </w:rPr>
        <w:t>fueled</w:t>
      </w:r>
      <w:r w:rsidRPr="00570E28">
        <w:rPr>
          <w:rFonts w:ascii="Times New Roman" w:hAnsi="Times New Roman" w:cs="Times New Roman"/>
          <w:sz w:val="28"/>
          <w:szCs w:val="28"/>
          <w:lang w:val="en-US"/>
        </w:rPr>
        <w:t xml:space="preserve"> the growth of the trade and services sector. The contributions of number of market service activities to the gross value added growth of the economy in</w:t>
      </w:r>
      <w:r w:rsidR="00364FAC">
        <w:rPr>
          <w:rFonts w:ascii="Times New Roman" w:hAnsi="Times New Roman" w:cs="Times New Roman"/>
          <w:sz w:val="28"/>
          <w:szCs w:val="28"/>
          <w:lang w:val="en-US"/>
        </w:rPr>
        <w:t xml:space="preserve"> the</w:t>
      </w:r>
      <w:r w:rsidRPr="00570E28">
        <w:rPr>
          <w:rFonts w:ascii="Times New Roman" w:hAnsi="Times New Roman" w:cs="Times New Roman"/>
          <w:sz w:val="28"/>
          <w:szCs w:val="28"/>
          <w:lang w:val="en-US"/>
        </w:rPr>
        <w:t xml:space="preserve"> Q1 2026 were as follows the wholesale and retail trade increased by 9.62%, contributing 14.52%; transportation and storage rose by 8.95% year-on-year, contributing 6.95%; financial, banking, and insurance activities grew by 7.70%, contributing 5.09%; information and communications expanded by 7.65%, contributing 4.21%; and the accommodation and food service activities increased by 7.49%, contributing 2.89%. Additionally, services activities primarily funded by the State budget also recorded positive growth such as activities of the Communist Party, socio-political organizations, public administration and </w:t>
      </w:r>
      <w:r w:rsidR="00364FAC" w:rsidRPr="00570E28">
        <w:rPr>
          <w:rFonts w:ascii="Times New Roman" w:hAnsi="Times New Roman" w:cs="Times New Roman"/>
          <w:sz w:val="28"/>
          <w:szCs w:val="28"/>
          <w:lang w:val="en-US"/>
        </w:rPr>
        <w:t>defense</w:t>
      </w:r>
      <w:r w:rsidRPr="00570E28">
        <w:rPr>
          <w:rFonts w:ascii="Times New Roman" w:hAnsi="Times New Roman" w:cs="Times New Roman"/>
          <w:sz w:val="28"/>
          <w:szCs w:val="28"/>
          <w:lang w:val="en-US"/>
        </w:rPr>
        <w:t>, compulsory security rose by 9.62% year-on-year, contributing 2.53%; education and training grew by 8.25%, contributing 4.05%; and human health and social work activities increased by 6.90%, contributing 2.18%.</w:t>
      </w:r>
    </w:p>
    <w:p w14:paraId="3020E380" w14:textId="652BCA61" w:rsidR="00C92264" w:rsidRPr="00570E28" w:rsidRDefault="00F52035" w:rsidP="00E83CFB">
      <w:pPr>
        <w:tabs>
          <w:tab w:val="left" w:pos="720"/>
        </w:tabs>
        <w:spacing w:after="120" w:line="240" w:lineRule="auto"/>
        <w:ind w:firstLine="720"/>
        <w:jc w:val="both"/>
        <w:rPr>
          <w:rFonts w:ascii="Times New Roman" w:hAnsi="Times New Roman" w:cs="Times New Roman"/>
          <w:sz w:val="28"/>
          <w:szCs w:val="28"/>
          <w:lang w:val="en-US"/>
        </w:rPr>
      </w:pPr>
      <w:r w:rsidRPr="00570E28">
        <w:rPr>
          <w:rFonts w:ascii="Times New Roman" w:hAnsi="Times New Roman" w:cs="Times New Roman"/>
          <w:sz w:val="28"/>
          <w:szCs w:val="28"/>
          <w:lang w:val="en-US"/>
        </w:rPr>
        <w:t xml:space="preserve">Regarding the economic structure </w:t>
      </w:r>
      <w:r w:rsidR="00364FAC" w:rsidRPr="00570E28">
        <w:rPr>
          <w:rFonts w:ascii="Times New Roman" w:hAnsi="Times New Roman" w:cs="Times New Roman"/>
          <w:sz w:val="28"/>
          <w:szCs w:val="28"/>
          <w:lang w:val="en-US"/>
        </w:rPr>
        <w:t xml:space="preserve">in </w:t>
      </w:r>
      <w:r w:rsidR="00364FAC">
        <w:rPr>
          <w:rFonts w:ascii="Times New Roman" w:hAnsi="Times New Roman" w:cs="Times New Roman"/>
          <w:sz w:val="28"/>
          <w:szCs w:val="28"/>
          <w:lang w:val="en-US"/>
        </w:rPr>
        <w:t xml:space="preserve">the </w:t>
      </w:r>
      <w:r w:rsidRPr="00570E28">
        <w:rPr>
          <w:rFonts w:ascii="Times New Roman" w:hAnsi="Times New Roman" w:cs="Times New Roman"/>
          <w:sz w:val="28"/>
          <w:szCs w:val="28"/>
          <w:lang w:val="en-US"/>
        </w:rPr>
        <w:t>Q1 2026, the agriculture, forestry, and fishing sector; industry and construction sector; services sector; and taxes less subsidies on products accounted for 10.89%, 37.15%, 43.45%, and 8.51%, respectively</w:t>
      </w:r>
      <w:r w:rsidRPr="00570E28">
        <w:rPr>
          <w:rStyle w:val="FootnoteReference"/>
          <w:rFonts w:ascii="Times New Roman" w:hAnsi="Times New Roman"/>
          <w:sz w:val="28"/>
          <w:szCs w:val="28"/>
          <w:lang w:val="en-US"/>
        </w:rPr>
        <w:t xml:space="preserve"> </w:t>
      </w:r>
      <w:r w:rsidRPr="00570E28">
        <w:rPr>
          <w:rStyle w:val="FootnoteReference"/>
          <w:rFonts w:ascii="Times New Roman" w:hAnsi="Times New Roman"/>
          <w:sz w:val="28"/>
          <w:szCs w:val="28"/>
          <w:lang w:val="en-US"/>
        </w:rPr>
        <w:footnoteReference w:id="10"/>
      </w:r>
      <w:r w:rsidRPr="00570E28">
        <w:rPr>
          <w:rFonts w:ascii="Times New Roman" w:hAnsi="Times New Roman" w:cs="Times New Roman"/>
          <w:sz w:val="28"/>
          <w:szCs w:val="28"/>
          <w:lang w:val="en-US"/>
        </w:rPr>
        <w:t>.</w:t>
      </w:r>
    </w:p>
    <w:p w14:paraId="78C47123" w14:textId="418B42D6" w:rsidR="00C92264" w:rsidRPr="00570E28" w:rsidRDefault="00F52035" w:rsidP="00E83CFB">
      <w:pPr>
        <w:spacing w:after="120" w:line="240" w:lineRule="auto"/>
        <w:ind w:firstLine="720"/>
        <w:jc w:val="both"/>
        <w:rPr>
          <w:rFonts w:ascii="Times New Roman" w:hAnsi="Times New Roman" w:cs="Times New Roman"/>
          <w:color w:val="000000" w:themeColor="text1"/>
          <w:sz w:val="28"/>
          <w:szCs w:val="28"/>
          <w:shd w:val="clear" w:color="auto" w:fill="FFFFFF"/>
          <w:lang w:val="en-US"/>
        </w:rPr>
      </w:pPr>
      <w:r w:rsidRPr="00570E28">
        <w:rPr>
          <w:rFonts w:ascii="Times New Roman" w:hAnsi="Times New Roman" w:cs="Times New Roman"/>
          <w:sz w:val="28"/>
          <w:szCs w:val="28"/>
          <w:shd w:val="clear" w:color="auto" w:fill="FFFFFF"/>
          <w:lang w:val="en-US"/>
        </w:rPr>
        <w:t xml:space="preserve">Regarding GDP expenditure in </w:t>
      </w:r>
      <w:r w:rsidR="00364FAC">
        <w:rPr>
          <w:rFonts w:ascii="Times New Roman" w:hAnsi="Times New Roman" w:cs="Times New Roman"/>
          <w:sz w:val="28"/>
          <w:szCs w:val="28"/>
          <w:shd w:val="clear" w:color="auto" w:fill="FFFFFF"/>
          <w:lang w:val="en-US"/>
        </w:rPr>
        <w:t xml:space="preserve">the </w:t>
      </w:r>
      <w:r w:rsidRPr="00570E28">
        <w:rPr>
          <w:rFonts w:ascii="Times New Roman" w:hAnsi="Times New Roman" w:cs="Times New Roman"/>
          <w:sz w:val="28"/>
          <w:szCs w:val="28"/>
          <w:shd w:val="clear" w:color="auto" w:fill="FFFFFF"/>
          <w:lang w:val="en-US"/>
        </w:rPr>
        <w:t xml:space="preserve">Q1 2026, final consumption, </w:t>
      </w:r>
      <w:r w:rsidRPr="00570E28">
        <w:rPr>
          <w:rFonts w:ascii="Times New Roman" w:hAnsi="Times New Roman" w:cs="Times New Roman"/>
          <w:sz w:val="28"/>
          <w:szCs w:val="28"/>
          <w:lang w:val="en-US"/>
        </w:rPr>
        <w:t>capital formation</w:t>
      </w:r>
      <w:r w:rsidRPr="00570E28">
        <w:rPr>
          <w:rFonts w:ascii="Times New Roman" w:hAnsi="Times New Roman" w:cs="Times New Roman"/>
          <w:sz w:val="28"/>
          <w:szCs w:val="28"/>
          <w:shd w:val="clear" w:color="auto" w:fill="FFFFFF"/>
          <w:lang w:val="en-US"/>
        </w:rPr>
        <w:t>, exports of goods and services, and imports of goods and services recorded year-on-year increases of 8.45%, 7.18%, 19.85%, and 24.27%, respectively.</w:t>
      </w:r>
    </w:p>
    <w:p w14:paraId="4A2D0218" w14:textId="5789FFE3" w:rsidR="002B413A" w:rsidRPr="00570E28" w:rsidRDefault="005D224D" w:rsidP="002B413A">
      <w:pPr>
        <w:spacing w:after="120" w:line="240" w:lineRule="auto"/>
        <w:ind w:firstLine="720"/>
        <w:jc w:val="both"/>
        <w:rPr>
          <w:rFonts w:ascii="Times New Roman" w:hAnsi="Times New Roman" w:cs="Times New Roman"/>
          <w:b/>
          <w:color w:val="000000" w:themeColor="text1"/>
          <w:spacing w:val="2"/>
          <w:sz w:val="28"/>
          <w:szCs w:val="28"/>
          <w:lang w:val="en-US"/>
        </w:rPr>
      </w:pPr>
      <w:r w:rsidRPr="00570E28">
        <w:rPr>
          <w:rFonts w:ascii="Times New Roman" w:hAnsi="Times New Roman" w:cs="Times New Roman"/>
          <w:b/>
          <w:color w:val="000000" w:themeColor="text1"/>
          <w:spacing w:val="2"/>
          <w:sz w:val="28"/>
          <w:szCs w:val="28"/>
          <w:lang w:val="en-US"/>
        </w:rPr>
        <w:t xml:space="preserve">2. </w:t>
      </w:r>
      <w:r w:rsidR="002B413A" w:rsidRPr="00570E28">
        <w:rPr>
          <w:rFonts w:ascii="Times New Roman" w:hAnsi="Times New Roman" w:cs="Times New Roman"/>
          <w:b/>
          <w:color w:val="000000" w:themeColor="text1"/>
          <w:spacing w:val="2"/>
          <w:sz w:val="28"/>
          <w:szCs w:val="28"/>
          <w:lang w:val="en-US"/>
        </w:rPr>
        <w:t xml:space="preserve">Agricultural, forestry, and fisheries production in the first quarter of 2026 maintained a stable growth. Localities continued to restructure crop production towards improving efficiency and product value. Perennial crop production saw a positive growth, pig farming witnessed a recovery, poultry farming showed a stable tendency; production of pig live weight and poultry live weight showed a year-on-year growth of 4.9%, and 5.8%, respectively. Area of newly planted forests and production </w:t>
      </w:r>
      <w:r w:rsidR="00A72A0B" w:rsidRPr="00570E28">
        <w:rPr>
          <w:rFonts w:ascii="Times New Roman" w:hAnsi="Times New Roman" w:cs="Times New Roman"/>
          <w:b/>
          <w:color w:val="000000" w:themeColor="text1"/>
          <w:spacing w:val="2"/>
          <w:sz w:val="28"/>
          <w:szCs w:val="28"/>
          <w:lang w:val="en-US"/>
        </w:rPr>
        <w:t xml:space="preserve">of exploited wood </w:t>
      </w:r>
      <w:r w:rsidR="002B413A" w:rsidRPr="00570E28">
        <w:rPr>
          <w:rFonts w:ascii="Times New Roman" w:hAnsi="Times New Roman" w:cs="Times New Roman"/>
          <w:b/>
          <w:color w:val="000000" w:themeColor="text1"/>
          <w:spacing w:val="2"/>
          <w:sz w:val="28"/>
          <w:szCs w:val="28"/>
          <w:lang w:val="en-US"/>
        </w:rPr>
        <w:t xml:space="preserve">showed an upward trend. Aquaculture production rose by 5.4% thanks to the promotion of super-intensive farming and application of high technology; </w:t>
      </w:r>
      <w:r w:rsidR="002B413A" w:rsidRPr="00570E28">
        <w:rPr>
          <w:rFonts w:ascii="Times New Roman" w:hAnsi="Times New Roman" w:cs="Times New Roman"/>
          <w:b/>
          <w:color w:val="000000" w:themeColor="text1"/>
          <w:spacing w:val="2"/>
          <w:sz w:val="28"/>
          <w:szCs w:val="28"/>
          <w:lang w:val="en-US"/>
        </w:rPr>
        <w:lastRenderedPageBreak/>
        <w:t>marine capture saw a low growth due to impacts of the escalating oil prices, which limited the number of vessels from marine capture fisheries.</w:t>
      </w:r>
    </w:p>
    <w:p w14:paraId="3BB63A58" w14:textId="77777777" w:rsidR="002B413A" w:rsidRPr="00570E28" w:rsidRDefault="002B413A" w:rsidP="002B413A">
      <w:pPr>
        <w:widowControl w:val="0"/>
        <w:spacing w:after="120" w:line="240" w:lineRule="auto"/>
        <w:ind w:firstLine="720"/>
        <w:jc w:val="both"/>
        <w:rPr>
          <w:rFonts w:ascii="Times New Roman" w:hAnsi="Times New Roman" w:cs="Times New Roman"/>
          <w:b/>
          <w:bCs/>
          <w:i/>
          <w:iCs/>
          <w:color w:val="000000" w:themeColor="text1"/>
          <w:sz w:val="28"/>
          <w:szCs w:val="28"/>
          <w:lang w:val="en-US"/>
        </w:rPr>
      </w:pPr>
      <w:r w:rsidRPr="00570E28">
        <w:rPr>
          <w:rFonts w:ascii="Times New Roman" w:hAnsi="Times New Roman" w:cs="Times New Roman"/>
          <w:b/>
          <w:bCs/>
          <w:i/>
          <w:iCs/>
          <w:color w:val="000000" w:themeColor="text1"/>
          <w:sz w:val="28"/>
          <w:szCs w:val="28"/>
          <w:lang w:val="en-US"/>
        </w:rPr>
        <w:t>a) Agriculture</w:t>
      </w:r>
    </w:p>
    <w:p w14:paraId="58E923D3" w14:textId="7805789D" w:rsidR="002B413A" w:rsidRPr="00570E28" w:rsidRDefault="00A72A0B" w:rsidP="002B413A">
      <w:pPr>
        <w:spacing w:after="120" w:line="240" w:lineRule="auto"/>
        <w:ind w:firstLine="720"/>
        <w:jc w:val="both"/>
        <w:rPr>
          <w:rFonts w:ascii="Times New Roman" w:hAnsi="Times New Roman" w:cs="Times New Roman"/>
          <w:bCs/>
          <w:iCs/>
          <w:sz w:val="28"/>
          <w:szCs w:val="28"/>
          <w:lang w:val="en-US"/>
        </w:rPr>
      </w:pPr>
      <w:r w:rsidRPr="00570E28">
        <w:rPr>
          <w:rFonts w:ascii="Times New Roman" w:hAnsi="Times New Roman" w:cs="Times New Roman"/>
          <w:bCs/>
          <w:i/>
          <w:sz w:val="28"/>
          <w:szCs w:val="28"/>
          <w:lang w:val="en-US"/>
        </w:rPr>
        <w:t xml:space="preserve">Spring rice: </w:t>
      </w:r>
      <w:r w:rsidR="002B413A" w:rsidRPr="00570E28">
        <w:rPr>
          <w:rFonts w:ascii="Times New Roman" w:hAnsi="Times New Roman" w:cs="Times New Roman"/>
          <w:sz w:val="28"/>
          <w:szCs w:val="28"/>
          <w:lang w:val="en-US"/>
        </w:rPr>
        <w:t>As of March 20</w:t>
      </w:r>
      <w:r w:rsidRPr="00570E28">
        <w:rPr>
          <w:rFonts w:ascii="Times New Roman" w:hAnsi="Times New Roman" w:cs="Times New Roman"/>
          <w:sz w:val="28"/>
          <w:szCs w:val="28"/>
          <w:vertAlign w:val="superscript"/>
          <w:lang w:val="en-US"/>
        </w:rPr>
        <w:t>th</w:t>
      </w:r>
      <w:r w:rsidR="002B413A" w:rsidRPr="00570E28">
        <w:rPr>
          <w:rFonts w:ascii="Times New Roman" w:hAnsi="Times New Roman" w:cs="Times New Roman"/>
          <w:sz w:val="28"/>
          <w:szCs w:val="28"/>
          <w:lang w:val="en-US"/>
        </w:rPr>
        <w:t xml:space="preserve">, 2026, the national cultivation area reached 2,915.2 thousand hectares of spring rice, showing a year-on-year decrease of 37.3 thousand hectares. </w:t>
      </w:r>
      <w:r w:rsidR="00364FAC">
        <w:rPr>
          <w:rFonts w:ascii="Times New Roman" w:hAnsi="Times New Roman" w:cs="Times New Roman"/>
          <w:sz w:val="28"/>
          <w:szCs w:val="28"/>
          <w:lang w:val="en-US"/>
        </w:rPr>
        <w:t xml:space="preserve">The </w:t>
      </w:r>
      <w:r w:rsidR="002B413A" w:rsidRPr="00570E28">
        <w:rPr>
          <w:rFonts w:ascii="Times New Roman" w:hAnsi="Times New Roman" w:cs="Times New Roman"/>
          <w:sz w:val="28"/>
          <w:szCs w:val="28"/>
          <w:lang w:val="en-US"/>
        </w:rPr>
        <w:t>Northern localities reached 1,020.1 thousand hectares</w:t>
      </w:r>
      <w:r w:rsidRPr="00570E28">
        <w:rPr>
          <w:rFonts w:ascii="Times New Roman" w:hAnsi="Times New Roman" w:cs="Times New Roman"/>
          <w:sz w:val="28"/>
          <w:szCs w:val="28"/>
          <w:lang w:val="en-US"/>
        </w:rPr>
        <w:t>, showing</w:t>
      </w:r>
      <w:r w:rsidR="002B413A" w:rsidRPr="00570E28">
        <w:rPr>
          <w:rFonts w:ascii="Times New Roman" w:hAnsi="Times New Roman" w:cs="Times New Roman"/>
          <w:sz w:val="28"/>
          <w:szCs w:val="28"/>
          <w:lang w:val="en-US"/>
        </w:rPr>
        <w:t xml:space="preserve"> a year-on-year decrease of 13.4 thousand hectares; </w:t>
      </w:r>
      <w:r w:rsidRPr="00570E28">
        <w:rPr>
          <w:rFonts w:ascii="Times New Roman" w:hAnsi="Times New Roman" w:cs="Times New Roman"/>
          <w:sz w:val="28"/>
          <w:szCs w:val="28"/>
          <w:lang w:val="en-US"/>
        </w:rPr>
        <w:t xml:space="preserve">southern </w:t>
      </w:r>
      <w:r w:rsidR="002B413A" w:rsidRPr="00570E28">
        <w:rPr>
          <w:rFonts w:ascii="Times New Roman" w:hAnsi="Times New Roman" w:cs="Times New Roman"/>
          <w:sz w:val="28"/>
          <w:szCs w:val="28"/>
          <w:lang w:val="en-US"/>
        </w:rPr>
        <w:t xml:space="preserve">localities reached 1,895.1 thousand hectares, showing a decrease of 23.9 thousand hectares, of which the Mekong River Delta reached 1,240.7 thousand hectares, showing a drop of 24.8 thousand hectares. </w:t>
      </w:r>
      <w:r w:rsidR="002B413A" w:rsidRPr="00570E28">
        <w:rPr>
          <w:rFonts w:ascii="Times New Roman" w:hAnsi="Times New Roman" w:cs="Times New Roman"/>
          <w:bCs/>
          <w:iCs/>
          <w:sz w:val="28"/>
          <w:szCs w:val="28"/>
          <w:lang w:val="en-US"/>
        </w:rPr>
        <w:t>Of which, the Mekong River Delta harvested 466.8 thousand hectares of early spring rice, accounting for 37.6% of the cultivation area and showing a year-on-year decrease of 28.4 thousand hectares. The yield was estimated at 73.5 quintals/hectare, showing a year-on-year growth of 0.7 quintals/hectare; the production was estimated at 9.1 million tons, showing a decrease of 99.3 thousand tons.</w:t>
      </w:r>
    </w:p>
    <w:p w14:paraId="0310380A" w14:textId="3FF0290B" w:rsidR="002B413A" w:rsidRPr="00570E28" w:rsidRDefault="002B413A" w:rsidP="002B413A">
      <w:pPr>
        <w:spacing w:after="120" w:line="240" w:lineRule="auto"/>
        <w:ind w:firstLine="720"/>
        <w:jc w:val="both"/>
        <w:rPr>
          <w:rFonts w:ascii="Times New Roman" w:hAnsi="Times New Roman" w:cs="Times New Roman"/>
          <w:bCs/>
          <w:iCs/>
          <w:sz w:val="28"/>
          <w:szCs w:val="28"/>
          <w:lang w:val="en-US"/>
        </w:rPr>
      </w:pPr>
      <w:r w:rsidRPr="00570E28">
        <w:rPr>
          <w:rFonts w:ascii="Times New Roman" w:hAnsi="Times New Roman" w:cs="Times New Roman"/>
          <w:i/>
          <w:color w:val="000000" w:themeColor="text1"/>
          <w:sz w:val="28"/>
          <w:szCs w:val="28"/>
          <w:lang w:val="en-US"/>
        </w:rPr>
        <w:t xml:space="preserve">Winter rice: </w:t>
      </w:r>
      <w:r w:rsidRPr="00570E28">
        <w:rPr>
          <w:rFonts w:ascii="Times New Roman" w:hAnsi="Times New Roman" w:cs="Times New Roman"/>
          <w:bCs/>
          <w:iCs/>
          <w:sz w:val="28"/>
          <w:szCs w:val="28"/>
          <w:lang w:val="en-US"/>
        </w:rPr>
        <w:t xml:space="preserve">At the end of the 2025-2026, the Mekong River Delta cultivated 182.3 thousand hectares, showing a year-on-year drop of 9.4 thousand hectares. The </w:t>
      </w:r>
      <w:r w:rsidR="00A72A0B" w:rsidRPr="00570E28">
        <w:rPr>
          <w:rFonts w:ascii="Times New Roman" w:hAnsi="Times New Roman" w:cs="Times New Roman"/>
          <w:bCs/>
          <w:iCs/>
          <w:sz w:val="28"/>
          <w:szCs w:val="28"/>
          <w:lang w:val="en-US"/>
        </w:rPr>
        <w:t>yield was</w:t>
      </w:r>
      <w:r w:rsidRPr="00570E28">
        <w:rPr>
          <w:rFonts w:ascii="Times New Roman" w:hAnsi="Times New Roman" w:cs="Times New Roman"/>
          <w:bCs/>
          <w:iCs/>
          <w:sz w:val="28"/>
          <w:szCs w:val="28"/>
          <w:lang w:val="en-US"/>
        </w:rPr>
        <w:t xml:space="preserve"> estimated at 53.5 quintals/hectare, showing a year-on-year growth of 0.8 quintals/hectare</w:t>
      </w:r>
      <w:r w:rsidR="00A72A0B" w:rsidRPr="00570E28">
        <w:rPr>
          <w:lang w:val="en-US"/>
        </w:rPr>
        <w:t xml:space="preserve">; </w:t>
      </w:r>
      <w:r w:rsidR="00A72A0B" w:rsidRPr="00570E28">
        <w:rPr>
          <w:rFonts w:ascii="Times New Roman" w:hAnsi="Times New Roman" w:cs="Times New Roman"/>
          <w:bCs/>
          <w:iCs/>
          <w:sz w:val="28"/>
          <w:szCs w:val="28"/>
          <w:lang w:val="en-US"/>
        </w:rPr>
        <w:t>t</w:t>
      </w:r>
      <w:r w:rsidRPr="00570E28">
        <w:rPr>
          <w:rFonts w:ascii="Times New Roman" w:hAnsi="Times New Roman" w:cs="Times New Roman"/>
          <w:bCs/>
          <w:iCs/>
          <w:sz w:val="28"/>
          <w:szCs w:val="28"/>
          <w:lang w:val="en-US"/>
        </w:rPr>
        <w:t xml:space="preserve">he production was estimated at 975.3 thousand tons, showing a decrease of 34.5 thousand tons. </w:t>
      </w:r>
    </w:p>
    <w:p w14:paraId="204277B4" w14:textId="7B63747E" w:rsidR="002B413A" w:rsidRPr="00570E28" w:rsidRDefault="002B413A" w:rsidP="002B413A">
      <w:pPr>
        <w:shd w:val="clear" w:color="auto" w:fill="FFFFFF"/>
        <w:spacing w:after="12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i/>
          <w:color w:val="000000" w:themeColor="text1"/>
          <w:sz w:val="28"/>
          <w:szCs w:val="28"/>
          <w:lang w:val="en-US"/>
        </w:rPr>
        <w:t>Annual crops:</w:t>
      </w:r>
      <w:r w:rsidRPr="00570E28">
        <w:rPr>
          <w:rFonts w:ascii="Times New Roman" w:hAnsi="Times New Roman" w:cs="Times New Roman"/>
          <w:color w:val="000000" w:themeColor="text1"/>
          <w:sz w:val="28"/>
          <w:szCs w:val="28"/>
          <w:lang w:val="en-US"/>
        </w:rPr>
        <w:t xml:space="preserve"> As of March 20, 2026, localities nationwide cultivated 312.8 thousand hectares of maize, equaling </w:t>
      </w:r>
      <w:r w:rsidR="00A72A0B" w:rsidRPr="00570E28">
        <w:rPr>
          <w:rFonts w:ascii="Times New Roman" w:hAnsi="Times New Roman" w:cs="Times New Roman"/>
          <w:color w:val="000000" w:themeColor="text1"/>
          <w:sz w:val="28"/>
          <w:szCs w:val="28"/>
          <w:lang w:val="en-US"/>
        </w:rPr>
        <w:t>to 97.1</w:t>
      </w:r>
      <w:r w:rsidRPr="00570E28">
        <w:rPr>
          <w:rFonts w:ascii="Times New Roman" w:hAnsi="Times New Roman" w:cs="Times New Roman"/>
          <w:color w:val="000000" w:themeColor="text1"/>
          <w:sz w:val="28"/>
          <w:szCs w:val="28"/>
          <w:lang w:val="en-US"/>
        </w:rPr>
        <w:t>% of the same period last year, including: 89.6 thousand hectares of peanuts, equaling to 98.7%; 9.5 thousand hectares of soybeans, equaling to 105.6%; 43.0 thousand hectares of sweet potatoes, equaling to the same period last year; and 527.9 thousand hectares of vegetables, equaling to 100.4%.</w:t>
      </w:r>
    </w:p>
    <w:p w14:paraId="30F70458" w14:textId="57E050A9" w:rsidR="002B413A" w:rsidRPr="00570E28" w:rsidRDefault="002B413A" w:rsidP="002B413A">
      <w:pPr>
        <w:spacing w:after="120" w:line="240" w:lineRule="auto"/>
        <w:ind w:firstLine="720"/>
        <w:jc w:val="both"/>
        <w:rPr>
          <w:rFonts w:ascii="Times New Roman" w:hAnsi="Times New Roman" w:cs="Times New Roman"/>
          <w:bCs/>
          <w:iCs/>
          <w:color w:val="000000" w:themeColor="text1"/>
          <w:sz w:val="28"/>
          <w:szCs w:val="28"/>
          <w:lang w:val="en-US"/>
        </w:rPr>
      </w:pPr>
      <w:r w:rsidRPr="00570E28">
        <w:rPr>
          <w:rFonts w:ascii="Times New Roman" w:hAnsi="Times New Roman"/>
          <w:bCs/>
          <w:i/>
          <w:iCs/>
          <w:color w:val="000000" w:themeColor="text1"/>
          <w:sz w:val="28"/>
          <w:szCs w:val="28"/>
          <w:lang w:val="en-US"/>
        </w:rPr>
        <w:t>Perennial crops:</w:t>
      </w:r>
      <w:r w:rsidRPr="00570E28">
        <w:rPr>
          <w:rFonts w:ascii="Times New Roman" w:hAnsi="Times New Roman" w:cs="Times New Roman"/>
          <w:color w:val="000000" w:themeColor="text1"/>
          <w:sz w:val="28"/>
          <w:szCs w:val="28"/>
          <w:lang w:val="en-US"/>
        </w:rPr>
        <w:t xml:space="preserve"> </w:t>
      </w:r>
      <w:r w:rsidRPr="00570E28">
        <w:rPr>
          <w:rFonts w:ascii="Times New Roman" w:hAnsi="Times New Roman" w:cs="Times New Roman"/>
          <w:bCs/>
          <w:iCs/>
          <w:color w:val="000000" w:themeColor="text1"/>
          <w:sz w:val="28"/>
          <w:szCs w:val="28"/>
          <w:lang w:val="en-US"/>
        </w:rPr>
        <w:t>In the first quarter of 2026, prices of primary agricultural products remained high, encouraging people to expand cultivation scale and invested in crop care. In addition, the management of cultivating area codes and packaging facilities for export was being paid attention and implemented. Production of some major fruits showed a surge, year-on-year, of which durian reached 212.9 thousand tons, rising by 15.0%; jackfruit reached 199.9 thousand tons, rising by 12.8%. Production of fruits was as follows: grapefruit reached 175.5 thousand tons, rising by 5.8%; bananas reached 835.7 thousand tons, rising by 5.3%; dragon fruit reached 341.3 thousand tons, rising by 3.1%; mangoes reached 207.6 thousand tons, rising by 1.8%; and oranges reached 333.2 thousand tons, rising by 1.2%.</w:t>
      </w:r>
    </w:p>
    <w:p w14:paraId="0F6E672F" w14:textId="3178FC63" w:rsidR="002B413A" w:rsidRPr="00570E28" w:rsidRDefault="002B413A" w:rsidP="002B413A">
      <w:pPr>
        <w:spacing w:after="120" w:line="240" w:lineRule="auto"/>
        <w:ind w:firstLine="720"/>
        <w:jc w:val="both"/>
        <w:rPr>
          <w:rFonts w:ascii="Times New Roman" w:hAnsi="Times New Roman" w:cs="Times New Roman"/>
          <w:bCs/>
          <w:iCs/>
          <w:color w:val="000000" w:themeColor="text1"/>
          <w:sz w:val="28"/>
          <w:szCs w:val="28"/>
          <w:lang w:val="en-US"/>
        </w:rPr>
      </w:pPr>
      <w:r w:rsidRPr="00570E28">
        <w:rPr>
          <w:rFonts w:ascii="Times New Roman" w:hAnsi="Times New Roman" w:cs="Times New Roman"/>
          <w:bCs/>
          <w:iCs/>
          <w:color w:val="000000" w:themeColor="text1"/>
          <w:sz w:val="28"/>
          <w:szCs w:val="28"/>
          <w:lang w:val="en-US"/>
        </w:rPr>
        <w:t>Production of some perennial industrial crops in the first quarter of 2026  showed an upsurge, including coconut reached 593.8 thousand tons, growing by 6.0%; cashew reached 208.7 thousand tons, growing by 5.4%; pepper reached 154.8 thousand tons, growing by 5.3%; tea leaves reached 187.7 thousand tons, growing by 4.2%; and rubber reached 135.5 thousand tons, growing by 0.4%.</w:t>
      </w:r>
    </w:p>
    <w:p w14:paraId="197926EE" w14:textId="77777777" w:rsidR="002B413A" w:rsidRPr="00570E28" w:rsidRDefault="002B413A" w:rsidP="002B413A">
      <w:pPr>
        <w:spacing w:after="120" w:line="240" w:lineRule="auto"/>
        <w:ind w:firstLine="720"/>
        <w:jc w:val="both"/>
        <w:rPr>
          <w:rFonts w:ascii="Times New Roman" w:hAnsi="Times New Roman" w:cs="Times New Roman"/>
          <w:spacing w:val="2"/>
          <w:sz w:val="28"/>
          <w:szCs w:val="28"/>
          <w:lang w:val="en-US"/>
        </w:rPr>
      </w:pPr>
      <w:r w:rsidRPr="00570E28">
        <w:rPr>
          <w:rFonts w:ascii="Times New Roman" w:hAnsi="Times New Roman"/>
          <w:bCs/>
          <w:i/>
          <w:iCs/>
          <w:color w:val="000000" w:themeColor="text1"/>
          <w:sz w:val="28"/>
          <w:szCs w:val="28"/>
          <w:lang w:val="en-US"/>
        </w:rPr>
        <w:t xml:space="preserve">Livestock: </w:t>
      </w:r>
      <w:r w:rsidRPr="00570E28">
        <w:rPr>
          <w:rFonts w:ascii="Times New Roman" w:hAnsi="Times New Roman" w:cs="Times New Roman"/>
          <w:spacing w:val="2"/>
          <w:sz w:val="28"/>
          <w:szCs w:val="28"/>
          <w:lang w:val="en-US"/>
        </w:rPr>
        <w:t xml:space="preserve">Cattle and buffalo farming in the first quarter of 2026 continued to face difficulties due to the shrinking land area for livestock farming, low </w:t>
      </w:r>
      <w:r w:rsidRPr="00570E28">
        <w:rPr>
          <w:rFonts w:ascii="Times New Roman" w:hAnsi="Times New Roman" w:cs="Times New Roman"/>
          <w:spacing w:val="2"/>
          <w:sz w:val="28"/>
          <w:szCs w:val="28"/>
          <w:lang w:val="en-US"/>
        </w:rPr>
        <w:lastRenderedPageBreak/>
        <w:t>efficiency and localities reduced the scale of livestock population. Pig farming continued to show a recovery and stability thanks to high pork prices.</w:t>
      </w:r>
      <w:r w:rsidRPr="00570E28">
        <w:rPr>
          <w:lang w:val="en-US"/>
        </w:rPr>
        <w:t xml:space="preserve"> </w:t>
      </w:r>
      <w:r w:rsidRPr="00570E28">
        <w:rPr>
          <w:rFonts w:ascii="Times New Roman" w:hAnsi="Times New Roman" w:cs="Times New Roman"/>
          <w:spacing w:val="2"/>
          <w:sz w:val="28"/>
          <w:szCs w:val="28"/>
          <w:lang w:val="en-US"/>
        </w:rPr>
        <w:t xml:space="preserve">Poultry farming saw a positive growth thanks to the application of biosecurity farming models and supply chain linkages with large enterprises. </w:t>
      </w:r>
    </w:p>
    <w:p w14:paraId="57D73C6B" w14:textId="77777777" w:rsidR="002B413A" w:rsidRPr="00570E28" w:rsidRDefault="002B413A" w:rsidP="002B413A">
      <w:pPr>
        <w:spacing w:after="120" w:line="240" w:lineRule="auto"/>
        <w:ind w:firstLine="720"/>
        <w:jc w:val="both"/>
        <w:rPr>
          <w:rFonts w:ascii="Times New Roman" w:hAnsi="Times New Roman" w:cs="Times New Roman"/>
          <w:spacing w:val="2"/>
          <w:sz w:val="28"/>
          <w:szCs w:val="28"/>
          <w:lang w:val="en-US"/>
        </w:rPr>
      </w:pPr>
    </w:p>
    <w:p w14:paraId="7735CB68" w14:textId="77777777" w:rsidR="002B413A" w:rsidRPr="00570E28" w:rsidRDefault="002B413A" w:rsidP="002B413A">
      <w:pPr>
        <w:spacing w:before="40" w:after="40" w:line="288" w:lineRule="auto"/>
        <w:jc w:val="center"/>
        <w:rPr>
          <w:rFonts w:ascii="Arial" w:eastAsiaTheme="minorEastAsia" w:hAnsi="Arial" w:cs="Arial"/>
          <w:b/>
          <w:bCs/>
          <w:sz w:val="24"/>
          <w:szCs w:val="24"/>
          <w:lang w:val="en-US"/>
        </w:rPr>
      </w:pPr>
      <w:r w:rsidRPr="00570E28">
        <w:rPr>
          <w:rFonts w:ascii="Arial" w:eastAsiaTheme="minorEastAsia" w:hAnsi="Arial" w:cs="Arial"/>
          <w:b/>
          <w:bCs/>
          <w:sz w:val="24"/>
          <w:szCs w:val="24"/>
          <w:lang w:val="en-US"/>
        </w:rPr>
        <w:t>Table 1. Main products of livestock</w:t>
      </w:r>
    </w:p>
    <w:p w14:paraId="65C93C41" w14:textId="77777777" w:rsidR="002B413A" w:rsidRPr="00570E28" w:rsidRDefault="002B413A" w:rsidP="002B413A">
      <w:pPr>
        <w:tabs>
          <w:tab w:val="left" w:pos="567"/>
        </w:tabs>
        <w:spacing w:before="40" w:after="40" w:line="269" w:lineRule="auto"/>
        <w:ind w:firstLine="567"/>
        <w:jc w:val="center"/>
        <w:rPr>
          <w:rFonts w:ascii="Arial" w:hAnsi="Arial" w:cs="Arial"/>
          <w:b/>
          <w:sz w:val="10"/>
          <w:szCs w:val="24"/>
          <w:lang w:val="en-US"/>
        </w:rPr>
      </w:pPr>
    </w:p>
    <w:tbl>
      <w:tblPr>
        <w:tblW w:w="9289" w:type="dxa"/>
        <w:jc w:val="center"/>
        <w:tblLook w:val="04A0" w:firstRow="1" w:lastRow="0" w:firstColumn="1" w:lastColumn="0" w:noHBand="0" w:noVBand="1"/>
      </w:tblPr>
      <w:tblGrid>
        <w:gridCol w:w="4536"/>
        <w:gridCol w:w="1527"/>
        <w:gridCol w:w="1478"/>
        <w:gridCol w:w="1748"/>
      </w:tblGrid>
      <w:tr w:rsidR="002B413A" w:rsidRPr="00570E28" w14:paraId="6790A17A" w14:textId="77777777" w:rsidTr="00B6329C">
        <w:trPr>
          <w:trHeight w:val="804"/>
          <w:tblHeader/>
          <w:jc w:val="center"/>
        </w:trPr>
        <w:tc>
          <w:tcPr>
            <w:tcW w:w="4536" w:type="dxa"/>
            <w:tcBorders>
              <w:top w:val="single" w:sz="4" w:space="0" w:color="auto"/>
              <w:left w:val="nil"/>
              <w:bottom w:val="nil"/>
              <w:right w:val="nil"/>
            </w:tcBorders>
            <w:noWrap/>
            <w:vAlign w:val="center"/>
            <w:hideMark/>
          </w:tcPr>
          <w:p w14:paraId="741983F8" w14:textId="77777777" w:rsidR="002B413A" w:rsidRPr="00570E28" w:rsidRDefault="002B413A" w:rsidP="00B6329C">
            <w:pPr>
              <w:spacing w:after="0" w:line="240" w:lineRule="auto"/>
              <w:jc w:val="center"/>
              <w:rPr>
                <w:rFonts w:ascii="Arial" w:hAnsi="Arial" w:cs="Arial"/>
                <w:b/>
                <w:bCs/>
                <w:sz w:val="20"/>
                <w:szCs w:val="20"/>
                <w:lang w:val="en-US"/>
              </w:rPr>
            </w:pPr>
            <w:r w:rsidRPr="00570E28">
              <w:rPr>
                <w:rFonts w:ascii="Arial" w:hAnsi="Arial" w:cs="Arial"/>
                <w:b/>
                <w:bCs/>
                <w:sz w:val="20"/>
                <w:szCs w:val="20"/>
                <w:lang w:val="en-US"/>
              </w:rPr>
              <w:t> </w:t>
            </w:r>
          </w:p>
        </w:tc>
        <w:tc>
          <w:tcPr>
            <w:tcW w:w="1527" w:type="dxa"/>
            <w:tcBorders>
              <w:top w:val="single" w:sz="4" w:space="0" w:color="auto"/>
              <w:left w:val="nil"/>
              <w:bottom w:val="single" w:sz="4" w:space="0" w:color="auto"/>
              <w:right w:val="nil"/>
            </w:tcBorders>
            <w:noWrap/>
            <w:vAlign w:val="center"/>
            <w:hideMark/>
          </w:tcPr>
          <w:p w14:paraId="11E8B2B0" w14:textId="77777777" w:rsidR="002B413A" w:rsidRPr="00570E28" w:rsidRDefault="002B413A" w:rsidP="00B6329C">
            <w:pPr>
              <w:spacing w:after="0" w:line="240" w:lineRule="auto"/>
              <w:jc w:val="center"/>
              <w:rPr>
                <w:rFonts w:ascii="Arial" w:hAnsi="Arial" w:cs="Arial"/>
                <w:sz w:val="19"/>
                <w:szCs w:val="19"/>
                <w:lang w:val="en-US"/>
              </w:rPr>
            </w:pPr>
            <w:r w:rsidRPr="00570E28">
              <w:rPr>
                <w:rFonts w:ascii="Arial" w:hAnsi="Arial" w:cs="Arial"/>
                <w:sz w:val="19"/>
                <w:szCs w:val="19"/>
                <w:lang w:val="en-US"/>
              </w:rPr>
              <w:t xml:space="preserve">Performed </w:t>
            </w:r>
          </w:p>
          <w:p w14:paraId="271BCB80" w14:textId="55F2FEBE" w:rsidR="002B413A" w:rsidRPr="00570E28" w:rsidRDefault="002B413A" w:rsidP="00B6329C">
            <w:pPr>
              <w:spacing w:after="0" w:line="240" w:lineRule="auto"/>
              <w:jc w:val="center"/>
              <w:rPr>
                <w:rFonts w:ascii="Arial" w:hAnsi="Arial" w:cs="Arial"/>
                <w:sz w:val="19"/>
                <w:szCs w:val="19"/>
                <w:lang w:val="en-US"/>
              </w:rPr>
            </w:pPr>
            <w:r w:rsidRPr="00570E28">
              <w:rPr>
                <w:rFonts w:ascii="Arial" w:hAnsi="Arial" w:cs="Arial"/>
                <w:sz w:val="19"/>
                <w:szCs w:val="19"/>
                <w:lang w:val="en-US"/>
              </w:rPr>
              <w:t>Quarter I/2025</w:t>
            </w:r>
          </w:p>
        </w:tc>
        <w:tc>
          <w:tcPr>
            <w:tcW w:w="1478" w:type="dxa"/>
            <w:tcBorders>
              <w:top w:val="single" w:sz="4" w:space="0" w:color="auto"/>
              <w:left w:val="nil"/>
              <w:bottom w:val="single" w:sz="4" w:space="0" w:color="auto"/>
              <w:right w:val="nil"/>
            </w:tcBorders>
            <w:noWrap/>
            <w:vAlign w:val="center"/>
            <w:hideMark/>
          </w:tcPr>
          <w:p w14:paraId="705AC4DD" w14:textId="77777777" w:rsidR="002B413A" w:rsidRPr="00570E28" w:rsidRDefault="002B413A" w:rsidP="00B6329C">
            <w:pPr>
              <w:spacing w:after="0" w:line="240" w:lineRule="auto"/>
              <w:jc w:val="center"/>
              <w:rPr>
                <w:rFonts w:ascii="Arial" w:hAnsi="Arial" w:cs="Arial"/>
                <w:sz w:val="19"/>
                <w:szCs w:val="19"/>
                <w:lang w:val="en-US"/>
              </w:rPr>
            </w:pPr>
            <w:r w:rsidRPr="00570E28">
              <w:rPr>
                <w:rFonts w:ascii="Arial" w:hAnsi="Arial" w:cs="Arial"/>
                <w:sz w:val="20"/>
                <w:szCs w:val="20"/>
                <w:lang w:val="en-US" w:eastAsia="en-GB"/>
              </w:rPr>
              <w:t>Estimate</w:t>
            </w:r>
            <w:r w:rsidRPr="00570E28">
              <w:rPr>
                <w:rFonts w:ascii="Arial" w:hAnsi="Arial" w:cs="Arial"/>
                <w:sz w:val="19"/>
                <w:szCs w:val="19"/>
                <w:lang w:val="en-US"/>
              </w:rPr>
              <w:t xml:space="preserve"> </w:t>
            </w:r>
          </w:p>
          <w:p w14:paraId="653F4A8B" w14:textId="77777777" w:rsidR="002B413A" w:rsidRPr="00570E28" w:rsidRDefault="002B413A" w:rsidP="00B6329C">
            <w:pPr>
              <w:spacing w:after="0" w:line="240" w:lineRule="auto"/>
              <w:jc w:val="center"/>
              <w:rPr>
                <w:rFonts w:ascii="Arial" w:hAnsi="Arial" w:cs="Arial"/>
                <w:sz w:val="19"/>
                <w:szCs w:val="19"/>
                <w:lang w:val="en-US"/>
              </w:rPr>
            </w:pPr>
            <w:r w:rsidRPr="00570E28">
              <w:rPr>
                <w:rFonts w:ascii="Arial" w:hAnsi="Arial" w:cs="Arial"/>
                <w:sz w:val="19"/>
                <w:szCs w:val="19"/>
                <w:lang w:val="en-US"/>
              </w:rPr>
              <w:t>Quarter I/2026</w:t>
            </w:r>
          </w:p>
        </w:tc>
        <w:tc>
          <w:tcPr>
            <w:tcW w:w="1748" w:type="dxa"/>
            <w:tcBorders>
              <w:top w:val="single" w:sz="4" w:space="0" w:color="auto"/>
              <w:left w:val="nil"/>
              <w:bottom w:val="single" w:sz="4" w:space="0" w:color="auto"/>
              <w:right w:val="nil"/>
            </w:tcBorders>
            <w:noWrap/>
            <w:vAlign w:val="center"/>
            <w:hideMark/>
          </w:tcPr>
          <w:p w14:paraId="481BA4DE" w14:textId="77777777" w:rsidR="002B413A" w:rsidRPr="00570E28" w:rsidRDefault="002B413A" w:rsidP="00B6329C">
            <w:pPr>
              <w:spacing w:after="0" w:line="240" w:lineRule="auto"/>
              <w:jc w:val="center"/>
              <w:rPr>
                <w:rFonts w:ascii="Arial" w:hAnsi="Arial" w:cs="Arial"/>
                <w:sz w:val="19"/>
                <w:szCs w:val="19"/>
                <w:lang w:val="en-US"/>
              </w:rPr>
            </w:pPr>
            <w:r w:rsidRPr="00570E28">
              <w:rPr>
                <w:rFonts w:ascii="Arial" w:hAnsi="Arial" w:cs="Arial"/>
                <w:sz w:val="20"/>
                <w:szCs w:val="20"/>
                <w:lang w:val="en-US" w:eastAsia="en-GB"/>
              </w:rPr>
              <w:t>Compared with the same period last year (%)</w:t>
            </w:r>
          </w:p>
        </w:tc>
      </w:tr>
      <w:tr w:rsidR="002B413A" w:rsidRPr="00570E28" w14:paraId="5CADAAF7" w14:textId="77777777" w:rsidTr="00B6329C">
        <w:trPr>
          <w:trHeight w:val="345"/>
          <w:jc w:val="center"/>
        </w:trPr>
        <w:tc>
          <w:tcPr>
            <w:tcW w:w="4536" w:type="dxa"/>
            <w:tcBorders>
              <w:top w:val="nil"/>
              <w:left w:val="nil"/>
              <w:bottom w:val="nil"/>
              <w:right w:val="nil"/>
            </w:tcBorders>
            <w:noWrap/>
            <w:vAlign w:val="bottom"/>
            <w:hideMark/>
          </w:tcPr>
          <w:p w14:paraId="328FB471" w14:textId="77777777" w:rsidR="002B413A" w:rsidRPr="00570E28" w:rsidRDefault="002B413A" w:rsidP="00B6329C">
            <w:pPr>
              <w:spacing w:after="0" w:line="240" w:lineRule="auto"/>
              <w:rPr>
                <w:rFonts w:ascii="Arial" w:hAnsi="Arial" w:cs="Arial"/>
                <w:b/>
                <w:bCs/>
                <w:sz w:val="20"/>
                <w:szCs w:val="20"/>
                <w:lang w:val="en-US"/>
              </w:rPr>
            </w:pPr>
            <w:r w:rsidRPr="00570E28">
              <w:rPr>
                <w:rFonts w:ascii="Arial" w:hAnsi="Arial" w:cs="Arial"/>
                <w:b/>
                <w:bCs/>
                <w:sz w:val="20"/>
                <w:szCs w:val="20"/>
                <w:lang w:val="en-US"/>
              </w:rPr>
              <w:t>Production of live weight (Thous. tons)</w:t>
            </w:r>
          </w:p>
        </w:tc>
        <w:tc>
          <w:tcPr>
            <w:tcW w:w="1527" w:type="dxa"/>
            <w:tcBorders>
              <w:top w:val="single" w:sz="4" w:space="0" w:color="auto"/>
              <w:left w:val="nil"/>
              <w:bottom w:val="nil"/>
              <w:right w:val="nil"/>
            </w:tcBorders>
            <w:noWrap/>
            <w:vAlign w:val="bottom"/>
            <w:hideMark/>
          </w:tcPr>
          <w:p w14:paraId="4E0A14D6" w14:textId="77777777" w:rsidR="002B413A" w:rsidRPr="00570E28" w:rsidRDefault="002B413A" w:rsidP="00B6329C">
            <w:pPr>
              <w:spacing w:after="0" w:line="240" w:lineRule="auto"/>
              <w:rPr>
                <w:rFonts w:ascii="Arial" w:hAnsi="Arial" w:cs="Arial"/>
                <w:b/>
                <w:bCs/>
                <w:sz w:val="20"/>
                <w:szCs w:val="20"/>
                <w:lang w:val="en-US"/>
              </w:rPr>
            </w:pPr>
          </w:p>
        </w:tc>
        <w:tc>
          <w:tcPr>
            <w:tcW w:w="1478" w:type="dxa"/>
            <w:tcBorders>
              <w:top w:val="single" w:sz="4" w:space="0" w:color="auto"/>
              <w:left w:val="nil"/>
              <w:bottom w:val="nil"/>
              <w:right w:val="nil"/>
            </w:tcBorders>
            <w:noWrap/>
            <w:vAlign w:val="bottom"/>
            <w:hideMark/>
          </w:tcPr>
          <w:p w14:paraId="73CE4203" w14:textId="77777777" w:rsidR="002B413A" w:rsidRPr="00570E28" w:rsidRDefault="002B413A" w:rsidP="00B6329C">
            <w:pPr>
              <w:spacing w:after="0" w:line="240" w:lineRule="auto"/>
              <w:rPr>
                <w:rFonts w:ascii="Times New Roman" w:hAnsi="Times New Roman" w:cs="Times New Roman"/>
                <w:sz w:val="20"/>
                <w:szCs w:val="20"/>
                <w:lang w:val="en-US"/>
              </w:rPr>
            </w:pPr>
          </w:p>
        </w:tc>
        <w:tc>
          <w:tcPr>
            <w:tcW w:w="1748" w:type="dxa"/>
            <w:tcBorders>
              <w:top w:val="single" w:sz="4" w:space="0" w:color="auto"/>
              <w:left w:val="nil"/>
              <w:bottom w:val="nil"/>
              <w:right w:val="nil"/>
            </w:tcBorders>
            <w:noWrap/>
            <w:vAlign w:val="bottom"/>
            <w:hideMark/>
          </w:tcPr>
          <w:p w14:paraId="4AC758FC" w14:textId="77777777" w:rsidR="002B413A" w:rsidRPr="00570E28" w:rsidRDefault="002B413A" w:rsidP="00B6329C">
            <w:pPr>
              <w:spacing w:after="0" w:line="240" w:lineRule="auto"/>
              <w:rPr>
                <w:rFonts w:ascii="Times New Roman" w:hAnsi="Times New Roman" w:cs="Times New Roman"/>
                <w:sz w:val="20"/>
                <w:szCs w:val="20"/>
                <w:lang w:val="en-US"/>
              </w:rPr>
            </w:pPr>
          </w:p>
        </w:tc>
      </w:tr>
      <w:tr w:rsidR="002B413A" w:rsidRPr="00570E28" w14:paraId="43193AB6" w14:textId="77777777" w:rsidTr="00B6329C">
        <w:trPr>
          <w:trHeight w:val="345"/>
          <w:jc w:val="center"/>
        </w:trPr>
        <w:tc>
          <w:tcPr>
            <w:tcW w:w="4536" w:type="dxa"/>
            <w:tcBorders>
              <w:top w:val="nil"/>
              <w:left w:val="nil"/>
              <w:bottom w:val="nil"/>
              <w:right w:val="nil"/>
            </w:tcBorders>
            <w:vAlign w:val="bottom"/>
            <w:hideMark/>
          </w:tcPr>
          <w:p w14:paraId="0D84A365" w14:textId="77777777" w:rsidR="002B413A" w:rsidRPr="00570E28" w:rsidRDefault="002B413A" w:rsidP="00B6329C">
            <w:pPr>
              <w:spacing w:after="0" w:line="240" w:lineRule="auto"/>
              <w:ind w:firstLineChars="100" w:firstLine="200"/>
              <w:rPr>
                <w:rFonts w:ascii="Arial" w:hAnsi="Arial" w:cs="Arial"/>
                <w:sz w:val="20"/>
                <w:szCs w:val="20"/>
                <w:lang w:val="en-US"/>
              </w:rPr>
            </w:pPr>
            <w:r w:rsidRPr="00570E28">
              <w:rPr>
                <w:rFonts w:ascii="Arial" w:hAnsi="Arial" w:cs="Arial"/>
                <w:sz w:val="20"/>
                <w:szCs w:val="20"/>
                <w:lang w:val="en-US"/>
              </w:rPr>
              <w:t>Pig</w:t>
            </w:r>
          </w:p>
        </w:tc>
        <w:tc>
          <w:tcPr>
            <w:tcW w:w="1527" w:type="dxa"/>
            <w:tcBorders>
              <w:top w:val="nil"/>
              <w:left w:val="nil"/>
              <w:bottom w:val="nil"/>
              <w:right w:val="nil"/>
            </w:tcBorders>
            <w:noWrap/>
            <w:vAlign w:val="bottom"/>
            <w:hideMark/>
          </w:tcPr>
          <w:p w14:paraId="347D0F1E" w14:textId="77777777" w:rsidR="002B413A" w:rsidRPr="00570E28" w:rsidRDefault="002B413A" w:rsidP="00B6329C">
            <w:pPr>
              <w:spacing w:after="0" w:line="240" w:lineRule="auto"/>
              <w:ind w:right="201"/>
              <w:jc w:val="right"/>
              <w:rPr>
                <w:rFonts w:ascii="Arial" w:hAnsi="Arial" w:cs="Arial"/>
                <w:sz w:val="20"/>
                <w:szCs w:val="20"/>
                <w:lang w:val="en-US" w:eastAsia="en-GB"/>
              </w:rPr>
            </w:pPr>
            <w:r w:rsidRPr="00570E28">
              <w:rPr>
                <w:rFonts w:ascii="Arial" w:hAnsi="Arial" w:cs="Arial"/>
                <w:color w:val="000000"/>
                <w:sz w:val="20"/>
                <w:szCs w:val="20"/>
                <w:lang w:val="en-US"/>
              </w:rPr>
              <w:t>1,372.1</w:t>
            </w:r>
          </w:p>
        </w:tc>
        <w:tc>
          <w:tcPr>
            <w:tcW w:w="1478" w:type="dxa"/>
            <w:tcBorders>
              <w:top w:val="nil"/>
              <w:left w:val="nil"/>
              <w:bottom w:val="nil"/>
              <w:right w:val="nil"/>
            </w:tcBorders>
            <w:noWrap/>
            <w:vAlign w:val="bottom"/>
            <w:hideMark/>
          </w:tcPr>
          <w:p w14:paraId="3CB9B8EE" w14:textId="77777777" w:rsidR="002B413A" w:rsidRPr="00570E28" w:rsidRDefault="002B413A" w:rsidP="00B6329C">
            <w:pPr>
              <w:spacing w:after="0" w:line="240" w:lineRule="auto"/>
              <w:ind w:right="201"/>
              <w:jc w:val="right"/>
              <w:rPr>
                <w:rFonts w:ascii="Arial" w:hAnsi="Arial" w:cs="Arial"/>
                <w:sz w:val="20"/>
                <w:szCs w:val="20"/>
                <w:lang w:val="en-US" w:eastAsia="en-GB"/>
              </w:rPr>
            </w:pPr>
            <w:r w:rsidRPr="00570E28">
              <w:rPr>
                <w:rFonts w:ascii="Arial" w:hAnsi="Arial" w:cs="Arial"/>
                <w:color w:val="000000"/>
                <w:sz w:val="20"/>
                <w:szCs w:val="20"/>
                <w:lang w:val="en-US"/>
              </w:rPr>
              <w:t>1,439.3</w:t>
            </w:r>
          </w:p>
        </w:tc>
        <w:tc>
          <w:tcPr>
            <w:tcW w:w="1748" w:type="dxa"/>
            <w:tcBorders>
              <w:top w:val="nil"/>
              <w:left w:val="nil"/>
              <w:bottom w:val="nil"/>
              <w:right w:val="nil"/>
            </w:tcBorders>
            <w:noWrap/>
            <w:vAlign w:val="bottom"/>
            <w:hideMark/>
          </w:tcPr>
          <w:p w14:paraId="3BF863CB" w14:textId="77777777" w:rsidR="002B413A" w:rsidRPr="00570E28" w:rsidRDefault="002B413A" w:rsidP="00B6329C">
            <w:pPr>
              <w:spacing w:after="0" w:line="240" w:lineRule="auto"/>
              <w:ind w:right="539"/>
              <w:jc w:val="right"/>
              <w:rPr>
                <w:rFonts w:ascii="Arial" w:hAnsi="Arial" w:cs="Arial"/>
                <w:sz w:val="20"/>
                <w:szCs w:val="20"/>
                <w:lang w:val="en-US" w:eastAsia="en-GB"/>
              </w:rPr>
            </w:pPr>
            <w:r w:rsidRPr="00570E28">
              <w:rPr>
                <w:rFonts w:ascii="Arial" w:hAnsi="Arial" w:cs="Arial"/>
                <w:color w:val="000000"/>
                <w:sz w:val="20"/>
                <w:szCs w:val="20"/>
                <w:lang w:val="en-US"/>
              </w:rPr>
              <w:t>4.9</w:t>
            </w:r>
          </w:p>
        </w:tc>
      </w:tr>
      <w:tr w:rsidR="002B413A" w:rsidRPr="00570E28" w14:paraId="362EAB37" w14:textId="77777777" w:rsidTr="00B6329C">
        <w:trPr>
          <w:trHeight w:val="345"/>
          <w:jc w:val="center"/>
        </w:trPr>
        <w:tc>
          <w:tcPr>
            <w:tcW w:w="4536" w:type="dxa"/>
            <w:tcBorders>
              <w:top w:val="nil"/>
              <w:left w:val="nil"/>
              <w:bottom w:val="nil"/>
              <w:right w:val="nil"/>
            </w:tcBorders>
            <w:vAlign w:val="bottom"/>
            <w:hideMark/>
          </w:tcPr>
          <w:p w14:paraId="39EE3B66" w14:textId="77777777" w:rsidR="002B413A" w:rsidRPr="00570E28" w:rsidRDefault="002B413A" w:rsidP="00B6329C">
            <w:pPr>
              <w:spacing w:after="0" w:line="240" w:lineRule="auto"/>
              <w:ind w:firstLineChars="100" w:firstLine="200"/>
              <w:rPr>
                <w:rFonts w:ascii="Arial" w:hAnsi="Arial" w:cs="Arial"/>
                <w:sz w:val="20"/>
                <w:szCs w:val="20"/>
                <w:lang w:val="en-US"/>
              </w:rPr>
            </w:pPr>
            <w:r w:rsidRPr="00570E28">
              <w:rPr>
                <w:rFonts w:ascii="Arial" w:hAnsi="Arial" w:cs="Arial"/>
                <w:sz w:val="20"/>
                <w:szCs w:val="20"/>
                <w:lang w:val="en-US" w:eastAsia="en-GB"/>
              </w:rPr>
              <w:t>Poultry</w:t>
            </w:r>
          </w:p>
        </w:tc>
        <w:tc>
          <w:tcPr>
            <w:tcW w:w="1527" w:type="dxa"/>
            <w:tcBorders>
              <w:top w:val="nil"/>
              <w:left w:val="nil"/>
              <w:bottom w:val="nil"/>
              <w:right w:val="nil"/>
            </w:tcBorders>
            <w:noWrap/>
            <w:vAlign w:val="bottom"/>
            <w:hideMark/>
          </w:tcPr>
          <w:p w14:paraId="03698562" w14:textId="77777777" w:rsidR="002B413A" w:rsidRPr="00570E28" w:rsidRDefault="002B413A" w:rsidP="00B6329C">
            <w:pPr>
              <w:spacing w:after="0" w:line="240" w:lineRule="auto"/>
              <w:ind w:right="201"/>
              <w:jc w:val="right"/>
              <w:rPr>
                <w:rFonts w:ascii="Arial" w:hAnsi="Arial" w:cs="Arial"/>
                <w:sz w:val="20"/>
                <w:szCs w:val="20"/>
                <w:lang w:val="en-US" w:eastAsia="en-GB"/>
              </w:rPr>
            </w:pPr>
            <w:r w:rsidRPr="00570E28">
              <w:rPr>
                <w:rFonts w:ascii="Arial" w:hAnsi="Arial" w:cs="Arial"/>
                <w:color w:val="000000"/>
                <w:sz w:val="20"/>
                <w:szCs w:val="20"/>
                <w:lang w:val="en-US"/>
              </w:rPr>
              <w:t>624.6</w:t>
            </w:r>
          </w:p>
        </w:tc>
        <w:tc>
          <w:tcPr>
            <w:tcW w:w="1478" w:type="dxa"/>
            <w:tcBorders>
              <w:top w:val="nil"/>
              <w:left w:val="nil"/>
              <w:bottom w:val="nil"/>
              <w:right w:val="nil"/>
            </w:tcBorders>
            <w:noWrap/>
            <w:vAlign w:val="bottom"/>
            <w:hideMark/>
          </w:tcPr>
          <w:p w14:paraId="022EC577" w14:textId="77777777" w:rsidR="002B413A" w:rsidRPr="00570E28" w:rsidRDefault="002B413A" w:rsidP="00B6329C">
            <w:pPr>
              <w:spacing w:after="0" w:line="240" w:lineRule="auto"/>
              <w:ind w:right="201"/>
              <w:jc w:val="right"/>
              <w:rPr>
                <w:rFonts w:ascii="Arial" w:hAnsi="Arial" w:cs="Arial"/>
                <w:sz w:val="20"/>
                <w:szCs w:val="20"/>
                <w:lang w:val="en-US" w:eastAsia="en-GB"/>
              </w:rPr>
            </w:pPr>
            <w:r w:rsidRPr="00570E28">
              <w:rPr>
                <w:rFonts w:ascii="Arial" w:hAnsi="Arial" w:cs="Arial"/>
                <w:color w:val="000000"/>
                <w:sz w:val="20"/>
                <w:szCs w:val="20"/>
                <w:lang w:val="en-US"/>
              </w:rPr>
              <w:t>660.8</w:t>
            </w:r>
          </w:p>
        </w:tc>
        <w:tc>
          <w:tcPr>
            <w:tcW w:w="1748" w:type="dxa"/>
            <w:tcBorders>
              <w:top w:val="nil"/>
              <w:left w:val="nil"/>
              <w:bottom w:val="nil"/>
              <w:right w:val="nil"/>
            </w:tcBorders>
            <w:noWrap/>
            <w:vAlign w:val="bottom"/>
            <w:hideMark/>
          </w:tcPr>
          <w:p w14:paraId="575A16EF" w14:textId="77777777" w:rsidR="002B413A" w:rsidRPr="00570E28" w:rsidRDefault="002B413A" w:rsidP="00B6329C">
            <w:pPr>
              <w:spacing w:after="0" w:line="240" w:lineRule="auto"/>
              <w:ind w:right="539"/>
              <w:jc w:val="right"/>
              <w:rPr>
                <w:rFonts w:ascii="Arial" w:hAnsi="Arial" w:cs="Arial"/>
                <w:sz w:val="20"/>
                <w:szCs w:val="20"/>
                <w:lang w:val="en-US" w:eastAsia="en-GB"/>
              </w:rPr>
            </w:pPr>
            <w:r w:rsidRPr="00570E28">
              <w:rPr>
                <w:rFonts w:ascii="Arial" w:hAnsi="Arial" w:cs="Arial"/>
                <w:color w:val="000000"/>
                <w:sz w:val="20"/>
                <w:szCs w:val="20"/>
                <w:lang w:val="en-US"/>
              </w:rPr>
              <w:t>5.8</w:t>
            </w:r>
          </w:p>
        </w:tc>
      </w:tr>
      <w:tr w:rsidR="002B413A" w:rsidRPr="00570E28" w14:paraId="286E1B7D" w14:textId="77777777" w:rsidTr="00B6329C">
        <w:trPr>
          <w:trHeight w:val="345"/>
          <w:jc w:val="center"/>
        </w:trPr>
        <w:tc>
          <w:tcPr>
            <w:tcW w:w="4536" w:type="dxa"/>
            <w:tcBorders>
              <w:top w:val="nil"/>
              <w:left w:val="nil"/>
              <w:bottom w:val="nil"/>
              <w:right w:val="nil"/>
            </w:tcBorders>
            <w:vAlign w:val="bottom"/>
            <w:hideMark/>
          </w:tcPr>
          <w:p w14:paraId="376B2609" w14:textId="77777777" w:rsidR="002B413A" w:rsidRPr="00570E28" w:rsidRDefault="002B413A" w:rsidP="00B6329C">
            <w:pPr>
              <w:spacing w:after="0" w:line="240" w:lineRule="auto"/>
              <w:ind w:firstLineChars="100" w:firstLine="200"/>
              <w:rPr>
                <w:rFonts w:ascii="Arial" w:hAnsi="Arial" w:cs="Arial"/>
                <w:sz w:val="20"/>
                <w:szCs w:val="20"/>
                <w:lang w:val="en-US"/>
              </w:rPr>
            </w:pPr>
            <w:r w:rsidRPr="00570E28">
              <w:rPr>
                <w:rFonts w:ascii="Arial" w:hAnsi="Arial" w:cs="Arial"/>
                <w:sz w:val="20"/>
                <w:szCs w:val="20"/>
                <w:lang w:val="en-US" w:eastAsia="en-GB"/>
              </w:rPr>
              <w:t>Buffalo</w:t>
            </w:r>
          </w:p>
        </w:tc>
        <w:tc>
          <w:tcPr>
            <w:tcW w:w="1527" w:type="dxa"/>
            <w:tcBorders>
              <w:top w:val="nil"/>
              <w:left w:val="nil"/>
              <w:bottom w:val="nil"/>
              <w:right w:val="nil"/>
            </w:tcBorders>
            <w:noWrap/>
            <w:vAlign w:val="bottom"/>
            <w:hideMark/>
          </w:tcPr>
          <w:p w14:paraId="249F04EF" w14:textId="77777777" w:rsidR="002B413A" w:rsidRPr="00570E28" w:rsidRDefault="002B413A" w:rsidP="00B6329C">
            <w:pPr>
              <w:spacing w:after="0" w:line="240" w:lineRule="auto"/>
              <w:ind w:right="201"/>
              <w:jc w:val="right"/>
              <w:rPr>
                <w:rFonts w:ascii="Arial" w:hAnsi="Arial" w:cs="Arial"/>
                <w:sz w:val="20"/>
                <w:szCs w:val="20"/>
                <w:lang w:val="en-US" w:eastAsia="en-GB"/>
              </w:rPr>
            </w:pPr>
            <w:r w:rsidRPr="00570E28">
              <w:rPr>
                <w:rFonts w:ascii="Arial" w:hAnsi="Arial" w:cs="Arial"/>
                <w:color w:val="000000"/>
                <w:sz w:val="20"/>
                <w:szCs w:val="20"/>
                <w:lang w:val="en-US"/>
              </w:rPr>
              <w:t>32.8</w:t>
            </w:r>
          </w:p>
        </w:tc>
        <w:tc>
          <w:tcPr>
            <w:tcW w:w="1478" w:type="dxa"/>
            <w:tcBorders>
              <w:top w:val="nil"/>
              <w:left w:val="nil"/>
              <w:bottom w:val="nil"/>
              <w:right w:val="nil"/>
            </w:tcBorders>
            <w:noWrap/>
            <w:vAlign w:val="bottom"/>
            <w:hideMark/>
          </w:tcPr>
          <w:p w14:paraId="038CFA41" w14:textId="77777777" w:rsidR="002B413A" w:rsidRPr="00570E28" w:rsidRDefault="002B413A" w:rsidP="00B6329C">
            <w:pPr>
              <w:spacing w:after="0" w:line="240" w:lineRule="auto"/>
              <w:ind w:right="201"/>
              <w:jc w:val="right"/>
              <w:rPr>
                <w:rFonts w:ascii="Arial" w:hAnsi="Arial" w:cs="Arial"/>
                <w:sz w:val="20"/>
                <w:szCs w:val="20"/>
                <w:lang w:val="en-US" w:eastAsia="en-GB"/>
              </w:rPr>
            </w:pPr>
            <w:r w:rsidRPr="00570E28">
              <w:rPr>
                <w:rFonts w:ascii="Arial" w:hAnsi="Arial" w:cs="Arial"/>
                <w:color w:val="000000"/>
                <w:sz w:val="20"/>
                <w:szCs w:val="20"/>
                <w:lang w:val="en-US"/>
              </w:rPr>
              <w:t>32.7</w:t>
            </w:r>
          </w:p>
        </w:tc>
        <w:tc>
          <w:tcPr>
            <w:tcW w:w="1748" w:type="dxa"/>
            <w:tcBorders>
              <w:top w:val="nil"/>
              <w:left w:val="nil"/>
              <w:bottom w:val="nil"/>
              <w:right w:val="nil"/>
            </w:tcBorders>
            <w:noWrap/>
            <w:vAlign w:val="bottom"/>
            <w:hideMark/>
          </w:tcPr>
          <w:p w14:paraId="52693048" w14:textId="77777777" w:rsidR="002B413A" w:rsidRPr="00570E28" w:rsidRDefault="002B413A" w:rsidP="00B6329C">
            <w:pPr>
              <w:spacing w:after="0" w:line="240" w:lineRule="auto"/>
              <w:ind w:right="539"/>
              <w:jc w:val="right"/>
              <w:rPr>
                <w:rFonts w:ascii="Arial" w:hAnsi="Arial" w:cs="Arial"/>
                <w:sz w:val="20"/>
                <w:szCs w:val="20"/>
                <w:lang w:val="en-US" w:eastAsia="en-GB"/>
              </w:rPr>
            </w:pPr>
            <w:r w:rsidRPr="00570E28">
              <w:rPr>
                <w:rFonts w:ascii="Arial" w:hAnsi="Arial" w:cs="Arial"/>
                <w:color w:val="000000"/>
                <w:sz w:val="20"/>
                <w:szCs w:val="20"/>
                <w:lang w:val="en-US"/>
              </w:rPr>
              <w:t>-0.4</w:t>
            </w:r>
          </w:p>
        </w:tc>
      </w:tr>
      <w:tr w:rsidR="002B413A" w:rsidRPr="00570E28" w14:paraId="4037DEB9" w14:textId="77777777" w:rsidTr="00B6329C">
        <w:trPr>
          <w:trHeight w:val="345"/>
          <w:jc w:val="center"/>
        </w:trPr>
        <w:tc>
          <w:tcPr>
            <w:tcW w:w="4536" w:type="dxa"/>
            <w:tcBorders>
              <w:top w:val="nil"/>
              <w:left w:val="nil"/>
              <w:bottom w:val="nil"/>
              <w:right w:val="nil"/>
            </w:tcBorders>
            <w:vAlign w:val="bottom"/>
            <w:hideMark/>
          </w:tcPr>
          <w:p w14:paraId="23216261" w14:textId="77777777" w:rsidR="002B413A" w:rsidRPr="00570E28" w:rsidRDefault="002B413A" w:rsidP="00B6329C">
            <w:pPr>
              <w:spacing w:after="0" w:line="240" w:lineRule="auto"/>
              <w:ind w:firstLineChars="100" w:firstLine="200"/>
              <w:rPr>
                <w:rFonts w:ascii="Arial" w:hAnsi="Arial" w:cs="Arial"/>
                <w:sz w:val="20"/>
                <w:szCs w:val="20"/>
                <w:lang w:val="en-US"/>
              </w:rPr>
            </w:pPr>
            <w:r w:rsidRPr="00570E28">
              <w:rPr>
                <w:rFonts w:ascii="Arial" w:hAnsi="Arial" w:cs="Arial"/>
                <w:sz w:val="20"/>
                <w:szCs w:val="20"/>
                <w:lang w:val="en-US" w:eastAsia="en-GB"/>
              </w:rPr>
              <w:t>Cattle</w:t>
            </w:r>
          </w:p>
        </w:tc>
        <w:tc>
          <w:tcPr>
            <w:tcW w:w="1527" w:type="dxa"/>
            <w:tcBorders>
              <w:top w:val="nil"/>
              <w:left w:val="nil"/>
              <w:bottom w:val="nil"/>
              <w:right w:val="nil"/>
            </w:tcBorders>
            <w:noWrap/>
            <w:vAlign w:val="bottom"/>
            <w:hideMark/>
          </w:tcPr>
          <w:p w14:paraId="52C7E027" w14:textId="77777777" w:rsidR="002B413A" w:rsidRPr="00570E28" w:rsidRDefault="002B413A" w:rsidP="00B6329C">
            <w:pPr>
              <w:spacing w:after="0" w:line="240" w:lineRule="auto"/>
              <w:ind w:right="201"/>
              <w:jc w:val="right"/>
              <w:rPr>
                <w:rFonts w:ascii="Arial" w:hAnsi="Arial" w:cs="Arial"/>
                <w:sz w:val="20"/>
                <w:szCs w:val="20"/>
                <w:lang w:val="en-US" w:eastAsia="en-GB"/>
              </w:rPr>
            </w:pPr>
            <w:r w:rsidRPr="00570E28">
              <w:rPr>
                <w:rFonts w:ascii="Arial" w:hAnsi="Arial" w:cs="Arial"/>
                <w:color w:val="000000"/>
                <w:sz w:val="20"/>
                <w:szCs w:val="20"/>
                <w:lang w:val="en-US"/>
              </w:rPr>
              <w:t>135.0</w:t>
            </w:r>
          </w:p>
        </w:tc>
        <w:tc>
          <w:tcPr>
            <w:tcW w:w="1478" w:type="dxa"/>
            <w:tcBorders>
              <w:top w:val="nil"/>
              <w:left w:val="nil"/>
              <w:bottom w:val="nil"/>
              <w:right w:val="nil"/>
            </w:tcBorders>
            <w:noWrap/>
            <w:vAlign w:val="bottom"/>
            <w:hideMark/>
          </w:tcPr>
          <w:p w14:paraId="58EF2BDB" w14:textId="77777777" w:rsidR="002B413A" w:rsidRPr="00570E28" w:rsidRDefault="002B413A" w:rsidP="00B6329C">
            <w:pPr>
              <w:spacing w:after="0" w:line="240" w:lineRule="auto"/>
              <w:ind w:right="201"/>
              <w:jc w:val="right"/>
              <w:rPr>
                <w:rFonts w:ascii="Arial" w:hAnsi="Arial" w:cs="Arial"/>
                <w:sz w:val="20"/>
                <w:szCs w:val="20"/>
                <w:lang w:val="en-US" w:eastAsia="en-GB"/>
              </w:rPr>
            </w:pPr>
            <w:r w:rsidRPr="00570E28">
              <w:rPr>
                <w:rFonts w:ascii="Arial" w:hAnsi="Arial" w:cs="Arial"/>
                <w:color w:val="000000"/>
                <w:sz w:val="20"/>
                <w:szCs w:val="20"/>
                <w:lang w:val="en-US"/>
              </w:rPr>
              <w:t>137.7</w:t>
            </w:r>
          </w:p>
        </w:tc>
        <w:tc>
          <w:tcPr>
            <w:tcW w:w="1748" w:type="dxa"/>
            <w:tcBorders>
              <w:top w:val="nil"/>
              <w:left w:val="nil"/>
              <w:bottom w:val="nil"/>
              <w:right w:val="nil"/>
            </w:tcBorders>
            <w:noWrap/>
            <w:vAlign w:val="bottom"/>
            <w:hideMark/>
          </w:tcPr>
          <w:p w14:paraId="6A725BC7" w14:textId="77777777" w:rsidR="002B413A" w:rsidRPr="00570E28" w:rsidRDefault="002B413A" w:rsidP="00B6329C">
            <w:pPr>
              <w:spacing w:after="0" w:line="240" w:lineRule="auto"/>
              <w:ind w:right="539"/>
              <w:jc w:val="right"/>
              <w:rPr>
                <w:rFonts w:ascii="Arial" w:hAnsi="Arial" w:cs="Arial"/>
                <w:sz w:val="20"/>
                <w:szCs w:val="20"/>
                <w:lang w:val="en-US" w:eastAsia="en-GB"/>
              </w:rPr>
            </w:pPr>
            <w:r w:rsidRPr="00570E28">
              <w:rPr>
                <w:rFonts w:ascii="Arial" w:hAnsi="Arial" w:cs="Arial"/>
                <w:color w:val="000000"/>
                <w:sz w:val="20"/>
                <w:szCs w:val="20"/>
                <w:lang w:val="en-US"/>
              </w:rPr>
              <w:t>2.1</w:t>
            </w:r>
          </w:p>
        </w:tc>
      </w:tr>
      <w:tr w:rsidR="002B413A" w:rsidRPr="00570E28" w14:paraId="673B500A" w14:textId="77777777" w:rsidTr="00B6329C">
        <w:trPr>
          <w:trHeight w:val="345"/>
          <w:jc w:val="center"/>
        </w:trPr>
        <w:tc>
          <w:tcPr>
            <w:tcW w:w="4536" w:type="dxa"/>
            <w:tcBorders>
              <w:top w:val="nil"/>
              <w:left w:val="nil"/>
              <w:bottom w:val="nil"/>
              <w:right w:val="nil"/>
            </w:tcBorders>
            <w:noWrap/>
            <w:vAlign w:val="bottom"/>
            <w:hideMark/>
          </w:tcPr>
          <w:p w14:paraId="3A683B98" w14:textId="77777777" w:rsidR="002B413A" w:rsidRPr="00570E28" w:rsidRDefault="002B413A" w:rsidP="00B6329C">
            <w:pPr>
              <w:spacing w:after="0" w:line="240" w:lineRule="auto"/>
              <w:rPr>
                <w:rFonts w:ascii="Arial" w:hAnsi="Arial" w:cs="Arial"/>
                <w:b/>
                <w:bCs/>
                <w:sz w:val="20"/>
                <w:szCs w:val="20"/>
                <w:lang w:val="en-US"/>
              </w:rPr>
            </w:pPr>
            <w:r w:rsidRPr="00570E28">
              <w:rPr>
                <w:rFonts w:ascii="Arial" w:hAnsi="Arial" w:cs="Arial"/>
                <w:b/>
                <w:bCs/>
                <w:sz w:val="20"/>
                <w:szCs w:val="20"/>
                <w:lang w:val="en-US"/>
              </w:rPr>
              <w:t xml:space="preserve">Other livestock products </w:t>
            </w:r>
          </w:p>
        </w:tc>
        <w:tc>
          <w:tcPr>
            <w:tcW w:w="1527" w:type="dxa"/>
            <w:tcBorders>
              <w:top w:val="nil"/>
              <w:left w:val="nil"/>
              <w:bottom w:val="nil"/>
              <w:right w:val="nil"/>
            </w:tcBorders>
            <w:noWrap/>
            <w:vAlign w:val="center"/>
            <w:hideMark/>
          </w:tcPr>
          <w:p w14:paraId="4BC30EA2" w14:textId="77777777" w:rsidR="002B413A" w:rsidRPr="00570E28" w:rsidRDefault="002B413A" w:rsidP="00B6329C">
            <w:pPr>
              <w:spacing w:after="0" w:line="240" w:lineRule="auto"/>
              <w:ind w:right="286"/>
              <w:jc w:val="right"/>
              <w:rPr>
                <w:rFonts w:ascii="Arial" w:hAnsi="Arial" w:cs="Arial"/>
                <w:sz w:val="20"/>
                <w:szCs w:val="20"/>
                <w:lang w:val="en-US" w:eastAsia="en-GB"/>
              </w:rPr>
            </w:pPr>
          </w:p>
        </w:tc>
        <w:tc>
          <w:tcPr>
            <w:tcW w:w="1478" w:type="dxa"/>
            <w:tcBorders>
              <w:top w:val="nil"/>
              <w:left w:val="nil"/>
              <w:bottom w:val="nil"/>
              <w:right w:val="nil"/>
            </w:tcBorders>
            <w:noWrap/>
            <w:vAlign w:val="bottom"/>
            <w:hideMark/>
          </w:tcPr>
          <w:p w14:paraId="15154395" w14:textId="77777777" w:rsidR="002B413A" w:rsidRPr="00570E28" w:rsidRDefault="002B413A" w:rsidP="00B6329C">
            <w:pPr>
              <w:spacing w:after="0" w:line="240" w:lineRule="auto"/>
              <w:ind w:right="201"/>
              <w:jc w:val="right"/>
              <w:rPr>
                <w:rFonts w:ascii="Arial" w:hAnsi="Arial" w:cs="Arial"/>
                <w:sz w:val="20"/>
                <w:szCs w:val="20"/>
                <w:lang w:val="en-US" w:eastAsia="en-GB"/>
              </w:rPr>
            </w:pPr>
            <w:r w:rsidRPr="00570E28">
              <w:rPr>
                <w:rFonts w:ascii="Arial" w:hAnsi="Arial" w:cs="Arial"/>
                <w:sz w:val="20"/>
                <w:szCs w:val="20"/>
                <w:lang w:val="en-US" w:eastAsia="en-GB"/>
              </w:rPr>
              <w:t> </w:t>
            </w:r>
          </w:p>
        </w:tc>
        <w:tc>
          <w:tcPr>
            <w:tcW w:w="1748" w:type="dxa"/>
            <w:tcBorders>
              <w:top w:val="nil"/>
              <w:left w:val="nil"/>
              <w:bottom w:val="nil"/>
              <w:right w:val="nil"/>
            </w:tcBorders>
            <w:noWrap/>
            <w:vAlign w:val="bottom"/>
            <w:hideMark/>
          </w:tcPr>
          <w:p w14:paraId="6BCE5FBA" w14:textId="77777777" w:rsidR="002B413A" w:rsidRPr="00570E28" w:rsidRDefault="002B413A" w:rsidP="00B6329C">
            <w:pPr>
              <w:spacing w:after="0" w:line="240" w:lineRule="auto"/>
              <w:ind w:right="539"/>
              <w:jc w:val="right"/>
              <w:rPr>
                <w:rFonts w:ascii="Arial" w:hAnsi="Arial" w:cs="Arial"/>
                <w:sz w:val="20"/>
                <w:szCs w:val="20"/>
                <w:lang w:val="en-US" w:eastAsia="en-GB"/>
              </w:rPr>
            </w:pPr>
            <w:r w:rsidRPr="00570E28">
              <w:rPr>
                <w:rFonts w:ascii="Arial" w:hAnsi="Arial" w:cs="Arial"/>
                <w:sz w:val="20"/>
                <w:szCs w:val="20"/>
                <w:lang w:val="en-US" w:eastAsia="en-GB"/>
              </w:rPr>
              <w:t> </w:t>
            </w:r>
          </w:p>
        </w:tc>
      </w:tr>
      <w:tr w:rsidR="002B413A" w:rsidRPr="00570E28" w14:paraId="47374F11" w14:textId="77777777" w:rsidTr="00B6329C">
        <w:trPr>
          <w:trHeight w:val="345"/>
          <w:jc w:val="center"/>
        </w:trPr>
        <w:tc>
          <w:tcPr>
            <w:tcW w:w="4536" w:type="dxa"/>
            <w:tcBorders>
              <w:top w:val="nil"/>
              <w:left w:val="nil"/>
              <w:right w:val="nil"/>
            </w:tcBorders>
            <w:noWrap/>
            <w:vAlign w:val="bottom"/>
            <w:hideMark/>
          </w:tcPr>
          <w:p w14:paraId="697A7801" w14:textId="77777777" w:rsidR="002B413A" w:rsidRPr="00570E28" w:rsidRDefault="002B413A" w:rsidP="00B6329C">
            <w:pPr>
              <w:spacing w:after="0" w:line="240" w:lineRule="auto"/>
              <w:ind w:firstLineChars="100" w:firstLine="200"/>
              <w:rPr>
                <w:rFonts w:ascii="Arial" w:hAnsi="Arial" w:cs="Arial"/>
                <w:sz w:val="20"/>
                <w:szCs w:val="20"/>
                <w:lang w:val="en-US"/>
              </w:rPr>
            </w:pPr>
            <w:r w:rsidRPr="00570E28">
              <w:rPr>
                <w:rFonts w:ascii="Arial" w:hAnsi="Arial" w:cs="Arial"/>
                <w:sz w:val="20"/>
                <w:szCs w:val="20"/>
                <w:lang w:val="en-US" w:eastAsia="en-GB"/>
              </w:rPr>
              <w:t>Eggs (Mill. Pieces)</w:t>
            </w:r>
          </w:p>
        </w:tc>
        <w:tc>
          <w:tcPr>
            <w:tcW w:w="1527" w:type="dxa"/>
            <w:tcBorders>
              <w:top w:val="nil"/>
              <w:left w:val="nil"/>
              <w:right w:val="nil"/>
            </w:tcBorders>
            <w:noWrap/>
            <w:vAlign w:val="bottom"/>
            <w:hideMark/>
          </w:tcPr>
          <w:p w14:paraId="1A5ABF8B" w14:textId="77777777" w:rsidR="002B413A" w:rsidRPr="00570E28" w:rsidRDefault="002B413A" w:rsidP="00B6329C">
            <w:pPr>
              <w:spacing w:after="0" w:line="240" w:lineRule="auto"/>
              <w:ind w:right="201"/>
              <w:jc w:val="right"/>
              <w:rPr>
                <w:rFonts w:ascii="Arial" w:hAnsi="Arial" w:cs="Arial"/>
                <w:sz w:val="20"/>
                <w:szCs w:val="20"/>
                <w:lang w:val="en-US" w:eastAsia="en-GB"/>
              </w:rPr>
            </w:pPr>
            <w:r w:rsidRPr="00570E28">
              <w:rPr>
                <w:rFonts w:ascii="Arial" w:hAnsi="Arial" w:cs="Arial"/>
                <w:color w:val="000000"/>
                <w:sz w:val="20"/>
                <w:szCs w:val="20"/>
                <w:lang w:val="en-US"/>
              </w:rPr>
              <w:t>5,208.7</w:t>
            </w:r>
          </w:p>
        </w:tc>
        <w:tc>
          <w:tcPr>
            <w:tcW w:w="1478" w:type="dxa"/>
            <w:tcBorders>
              <w:top w:val="nil"/>
              <w:left w:val="nil"/>
              <w:right w:val="nil"/>
            </w:tcBorders>
            <w:noWrap/>
            <w:vAlign w:val="bottom"/>
            <w:hideMark/>
          </w:tcPr>
          <w:p w14:paraId="2672F0AB" w14:textId="77777777" w:rsidR="002B413A" w:rsidRPr="00570E28" w:rsidRDefault="002B413A" w:rsidP="00B6329C">
            <w:pPr>
              <w:spacing w:after="0" w:line="240" w:lineRule="auto"/>
              <w:ind w:right="201"/>
              <w:jc w:val="right"/>
              <w:rPr>
                <w:rFonts w:ascii="Arial" w:hAnsi="Arial" w:cs="Arial"/>
                <w:sz w:val="20"/>
                <w:szCs w:val="20"/>
                <w:lang w:val="en-US" w:eastAsia="en-GB"/>
              </w:rPr>
            </w:pPr>
            <w:r w:rsidRPr="00570E28">
              <w:rPr>
                <w:rFonts w:ascii="Arial" w:hAnsi="Arial" w:cs="Arial"/>
                <w:color w:val="000000"/>
                <w:sz w:val="20"/>
                <w:szCs w:val="20"/>
                <w:lang w:val="en-US"/>
              </w:rPr>
              <w:t>5,456.2</w:t>
            </w:r>
          </w:p>
        </w:tc>
        <w:tc>
          <w:tcPr>
            <w:tcW w:w="1748" w:type="dxa"/>
            <w:tcBorders>
              <w:top w:val="nil"/>
              <w:left w:val="nil"/>
              <w:right w:val="nil"/>
            </w:tcBorders>
            <w:noWrap/>
            <w:vAlign w:val="bottom"/>
            <w:hideMark/>
          </w:tcPr>
          <w:p w14:paraId="22879A4D" w14:textId="77777777" w:rsidR="002B413A" w:rsidRPr="00570E28" w:rsidRDefault="002B413A" w:rsidP="00B6329C">
            <w:pPr>
              <w:spacing w:after="0" w:line="240" w:lineRule="auto"/>
              <w:ind w:right="539"/>
              <w:jc w:val="right"/>
              <w:rPr>
                <w:rFonts w:ascii="Arial" w:hAnsi="Arial" w:cs="Arial"/>
                <w:sz w:val="20"/>
                <w:szCs w:val="20"/>
                <w:lang w:val="en-US" w:eastAsia="en-GB"/>
              </w:rPr>
            </w:pPr>
            <w:r w:rsidRPr="00570E28">
              <w:rPr>
                <w:rFonts w:ascii="Arial" w:hAnsi="Arial" w:cs="Arial"/>
                <w:color w:val="000000"/>
                <w:sz w:val="20"/>
                <w:szCs w:val="20"/>
                <w:lang w:val="en-US"/>
              </w:rPr>
              <w:t>4.8</w:t>
            </w:r>
          </w:p>
        </w:tc>
      </w:tr>
      <w:tr w:rsidR="002B413A" w:rsidRPr="00570E28" w14:paraId="1E0D60BB" w14:textId="77777777" w:rsidTr="00B6329C">
        <w:trPr>
          <w:trHeight w:val="345"/>
          <w:jc w:val="center"/>
        </w:trPr>
        <w:tc>
          <w:tcPr>
            <w:tcW w:w="4536" w:type="dxa"/>
            <w:tcBorders>
              <w:top w:val="nil"/>
              <w:left w:val="nil"/>
              <w:bottom w:val="single" w:sz="4" w:space="0" w:color="auto"/>
              <w:right w:val="nil"/>
            </w:tcBorders>
            <w:noWrap/>
            <w:vAlign w:val="bottom"/>
            <w:hideMark/>
          </w:tcPr>
          <w:p w14:paraId="2FE129E0" w14:textId="77777777" w:rsidR="002B413A" w:rsidRPr="00570E28" w:rsidRDefault="002B413A" w:rsidP="00B6329C">
            <w:pPr>
              <w:spacing w:after="0" w:line="240" w:lineRule="auto"/>
              <w:ind w:firstLineChars="100" w:firstLine="200"/>
              <w:rPr>
                <w:rFonts w:ascii="Arial" w:hAnsi="Arial" w:cs="Arial"/>
                <w:sz w:val="20"/>
                <w:szCs w:val="20"/>
                <w:lang w:val="en-US"/>
              </w:rPr>
            </w:pPr>
            <w:r w:rsidRPr="00570E28">
              <w:rPr>
                <w:rFonts w:ascii="Arial" w:hAnsi="Arial" w:cs="Arial"/>
                <w:sz w:val="20"/>
                <w:szCs w:val="20"/>
                <w:lang w:val="en-US" w:eastAsia="en-GB"/>
              </w:rPr>
              <w:t>Milk (Thous. tons)</w:t>
            </w:r>
          </w:p>
        </w:tc>
        <w:tc>
          <w:tcPr>
            <w:tcW w:w="1527" w:type="dxa"/>
            <w:tcBorders>
              <w:top w:val="nil"/>
              <w:left w:val="nil"/>
              <w:bottom w:val="single" w:sz="4" w:space="0" w:color="auto"/>
              <w:right w:val="nil"/>
            </w:tcBorders>
            <w:noWrap/>
            <w:vAlign w:val="bottom"/>
            <w:hideMark/>
          </w:tcPr>
          <w:p w14:paraId="6C104306" w14:textId="77777777" w:rsidR="002B413A" w:rsidRPr="00570E28" w:rsidRDefault="002B413A" w:rsidP="00B6329C">
            <w:pPr>
              <w:spacing w:after="0" w:line="240" w:lineRule="auto"/>
              <w:ind w:right="201"/>
              <w:jc w:val="right"/>
              <w:rPr>
                <w:rFonts w:ascii="Arial" w:hAnsi="Arial" w:cs="Arial"/>
                <w:sz w:val="20"/>
                <w:szCs w:val="20"/>
                <w:lang w:val="en-US" w:eastAsia="en-GB"/>
              </w:rPr>
            </w:pPr>
            <w:r w:rsidRPr="00570E28">
              <w:rPr>
                <w:rFonts w:ascii="Arial" w:hAnsi="Arial" w:cs="Arial"/>
                <w:color w:val="000000"/>
                <w:sz w:val="20"/>
                <w:szCs w:val="20"/>
                <w:lang w:val="en-US"/>
              </w:rPr>
              <w:t>346,7</w:t>
            </w:r>
          </w:p>
        </w:tc>
        <w:tc>
          <w:tcPr>
            <w:tcW w:w="1478" w:type="dxa"/>
            <w:tcBorders>
              <w:top w:val="nil"/>
              <w:left w:val="nil"/>
              <w:bottom w:val="single" w:sz="4" w:space="0" w:color="auto"/>
              <w:right w:val="nil"/>
            </w:tcBorders>
            <w:noWrap/>
            <w:vAlign w:val="bottom"/>
            <w:hideMark/>
          </w:tcPr>
          <w:p w14:paraId="46E8366A" w14:textId="77777777" w:rsidR="002B413A" w:rsidRPr="00570E28" w:rsidRDefault="002B413A" w:rsidP="00B6329C">
            <w:pPr>
              <w:spacing w:after="0" w:line="240" w:lineRule="auto"/>
              <w:ind w:right="201"/>
              <w:jc w:val="right"/>
              <w:rPr>
                <w:rFonts w:ascii="Arial" w:hAnsi="Arial" w:cs="Arial"/>
                <w:sz w:val="20"/>
                <w:szCs w:val="20"/>
                <w:lang w:val="en-US" w:eastAsia="en-GB"/>
              </w:rPr>
            </w:pPr>
            <w:r w:rsidRPr="00570E28">
              <w:rPr>
                <w:rFonts w:ascii="Arial" w:hAnsi="Arial" w:cs="Arial"/>
                <w:color w:val="000000"/>
                <w:sz w:val="20"/>
                <w:szCs w:val="20"/>
                <w:lang w:val="en-US"/>
              </w:rPr>
              <w:t>359.7</w:t>
            </w:r>
          </w:p>
        </w:tc>
        <w:tc>
          <w:tcPr>
            <w:tcW w:w="1748" w:type="dxa"/>
            <w:tcBorders>
              <w:top w:val="nil"/>
              <w:left w:val="nil"/>
              <w:bottom w:val="single" w:sz="4" w:space="0" w:color="auto"/>
              <w:right w:val="nil"/>
            </w:tcBorders>
            <w:noWrap/>
            <w:vAlign w:val="bottom"/>
            <w:hideMark/>
          </w:tcPr>
          <w:p w14:paraId="557C5673" w14:textId="77777777" w:rsidR="002B413A" w:rsidRPr="00570E28" w:rsidRDefault="002B413A" w:rsidP="00B6329C">
            <w:pPr>
              <w:spacing w:after="0" w:line="240" w:lineRule="auto"/>
              <w:ind w:right="539"/>
              <w:jc w:val="right"/>
              <w:rPr>
                <w:rFonts w:ascii="Arial" w:hAnsi="Arial" w:cs="Arial"/>
                <w:sz w:val="20"/>
                <w:szCs w:val="20"/>
                <w:lang w:val="en-US" w:eastAsia="en-GB"/>
              </w:rPr>
            </w:pPr>
            <w:r w:rsidRPr="00570E28">
              <w:rPr>
                <w:rFonts w:ascii="Arial" w:hAnsi="Arial" w:cs="Arial"/>
                <w:color w:val="000000"/>
                <w:sz w:val="20"/>
                <w:szCs w:val="20"/>
                <w:lang w:val="en-US"/>
              </w:rPr>
              <w:t>3.8</w:t>
            </w:r>
          </w:p>
        </w:tc>
      </w:tr>
    </w:tbl>
    <w:p w14:paraId="0244AF71" w14:textId="77777777" w:rsidR="002B413A" w:rsidRPr="00570E28" w:rsidRDefault="002B413A" w:rsidP="002B413A">
      <w:pPr>
        <w:spacing w:before="120" w:after="120" w:line="240" w:lineRule="auto"/>
        <w:ind w:firstLine="720"/>
        <w:jc w:val="both"/>
        <w:rPr>
          <w:rFonts w:ascii="Times New Roman" w:hAnsi="Times New Roman" w:cs="Times New Roman"/>
          <w:b/>
          <w:i/>
          <w:color w:val="000000" w:themeColor="text1"/>
          <w:sz w:val="28"/>
          <w:szCs w:val="28"/>
          <w:lang w:val="en-US"/>
        </w:rPr>
      </w:pPr>
      <w:r w:rsidRPr="00570E28">
        <w:rPr>
          <w:rFonts w:ascii="Times New Roman" w:hAnsi="Times New Roman" w:cs="Times New Roman"/>
          <w:b/>
          <w:i/>
          <w:color w:val="000000" w:themeColor="text1"/>
          <w:sz w:val="28"/>
          <w:szCs w:val="28"/>
          <w:lang w:val="en-US"/>
        </w:rPr>
        <w:t>b) Forestry</w:t>
      </w:r>
    </w:p>
    <w:p w14:paraId="200B3CCC" w14:textId="6A83F7E7" w:rsidR="002B413A" w:rsidRPr="00570E28" w:rsidRDefault="002B413A" w:rsidP="002B413A">
      <w:pPr>
        <w:shd w:val="clear" w:color="auto" w:fill="FFFFFF"/>
        <w:spacing w:after="120" w:line="240" w:lineRule="auto"/>
        <w:ind w:firstLine="720"/>
        <w:jc w:val="both"/>
        <w:rPr>
          <w:rFonts w:ascii="Times New Roman" w:hAnsi="Times New Roman" w:cs="Times New Roman"/>
          <w:spacing w:val="-4"/>
          <w:sz w:val="28"/>
          <w:szCs w:val="28"/>
          <w:lang w:val="en-US"/>
        </w:rPr>
      </w:pPr>
      <w:r w:rsidRPr="00570E28">
        <w:rPr>
          <w:rFonts w:ascii="Times New Roman" w:hAnsi="Times New Roman" w:cs="Times New Roman"/>
          <w:spacing w:val="-4"/>
          <w:sz w:val="28"/>
          <w:szCs w:val="28"/>
          <w:lang w:val="en-US"/>
        </w:rPr>
        <w:t xml:space="preserve">In the first quarter of 2026, the area of newly </w:t>
      </w:r>
      <w:r w:rsidR="00A72A0B" w:rsidRPr="00570E28">
        <w:rPr>
          <w:rFonts w:ascii="Times New Roman" w:hAnsi="Times New Roman" w:cs="Times New Roman"/>
          <w:spacing w:val="2"/>
          <w:sz w:val="28"/>
          <w:szCs w:val="28"/>
          <w:lang w:val="en-US"/>
        </w:rPr>
        <w:t xml:space="preserve">concentrated </w:t>
      </w:r>
      <w:r w:rsidRPr="00570E28">
        <w:rPr>
          <w:rFonts w:ascii="Times New Roman" w:hAnsi="Times New Roman" w:cs="Times New Roman"/>
          <w:spacing w:val="-4"/>
          <w:sz w:val="28"/>
          <w:szCs w:val="28"/>
          <w:lang w:val="en-US"/>
        </w:rPr>
        <w:t>planted forests nationwide was estimated at 45.6 thousand hectares, showing a year-on-year growth of 1.5%</w:t>
      </w:r>
      <w:r w:rsidRPr="00570E28">
        <w:rPr>
          <w:rFonts w:ascii="Times New Roman" w:hAnsi="Times New Roman" w:cs="Times New Roman"/>
          <w:sz w:val="28"/>
          <w:szCs w:val="28"/>
          <w:lang w:val="en-US"/>
        </w:rPr>
        <w:t>;</w:t>
      </w:r>
      <w:r w:rsidRPr="00570E28">
        <w:rPr>
          <w:rFonts w:ascii="Times New Roman" w:hAnsi="Times New Roman" w:cs="Times New Roman"/>
          <w:spacing w:val="-4"/>
          <w:sz w:val="28"/>
          <w:szCs w:val="28"/>
          <w:lang w:val="en-US"/>
        </w:rPr>
        <w:t xml:space="preserve"> the number of scattered forest trees planted was estimated at 19.0 million trees, showing a decrease of 1.5%</w:t>
      </w:r>
      <w:r w:rsidRPr="00570E28">
        <w:rPr>
          <w:rStyle w:val="FootnoteReference"/>
          <w:spacing w:val="-4"/>
          <w:sz w:val="28"/>
          <w:szCs w:val="28"/>
          <w:lang w:val="en-US"/>
        </w:rPr>
        <w:footnoteReference w:id="11"/>
      </w:r>
      <w:r w:rsidRPr="00570E28">
        <w:rPr>
          <w:rFonts w:ascii="Times New Roman" w:hAnsi="Times New Roman" w:cs="Times New Roman"/>
          <w:spacing w:val="-4"/>
          <w:sz w:val="28"/>
          <w:szCs w:val="28"/>
          <w:lang w:val="en-US"/>
        </w:rPr>
        <w:t xml:space="preserve">. Production of </w:t>
      </w:r>
      <w:r w:rsidR="00A72A0B" w:rsidRPr="00570E28">
        <w:rPr>
          <w:rFonts w:ascii="Times New Roman" w:hAnsi="Times New Roman" w:cs="Times New Roman"/>
          <w:spacing w:val="2"/>
          <w:sz w:val="28"/>
          <w:szCs w:val="28"/>
          <w:lang w:val="en-US"/>
        </w:rPr>
        <w:t>exploited</w:t>
      </w:r>
      <w:r w:rsidR="00A72A0B" w:rsidRPr="00570E28" w:rsidDel="005752CA">
        <w:rPr>
          <w:rFonts w:ascii="Times New Roman" w:hAnsi="Times New Roman" w:cs="Times New Roman"/>
          <w:spacing w:val="2"/>
          <w:sz w:val="28"/>
          <w:szCs w:val="28"/>
          <w:lang w:val="en-US"/>
        </w:rPr>
        <w:t xml:space="preserve"> </w:t>
      </w:r>
      <w:r w:rsidRPr="00570E28">
        <w:rPr>
          <w:rFonts w:ascii="Times New Roman" w:hAnsi="Times New Roman" w:cs="Times New Roman"/>
          <w:spacing w:val="-4"/>
          <w:sz w:val="28"/>
          <w:szCs w:val="28"/>
          <w:lang w:val="en-US"/>
        </w:rPr>
        <w:t xml:space="preserve">wood reached 4,337.8 thousand cubic meters, showing an increase of 2.6%. </w:t>
      </w:r>
      <w:r w:rsidR="00A72A0B" w:rsidRPr="00570E28">
        <w:rPr>
          <w:rFonts w:ascii="Times New Roman" w:hAnsi="Times New Roman" w:cs="Times New Roman"/>
          <w:spacing w:val="-4"/>
          <w:sz w:val="28"/>
          <w:szCs w:val="28"/>
          <w:lang w:val="en-US"/>
        </w:rPr>
        <w:t xml:space="preserve">The </w:t>
      </w:r>
      <w:r w:rsidRPr="00570E28">
        <w:rPr>
          <w:rFonts w:ascii="Times New Roman" w:hAnsi="Times New Roman" w:cs="Times New Roman"/>
          <w:spacing w:val="-4"/>
          <w:sz w:val="28"/>
          <w:szCs w:val="28"/>
          <w:lang w:val="en-US"/>
        </w:rPr>
        <w:t>forest damage area</w:t>
      </w:r>
      <w:r w:rsidRPr="00570E28">
        <w:rPr>
          <w:rStyle w:val="FootnoteReference"/>
          <w:spacing w:val="-4"/>
          <w:sz w:val="28"/>
          <w:szCs w:val="28"/>
          <w:lang w:val="en-US"/>
        </w:rPr>
        <w:footnoteReference w:id="12"/>
      </w:r>
      <w:r w:rsidRPr="00570E28">
        <w:rPr>
          <w:rFonts w:ascii="Times New Roman" w:hAnsi="Times New Roman" w:cs="Times New Roman"/>
          <w:spacing w:val="-4"/>
          <w:sz w:val="28"/>
          <w:szCs w:val="28"/>
          <w:lang w:val="en-US"/>
        </w:rPr>
        <w:t xml:space="preserve"> was recorded with 57.8 hectares, showing a year-on-year decrease of 73.2%, including 56.9 hectares of chopping down or destroyed, falling by 66.0%; and 0.9 hectares of burned forest, showing a decrease of 98.1%.</w:t>
      </w:r>
    </w:p>
    <w:p w14:paraId="6A28212C" w14:textId="77777777" w:rsidR="002B413A" w:rsidRPr="00570E28" w:rsidRDefault="002B413A" w:rsidP="002B413A">
      <w:pPr>
        <w:spacing w:after="120" w:line="240" w:lineRule="auto"/>
        <w:ind w:firstLine="720"/>
        <w:jc w:val="both"/>
        <w:rPr>
          <w:rFonts w:ascii="Times New Roman" w:hAnsi="Times New Roman" w:cs="Times New Roman"/>
          <w:b/>
          <w:bCs/>
          <w:i/>
          <w:iCs/>
          <w:color w:val="000000" w:themeColor="text1"/>
          <w:sz w:val="28"/>
          <w:szCs w:val="28"/>
          <w:lang w:val="en-US"/>
        </w:rPr>
      </w:pPr>
      <w:r w:rsidRPr="00570E28">
        <w:rPr>
          <w:rFonts w:ascii="Times New Roman" w:hAnsi="Times New Roman" w:cs="Times New Roman"/>
          <w:b/>
          <w:bCs/>
          <w:i/>
          <w:iCs/>
          <w:color w:val="000000" w:themeColor="text1"/>
          <w:sz w:val="28"/>
          <w:szCs w:val="28"/>
          <w:lang w:val="en-US"/>
        </w:rPr>
        <w:t>c) Fishing</w:t>
      </w:r>
    </w:p>
    <w:p w14:paraId="208D7545" w14:textId="27BB5E3E" w:rsidR="002B413A" w:rsidRPr="00570E28" w:rsidRDefault="002B413A" w:rsidP="002B413A">
      <w:pPr>
        <w:spacing w:after="12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color w:val="000000" w:themeColor="text1"/>
          <w:sz w:val="28"/>
          <w:szCs w:val="28"/>
          <w:lang w:val="en-US"/>
        </w:rPr>
        <w:t xml:space="preserve">In the </w:t>
      </w:r>
      <w:r w:rsidR="00364FAC">
        <w:rPr>
          <w:rFonts w:ascii="Times New Roman" w:hAnsi="Times New Roman" w:cs="Times New Roman"/>
          <w:color w:val="000000" w:themeColor="text1"/>
          <w:sz w:val="28"/>
          <w:szCs w:val="28"/>
          <w:lang w:val="en-US"/>
        </w:rPr>
        <w:t xml:space="preserve">Q1 </w:t>
      </w:r>
      <w:r w:rsidRPr="00570E28">
        <w:rPr>
          <w:rFonts w:ascii="Times New Roman" w:hAnsi="Times New Roman" w:cs="Times New Roman"/>
          <w:color w:val="000000" w:themeColor="text1"/>
          <w:sz w:val="28"/>
          <w:szCs w:val="28"/>
          <w:lang w:val="en-US"/>
        </w:rPr>
        <w:t>2026, the production of capture fisheries and aquaculture was estimated at 2,184.0 thousand tons, showing a year-on-year growth of 3.2%, including: fish reached 1,621.9 thousand tons, rising by 2.8%; shrimp reached 229.8 thousand tons, rising by 6.2%; and other aquatic products reached 332.3 thousand tons, rising by 2.9%.</w:t>
      </w:r>
    </w:p>
    <w:p w14:paraId="6DD89B33" w14:textId="70F7D758" w:rsidR="002B413A" w:rsidRPr="00570E28" w:rsidRDefault="002B413A" w:rsidP="002B413A">
      <w:pPr>
        <w:spacing w:after="12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color w:val="000000" w:themeColor="text1"/>
          <w:sz w:val="28"/>
          <w:szCs w:val="28"/>
          <w:lang w:val="en-US"/>
        </w:rPr>
        <w:t xml:space="preserve">In the </w:t>
      </w:r>
      <w:r w:rsidR="00364FAC">
        <w:rPr>
          <w:rFonts w:ascii="Times New Roman" w:hAnsi="Times New Roman" w:cs="Times New Roman"/>
          <w:color w:val="000000" w:themeColor="text1"/>
          <w:sz w:val="28"/>
          <w:szCs w:val="28"/>
          <w:lang w:val="en-US"/>
        </w:rPr>
        <w:t>Q1</w:t>
      </w:r>
      <w:r w:rsidRPr="00570E28">
        <w:rPr>
          <w:rFonts w:ascii="Times New Roman" w:hAnsi="Times New Roman" w:cs="Times New Roman"/>
          <w:color w:val="000000" w:themeColor="text1"/>
          <w:sz w:val="28"/>
          <w:szCs w:val="28"/>
          <w:lang w:val="en-US"/>
        </w:rPr>
        <w:t xml:space="preserve"> 2026, aquaculture production was estimated at 1,296.8 thousand tons, showing a year-on-year climb of 5.4%, including: fish reached 946.7 thousand tons, rising by 4.8%; shrimp reached 196.3 thousand tons, rising by 7.3%; and other aquatic products reached 153.8 thousand tons, rising by 6.7%.</w:t>
      </w:r>
    </w:p>
    <w:p w14:paraId="31319B3C" w14:textId="2E3FC6D5" w:rsidR="00CF0D7E" w:rsidRPr="00570E28" w:rsidRDefault="002B413A" w:rsidP="002B413A">
      <w:pPr>
        <w:spacing w:after="12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color w:val="000000" w:themeColor="text1"/>
          <w:sz w:val="28"/>
          <w:szCs w:val="28"/>
          <w:lang w:val="en-US"/>
        </w:rPr>
        <w:t xml:space="preserve">In the </w:t>
      </w:r>
      <w:r w:rsidR="00364FAC">
        <w:rPr>
          <w:rFonts w:ascii="Times New Roman" w:hAnsi="Times New Roman" w:cs="Times New Roman"/>
          <w:color w:val="000000" w:themeColor="text1"/>
          <w:sz w:val="28"/>
          <w:szCs w:val="28"/>
          <w:lang w:val="en-US"/>
        </w:rPr>
        <w:t>Q1</w:t>
      </w:r>
      <w:r w:rsidRPr="00570E28">
        <w:rPr>
          <w:rFonts w:ascii="Times New Roman" w:hAnsi="Times New Roman" w:cs="Times New Roman"/>
          <w:color w:val="000000" w:themeColor="text1"/>
          <w:sz w:val="28"/>
          <w:szCs w:val="28"/>
          <w:lang w:val="en-US"/>
        </w:rPr>
        <w:t xml:space="preserve"> 2026, production of capture fisheries was estimated at 887.2 thousand tons, showing a year-on-year increase of 0.2%, including: fish reached 675.2 thousand tons, raising by 0.2%; shrimp reached 33.5 thousand tons, raising </w:t>
      </w:r>
      <w:r w:rsidRPr="00570E28">
        <w:rPr>
          <w:rFonts w:ascii="Times New Roman" w:hAnsi="Times New Roman" w:cs="Times New Roman"/>
          <w:color w:val="000000" w:themeColor="text1"/>
          <w:sz w:val="28"/>
          <w:szCs w:val="28"/>
          <w:lang w:val="en-US"/>
        </w:rPr>
        <w:lastRenderedPageBreak/>
        <w:t xml:space="preserve">by 0.3%; and other aquatic products reached 178.5 thousand tons, falling by 0.2%. Specifically, production </w:t>
      </w:r>
      <w:r w:rsidR="00A72A0B" w:rsidRPr="00570E28">
        <w:rPr>
          <w:rFonts w:ascii="Times New Roman" w:hAnsi="Times New Roman" w:cs="Times New Roman"/>
          <w:color w:val="000000" w:themeColor="text1"/>
          <w:sz w:val="28"/>
          <w:szCs w:val="28"/>
          <w:lang w:val="en-US"/>
        </w:rPr>
        <w:t>of marine</w:t>
      </w:r>
      <w:r w:rsidRPr="00570E28">
        <w:rPr>
          <w:rFonts w:ascii="Times New Roman" w:hAnsi="Times New Roman" w:cs="Times New Roman"/>
          <w:color w:val="000000" w:themeColor="text1"/>
          <w:sz w:val="28"/>
          <w:szCs w:val="28"/>
          <w:lang w:val="en-US"/>
        </w:rPr>
        <w:t xml:space="preserve"> capture fisheries in the first quarter of 2026 was estimated at 839.3 thousand tons, showing a year -on-year increase of 0.2% (the figure of March 2026 </w:t>
      </w:r>
      <w:r w:rsidR="00A72A0B" w:rsidRPr="00570E28">
        <w:rPr>
          <w:rFonts w:ascii="Times New Roman" w:hAnsi="Times New Roman" w:cs="Times New Roman"/>
          <w:color w:val="000000" w:themeColor="text1"/>
          <w:sz w:val="28"/>
          <w:szCs w:val="28"/>
          <w:lang w:val="en-US"/>
        </w:rPr>
        <w:t>was estimated</w:t>
      </w:r>
      <w:r w:rsidRPr="00570E28">
        <w:rPr>
          <w:rFonts w:ascii="Times New Roman" w:hAnsi="Times New Roman" w:cs="Times New Roman"/>
          <w:color w:val="000000" w:themeColor="text1"/>
          <w:sz w:val="28"/>
          <w:szCs w:val="28"/>
          <w:lang w:val="en-US"/>
        </w:rPr>
        <w:t xml:space="preserve"> at 271.3 thousand tons</w:t>
      </w:r>
      <w:r w:rsidR="00A72A0B" w:rsidRPr="00570E28">
        <w:rPr>
          <w:rFonts w:ascii="Times New Roman" w:hAnsi="Times New Roman" w:cs="Times New Roman"/>
          <w:color w:val="000000" w:themeColor="text1"/>
          <w:sz w:val="28"/>
          <w:szCs w:val="28"/>
          <w:lang w:val="en-US"/>
        </w:rPr>
        <w:t>, showing</w:t>
      </w:r>
      <w:r w:rsidRPr="00570E28">
        <w:rPr>
          <w:rFonts w:ascii="Times New Roman" w:hAnsi="Times New Roman" w:cs="Times New Roman"/>
          <w:color w:val="000000" w:themeColor="text1"/>
          <w:sz w:val="28"/>
          <w:szCs w:val="28"/>
          <w:lang w:val="en-US"/>
        </w:rPr>
        <w:t xml:space="preserve"> a year-on-year decrease of 2.7%)</w:t>
      </w:r>
      <w:r w:rsidR="00CF0D7E" w:rsidRPr="00570E28">
        <w:rPr>
          <w:rFonts w:ascii="Times New Roman" w:hAnsi="Times New Roman" w:cs="Times New Roman"/>
          <w:color w:val="000000" w:themeColor="text1"/>
          <w:sz w:val="28"/>
          <w:szCs w:val="28"/>
          <w:lang w:val="en-US"/>
        </w:rPr>
        <w:t>.</w:t>
      </w:r>
    </w:p>
    <w:p w14:paraId="31D97678" w14:textId="01969DB5" w:rsidR="00CF0D7E" w:rsidRPr="00570E28" w:rsidRDefault="00A64DB3" w:rsidP="008221E0">
      <w:pPr>
        <w:shd w:val="clear" w:color="auto" w:fill="FFFFFF" w:themeFill="background1"/>
        <w:spacing w:after="120" w:line="240" w:lineRule="auto"/>
        <w:ind w:firstLine="720"/>
        <w:jc w:val="both"/>
        <w:rPr>
          <w:rFonts w:ascii="Times New Roman" w:hAnsi="Times New Roman" w:cs="Times New Roman"/>
          <w:b/>
          <w:color w:val="000000" w:themeColor="text1"/>
          <w:sz w:val="28"/>
          <w:szCs w:val="28"/>
          <w:lang w:val="en-US"/>
        </w:rPr>
      </w:pPr>
      <w:r w:rsidRPr="00570E28">
        <w:rPr>
          <w:rFonts w:ascii="Times New Roman" w:hAnsi="Times New Roman" w:cs="Times New Roman"/>
          <w:b/>
          <w:iCs/>
          <w:color w:val="000000" w:themeColor="text1"/>
          <w:sz w:val="28"/>
          <w:szCs w:val="28"/>
          <w:shd w:val="clear" w:color="auto" w:fill="FFFFFF"/>
          <w:lang w:val="en-US"/>
        </w:rPr>
        <w:t xml:space="preserve">3. </w:t>
      </w:r>
      <w:r w:rsidR="0015399F" w:rsidRPr="00570E28">
        <w:rPr>
          <w:rFonts w:ascii="Times New Roman" w:hAnsi="Times New Roman" w:cs="Times New Roman"/>
          <w:b/>
          <w:color w:val="000000" w:themeColor="text1"/>
          <w:sz w:val="28"/>
          <w:szCs w:val="28"/>
          <w:lang w:val="en-US"/>
        </w:rPr>
        <w:t xml:space="preserve">In the first quarter of 2026, </w:t>
      </w:r>
      <w:r w:rsidR="00A72A0B" w:rsidRPr="00570E28">
        <w:rPr>
          <w:rFonts w:ascii="Times New Roman" w:hAnsi="Times New Roman" w:cs="Times New Roman"/>
          <w:b/>
          <w:color w:val="000000" w:themeColor="text1"/>
          <w:sz w:val="28"/>
          <w:szCs w:val="28"/>
          <w:lang w:val="en-US"/>
        </w:rPr>
        <w:t xml:space="preserve">industrial production </w:t>
      </w:r>
      <w:r w:rsidR="0015399F" w:rsidRPr="00570E28">
        <w:rPr>
          <w:rFonts w:ascii="Times New Roman" w:hAnsi="Times New Roman" w:cs="Times New Roman"/>
          <w:b/>
          <w:color w:val="000000" w:themeColor="text1"/>
          <w:sz w:val="28"/>
          <w:szCs w:val="28"/>
          <w:lang w:val="en-US"/>
        </w:rPr>
        <w:t xml:space="preserve">continued to maintain a positive growth trend, with </w:t>
      </w:r>
      <w:r w:rsidR="00A72A0B" w:rsidRPr="00570E28">
        <w:rPr>
          <w:rFonts w:ascii="Times New Roman" w:hAnsi="Times New Roman" w:cs="Times New Roman"/>
          <w:b/>
          <w:color w:val="000000" w:themeColor="text1"/>
          <w:sz w:val="28"/>
          <w:szCs w:val="28"/>
          <w:lang w:val="en-US"/>
        </w:rPr>
        <w:t>Industrial Production Index (</w:t>
      </w:r>
      <w:r w:rsidR="0015399F" w:rsidRPr="00570E28">
        <w:rPr>
          <w:rFonts w:ascii="Times New Roman" w:hAnsi="Times New Roman" w:cs="Times New Roman"/>
          <w:b/>
          <w:color w:val="000000" w:themeColor="text1"/>
          <w:sz w:val="28"/>
          <w:szCs w:val="28"/>
          <w:lang w:val="en-US"/>
        </w:rPr>
        <w:t>IIP</w:t>
      </w:r>
      <w:r w:rsidR="00A72A0B" w:rsidRPr="00570E28">
        <w:rPr>
          <w:rFonts w:ascii="Times New Roman" w:hAnsi="Times New Roman" w:cs="Times New Roman"/>
          <w:b/>
          <w:color w:val="000000" w:themeColor="text1"/>
          <w:sz w:val="28"/>
          <w:szCs w:val="28"/>
          <w:lang w:val="en-US"/>
        </w:rPr>
        <w:t>)</w:t>
      </w:r>
      <w:r w:rsidR="0015399F" w:rsidRPr="00570E28">
        <w:rPr>
          <w:rFonts w:ascii="Times New Roman" w:hAnsi="Times New Roman" w:cs="Times New Roman"/>
          <w:b/>
          <w:color w:val="000000" w:themeColor="text1"/>
          <w:sz w:val="28"/>
          <w:szCs w:val="28"/>
          <w:lang w:val="en-US"/>
        </w:rPr>
        <w:t xml:space="preserve"> estimated to increase by 9.0% year-on-year, marking the highest growth rate recorded since 2020</w:t>
      </w:r>
      <w:r w:rsidR="00CF0D7E" w:rsidRPr="00570E28">
        <w:rPr>
          <w:rStyle w:val="FootnoteReference"/>
          <w:rFonts w:ascii="Times New Roman" w:hAnsi="Times New Roman"/>
          <w:b/>
          <w:color w:val="000000" w:themeColor="text1"/>
          <w:sz w:val="28"/>
          <w:szCs w:val="28"/>
          <w:lang w:val="en-US"/>
        </w:rPr>
        <w:footnoteReference w:id="13"/>
      </w:r>
      <w:r w:rsidR="008F4428" w:rsidRPr="00570E28">
        <w:rPr>
          <w:rFonts w:ascii="Times New Roman" w:hAnsi="Times New Roman" w:cs="Times New Roman"/>
          <w:b/>
          <w:color w:val="000000" w:themeColor="text1"/>
          <w:sz w:val="28"/>
          <w:szCs w:val="28"/>
          <w:lang w:val="en-US"/>
        </w:rPr>
        <w:t>.</w:t>
      </w:r>
      <w:r w:rsidR="00CF0D7E" w:rsidRPr="00570E28">
        <w:rPr>
          <w:rFonts w:ascii="Times New Roman" w:hAnsi="Times New Roman" w:cs="Times New Roman"/>
          <w:b/>
          <w:color w:val="000000" w:themeColor="text1"/>
          <w:sz w:val="28"/>
          <w:szCs w:val="28"/>
          <w:lang w:val="en-US"/>
        </w:rPr>
        <w:t xml:space="preserve"> </w:t>
      </w:r>
      <w:r w:rsidR="0015399F" w:rsidRPr="00570E28">
        <w:rPr>
          <w:rFonts w:ascii="Times New Roman" w:hAnsi="Times New Roman" w:cs="Times New Roman"/>
          <w:b/>
          <w:color w:val="000000" w:themeColor="text1"/>
          <w:sz w:val="28"/>
          <w:szCs w:val="28"/>
          <w:lang w:val="en-US"/>
        </w:rPr>
        <w:t xml:space="preserve">Specifically, </w:t>
      </w:r>
      <w:r w:rsidR="00A72A0B" w:rsidRPr="00570E28">
        <w:rPr>
          <w:rFonts w:ascii="Times New Roman" w:hAnsi="Times New Roman" w:cs="Times New Roman"/>
          <w:b/>
          <w:color w:val="000000" w:themeColor="text1"/>
          <w:sz w:val="28"/>
          <w:szCs w:val="28"/>
          <w:lang w:val="en-US"/>
        </w:rPr>
        <w:t xml:space="preserve">the </w:t>
      </w:r>
      <w:r w:rsidR="0015399F" w:rsidRPr="00570E28">
        <w:rPr>
          <w:rFonts w:ascii="Times New Roman" w:hAnsi="Times New Roman" w:cs="Times New Roman"/>
          <w:b/>
          <w:color w:val="000000" w:themeColor="text1"/>
          <w:sz w:val="28"/>
          <w:szCs w:val="28"/>
          <w:lang w:val="en-US"/>
        </w:rPr>
        <w:t xml:space="preserve">manufacturing </w:t>
      </w:r>
      <w:r w:rsidR="00A72A0B" w:rsidRPr="00570E28">
        <w:rPr>
          <w:rFonts w:ascii="Times New Roman" w:hAnsi="Times New Roman" w:cs="Times New Roman"/>
          <w:b/>
          <w:color w:val="000000" w:themeColor="text1"/>
          <w:sz w:val="28"/>
          <w:szCs w:val="28"/>
          <w:lang w:val="en-US"/>
        </w:rPr>
        <w:t xml:space="preserve">IIP </w:t>
      </w:r>
      <w:r w:rsidR="0015399F" w:rsidRPr="00570E28">
        <w:rPr>
          <w:rFonts w:ascii="Times New Roman" w:hAnsi="Times New Roman" w:cs="Times New Roman"/>
          <w:b/>
          <w:color w:val="000000" w:themeColor="text1"/>
          <w:sz w:val="28"/>
          <w:szCs w:val="28"/>
          <w:lang w:val="en-US"/>
        </w:rPr>
        <w:t>rose by 9.7%.</w:t>
      </w:r>
    </w:p>
    <w:p w14:paraId="21BA89C4" w14:textId="5981C056" w:rsidR="00CF0D7E" w:rsidRPr="00570E28" w:rsidRDefault="008F4428" w:rsidP="008221E0">
      <w:pPr>
        <w:shd w:val="clear" w:color="auto" w:fill="FFFFFF"/>
        <w:spacing w:after="120" w:line="240" w:lineRule="auto"/>
        <w:ind w:firstLine="720"/>
        <w:jc w:val="both"/>
        <w:rPr>
          <w:rFonts w:ascii="Times New Roman" w:hAnsi="Times New Roman" w:cs="Times New Roman"/>
          <w:sz w:val="28"/>
          <w:szCs w:val="28"/>
          <w:lang w:val="en-US"/>
        </w:rPr>
      </w:pPr>
      <w:r w:rsidRPr="00570E28">
        <w:rPr>
          <w:rFonts w:ascii="Times New Roman" w:hAnsi="Times New Roman" w:cs="Times New Roman"/>
          <w:sz w:val="28"/>
          <w:szCs w:val="28"/>
          <w:lang w:val="en-US"/>
        </w:rPr>
        <w:t>In March, the IIP was estimated to grow by 18.8% month-on-month</w:t>
      </w:r>
      <w:r w:rsidR="004A28D8" w:rsidRPr="00570E28">
        <w:rPr>
          <w:rStyle w:val="FootnoteReference"/>
          <w:rFonts w:ascii="Times New Roman" w:hAnsi="Times New Roman"/>
          <w:sz w:val="28"/>
          <w:szCs w:val="28"/>
          <w:lang w:val="en-US"/>
        </w:rPr>
        <w:footnoteReference w:id="14"/>
      </w:r>
      <w:r w:rsidR="004A28D8" w:rsidRPr="00570E28">
        <w:rPr>
          <w:rFonts w:ascii="Times New Roman" w:hAnsi="Times New Roman" w:cs="Times New Roman"/>
          <w:sz w:val="28"/>
          <w:szCs w:val="28"/>
          <w:lang w:val="en-US"/>
        </w:rPr>
        <w:t xml:space="preserve"> </w:t>
      </w:r>
      <w:r w:rsidRPr="00570E28">
        <w:rPr>
          <w:rFonts w:ascii="Times New Roman" w:hAnsi="Times New Roman" w:cs="Times New Roman"/>
          <w:sz w:val="28"/>
          <w:szCs w:val="28"/>
          <w:lang w:val="en-US"/>
        </w:rPr>
        <w:t>and 6.9% year-on-year. Specifically, the water supply, sewerage, waste management and remediation activities recorded a year-on-year increase of 12.1%; manufacturing rose by 7.5%; the electricity supply increased by 4.6% and the mining and quarrying grew by 2.6%</w:t>
      </w:r>
      <w:r w:rsidR="00274BB8" w:rsidRPr="00570E28">
        <w:rPr>
          <w:rFonts w:ascii="Times New Roman" w:hAnsi="Times New Roman" w:cs="Times New Roman"/>
          <w:sz w:val="28"/>
          <w:szCs w:val="28"/>
          <w:lang w:val="en-US"/>
        </w:rPr>
        <w:t>.</w:t>
      </w:r>
    </w:p>
    <w:p w14:paraId="7E861607" w14:textId="6ED8A835" w:rsidR="00CF0D7E" w:rsidRPr="00570E28" w:rsidRDefault="009771E2" w:rsidP="008221E0">
      <w:pPr>
        <w:shd w:val="clear" w:color="auto" w:fill="FFFFFF"/>
        <w:tabs>
          <w:tab w:val="left" w:pos="8931"/>
        </w:tabs>
        <w:spacing w:after="120" w:line="240" w:lineRule="auto"/>
        <w:ind w:firstLine="720"/>
        <w:jc w:val="both"/>
        <w:rPr>
          <w:rFonts w:ascii="Times New Roman" w:hAnsi="Times New Roman" w:cs="Times New Roman"/>
          <w:sz w:val="28"/>
          <w:szCs w:val="28"/>
          <w:lang w:val="en-US"/>
        </w:rPr>
      </w:pPr>
      <w:r w:rsidRPr="00570E28">
        <w:rPr>
          <w:rFonts w:ascii="Times New Roman" w:hAnsi="Times New Roman" w:cs="Times New Roman"/>
          <w:sz w:val="28"/>
          <w:szCs w:val="28"/>
          <w:lang w:val="en-US"/>
        </w:rPr>
        <w:t>In</w:t>
      </w:r>
      <w:r w:rsidR="00364FAC">
        <w:rPr>
          <w:rFonts w:ascii="Times New Roman" w:hAnsi="Times New Roman" w:cs="Times New Roman"/>
          <w:sz w:val="28"/>
          <w:szCs w:val="28"/>
          <w:lang w:val="en-US"/>
        </w:rPr>
        <w:t xml:space="preserve"> the</w:t>
      </w:r>
      <w:r w:rsidRPr="00570E28">
        <w:rPr>
          <w:rFonts w:ascii="Times New Roman" w:hAnsi="Times New Roman" w:cs="Times New Roman"/>
          <w:sz w:val="28"/>
          <w:szCs w:val="28"/>
          <w:lang w:val="en-US"/>
        </w:rPr>
        <w:t xml:space="preserve"> Q1 2026, the IIP was estimated to increase by 9.0% year-on-year (the corresponding figure in 2024 was 8.3%). Specifically, the manufacturing grew by 9.7%, contributing 7.6 percentage points to the overall growth; the water supply, sewerage, waste management and remediation activities increased by 7.8%, contributing 0.1 percentage points; the electricity supply rose by 6.3%, contributing 0.6 percentage points; the mining and quarrying grew by 4.7%, contributing 0.7 percentage points</w:t>
      </w:r>
      <w:r w:rsidR="00CF0D7E" w:rsidRPr="00570E28">
        <w:rPr>
          <w:rFonts w:ascii="Times New Roman" w:hAnsi="Times New Roman" w:cs="Times New Roman"/>
          <w:sz w:val="28"/>
          <w:szCs w:val="28"/>
          <w:lang w:val="en-US"/>
        </w:rPr>
        <w:t>.</w:t>
      </w:r>
    </w:p>
    <w:p w14:paraId="26114DB5" w14:textId="3583508B" w:rsidR="00CF0D7E" w:rsidRPr="00570E28" w:rsidRDefault="00445F65" w:rsidP="008221E0">
      <w:pPr>
        <w:shd w:val="clear" w:color="auto" w:fill="FFFFFF"/>
        <w:tabs>
          <w:tab w:val="left" w:pos="8931"/>
        </w:tabs>
        <w:spacing w:after="120" w:line="240" w:lineRule="auto"/>
        <w:ind w:firstLine="720"/>
        <w:jc w:val="both"/>
        <w:rPr>
          <w:rFonts w:ascii="Times New Roman" w:hAnsi="Times New Roman" w:cs="Times New Roman"/>
          <w:b/>
          <w:spacing w:val="-2"/>
          <w:sz w:val="28"/>
          <w:szCs w:val="28"/>
          <w:lang w:val="en-US"/>
        </w:rPr>
      </w:pPr>
      <w:r w:rsidRPr="00570E28">
        <w:rPr>
          <w:rFonts w:ascii="Times New Roman" w:hAnsi="Times New Roman" w:cs="Times New Roman"/>
          <w:i/>
          <w:iCs/>
          <w:sz w:val="28"/>
          <w:szCs w:val="28"/>
          <w:lang w:val="en-US"/>
        </w:rPr>
        <w:t>In the first quarter of 2026, the IIP of several key 2-digit activities experienced a year-on-year increase</w:t>
      </w:r>
      <w:r w:rsidR="006D7F54" w:rsidRPr="00570E28">
        <w:rPr>
          <w:rFonts w:ascii="Times New Roman" w:hAnsi="Times New Roman" w:cs="Times New Roman"/>
          <w:i/>
          <w:iCs/>
          <w:sz w:val="28"/>
          <w:szCs w:val="28"/>
          <w:lang w:val="en-US"/>
        </w:rPr>
        <w:t>, including</w:t>
      </w:r>
      <w:r w:rsidR="00CF0D7E" w:rsidRPr="00570E28">
        <w:rPr>
          <w:rFonts w:ascii="Times New Roman" w:hAnsi="Times New Roman" w:cs="Times New Roman"/>
          <w:sz w:val="28"/>
          <w:szCs w:val="28"/>
          <w:lang w:val="en-US"/>
        </w:rPr>
        <w:t xml:space="preserve"> </w:t>
      </w:r>
      <w:r w:rsidR="009A5AF0" w:rsidRPr="00570E28">
        <w:rPr>
          <w:rFonts w:ascii="Times New Roman" w:hAnsi="Times New Roman" w:cs="Times New Roman"/>
          <w:sz w:val="28"/>
          <w:szCs w:val="28"/>
          <w:lang w:val="en-US"/>
        </w:rPr>
        <w:t>manufacture of basic metals (</w:t>
      </w:r>
      <w:r w:rsidR="006D7F54" w:rsidRPr="00570E28">
        <w:rPr>
          <w:rFonts w:ascii="Times New Roman" w:hAnsi="Times New Roman" w:cs="Times New Roman"/>
          <w:sz w:val="28"/>
          <w:szCs w:val="28"/>
          <w:lang w:val="en-US"/>
        </w:rPr>
        <w:t>+</w:t>
      </w:r>
      <w:r w:rsidR="009A5AF0" w:rsidRPr="00570E28">
        <w:rPr>
          <w:rFonts w:ascii="Times New Roman" w:hAnsi="Times New Roman" w:cs="Times New Roman"/>
          <w:sz w:val="28"/>
          <w:szCs w:val="28"/>
          <w:lang w:val="en-US"/>
        </w:rPr>
        <w:t>22.9%); manufacture of other non-metallic mineral products (</w:t>
      </w:r>
      <w:r w:rsidR="006D7F54" w:rsidRPr="00570E28">
        <w:rPr>
          <w:rFonts w:ascii="Times New Roman" w:hAnsi="Times New Roman" w:cs="Times New Roman"/>
          <w:sz w:val="28"/>
          <w:szCs w:val="28"/>
          <w:lang w:val="en-US"/>
        </w:rPr>
        <w:t>+</w:t>
      </w:r>
      <w:r w:rsidR="009A5AF0" w:rsidRPr="00570E28">
        <w:rPr>
          <w:rFonts w:ascii="Times New Roman" w:hAnsi="Times New Roman" w:cs="Times New Roman"/>
          <w:sz w:val="28"/>
          <w:szCs w:val="28"/>
          <w:lang w:val="en-US"/>
        </w:rPr>
        <w:t>19.7%); manufacture of chemicals and chemical products (</w:t>
      </w:r>
      <w:r w:rsidR="006D7F54" w:rsidRPr="00570E28">
        <w:rPr>
          <w:rFonts w:ascii="Times New Roman" w:hAnsi="Times New Roman" w:cs="Times New Roman"/>
          <w:sz w:val="28"/>
          <w:szCs w:val="28"/>
          <w:lang w:val="en-US"/>
        </w:rPr>
        <w:t>+</w:t>
      </w:r>
      <w:r w:rsidR="009A5AF0" w:rsidRPr="00570E28">
        <w:rPr>
          <w:rFonts w:ascii="Times New Roman" w:hAnsi="Times New Roman" w:cs="Times New Roman"/>
          <w:sz w:val="28"/>
          <w:szCs w:val="28"/>
          <w:lang w:val="en-US"/>
        </w:rPr>
        <w:t>18.2%); manufacture of motor vehicles (</w:t>
      </w:r>
      <w:r w:rsidR="006D7F54" w:rsidRPr="00570E28">
        <w:rPr>
          <w:rFonts w:ascii="Times New Roman" w:hAnsi="Times New Roman" w:cs="Times New Roman"/>
          <w:sz w:val="28"/>
          <w:szCs w:val="28"/>
          <w:lang w:val="en-US"/>
        </w:rPr>
        <w:t>+</w:t>
      </w:r>
      <w:r w:rsidR="009A5AF0" w:rsidRPr="00570E28">
        <w:rPr>
          <w:rFonts w:ascii="Times New Roman" w:hAnsi="Times New Roman" w:cs="Times New Roman"/>
          <w:sz w:val="28"/>
          <w:szCs w:val="28"/>
          <w:lang w:val="en-US"/>
        </w:rPr>
        <w:t>14.7%); manufacture of beverages (</w:t>
      </w:r>
      <w:r w:rsidR="006D7F54" w:rsidRPr="00570E28">
        <w:rPr>
          <w:rFonts w:ascii="Times New Roman" w:hAnsi="Times New Roman" w:cs="Times New Roman"/>
          <w:sz w:val="28"/>
          <w:szCs w:val="28"/>
          <w:lang w:val="en-US"/>
        </w:rPr>
        <w:t>+</w:t>
      </w:r>
      <w:r w:rsidR="009A5AF0" w:rsidRPr="00570E28">
        <w:rPr>
          <w:rFonts w:ascii="Times New Roman" w:hAnsi="Times New Roman" w:cs="Times New Roman"/>
          <w:sz w:val="28"/>
          <w:szCs w:val="28"/>
          <w:lang w:val="en-US"/>
        </w:rPr>
        <w:t>14.5%); manufacture of furniture (</w:t>
      </w:r>
      <w:r w:rsidR="006D7F54" w:rsidRPr="00570E28">
        <w:rPr>
          <w:rFonts w:ascii="Times New Roman" w:hAnsi="Times New Roman" w:cs="Times New Roman"/>
          <w:sz w:val="28"/>
          <w:szCs w:val="28"/>
          <w:lang w:val="en-US"/>
        </w:rPr>
        <w:t>+</w:t>
      </w:r>
      <w:r w:rsidR="009A5AF0" w:rsidRPr="00570E28">
        <w:rPr>
          <w:rFonts w:ascii="Times New Roman" w:hAnsi="Times New Roman" w:cs="Times New Roman"/>
          <w:sz w:val="28"/>
          <w:szCs w:val="28"/>
          <w:lang w:val="en-US"/>
        </w:rPr>
        <w:t>13.9%); manufacture of food products (</w:t>
      </w:r>
      <w:r w:rsidR="006D7F54" w:rsidRPr="00570E28">
        <w:rPr>
          <w:rFonts w:ascii="Times New Roman" w:hAnsi="Times New Roman" w:cs="Times New Roman"/>
          <w:sz w:val="28"/>
          <w:szCs w:val="28"/>
          <w:lang w:val="en-US"/>
        </w:rPr>
        <w:t>+</w:t>
      </w:r>
      <w:r w:rsidR="009A5AF0" w:rsidRPr="00570E28">
        <w:rPr>
          <w:rFonts w:ascii="Times New Roman" w:hAnsi="Times New Roman" w:cs="Times New Roman"/>
          <w:sz w:val="28"/>
          <w:szCs w:val="28"/>
          <w:lang w:val="en-US"/>
        </w:rPr>
        <w:t>12.0%); manufacture of textiles (</w:t>
      </w:r>
      <w:r w:rsidR="006D7F54" w:rsidRPr="00570E28">
        <w:rPr>
          <w:rFonts w:ascii="Times New Roman" w:hAnsi="Times New Roman" w:cs="Times New Roman"/>
          <w:sz w:val="28"/>
          <w:szCs w:val="28"/>
          <w:lang w:val="en-US"/>
        </w:rPr>
        <w:t>+</w:t>
      </w:r>
      <w:r w:rsidR="009A5AF0" w:rsidRPr="00570E28">
        <w:rPr>
          <w:rFonts w:ascii="Times New Roman" w:hAnsi="Times New Roman" w:cs="Times New Roman"/>
          <w:sz w:val="28"/>
          <w:szCs w:val="28"/>
          <w:lang w:val="en-US"/>
        </w:rPr>
        <w:t xml:space="preserve">8.6%); manufacture of wearing apparels (8.4%); manufacture of paper and paper products and manufacture of computer, electronic and optical products (8.3%), manufacture of wood and products of </w:t>
      </w:r>
      <w:r w:rsidR="006D7F54" w:rsidRPr="00570E28">
        <w:rPr>
          <w:rFonts w:ascii="Times New Roman" w:hAnsi="Times New Roman" w:cs="Times New Roman"/>
          <w:sz w:val="28"/>
          <w:szCs w:val="28"/>
          <w:lang w:val="en-US"/>
        </w:rPr>
        <w:t>wood and cork (except furniture), manufacture of articles of straw and plaiting material</w:t>
      </w:r>
      <w:r w:rsidR="006D7F54" w:rsidRPr="00570E28" w:rsidDel="006D7F54">
        <w:rPr>
          <w:rFonts w:ascii="Times New Roman" w:hAnsi="Times New Roman" w:cs="Times New Roman"/>
          <w:sz w:val="28"/>
          <w:szCs w:val="28"/>
          <w:lang w:val="en-US"/>
        </w:rPr>
        <w:t xml:space="preserve"> </w:t>
      </w:r>
      <w:r w:rsidR="009A5AF0" w:rsidRPr="00570E28">
        <w:rPr>
          <w:rFonts w:ascii="Times New Roman" w:hAnsi="Times New Roman" w:cs="Times New Roman"/>
          <w:sz w:val="28"/>
          <w:szCs w:val="28"/>
          <w:lang w:val="en-US"/>
        </w:rPr>
        <w:t xml:space="preserve"> (</w:t>
      </w:r>
      <w:r w:rsidR="006D7F54" w:rsidRPr="00570E28">
        <w:rPr>
          <w:rFonts w:ascii="Times New Roman" w:hAnsi="Times New Roman" w:cs="Times New Roman"/>
          <w:sz w:val="28"/>
          <w:szCs w:val="28"/>
          <w:lang w:val="en-US"/>
        </w:rPr>
        <w:t>+</w:t>
      </w:r>
      <w:r w:rsidR="009A5AF0" w:rsidRPr="00570E28">
        <w:rPr>
          <w:rFonts w:ascii="Times New Roman" w:hAnsi="Times New Roman" w:cs="Times New Roman"/>
          <w:sz w:val="28"/>
          <w:szCs w:val="28"/>
          <w:lang w:val="en-US"/>
        </w:rPr>
        <w:t>7.3%). Conversely, the IIP for some activities nudged up or decreased as follows: manufacture of fabricated metal products (except machinery and equipment) increased by 3.1%; mining of hard coal and lignite reduced by 4.8%; manufacture of other transport equipment reduced by 0.9%.</w:t>
      </w:r>
    </w:p>
    <w:p w14:paraId="0013F0AD" w14:textId="6229C8C3" w:rsidR="00CF0D7E" w:rsidRPr="00570E28" w:rsidRDefault="00ED7B4C" w:rsidP="008221E0">
      <w:pPr>
        <w:shd w:val="clear" w:color="auto" w:fill="FFFFFF"/>
        <w:spacing w:after="120" w:line="240" w:lineRule="auto"/>
        <w:ind w:firstLine="720"/>
        <w:jc w:val="both"/>
        <w:rPr>
          <w:rFonts w:ascii="Times New Roman" w:hAnsi="Times New Roman" w:cs="Times New Roman"/>
          <w:sz w:val="28"/>
          <w:szCs w:val="28"/>
          <w:lang w:val="en-US"/>
        </w:rPr>
      </w:pPr>
      <w:r w:rsidRPr="00570E28">
        <w:rPr>
          <w:rFonts w:ascii="Times New Roman" w:hAnsi="Times New Roman" w:cs="Times New Roman"/>
          <w:i/>
          <w:sz w:val="28"/>
          <w:szCs w:val="28"/>
          <w:lang w:val="en-US"/>
        </w:rPr>
        <w:t>Several key industrial products in the first quarter of 2026 witnessed year-on-year increases as follows</w:t>
      </w:r>
      <w:r w:rsidR="006D7F54" w:rsidRPr="00570E28">
        <w:rPr>
          <w:rFonts w:ascii="Times New Roman" w:hAnsi="Times New Roman" w:cs="Times New Roman"/>
          <w:i/>
          <w:sz w:val="28"/>
          <w:szCs w:val="28"/>
          <w:lang w:val="en-US"/>
        </w:rPr>
        <w:t>:</w:t>
      </w:r>
      <w:r w:rsidR="0007315B" w:rsidRPr="00570E28">
        <w:rPr>
          <w:lang w:val="en-US"/>
        </w:rPr>
        <w:t xml:space="preserve"> </w:t>
      </w:r>
      <w:r w:rsidR="006D7F54" w:rsidRPr="00570E28">
        <w:rPr>
          <w:rFonts w:ascii="Times New Roman" w:hAnsi="Times New Roman"/>
          <w:sz w:val="28"/>
          <w:lang w:val="en-US"/>
        </w:rPr>
        <w:t>motorcycles</w:t>
      </w:r>
      <w:r w:rsidR="006D7F54" w:rsidRPr="00570E28" w:rsidDel="001D6AAC">
        <w:rPr>
          <w:rFonts w:ascii="Times New Roman" w:hAnsi="Times New Roman"/>
          <w:sz w:val="28"/>
          <w:lang w:val="en-US"/>
        </w:rPr>
        <w:t xml:space="preserve"> </w:t>
      </w:r>
      <w:r w:rsidR="006D7F54" w:rsidRPr="00570E28">
        <w:rPr>
          <w:rFonts w:ascii="Times New Roman" w:hAnsi="Times New Roman"/>
          <w:sz w:val="28"/>
          <w:lang w:val="en-US"/>
        </w:rPr>
        <w:t>(+31.6%); processed aquatic products</w:t>
      </w:r>
      <w:r w:rsidR="006D7F54" w:rsidRPr="00570E28" w:rsidDel="001D6AAC">
        <w:rPr>
          <w:rFonts w:ascii="Times New Roman" w:hAnsi="Times New Roman"/>
          <w:sz w:val="28"/>
          <w:lang w:val="en-US"/>
        </w:rPr>
        <w:t xml:space="preserve"> </w:t>
      </w:r>
      <w:r w:rsidR="006D7F54" w:rsidRPr="00570E28">
        <w:rPr>
          <w:rFonts w:ascii="Times New Roman" w:hAnsi="Times New Roman"/>
          <w:sz w:val="28"/>
          <w:lang w:val="en-US"/>
        </w:rPr>
        <w:t>(+23.4%); steel bars, steel angles</w:t>
      </w:r>
      <w:r w:rsidR="006D7F54" w:rsidRPr="00570E28" w:rsidDel="00A14B14">
        <w:rPr>
          <w:rFonts w:ascii="Times New Roman" w:hAnsi="Times New Roman"/>
          <w:sz w:val="28"/>
          <w:lang w:val="en-US"/>
        </w:rPr>
        <w:t xml:space="preserve"> </w:t>
      </w:r>
      <w:r w:rsidR="006D7F54" w:rsidRPr="00570E28">
        <w:rPr>
          <w:rFonts w:ascii="Times New Roman" w:hAnsi="Times New Roman"/>
          <w:sz w:val="28"/>
          <w:lang w:val="en-US"/>
        </w:rPr>
        <w:t>(+21.1%); roll steel (+20.3%); chemical paint (+19.2%); automobiles (+18.5%); powder milk (+14.5%); iron and crude steel (+14.3%). Conversely, some industrial products experienced a year-on-year reduction, including: urea fertilizers (-9.6%); mobile phones (-</w:t>
      </w:r>
      <w:r w:rsidR="008E33F6">
        <w:rPr>
          <w:rFonts w:ascii="Times New Roman" w:hAnsi="Times New Roman" w:cs="Times New Roman"/>
          <w:sz w:val="28"/>
          <w:szCs w:val="28"/>
          <w:lang w:val="en-US"/>
        </w:rPr>
        <w:t>6.</w:t>
      </w:r>
      <w:r w:rsidR="006D7F54" w:rsidRPr="00570E28">
        <w:rPr>
          <w:rFonts w:ascii="Times New Roman" w:hAnsi="Times New Roman" w:cs="Times New Roman"/>
          <w:sz w:val="28"/>
          <w:szCs w:val="28"/>
          <w:lang w:val="en-US"/>
        </w:rPr>
        <w:t>6%</w:t>
      </w:r>
      <w:r w:rsidR="006D7F54" w:rsidRPr="00570E28">
        <w:rPr>
          <w:rFonts w:ascii="Times New Roman" w:hAnsi="Times New Roman"/>
          <w:sz w:val="28"/>
          <w:lang w:val="en-US"/>
        </w:rPr>
        <w:t xml:space="preserve">); NPK </w:t>
      </w:r>
      <w:r w:rsidR="006D7F54" w:rsidRPr="00570E28">
        <w:rPr>
          <w:rFonts w:ascii="Times New Roman" w:hAnsi="Times New Roman"/>
          <w:sz w:val="28"/>
          <w:lang w:val="en-US"/>
        </w:rPr>
        <w:lastRenderedPageBreak/>
        <w:t>fertilizers (-</w:t>
      </w:r>
      <w:r w:rsidR="008E33F6">
        <w:rPr>
          <w:rFonts w:ascii="Times New Roman" w:hAnsi="Times New Roman" w:cs="Times New Roman"/>
          <w:sz w:val="28"/>
          <w:szCs w:val="28"/>
          <w:lang w:val="en-US"/>
        </w:rPr>
        <w:t>5.</w:t>
      </w:r>
      <w:r w:rsidR="006D7F54" w:rsidRPr="00570E28">
        <w:rPr>
          <w:rFonts w:ascii="Times New Roman" w:hAnsi="Times New Roman" w:cs="Times New Roman"/>
          <w:sz w:val="28"/>
          <w:szCs w:val="28"/>
          <w:lang w:val="en-US"/>
        </w:rPr>
        <w:t>4%</w:t>
      </w:r>
      <w:r w:rsidR="006D7F54" w:rsidRPr="00570E28">
        <w:rPr>
          <w:rFonts w:ascii="Times New Roman" w:hAnsi="Times New Roman"/>
          <w:sz w:val="28"/>
          <w:lang w:val="en-US"/>
        </w:rPr>
        <w:t>); coal (processed</w:t>
      </w:r>
      <w:r w:rsidR="008E33F6" w:rsidRPr="00570E28">
        <w:rPr>
          <w:rFonts w:ascii="Times New Roman" w:hAnsi="Times New Roman"/>
          <w:sz w:val="28"/>
          <w:lang w:val="en-US"/>
        </w:rPr>
        <w:t>)</w:t>
      </w:r>
      <w:r w:rsidR="008E33F6" w:rsidRPr="00570E28" w:rsidDel="00A14B14">
        <w:rPr>
          <w:rFonts w:ascii="Times New Roman" w:hAnsi="Times New Roman"/>
          <w:sz w:val="28"/>
          <w:lang w:val="en-US"/>
        </w:rPr>
        <w:t xml:space="preserve"> </w:t>
      </w:r>
      <w:r w:rsidR="008E33F6" w:rsidRPr="00570E28">
        <w:rPr>
          <w:rFonts w:ascii="Times New Roman" w:hAnsi="Times New Roman"/>
          <w:sz w:val="28"/>
          <w:lang w:val="en-US"/>
        </w:rPr>
        <w:t>(</w:t>
      </w:r>
      <w:r w:rsidR="006D7F54" w:rsidRPr="00570E28">
        <w:rPr>
          <w:rFonts w:ascii="Times New Roman" w:hAnsi="Times New Roman"/>
          <w:sz w:val="28"/>
          <w:lang w:val="en-US"/>
        </w:rPr>
        <w:t>-4.9%); and fabrics from natural yarn (-3.5%)</w:t>
      </w:r>
      <w:r w:rsidR="0007315B" w:rsidRPr="00570E28">
        <w:rPr>
          <w:rFonts w:ascii="Times New Roman" w:hAnsi="Times New Roman" w:cs="Times New Roman"/>
          <w:sz w:val="28"/>
          <w:szCs w:val="28"/>
          <w:lang w:val="en-US"/>
        </w:rPr>
        <w:t>.</w:t>
      </w:r>
    </w:p>
    <w:p w14:paraId="4042DB78" w14:textId="6B021604" w:rsidR="00CF0D7E" w:rsidRPr="00570E28" w:rsidRDefault="009B73C1" w:rsidP="008221E0">
      <w:pPr>
        <w:shd w:val="clear" w:color="auto" w:fill="FFFFFF" w:themeFill="background1"/>
        <w:spacing w:after="12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i/>
          <w:color w:val="000000" w:themeColor="text1"/>
          <w:sz w:val="28"/>
          <w:szCs w:val="28"/>
          <w:lang w:val="en-US"/>
        </w:rPr>
        <w:t xml:space="preserve">Index of Industrial Shipment (IIS) of the manufacturing </w:t>
      </w:r>
      <w:r w:rsidR="00826D47" w:rsidRPr="00570E28">
        <w:rPr>
          <w:rFonts w:ascii="Times New Roman" w:hAnsi="Times New Roman" w:cs="Times New Roman"/>
          <w:i/>
          <w:color w:val="000000" w:themeColor="text1"/>
          <w:sz w:val="28"/>
          <w:szCs w:val="28"/>
          <w:lang w:val="en-US"/>
        </w:rPr>
        <w:t xml:space="preserve">in </w:t>
      </w:r>
      <w:r w:rsidR="00826D47" w:rsidRPr="00570E28">
        <w:rPr>
          <w:rFonts w:ascii="Times New Roman" w:hAnsi="Times New Roman" w:cs="Times New Roman"/>
          <w:color w:val="000000" w:themeColor="text1"/>
          <w:sz w:val="28"/>
          <w:szCs w:val="28"/>
          <w:lang w:val="en-US"/>
        </w:rPr>
        <w:t>Q1</w:t>
      </w:r>
      <w:r w:rsidR="00826D47" w:rsidRPr="00570E28">
        <w:rPr>
          <w:rFonts w:ascii="Times New Roman" w:hAnsi="Times New Roman" w:cs="Times New Roman"/>
          <w:i/>
          <w:color w:val="000000" w:themeColor="text1"/>
          <w:sz w:val="28"/>
          <w:szCs w:val="28"/>
          <w:lang w:val="en-US"/>
        </w:rPr>
        <w:t xml:space="preserve"> </w:t>
      </w:r>
      <w:r w:rsidR="00CF0D7E" w:rsidRPr="00570E28">
        <w:rPr>
          <w:rFonts w:ascii="Times New Roman" w:hAnsi="Times New Roman" w:cs="Times New Roman"/>
          <w:color w:val="000000" w:themeColor="text1"/>
          <w:sz w:val="28"/>
          <w:szCs w:val="28"/>
          <w:lang w:val="en-US"/>
        </w:rPr>
        <w:t xml:space="preserve">2026 </w:t>
      </w:r>
      <w:r w:rsidR="00826D47" w:rsidRPr="00570E28">
        <w:rPr>
          <w:rFonts w:ascii="Times New Roman" w:hAnsi="Times New Roman" w:cs="Times New Roman"/>
          <w:color w:val="000000" w:themeColor="text1"/>
          <w:sz w:val="28"/>
          <w:szCs w:val="28"/>
          <w:lang w:val="en-US"/>
        </w:rPr>
        <w:t>witnessed a year-on-year increase of 9.5% (the corresponding period in 2025 saw an increase of 5.4%).</w:t>
      </w:r>
    </w:p>
    <w:p w14:paraId="2C4CF2D0" w14:textId="19BC5E77" w:rsidR="00CF0D7E" w:rsidRPr="00570E28" w:rsidRDefault="006D7F54" w:rsidP="008221E0">
      <w:pPr>
        <w:shd w:val="clear" w:color="auto" w:fill="FFFFFF" w:themeFill="background1"/>
        <w:spacing w:after="12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i/>
          <w:color w:val="000000" w:themeColor="text1"/>
          <w:sz w:val="28"/>
          <w:szCs w:val="28"/>
          <w:lang w:val="en-US"/>
        </w:rPr>
        <w:t>I</w:t>
      </w:r>
      <w:r w:rsidR="00826D47" w:rsidRPr="00570E28">
        <w:rPr>
          <w:rFonts w:ascii="Times New Roman" w:hAnsi="Times New Roman" w:cs="Times New Roman"/>
          <w:i/>
          <w:color w:val="000000" w:themeColor="text1"/>
          <w:sz w:val="28"/>
          <w:szCs w:val="28"/>
          <w:lang w:val="en-US"/>
        </w:rPr>
        <w:t xml:space="preserve">ndex of </w:t>
      </w:r>
      <w:r w:rsidRPr="00570E28">
        <w:rPr>
          <w:rFonts w:ascii="Times New Roman" w:hAnsi="Times New Roman" w:cs="Times New Roman"/>
          <w:i/>
          <w:color w:val="000000" w:themeColor="text1"/>
          <w:sz w:val="28"/>
          <w:szCs w:val="28"/>
          <w:lang w:val="en-US"/>
        </w:rPr>
        <w:t xml:space="preserve">Industrial Inventory </w:t>
      </w:r>
      <w:r w:rsidR="00826D47" w:rsidRPr="00570E28">
        <w:rPr>
          <w:rFonts w:ascii="Times New Roman" w:hAnsi="Times New Roman" w:cs="Times New Roman"/>
          <w:i/>
          <w:color w:val="000000" w:themeColor="text1"/>
          <w:sz w:val="28"/>
          <w:szCs w:val="28"/>
          <w:lang w:val="en-US"/>
        </w:rPr>
        <w:t>of the manufacturing as of 31</w:t>
      </w:r>
      <w:r w:rsidR="00364FAC">
        <w:rPr>
          <w:rFonts w:ascii="Times New Roman" w:hAnsi="Times New Roman" w:cs="Times New Roman"/>
          <w:i/>
          <w:color w:val="000000" w:themeColor="text1"/>
          <w:sz w:val="28"/>
          <w:szCs w:val="28"/>
          <w:vertAlign w:val="superscript"/>
          <w:lang w:val="en-US"/>
        </w:rPr>
        <w:t>st</w:t>
      </w:r>
      <w:r w:rsidR="00826D47" w:rsidRPr="00570E28">
        <w:rPr>
          <w:rFonts w:ascii="Times New Roman" w:hAnsi="Times New Roman" w:cs="Times New Roman"/>
          <w:i/>
          <w:color w:val="000000" w:themeColor="text1"/>
          <w:sz w:val="28"/>
          <w:szCs w:val="28"/>
          <w:lang w:val="en-US"/>
        </w:rPr>
        <w:t xml:space="preserve"> March 2026</w:t>
      </w:r>
      <w:r w:rsidR="00CF0D7E" w:rsidRPr="00570E28">
        <w:rPr>
          <w:rFonts w:ascii="Times New Roman" w:hAnsi="Times New Roman" w:cs="Times New Roman"/>
          <w:color w:val="000000" w:themeColor="text1"/>
          <w:sz w:val="28"/>
          <w:szCs w:val="28"/>
          <w:lang w:val="en-US"/>
        </w:rPr>
        <w:t> </w:t>
      </w:r>
      <w:r w:rsidR="00826D47" w:rsidRPr="00570E28">
        <w:rPr>
          <w:rFonts w:ascii="Times New Roman" w:hAnsi="Times New Roman" w:cs="Times New Roman"/>
          <w:color w:val="000000" w:themeColor="text1"/>
          <w:sz w:val="28"/>
          <w:szCs w:val="28"/>
          <w:lang w:val="en-US"/>
        </w:rPr>
        <w:t>experienced a month-on-month increase of 8.5% and a year-on-year rise of 12.9%. The average Inventory Turnover Ratio (ITR) for the manufacturing in the first quarter of 2026 was 84.9% (the corresponding period last year saw an average figure of 90.0%).</w:t>
      </w:r>
    </w:p>
    <w:p w14:paraId="77C1F14D" w14:textId="61EF2226" w:rsidR="00CF0D7E" w:rsidRPr="00570E28" w:rsidRDefault="006D7F54" w:rsidP="008221E0">
      <w:pPr>
        <w:shd w:val="clear" w:color="auto" w:fill="FFFFFF" w:themeFill="background1"/>
        <w:spacing w:after="120" w:line="240" w:lineRule="auto"/>
        <w:ind w:firstLine="720"/>
        <w:jc w:val="both"/>
        <w:rPr>
          <w:rFonts w:ascii="Times New Roman" w:hAnsi="Times New Roman" w:cs="Times New Roman"/>
          <w:sz w:val="28"/>
          <w:szCs w:val="28"/>
          <w:lang w:val="en-US"/>
        </w:rPr>
      </w:pPr>
      <w:r w:rsidRPr="00570E28">
        <w:rPr>
          <w:rFonts w:ascii="Times New Roman" w:hAnsi="Times New Roman" w:cs="Times New Roman"/>
          <w:i/>
          <w:sz w:val="28"/>
          <w:szCs w:val="28"/>
          <w:lang w:val="en-US"/>
        </w:rPr>
        <w:t>N</w:t>
      </w:r>
      <w:r w:rsidR="005525D8" w:rsidRPr="00570E28">
        <w:rPr>
          <w:rFonts w:ascii="Times New Roman" w:hAnsi="Times New Roman" w:cs="Times New Roman"/>
          <w:i/>
          <w:sz w:val="28"/>
          <w:szCs w:val="28"/>
          <w:lang w:val="en-US"/>
        </w:rPr>
        <w:t xml:space="preserve">umber of employees in industrial enterprises as of March </w:t>
      </w:r>
      <w:r w:rsidR="00364FAC">
        <w:rPr>
          <w:rFonts w:ascii="Times New Roman" w:hAnsi="Times New Roman" w:cs="Times New Roman"/>
          <w:i/>
          <w:sz w:val="28"/>
          <w:szCs w:val="28"/>
          <w:lang w:val="en-US"/>
        </w:rPr>
        <w:t>1</w:t>
      </w:r>
      <w:r w:rsidR="00364FAC">
        <w:rPr>
          <w:rFonts w:ascii="Times New Roman" w:hAnsi="Times New Roman" w:cs="Times New Roman"/>
          <w:i/>
          <w:sz w:val="28"/>
          <w:szCs w:val="28"/>
          <w:vertAlign w:val="superscript"/>
          <w:lang w:val="en-US"/>
        </w:rPr>
        <w:t>st</w:t>
      </w:r>
      <w:r w:rsidR="005525D8" w:rsidRPr="00570E28">
        <w:rPr>
          <w:rFonts w:ascii="Times New Roman" w:hAnsi="Times New Roman" w:cs="Times New Roman"/>
          <w:i/>
          <w:sz w:val="28"/>
          <w:szCs w:val="28"/>
          <w:lang w:val="en-US"/>
        </w:rPr>
        <w:t xml:space="preserve">, </w:t>
      </w:r>
      <w:r w:rsidRPr="00570E28">
        <w:rPr>
          <w:rFonts w:ascii="Times New Roman" w:hAnsi="Times New Roman" w:cs="Times New Roman"/>
          <w:i/>
          <w:sz w:val="28"/>
          <w:szCs w:val="28"/>
          <w:lang w:val="en-US"/>
        </w:rPr>
        <w:t xml:space="preserve">2026 </w:t>
      </w:r>
      <w:r w:rsidRPr="00570E28">
        <w:rPr>
          <w:rFonts w:ascii="Times New Roman" w:hAnsi="Times New Roman" w:cs="Times New Roman"/>
          <w:sz w:val="28"/>
          <w:szCs w:val="28"/>
          <w:lang w:val="en-US"/>
        </w:rPr>
        <w:t>saw</w:t>
      </w:r>
      <w:r w:rsidR="005525D8" w:rsidRPr="00570E28">
        <w:rPr>
          <w:rFonts w:ascii="Times New Roman" w:hAnsi="Times New Roman" w:cs="Times New Roman"/>
          <w:sz w:val="28"/>
          <w:szCs w:val="28"/>
          <w:lang w:val="en-US"/>
        </w:rPr>
        <w:t xml:space="preserve"> a month-on-month growth of 1.1% and year-on-year increase of 2.4%.</w:t>
      </w:r>
    </w:p>
    <w:p w14:paraId="3309C524" w14:textId="7473DE14" w:rsidR="00901821" w:rsidRPr="00570E28" w:rsidRDefault="00571CD4" w:rsidP="00901821">
      <w:pPr>
        <w:spacing w:before="120" w:after="0" w:line="240" w:lineRule="auto"/>
        <w:ind w:firstLine="720"/>
        <w:jc w:val="both"/>
        <w:rPr>
          <w:rFonts w:ascii="Times New Roman" w:hAnsi="Times New Roman" w:cs="Times New Roman"/>
          <w:b/>
          <w:color w:val="000000" w:themeColor="text1"/>
          <w:sz w:val="28"/>
          <w:szCs w:val="28"/>
          <w:lang w:val="en-US"/>
        </w:rPr>
      </w:pPr>
      <w:r w:rsidRPr="00570E28">
        <w:rPr>
          <w:rFonts w:ascii="Times New Roman" w:hAnsi="Times New Roman" w:cs="Times New Roman"/>
          <w:b/>
          <w:bCs/>
          <w:color w:val="000000" w:themeColor="text1"/>
          <w:sz w:val="28"/>
          <w:szCs w:val="28"/>
          <w:lang w:val="en-US"/>
        </w:rPr>
        <w:t xml:space="preserve">4. </w:t>
      </w:r>
      <w:r w:rsidR="00D56783" w:rsidRPr="00570E28">
        <w:rPr>
          <w:rFonts w:ascii="Times New Roman" w:hAnsi="Times New Roman" w:cs="Times New Roman"/>
          <w:b/>
          <w:color w:val="000000" w:themeColor="text1"/>
          <w:sz w:val="28"/>
          <w:szCs w:val="28"/>
          <w:lang w:val="en-US"/>
        </w:rPr>
        <w:t>T</w:t>
      </w:r>
      <w:r w:rsidR="00901821" w:rsidRPr="00570E28">
        <w:rPr>
          <w:rFonts w:ascii="Times New Roman" w:hAnsi="Times New Roman" w:cs="Times New Roman"/>
          <w:b/>
          <w:color w:val="000000" w:themeColor="text1"/>
          <w:sz w:val="28"/>
          <w:szCs w:val="28"/>
          <w:lang w:val="en-US"/>
        </w:rPr>
        <w:t>otal number of enterprises entering and re-entering the market in the first quarter of 2026 reached 96.0 thousand enterprises, a year-on-year increase of 31.7%; 91.8 thousand enterprises</w:t>
      </w:r>
      <w:r w:rsidR="00901821" w:rsidRPr="00570E28" w:rsidDel="008F6263">
        <w:rPr>
          <w:rFonts w:ascii="Times New Roman" w:hAnsi="Times New Roman" w:cs="Times New Roman"/>
          <w:b/>
          <w:color w:val="000000" w:themeColor="text1"/>
          <w:sz w:val="28"/>
          <w:szCs w:val="28"/>
          <w:lang w:val="en-US"/>
        </w:rPr>
        <w:t xml:space="preserve"> </w:t>
      </w:r>
      <w:r w:rsidR="00901821" w:rsidRPr="00570E28">
        <w:rPr>
          <w:rFonts w:ascii="Times New Roman" w:hAnsi="Times New Roman" w:cs="Times New Roman"/>
          <w:b/>
          <w:color w:val="000000" w:themeColor="text1"/>
          <w:sz w:val="28"/>
          <w:szCs w:val="28"/>
          <w:lang w:val="en-US"/>
        </w:rPr>
        <w:t>withdrew from the market, a year-on-year increase of 16.5%.</w:t>
      </w:r>
    </w:p>
    <w:p w14:paraId="18DCC5E1" w14:textId="77777777" w:rsidR="00901821" w:rsidRPr="00570E28" w:rsidRDefault="00901821" w:rsidP="00901821">
      <w:pPr>
        <w:spacing w:before="120" w:after="0" w:line="240" w:lineRule="auto"/>
        <w:ind w:firstLine="720"/>
        <w:jc w:val="both"/>
        <w:rPr>
          <w:rFonts w:ascii="Times New Roman" w:hAnsi="Times New Roman" w:cs="Times New Roman"/>
          <w:b/>
          <w:i/>
          <w:color w:val="000000" w:themeColor="text1"/>
          <w:sz w:val="28"/>
          <w:szCs w:val="28"/>
          <w:lang w:val="en-US"/>
        </w:rPr>
      </w:pPr>
      <w:r w:rsidRPr="00570E28">
        <w:rPr>
          <w:rFonts w:ascii="Times New Roman" w:hAnsi="Times New Roman" w:cs="Times New Roman"/>
          <w:b/>
          <w:bCs/>
          <w:i/>
          <w:color w:val="000000" w:themeColor="text1"/>
          <w:sz w:val="28"/>
          <w:szCs w:val="28"/>
          <w:lang w:val="en-US"/>
        </w:rPr>
        <w:t xml:space="preserve">a) </w:t>
      </w:r>
      <w:r w:rsidRPr="00570E28">
        <w:rPr>
          <w:rFonts w:ascii="Times New Roman" w:hAnsi="Times New Roman" w:cs="Times New Roman"/>
          <w:b/>
          <w:i/>
          <w:color w:val="000000" w:themeColor="text1"/>
          <w:sz w:val="28"/>
          <w:szCs w:val="28"/>
          <w:lang w:val="en-US"/>
        </w:rPr>
        <w:t>Enterprise registration situation</w:t>
      </w:r>
    </w:p>
    <w:p w14:paraId="68A00D5F" w14:textId="59021250" w:rsidR="00901821" w:rsidRPr="00570E28" w:rsidRDefault="00901821" w:rsidP="00901821">
      <w:pPr>
        <w:spacing w:before="120" w:after="0" w:line="240" w:lineRule="auto"/>
        <w:ind w:firstLine="720"/>
        <w:jc w:val="both"/>
        <w:rPr>
          <w:rFonts w:ascii="Times New Roman" w:hAnsi="Times New Roman" w:cs="Times New Roman"/>
          <w:sz w:val="28"/>
          <w:szCs w:val="28"/>
          <w:lang w:val="en-US"/>
        </w:rPr>
      </w:pPr>
      <w:r w:rsidRPr="00570E28">
        <w:rPr>
          <w:rFonts w:ascii="Times New Roman" w:hAnsi="Times New Roman" w:cs="Times New Roman"/>
          <w:color w:val="000000" w:themeColor="text1"/>
          <w:sz w:val="28"/>
          <w:szCs w:val="28"/>
          <w:lang w:val="en-US"/>
        </w:rPr>
        <w:t xml:space="preserve">In the </w:t>
      </w:r>
      <w:r w:rsidR="00364FAC">
        <w:rPr>
          <w:rFonts w:ascii="Times New Roman" w:hAnsi="Times New Roman" w:cs="Times New Roman"/>
          <w:color w:val="000000" w:themeColor="text1"/>
          <w:sz w:val="28"/>
          <w:szCs w:val="28"/>
          <w:lang w:val="en-US"/>
        </w:rPr>
        <w:t>Q1</w:t>
      </w:r>
      <w:r w:rsidRPr="00570E28">
        <w:rPr>
          <w:rFonts w:ascii="Times New Roman" w:hAnsi="Times New Roman" w:cs="Times New Roman"/>
          <w:color w:val="000000" w:themeColor="text1"/>
          <w:sz w:val="28"/>
          <w:szCs w:val="28"/>
          <w:lang w:val="en-US"/>
        </w:rPr>
        <w:t xml:space="preserve"> 2026, the whole country had over 57.4 thousand newly registered enterprises with a total registered capital of nearly 538.6 trillion VND and a </w:t>
      </w:r>
      <w:r w:rsidR="00364FAC" w:rsidRPr="00570E28">
        <w:rPr>
          <w:rFonts w:ascii="Times New Roman" w:hAnsi="Times New Roman" w:cs="Times New Roman"/>
          <w:color w:val="000000" w:themeColor="text1"/>
          <w:sz w:val="28"/>
          <w:szCs w:val="28"/>
          <w:lang w:val="en-US"/>
        </w:rPr>
        <w:t xml:space="preserve">total registered </w:t>
      </w:r>
      <w:r w:rsidR="00364FAC" w:rsidRPr="00570E28">
        <w:rPr>
          <w:rFonts w:ascii="Times New Roman" w:hAnsi="Times New Roman" w:cs="Times New Roman"/>
          <w:color w:val="000000" w:themeColor="text1"/>
          <w:spacing w:val="-4"/>
          <w:sz w:val="28"/>
          <w:szCs w:val="28"/>
          <w:lang w:val="en-US"/>
        </w:rPr>
        <w:t>employee of over 265.9 thousand employees</w:t>
      </w:r>
      <w:r w:rsidRPr="00570E28">
        <w:rPr>
          <w:rFonts w:ascii="Times New Roman" w:hAnsi="Times New Roman" w:cs="Times New Roman"/>
          <w:color w:val="000000" w:themeColor="text1"/>
          <w:sz w:val="28"/>
          <w:szCs w:val="28"/>
          <w:lang w:val="en-US"/>
        </w:rPr>
        <w:t xml:space="preserve">, </w:t>
      </w:r>
      <w:r w:rsidRPr="00570E28">
        <w:rPr>
          <w:rFonts w:ascii="Times New Roman" w:hAnsi="Times New Roman" w:cs="Times New Roman"/>
          <w:color w:val="000000" w:themeColor="text1"/>
          <w:spacing w:val="-4"/>
          <w:sz w:val="28"/>
          <w:szCs w:val="28"/>
          <w:lang w:val="en-US"/>
        </w:rPr>
        <w:t>a year-on-year</w:t>
      </w:r>
      <w:r w:rsidRPr="00570E28" w:rsidDel="00732DC0">
        <w:rPr>
          <w:rFonts w:ascii="Times New Roman" w:hAnsi="Times New Roman" w:cs="Times New Roman"/>
          <w:color w:val="000000" w:themeColor="text1"/>
          <w:sz w:val="28"/>
          <w:szCs w:val="28"/>
          <w:lang w:val="en-US"/>
        </w:rPr>
        <w:t xml:space="preserve"> </w:t>
      </w:r>
      <w:r w:rsidRPr="00570E28">
        <w:rPr>
          <w:rFonts w:ascii="Times New Roman" w:hAnsi="Times New Roman" w:cs="Times New Roman"/>
          <w:color w:val="000000" w:themeColor="text1"/>
          <w:sz w:val="28"/>
          <w:szCs w:val="28"/>
          <w:lang w:val="en-US"/>
        </w:rPr>
        <w:t xml:space="preserve">increase of 57.8%, 51.0%, 16.5% in the number of enterprises, in registered capital and in the number of employees, </w:t>
      </w:r>
      <w:r w:rsidRPr="00570E28">
        <w:rPr>
          <w:rFonts w:ascii="Times New Roman" w:hAnsi="Times New Roman" w:cs="Times New Roman"/>
          <w:color w:val="000000" w:themeColor="text1"/>
          <w:spacing w:val="-4"/>
          <w:sz w:val="28"/>
          <w:szCs w:val="28"/>
          <w:lang w:val="en-US"/>
        </w:rPr>
        <w:t>respectively</w:t>
      </w:r>
      <w:r w:rsidRPr="00570E28">
        <w:rPr>
          <w:rFonts w:ascii="Times New Roman" w:hAnsi="Times New Roman" w:cs="Times New Roman"/>
          <w:color w:val="000000" w:themeColor="text1"/>
          <w:sz w:val="28"/>
          <w:szCs w:val="28"/>
          <w:lang w:val="en-US"/>
        </w:rPr>
        <w:t xml:space="preserve">. The average registered capital of a newly established enterprises in the first quarter of 2026 reached 9.4 billion VND, </w:t>
      </w:r>
      <w:r w:rsidRPr="00570E28">
        <w:rPr>
          <w:rFonts w:ascii="Times New Roman" w:hAnsi="Times New Roman" w:cs="Times New Roman"/>
          <w:color w:val="000000" w:themeColor="text1"/>
          <w:spacing w:val="-4"/>
          <w:sz w:val="28"/>
          <w:szCs w:val="28"/>
          <w:lang w:val="en-US"/>
        </w:rPr>
        <w:t>a year-on-year</w:t>
      </w:r>
      <w:r w:rsidRPr="00570E28" w:rsidDel="00732DC0">
        <w:rPr>
          <w:rFonts w:ascii="Times New Roman" w:hAnsi="Times New Roman" w:cs="Times New Roman"/>
          <w:color w:val="000000" w:themeColor="text1"/>
          <w:sz w:val="28"/>
          <w:szCs w:val="28"/>
          <w:lang w:val="en-US"/>
        </w:rPr>
        <w:t xml:space="preserve"> </w:t>
      </w:r>
      <w:r w:rsidRPr="00570E28">
        <w:rPr>
          <w:rFonts w:ascii="Times New Roman" w:hAnsi="Times New Roman" w:cs="Times New Roman"/>
          <w:color w:val="000000" w:themeColor="text1"/>
          <w:sz w:val="28"/>
          <w:szCs w:val="28"/>
          <w:lang w:val="en-US"/>
        </w:rPr>
        <w:t>decrease of 4.3%. The total registered capital added to the economy in the first quarter of 2026 had over 1.3 quadrillion</w:t>
      </w:r>
      <w:r w:rsidRPr="00570E28">
        <w:rPr>
          <w:color w:val="000000" w:themeColor="text1"/>
          <w:lang w:val="en-US"/>
        </w:rPr>
        <w:t xml:space="preserve"> </w:t>
      </w:r>
      <w:r w:rsidRPr="00570E28">
        <w:rPr>
          <w:rFonts w:ascii="Times New Roman" w:hAnsi="Times New Roman" w:cs="Times New Roman"/>
          <w:color w:val="000000" w:themeColor="text1"/>
          <w:sz w:val="28"/>
          <w:szCs w:val="28"/>
          <w:lang w:val="en-US"/>
        </w:rPr>
        <w:t>VND, a year-on-year decrease of 5.1%</w:t>
      </w:r>
      <w:r w:rsidRPr="00570E28">
        <w:rPr>
          <w:rStyle w:val="FootnoteReference"/>
          <w:rFonts w:ascii="Times New Roman" w:hAnsi="Times New Roman"/>
          <w:color w:val="000000" w:themeColor="text1"/>
          <w:sz w:val="28"/>
          <w:szCs w:val="28"/>
          <w:lang w:val="en-US"/>
        </w:rPr>
        <w:footnoteReference w:id="15"/>
      </w:r>
      <w:r w:rsidRPr="00570E28">
        <w:rPr>
          <w:rFonts w:ascii="Times New Roman" w:hAnsi="Times New Roman" w:cs="Times New Roman"/>
          <w:color w:val="000000" w:themeColor="text1"/>
          <w:sz w:val="28"/>
          <w:szCs w:val="28"/>
          <w:lang w:val="en-US"/>
        </w:rPr>
        <w:t>.</w:t>
      </w:r>
    </w:p>
    <w:p w14:paraId="5F2DDE09" w14:textId="1C1BAB3D" w:rsidR="00901821" w:rsidRPr="00570E28" w:rsidRDefault="00901821" w:rsidP="00901821">
      <w:pPr>
        <w:spacing w:after="120" w:line="264"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color w:val="000000" w:themeColor="text1"/>
          <w:sz w:val="28"/>
          <w:szCs w:val="28"/>
          <w:lang w:val="en-US"/>
        </w:rPr>
        <w:t>In addition, the whole country had over 38.6 thousand resumed operation enterprises (a year-on-year increase of 5.7%), bringing the total number of newly established and resumed</w:t>
      </w:r>
      <w:r w:rsidRPr="00570E28">
        <w:rPr>
          <w:rFonts w:ascii="Times New Roman" w:hAnsi="Times New Roman" w:cs="Times New Roman"/>
          <w:color w:val="000000" w:themeColor="text1"/>
          <w:spacing w:val="-4"/>
          <w:sz w:val="28"/>
          <w:szCs w:val="28"/>
          <w:lang w:val="en-US"/>
        </w:rPr>
        <w:t xml:space="preserve"> </w:t>
      </w:r>
      <w:r w:rsidR="00995956" w:rsidRPr="00570E28">
        <w:rPr>
          <w:rFonts w:ascii="Times New Roman" w:hAnsi="Times New Roman" w:cs="Times New Roman"/>
          <w:color w:val="000000" w:themeColor="text1"/>
          <w:sz w:val="28"/>
          <w:szCs w:val="28"/>
          <w:lang w:val="en-US"/>
        </w:rPr>
        <w:t xml:space="preserve">operation </w:t>
      </w:r>
      <w:r w:rsidRPr="00570E28">
        <w:rPr>
          <w:rFonts w:ascii="Times New Roman" w:hAnsi="Times New Roman" w:cs="Times New Roman"/>
          <w:color w:val="000000" w:themeColor="text1"/>
          <w:spacing w:val="-4"/>
          <w:sz w:val="28"/>
          <w:szCs w:val="28"/>
          <w:lang w:val="en-US"/>
        </w:rPr>
        <w:t>enterprises</w:t>
      </w:r>
      <w:r w:rsidRPr="00570E28" w:rsidDel="00975112">
        <w:rPr>
          <w:rFonts w:ascii="Times New Roman" w:hAnsi="Times New Roman" w:cs="Times New Roman"/>
          <w:color w:val="000000" w:themeColor="text1"/>
          <w:sz w:val="28"/>
          <w:szCs w:val="28"/>
          <w:lang w:val="en-US"/>
        </w:rPr>
        <w:t xml:space="preserve"> </w:t>
      </w:r>
      <w:r w:rsidRPr="00570E28">
        <w:rPr>
          <w:rFonts w:ascii="Times New Roman" w:hAnsi="Times New Roman" w:cs="Times New Roman"/>
          <w:color w:val="000000" w:themeColor="text1"/>
          <w:sz w:val="28"/>
          <w:szCs w:val="28"/>
          <w:lang w:val="en-US"/>
        </w:rPr>
        <w:t xml:space="preserve">in the Q1/2026 to 96.0 thousand </w:t>
      </w:r>
      <w:r w:rsidRPr="00570E28">
        <w:rPr>
          <w:rFonts w:ascii="Times New Roman" w:hAnsi="Times New Roman" w:cs="Times New Roman"/>
          <w:color w:val="000000" w:themeColor="text1"/>
          <w:spacing w:val="-4"/>
          <w:sz w:val="28"/>
          <w:szCs w:val="28"/>
          <w:lang w:val="en-US"/>
        </w:rPr>
        <w:t>enterprises</w:t>
      </w:r>
      <w:r w:rsidRPr="00570E28">
        <w:rPr>
          <w:rFonts w:ascii="Times New Roman" w:hAnsi="Times New Roman" w:cs="Times New Roman"/>
          <w:color w:val="000000" w:themeColor="text1"/>
          <w:sz w:val="28"/>
          <w:szCs w:val="28"/>
          <w:lang w:val="en-US"/>
        </w:rPr>
        <w:t xml:space="preserve">, and a year-on-year increase of 31.7%. On average, there were 32.0 thousand newly </w:t>
      </w:r>
      <w:r w:rsidRPr="00570E28">
        <w:rPr>
          <w:rFonts w:ascii="Times New Roman" w:hAnsi="Times New Roman" w:cs="Times New Roman"/>
          <w:color w:val="000000" w:themeColor="text1"/>
          <w:spacing w:val="-2"/>
          <w:sz w:val="28"/>
          <w:szCs w:val="28"/>
          <w:lang w:val="en-US"/>
        </w:rPr>
        <w:t xml:space="preserve">established </w:t>
      </w:r>
      <w:r w:rsidRPr="00570E28">
        <w:rPr>
          <w:rFonts w:ascii="Times New Roman" w:hAnsi="Times New Roman" w:cs="Times New Roman"/>
          <w:color w:val="000000" w:themeColor="text1"/>
          <w:sz w:val="28"/>
          <w:szCs w:val="28"/>
          <w:lang w:val="en-US"/>
        </w:rPr>
        <w:t xml:space="preserve">and resume </w:t>
      </w:r>
      <w:r w:rsidR="00995956" w:rsidRPr="00570E28">
        <w:rPr>
          <w:rFonts w:ascii="Times New Roman" w:hAnsi="Times New Roman" w:cs="Times New Roman"/>
          <w:color w:val="000000" w:themeColor="text1"/>
          <w:sz w:val="28"/>
          <w:szCs w:val="28"/>
          <w:lang w:val="en-US"/>
        </w:rPr>
        <w:t xml:space="preserve">operation </w:t>
      </w:r>
      <w:r w:rsidRPr="00570E28">
        <w:rPr>
          <w:rFonts w:ascii="Times New Roman" w:hAnsi="Times New Roman" w:cs="Times New Roman"/>
          <w:color w:val="000000" w:themeColor="text1"/>
          <w:sz w:val="28"/>
          <w:szCs w:val="28"/>
          <w:lang w:val="en-US"/>
        </w:rPr>
        <w:t>enterprises per month</w:t>
      </w:r>
      <w:r w:rsidRPr="00570E28">
        <w:rPr>
          <w:rFonts w:ascii="Times New Roman" w:hAnsi="Times New Roman" w:cs="Times New Roman"/>
          <w:sz w:val="28"/>
          <w:szCs w:val="28"/>
          <w:lang w:val="en-US"/>
        </w:rPr>
        <w:t>.</w:t>
      </w:r>
    </w:p>
    <w:p w14:paraId="7DABE804" w14:textId="22F2E221" w:rsidR="00901821" w:rsidRPr="00570E28" w:rsidRDefault="00901821" w:rsidP="00901821">
      <w:pPr>
        <w:spacing w:after="120" w:line="264"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color w:val="000000" w:themeColor="text1"/>
          <w:sz w:val="28"/>
          <w:szCs w:val="28"/>
          <w:lang w:val="en-US"/>
        </w:rPr>
        <w:t>Overall, in the</w:t>
      </w:r>
      <w:r w:rsidR="00364FAC">
        <w:rPr>
          <w:rFonts w:ascii="Times New Roman" w:hAnsi="Times New Roman" w:cs="Times New Roman"/>
          <w:color w:val="000000" w:themeColor="text1"/>
          <w:sz w:val="28"/>
          <w:szCs w:val="28"/>
          <w:lang w:val="en-US"/>
        </w:rPr>
        <w:t xml:space="preserve"> Q1</w:t>
      </w:r>
      <w:r w:rsidRPr="00570E28">
        <w:rPr>
          <w:rFonts w:ascii="Times New Roman" w:hAnsi="Times New Roman" w:cs="Times New Roman"/>
          <w:color w:val="000000" w:themeColor="text1"/>
          <w:sz w:val="28"/>
          <w:szCs w:val="28"/>
          <w:lang w:val="en-US"/>
        </w:rPr>
        <w:t xml:space="preserve"> 2026, the number of enterprises temporarily </w:t>
      </w:r>
      <w:r w:rsidR="005A6D9D" w:rsidRPr="00570E28">
        <w:rPr>
          <w:rFonts w:ascii="Times New Roman" w:hAnsi="Times New Roman" w:cs="Times New Roman"/>
          <w:color w:val="000000" w:themeColor="text1"/>
          <w:sz w:val="28"/>
          <w:szCs w:val="28"/>
          <w:lang w:val="en-US"/>
        </w:rPr>
        <w:t xml:space="preserve">suspended </w:t>
      </w:r>
      <w:r w:rsidRPr="00570E28">
        <w:rPr>
          <w:rFonts w:ascii="Times New Roman" w:hAnsi="Times New Roman" w:cs="Times New Roman"/>
          <w:color w:val="000000" w:themeColor="text1"/>
          <w:spacing w:val="-2"/>
          <w:sz w:val="28"/>
          <w:szCs w:val="28"/>
          <w:lang w:val="en-US"/>
        </w:rPr>
        <w:t>for a definite time</w:t>
      </w:r>
      <w:r w:rsidRPr="00570E28" w:rsidDel="001D303D">
        <w:rPr>
          <w:rFonts w:ascii="Times New Roman" w:hAnsi="Times New Roman" w:cs="Times New Roman"/>
          <w:color w:val="000000" w:themeColor="text1"/>
          <w:sz w:val="28"/>
          <w:szCs w:val="28"/>
          <w:lang w:val="en-US"/>
        </w:rPr>
        <w:t xml:space="preserve"> </w:t>
      </w:r>
      <w:r w:rsidRPr="00570E28">
        <w:rPr>
          <w:rFonts w:ascii="Times New Roman" w:hAnsi="Times New Roman" w:cs="Times New Roman"/>
          <w:color w:val="000000" w:themeColor="text1"/>
          <w:sz w:val="28"/>
          <w:szCs w:val="28"/>
          <w:lang w:val="en-US"/>
        </w:rPr>
        <w:t>was nearly 63.5 thousand enterprises, a year-on-year increase of 3.3%; over 16.6 thousand enterprises suspended operation waiting for dissolution procedures, a year-on-year increase of 44.9%; and over 11.7 thousand enterprises completed procedures for dissolution, a year-on-year increase of 98.8%. On average, 30.6 thousand enterprises withdrew from the market per month.</w:t>
      </w:r>
    </w:p>
    <w:p w14:paraId="46F0DF1C" w14:textId="77777777" w:rsidR="00901821" w:rsidRPr="00570E28" w:rsidRDefault="00901821" w:rsidP="00901821">
      <w:pPr>
        <w:spacing w:before="120" w:after="0" w:line="240" w:lineRule="auto"/>
        <w:ind w:firstLine="720"/>
        <w:jc w:val="both"/>
        <w:rPr>
          <w:rFonts w:ascii="Times New Roman" w:hAnsi="Times New Roman" w:cs="Times New Roman"/>
          <w:b/>
          <w:i/>
          <w:color w:val="000000" w:themeColor="text1"/>
          <w:sz w:val="28"/>
          <w:szCs w:val="28"/>
          <w:lang w:val="en-US"/>
        </w:rPr>
      </w:pPr>
      <w:r w:rsidRPr="00570E28">
        <w:rPr>
          <w:rFonts w:ascii="Times New Roman" w:hAnsi="Times New Roman" w:cs="Times New Roman"/>
          <w:b/>
          <w:i/>
          <w:color w:val="000000" w:themeColor="text1"/>
          <w:sz w:val="28"/>
          <w:szCs w:val="28"/>
          <w:lang w:val="en-US"/>
        </w:rPr>
        <w:t>b) Business tendency of the enterprise</w:t>
      </w:r>
    </w:p>
    <w:p w14:paraId="21AC002D" w14:textId="7BD956B4" w:rsidR="00901821" w:rsidRPr="00570E28" w:rsidRDefault="00995956" w:rsidP="00901821">
      <w:pPr>
        <w:spacing w:before="120" w:after="120" w:line="264" w:lineRule="auto"/>
        <w:ind w:firstLine="720"/>
        <w:jc w:val="both"/>
        <w:rPr>
          <w:rFonts w:ascii="Times New Roman" w:hAnsi="Times New Roman" w:cs="Times New Roman"/>
          <w:bCs/>
          <w:color w:val="000000" w:themeColor="text1"/>
          <w:sz w:val="28"/>
          <w:szCs w:val="28"/>
          <w:lang w:val="en-US"/>
        </w:rPr>
      </w:pPr>
      <w:r w:rsidRPr="00570E28">
        <w:rPr>
          <w:rFonts w:ascii="Times New Roman" w:hAnsi="Times New Roman" w:cs="Times New Roman"/>
          <w:color w:val="000000" w:themeColor="text1"/>
          <w:sz w:val="28"/>
          <w:szCs w:val="28"/>
          <w:lang w:val="en-US"/>
        </w:rPr>
        <w:lastRenderedPageBreak/>
        <w:t>R</w:t>
      </w:r>
      <w:r w:rsidR="00901821" w:rsidRPr="00570E28">
        <w:rPr>
          <w:rFonts w:ascii="Times New Roman" w:hAnsi="Times New Roman" w:cs="Times New Roman"/>
          <w:color w:val="000000" w:themeColor="text1"/>
          <w:sz w:val="28"/>
          <w:szCs w:val="28"/>
          <w:lang w:val="en-US"/>
        </w:rPr>
        <w:t>esults of the business tendency survey of enterprises in the manufacturing in the first quarter of 2026 showed that: 23.8% of enterprises assessed that their business production situation was better than that in the fourth quarter of 2025; 46.1% of enterprises said that the business production situation was stable, and 30.1% of enterprises faced difficulties</w:t>
      </w:r>
      <w:r w:rsidR="00901821" w:rsidRPr="00570E28">
        <w:rPr>
          <w:rFonts w:ascii="Times New Roman" w:hAnsi="Times New Roman" w:cs="Times New Roman"/>
          <w:color w:val="000000" w:themeColor="text1"/>
          <w:sz w:val="28"/>
          <w:szCs w:val="28"/>
          <w:vertAlign w:val="superscript"/>
          <w:lang w:val="en-US"/>
        </w:rPr>
        <w:footnoteReference w:id="16"/>
      </w:r>
      <w:r w:rsidR="00901821" w:rsidRPr="00570E28">
        <w:rPr>
          <w:rFonts w:ascii="Times New Roman" w:hAnsi="Times New Roman" w:cs="Times New Roman"/>
          <w:color w:val="000000" w:themeColor="text1"/>
          <w:sz w:val="28"/>
          <w:szCs w:val="28"/>
          <w:lang w:val="en-US"/>
        </w:rPr>
        <w:t xml:space="preserve">. It is expected that in the second quarter of 2026, 40.8% of enterprises presented that the tendency would get better than that in the first quarter of 2026; 37.5% of enterprises believed the business production situation would be stable, and 21.7% of enterprises predicted that it would be more difficult. Of which, the FDI enterprise sector was the most optimistic with 80.0% of enterprises forecasting </w:t>
      </w:r>
      <w:r w:rsidR="00901821" w:rsidRPr="00570E28">
        <w:rPr>
          <w:rFonts w:ascii="Times New Roman" w:hAnsi="Times New Roman" w:cs="Times New Roman"/>
          <w:color w:val="000000" w:themeColor="text1"/>
          <w:spacing w:val="-2"/>
          <w:sz w:val="28"/>
          <w:szCs w:val="28"/>
          <w:lang w:val="en-US"/>
        </w:rPr>
        <w:t>that the business production situation</w:t>
      </w:r>
      <w:r w:rsidR="00901821" w:rsidRPr="00570E28" w:rsidDel="00F85390">
        <w:rPr>
          <w:rFonts w:ascii="Times New Roman" w:hAnsi="Times New Roman" w:cs="Times New Roman"/>
          <w:color w:val="000000" w:themeColor="text1"/>
          <w:sz w:val="28"/>
          <w:szCs w:val="28"/>
          <w:lang w:val="en-US"/>
        </w:rPr>
        <w:t xml:space="preserve"> </w:t>
      </w:r>
      <w:r w:rsidR="00901821" w:rsidRPr="00570E28">
        <w:rPr>
          <w:rFonts w:ascii="Times New Roman" w:hAnsi="Times New Roman" w:cs="Times New Roman"/>
          <w:color w:val="000000" w:themeColor="text1"/>
          <w:sz w:val="28"/>
          <w:szCs w:val="28"/>
          <w:lang w:val="en-US"/>
        </w:rPr>
        <w:t xml:space="preserve">in the second quarter of 2026 </w:t>
      </w:r>
      <w:r w:rsidR="00901821" w:rsidRPr="00570E28">
        <w:rPr>
          <w:rFonts w:ascii="Times New Roman" w:hAnsi="Times New Roman" w:cs="Times New Roman"/>
          <w:color w:val="000000" w:themeColor="text1"/>
          <w:spacing w:val="-2"/>
          <w:sz w:val="28"/>
          <w:szCs w:val="28"/>
          <w:lang w:val="en-US"/>
        </w:rPr>
        <w:t>would be better and remain stable</w:t>
      </w:r>
      <w:r w:rsidR="00901821" w:rsidRPr="00570E28">
        <w:rPr>
          <w:rFonts w:ascii="Times New Roman" w:hAnsi="Times New Roman" w:cs="Times New Roman"/>
          <w:color w:val="000000" w:themeColor="text1"/>
          <w:sz w:val="28"/>
          <w:szCs w:val="28"/>
          <w:lang w:val="en-US"/>
        </w:rPr>
        <w:t xml:space="preserve"> compared to the first quarter of 2026. These rate in the state-owned enterprise sector</w:t>
      </w:r>
      <w:r w:rsidR="00901821" w:rsidRPr="00570E28" w:rsidDel="00E27F3F">
        <w:rPr>
          <w:rFonts w:ascii="Times New Roman" w:hAnsi="Times New Roman" w:cs="Times New Roman"/>
          <w:color w:val="000000" w:themeColor="text1"/>
          <w:sz w:val="28"/>
          <w:szCs w:val="28"/>
          <w:lang w:val="en-US"/>
        </w:rPr>
        <w:t xml:space="preserve"> </w:t>
      </w:r>
      <w:r w:rsidR="00901821" w:rsidRPr="00570E28">
        <w:rPr>
          <w:rFonts w:ascii="Times New Roman" w:hAnsi="Times New Roman" w:cs="Times New Roman"/>
          <w:color w:val="000000" w:themeColor="text1"/>
          <w:sz w:val="28"/>
          <w:szCs w:val="28"/>
          <w:lang w:val="en-US"/>
        </w:rPr>
        <w:t>and the non-state enterprise sector</w:t>
      </w:r>
      <w:r w:rsidR="00901821" w:rsidRPr="00570E28" w:rsidDel="00E27F3F">
        <w:rPr>
          <w:rFonts w:ascii="Times New Roman" w:hAnsi="Times New Roman" w:cs="Times New Roman"/>
          <w:color w:val="000000" w:themeColor="text1"/>
          <w:sz w:val="28"/>
          <w:szCs w:val="28"/>
          <w:lang w:val="en-US"/>
        </w:rPr>
        <w:t xml:space="preserve"> </w:t>
      </w:r>
      <w:r w:rsidR="00901821" w:rsidRPr="00570E28">
        <w:rPr>
          <w:rFonts w:ascii="Times New Roman" w:hAnsi="Times New Roman" w:cs="Times New Roman"/>
          <w:color w:val="000000" w:themeColor="text1"/>
          <w:sz w:val="28"/>
          <w:szCs w:val="28"/>
          <w:lang w:val="en-US"/>
        </w:rPr>
        <w:t>were 79.6% and 77.3%, respectively.</w:t>
      </w:r>
    </w:p>
    <w:p w14:paraId="5E8F915E" w14:textId="16FF75A2" w:rsidR="00901821" w:rsidRPr="00570E28" w:rsidRDefault="00901821" w:rsidP="00901821">
      <w:pPr>
        <w:spacing w:after="120" w:line="264"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i/>
          <w:color w:val="000000" w:themeColor="text1"/>
          <w:sz w:val="28"/>
          <w:szCs w:val="28"/>
          <w:lang w:val="en-US"/>
        </w:rPr>
        <w:t>Regarding production volume</w:t>
      </w:r>
      <w:r w:rsidRPr="00570E28">
        <w:rPr>
          <w:rFonts w:ascii="Times New Roman" w:hAnsi="Times New Roman" w:cs="Times New Roman"/>
          <w:color w:val="000000" w:themeColor="text1"/>
          <w:sz w:val="28"/>
          <w:szCs w:val="28"/>
          <w:lang w:val="en-US"/>
        </w:rPr>
        <w:t xml:space="preserve">, </w:t>
      </w:r>
      <w:r w:rsidR="005A6D9D" w:rsidRPr="00570E28">
        <w:rPr>
          <w:rFonts w:ascii="Times New Roman" w:hAnsi="Times New Roman" w:cs="Times New Roman"/>
          <w:color w:val="000000" w:themeColor="text1"/>
          <w:sz w:val="28"/>
          <w:szCs w:val="28"/>
          <w:lang w:val="en-US"/>
        </w:rPr>
        <w:t>23.8% of enterprises assessed that the production volume in</w:t>
      </w:r>
      <w:r w:rsidR="00364FAC">
        <w:rPr>
          <w:rFonts w:ascii="Times New Roman" w:hAnsi="Times New Roman" w:cs="Times New Roman"/>
          <w:color w:val="000000" w:themeColor="text1"/>
          <w:sz w:val="28"/>
          <w:szCs w:val="28"/>
          <w:lang w:val="en-US"/>
        </w:rPr>
        <w:t xml:space="preserve"> the</w:t>
      </w:r>
      <w:r w:rsidR="005A6D9D" w:rsidRPr="00570E28">
        <w:rPr>
          <w:rFonts w:ascii="Times New Roman" w:hAnsi="Times New Roman" w:cs="Times New Roman"/>
          <w:color w:val="000000" w:themeColor="text1"/>
          <w:sz w:val="28"/>
          <w:szCs w:val="28"/>
          <w:lang w:val="en-US"/>
        </w:rPr>
        <w:t xml:space="preserve"> Q1 2026 increased</w:t>
      </w:r>
      <w:r w:rsidR="005A6D9D" w:rsidRPr="00570E28" w:rsidDel="00C95BB8">
        <w:rPr>
          <w:rFonts w:ascii="Times New Roman" w:hAnsi="Times New Roman" w:cs="Times New Roman"/>
          <w:color w:val="000000" w:themeColor="text1"/>
          <w:sz w:val="28"/>
          <w:szCs w:val="28"/>
          <w:lang w:val="en-US"/>
        </w:rPr>
        <w:t xml:space="preserve"> </w:t>
      </w:r>
      <w:r w:rsidR="005A6D9D" w:rsidRPr="00570E28">
        <w:rPr>
          <w:rFonts w:ascii="Times New Roman" w:hAnsi="Times New Roman" w:cs="Times New Roman"/>
          <w:color w:val="000000" w:themeColor="text1"/>
          <w:sz w:val="28"/>
          <w:szCs w:val="28"/>
          <w:lang w:val="en-US"/>
        </w:rPr>
        <w:t xml:space="preserve">compared to </w:t>
      </w:r>
      <w:r w:rsidR="00364FAC">
        <w:rPr>
          <w:rFonts w:ascii="Times New Roman" w:hAnsi="Times New Roman" w:cs="Times New Roman"/>
          <w:color w:val="000000" w:themeColor="text1"/>
          <w:sz w:val="28"/>
          <w:szCs w:val="28"/>
          <w:lang w:val="en-US"/>
        </w:rPr>
        <w:t xml:space="preserve">the </w:t>
      </w:r>
      <w:r w:rsidR="005A6D9D" w:rsidRPr="00570E28">
        <w:rPr>
          <w:rFonts w:ascii="Times New Roman" w:hAnsi="Times New Roman" w:cs="Times New Roman"/>
          <w:color w:val="000000" w:themeColor="text1"/>
          <w:sz w:val="28"/>
          <w:szCs w:val="28"/>
          <w:lang w:val="en-US"/>
        </w:rPr>
        <w:t xml:space="preserve">Q4 2025; 45.3% of enterprises considered it stable, and 30.9% of enterprises </w:t>
      </w:r>
      <w:r w:rsidR="005A6D9D" w:rsidRPr="00570E28">
        <w:rPr>
          <w:rFonts w:ascii="Times New Roman" w:hAnsi="Times New Roman" w:cs="Times New Roman"/>
          <w:iCs/>
          <w:color w:val="000000" w:themeColor="text1"/>
          <w:sz w:val="28"/>
          <w:szCs w:val="28"/>
          <w:lang w:val="en-US"/>
        </w:rPr>
        <w:t>reported that the production volume reduced</w:t>
      </w:r>
      <w:r w:rsidR="005A6D9D" w:rsidRPr="00570E28">
        <w:rPr>
          <w:rFonts w:ascii="Times New Roman" w:hAnsi="Times New Roman" w:cs="Times New Roman"/>
          <w:color w:val="000000" w:themeColor="text1"/>
          <w:sz w:val="28"/>
          <w:szCs w:val="28"/>
          <w:vertAlign w:val="superscript"/>
          <w:lang w:val="en-US"/>
        </w:rPr>
        <w:footnoteReference w:id="17"/>
      </w:r>
      <w:r w:rsidR="005A6D9D" w:rsidRPr="00570E28">
        <w:rPr>
          <w:rFonts w:ascii="Times New Roman" w:hAnsi="Times New Roman" w:cs="Times New Roman"/>
          <w:color w:val="000000" w:themeColor="text1"/>
          <w:sz w:val="28"/>
          <w:szCs w:val="28"/>
          <w:lang w:val="en-US"/>
        </w:rPr>
        <w:t>. In comparison with the Q1 2026, the trend in the Q2 2026 showed that 40.0% of enterprises forecasted an increase in production volume; 41.8% of enterprises predicted stability, and 18.2% of enterprises forecasted a decrease.</w:t>
      </w:r>
    </w:p>
    <w:p w14:paraId="44C8A6E1" w14:textId="120C8B96" w:rsidR="00901821" w:rsidRPr="00570E28" w:rsidRDefault="00901821" w:rsidP="00901821">
      <w:pPr>
        <w:spacing w:after="120" w:line="264"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i/>
          <w:color w:val="000000" w:themeColor="text1"/>
          <w:sz w:val="28"/>
          <w:szCs w:val="28"/>
          <w:lang w:val="en-US"/>
        </w:rPr>
        <w:t>Regarding orders</w:t>
      </w:r>
      <w:r w:rsidRPr="00570E28">
        <w:rPr>
          <w:rFonts w:ascii="Times New Roman" w:hAnsi="Times New Roman" w:cs="Times New Roman"/>
          <w:color w:val="000000" w:themeColor="text1"/>
          <w:sz w:val="28"/>
          <w:szCs w:val="28"/>
          <w:lang w:val="en-US"/>
        </w:rPr>
        <w:t xml:space="preserve">, </w:t>
      </w:r>
      <w:r w:rsidR="005A6D9D" w:rsidRPr="00570E28">
        <w:rPr>
          <w:rFonts w:ascii="Times New Roman" w:hAnsi="Times New Roman" w:cs="Times New Roman"/>
          <w:color w:val="000000" w:themeColor="text1"/>
          <w:sz w:val="28"/>
          <w:szCs w:val="28"/>
          <w:lang w:val="en-US"/>
        </w:rPr>
        <w:t xml:space="preserve">21.9% of </w:t>
      </w:r>
      <w:r w:rsidR="005A6D9D" w:rsidRPr="00570E28">
        <w:rPr>
          <w:rFonts w:ascii="Times New Roman" w:hAnsi="Times New Roman" w:cs="Times New Roman"/>
          <w:color w:val="000000" w:themeColor="text1"/>
          <w:spacing w:val="2"/>
          <w:sz w:val="28"/>
          <w:szCs w:val="28"/>
          <w:lang w:val="en-US"/>
        </w:rPr>
        <w:t>enterprises had</w:t>
      </w:r>
      <w:r w:rsidR="005A6D9D" w:rsidRPr="00570E28">
        <w:rPr>
          <w:rFonts w:ascii="Times New Roman" w:hAnsi="Times New Roman" w:cs="Times New Roman"/>
          <w:i/>
          <w:color w:val="000000" w:themeColor="text1"/>
          <w:spacing w:val="2"/>
          <w:sz w:val="28"/>
          <w:szCs w:val="28"/>
          <w:lang w:val="en-US"/>
        </w:rPr>
        <w:t xml:space="preserve"> </w:t>
      </w:r>
      <w:r w:rsidR="005A6D9D" w:rsidRPr="00570E28">
        <w:rPr>
          <w:rFonts w:ascii="Times New Roman" w:hAnsi="Times New Roman" w:cs="Times New Roman"/>
          <w:color w:val="000000" w:themeColor="text1"/>
          <w:spacing w:val="2"/>
          <w:sz w:val="28"/>
          <w:szCs w:val="28"/>
          <w:lang w:val="en-US"/>
        </w:rPr>
        <w:t>more new orders in the</w:t>
      </w:r>
      <w:r w:rsidR="005A6D9D" w:rsidRPr="00570E28">
        <w:rPr>
          <w:rFonts w:ascii="Times New Roman" w:hAnsi="Times New Roman" w:cs="Times New Roman"/>
          <w:color w:val="000000" w:themeColor="text1"/>
          <w:sz w:val="28"/>
          <w:szCs w:val="28"/>
          <w:lang w:val="en-US"/>
        </w:rPr>
        <w:t xml:space="preserve"> Q1 2026 than in the Q4 2025; 49.6% </w:t>
      </w:r>
      <w:r w:rsidR="005A6D9D" w:rsidRPr="00570E28">
        <w:rPr>
          <w:rFonts w:ascii="Times New Roman" w:hAnsi="Times New Roman" w:cs="Times New Roman"/>
          <w:color w:val="000000" w:themeColor="text1"/>
          <w:spacing w:val="2"/>
          <w:sz w:val="28"/>
          <w:szCs w:val="28"/>
          <w:lang w:val="en-US"/>
        </w:rPr>
        <w:t xml:space="preserve">of enterprises </w:t>
      </w:r>
      <w:r w:rsidR="005A6D9D" w:rsidRPr="00570E28">
        <w:rPr>
          <w:rFonts w:ascii="Times New Roman" w:hAnsi="Times New Roman" w:cs="Times New Roman"/>
          <w:iCs/>
          <w:color w:val="000000" w:themeColor="text1"/>
          <w:sz w:val="28"/>
          <w:szCs w:val="28"/>
          <w:lang w:val="en-US"/>
        </w:rPr>
        <w:t>witnessed</w:t>
      </w:r>
      <w:r w:rsidR="005A6D9D" w:rsidRPr="00570E28" w:rsidDel="00C95BB8">
        <w:rPr>
          <w:rFonts w:ascii="Times New Roman" w:hAnsi="Times New Roman" w:cs="Times New Roman"/>
          <w:color w:val="000000" w:themeColor="text1"/>
          <w:sz w:val="28"/>
          <w:szCs w:val="28"/>
          <w:lang w:val="en-US"/>
        </w:rPr>
        <w:t xml:space="preserve"> </w:t>
      </w:r>
      <w:r w:rsidR="005A6D9D" w:rsidRPr="00570E28">
        <w:rPr>
          <w:rFonts w:ascii="Times New Roman" w:hAnsi="Times New Roman" w:cs="Times New Roman"/>
          <w:color w:val="000000" w:themeColor="text1"/>
          <w:sz w:val="28"/>
          <w:szCs w:val="28"/>
          <w:lang w:val="en-US"/>
        </w:rPr>
        <w:t xml:space="preserve">stable orders, and 28.5% </w:t>
      </w:r>
      <w:r w:rsidR="005A6D9D" w:rsidRPr="00570E28">
        <w:rPr>
          <w:rFonts w:ascii="Times New Roman" w:hAnsi="Times New Roman" w:cs="Times New Roman"/>
          <w:color w:val="000000" w:themeColor="text1"/>
          <w:spacing w:val="2"/>
          <w:sz w:val="28"/>
          <w:szCs w:val="28"/>
          <w:lang w:val="en-US"/>
        </w:rPr>
        <w:t xml:space="preserve">of enterprises </w:t>
      </w:r>
      <w:r w:rsidR="005A6D9D" w:rsidRPr="00570E28">
        <w:rPr>
          <w:rFonts w:ascii="Times New Roman" w:hAnsi="Times New Roman" w:cs="Times New Roman"/>
          <w:iCs/>
          <w:color w:val="000000" w:themeColor="text1"/>
          <w:sz w:val="28"/>
          <w:szCs w:val="28"/>
          <w:lang w:val="en-US"/>
        </w:rPr>
        <w:t xml:space="preserve">recorded a </w:t>
      </w:r>
      <w:r w:rsidR="005A6D9D" w:rsidRPr="00570E28">
        <w:rPr>
          <w:rFonts w:ascii="Times New Roman" w:hAnsi="Times New Roman" w:cs="Times New Roman"/>
          <w:color w:val="000000" w:themeColor="text1"/>
          <w:spacing w:val="2"/>
          <w:sz w:val="28"/>
          <w:szCs w:val="28"/>
          <w:lang w:val="en-US"/>
        </w:rPr>
        <w:t>decrease in orders</w:t>
      </w:r>
      <w:r w:rsidR="005A6D9D" w:rsidRPr="00570E28">
        <w:rPr>
          <w:rFonts w:ascii="Times New Roman" w:hAnsi="Times New Roman" w:cs="Times New Roman"/>
          <w:color w:val="000000" w:themeColor="text1"/>
          <w:sz w:val="28"/>
          <w:szCs w:val="28"/>
          <w:vertAlign w:val="superscript"/>
          <w:lang w:val="en-US"/>
        </w:rPr>
        <w:footnoteReference w:id="18"/>
      </w:r>
      <w:r w:rsidR="005A6D9D" w:rsidRPr="00570E28">
        <w:rPr>
          <w:rFonts w:ascii="Times New Roman" w:hAnsi="Times New Roman" w:cs="Times New Roman"/>
          <w:color w:val="000000" w:themeColor="text1"/>
          <w:sz w:val="28"/>
          <w:szCs w:val="28"/>
          <w:lang w:val="en-US"/>
        </w:rPr>
        <w:t xml:space="preserve">. The quarter-on-quarter trend in the Q2 2026 showed that 37.7% </w:t>
      </w:r>
      <w:r w:rsidR="005A6D9D" w:rsidRPr="00570E28">
        <w:rPr>
          <w:rFonts w:ascii="Times New Roman" w:hAnsi="Times New Roman" w:cs="Times New Roman"/>
          <w:color w:val="000000" w:themeColor="text1"/>
          <w:spacing w:val="2"/>
          <w:sz w:val="28"/>
          <w:szCs w:val="28"/>
          <w:lang w:val="en-US"/>
        </w:rPr>
        <w:t>of enterprises expected an increase in new orders</w:t>
      </w:r>
      <w:r w:rsidR="005A6D9D" w:rsidRPr="00570E28">
        <w:rPr>
          <w:rFonts w:ascii="Times New Roman" w:hAnsi="Times New Roman" w:cs="Times New Roman"/>
          <w:color w:val="000000" w:themeColor="text1"/>
          <w:sz w:val="28"/>
          <w:szCs w:val="28"/>
          <w:lang w:val="en-US"/>
        </w:rPr>
        <w:t xml:space="preserve">; 44.2% </w:t>
      </w:r>
      <w:r w:rsidR="005A6D9D" w:rsidRPr="00570E28">
        <w:rPr>
          <w:rFonts w:ascii="Times New Roman" w:hAnsi="Times New Roman" w:cs="Times New Roman"/>
          <w:color w:val="000000" w:themeColor="text1"/>
          <w:spacing w:val="2"/>
          <w:sz w:val="28"/>
          <w:szCs w:val="28"/>
          <w:lang w:val="en-US"/>
        </w:rPr>
        <w:t>of enterprises expected to have stable orders</w:t>
      </w:r>
      <w:r w:rsidR="005A6D9D" w:rsidRPr="00570E28">
        <w:rPr>
          <w:rFonts w:ascii="Times New Roman" w:hAnsi="Times New Roman" w:cs="Times New Roman"/>
          <w:color w:val="000000" w:themeColor="text1"/>
          <w:sz w:val="28"/>
          <w:szCs w:val="28"/>
          <w:lang w:val="en-US"/>
        </w:rPr>
        <w:t xml:space="preserve">, and 18.1% </w:t>
      </w:r>
      <w:r w:rsidR="005A6D9D" w:rsidRPr="00570E28">
        <w:rPr>
          <w:rFonts w:ascii="Times New Roman" w:hAnsi="Times New Roman" w:cs="Times New Roman"/>
          <w:color w:val="000000" w:themeColor="text1"/>
          <w:spacing w:val="2"/>
          <w:sz w:val="28"/>
          <w:szCs w:val="28"/>
          <w:lang w:val="en-US"/>
        </w:rPr>
        <w:t>of enterprises expected a decrease in orders</w:t>
      </w:r>
      <w:r w:rsidRPr="00570E28">
        <w:rPr>
          <w:rFonts w:ascii="Times New Roman" w:hAnsi="Times New Roman" w:cs="Times New Roman"/>
          <w:color w:val="000000" w:themeColor="text1"/>
          <w:sz w:val="28"/>
          <w:szCs w:val="28"/>
          <w:lang w:val="en-US"/>
        </w:rPr>
        <w:t>.</w:t>
      </w:r>
    </w:p>
    <w:p w14:paraId="73DD6C20" w14:textId="5EF2AFF4" w:rsidR="00B84A87" w:rsidRPr="00570E28" w:rsidRDefault="00901821" w:rsidP="00901821">
      <w:pPr>
        <w:spacing w:before="120" w:after="0" w:line="240" w:lineRule="auto"/>
        <w:ind w:firstLine="720"/>
        <w:jc w:val="both"/>
        <w:rPr>
          <w:rFonts w:ascii="Times New Roman" w:hAnsi="Times New Roman" w:cs="Times New Roman"/>
          <w:sz w:val="28"/>
          <w:szCs w:val="28"/>
          <w:lang w:val="en-US"/>
        </w:rPr>
      </w:pPr>
      <w:r w:rsidRPr="00570E28">
        <w:rPr>
          <w:rFonts w:ascii="Times New Roman" w:hAnsi="Times New Roman" w:cs="Times New Roman"/>
          <w:i/>
          <w:color w:val="000000" w:themeColor="text1"/>
          <w:sz w:val="28"/>
          <w:szCs w:val="28"/>
          <w:lang w:val="en-US"/>
        </w:rPr>
        <w:t>Regarding export orders</w:t>
      </w:r>
      <w:r w:rsidRPr="00570E28">
        <w:rPr>
          <w:rFonts w:ascii="Times New Roman" w:hAnsi="Times New Roman" w:cs="Times New Roman"/>
          <w:color w:val="000000" w:themeColor="text1"/>
          <w:sz w:val="28"/>
          <w:szCs w:val="28"/>
          <w:lang w:val="en-US"/>
        </w:rPr>
        <w:t xml:space="preserve">, </w:t>
      </w:r>
      <w:r w:rsidR="005A6D9D" w:rsidRPr="00570E28">
        <w:rPr>
          <w:rFonts w:ascii="Times New Roman" w:hAnsi="Times New Roman" w:cs="Times New Roman"/>
          <w:color w:val="000000" w:themeColor="text1"/>
          <w:sz w:val="28"/>
          <w:szCs w:val="28"/>
          <w:lang w:val="en-US"/>
        </w:rPr>
        <w:t xml:space="preserve">for the quarter-on-quarter trend in the Q1 2026, 17.7% of enterprises confirmed </w:t>
      </w:r>
      <w:r w:rsidR="005A6D9D" w:rsidRPr="00570E28">
        <w:rPr>
          <w:rFonts w:ascii="Times New Roman" w:hAnsi="Times New Roman" w:cs="Times New Roman"/>
          <w:iCs/>
          <w:color w:val="000000" w:themeColor="text1"/>
          <w:sz w:val="28"/>
          <w:szCs w:val="28"/>
          <w:lang w:val="en-US"/>
        </w:rPr>
        <w:t>more</w:t>
      </w:r>
      <w:r w:rsidR="005A6D9D" w:rsidRPr="00570E28">
        <w:rPr>
          <w:rFonts w:ascii="Times New Roman" w:hAnsi="Times New Roman" w:cs="Times New Roman"/>
          <w:color w:val="000000" w:themeColor="text1"/>
          <w:sz w:val="28"/>
          <w:szCs w:val="28"/>
          <w:lang w:val="en-US"/>
        </w:rPr>
        <w:t xml:space="preserve"> new export orders in; 55.0% of enterprises had stable new export orders, and 27.3% of enterprises had fewer new export orders. About the quarter-on-quarter trend in the Q2 2026, 30.3% of enterprises expected an increase in new export orders; 51.0% of enterprises expected </w:t>
      </w:r>
      <w:r w:rsidR="008E33F6" w:rsidRPr="00570E28">
        <w:rPr>
          <w:rFonts w:ascii="Times New Roman" w:hAnsi="Times New Roman" w:cs="Times New Roman"/>
          <w:color w:val="000000" w:themeColor="text1"/>
          <w:sz w:val="28"/>
          <w:szCs w:val="28"/>
          <w:lang w:val="en-US"/>
        </w:rPr>
        <w:t>stability</w:t>
      </w:r>
      <w:r w:rsidR="005A6D9D" w:rsidRPr="00570E28">
        <w:rPr>
          <w:rFonts w:ascii="Times New Roman" w:hAnsi="Times New Roman" w:cs="Times New Roman"/>
          <w:color w:val="000000" w:themeColor="text1"/>
          <w:sz w:val="28"/>
          <w:szCs w:val="28"/>
          <w:lang w:val="en-US"/>
        </w:rPr>
        <w:t xml:space="preserve"> orders, and 18.7% of enterprises </w:t>
      </w:r>
      <w:r w:rsidR="005A6D9D" w:rsidRPr="00570E28">
        <w:rPr>
          <w:rFonts w:ascii="Times New Roman" w:hAnsi="Times New Roman" w:cs="Times New Roman"/>
          <w:color w:val="000000" w:themeColor="text1"/>
          <w:spacing w:val="2"/>
          <w:sz w:val="28"/>
          <w:szCs w:val="28"/>
          <w:lang w:val="en-US"/>
        </w:rPr>
        <w:t xml:space="preserve">expected </w:t>
      </w:r>
      <w:r w:rsidR="005A6D9D" w:rsidRPr="00570E28">
        <w:rPr>
          <w:rFonts w:ascii="Times New Roman" w:hAnsi="Times New Roman" w:cs="Times New Roman"/>
          <w:color w:val="000000" w:themeColor="text1"/>
          <w:sz w:val="28"/>
          <w:szCs w:val="28"/>
          <w:lang w:val="en-US"/>
        </w:rPr>
        <w:t>a decrease</w:t>
      </w:r>
      <w:r w:rsidR="00B84A87" w:rsidRPr="00570E28">
        <w:rPr>
          <w:rFonts w:ascii="Times New Roman" w:hAnsi="Times New Roman" w:cs="Times New Roman"/>
          <w:sz w:val="28"/>
          <w:szCs w:val="28"/>
          <w:lang w:val="en-US"/>
        </w:rPr>
        <w:t>.</w:t>
      </w:r>
    </w:p>
    <w:p w14:paraId="5AE01D64" w14:textId="192E4B03" w:rsidR="008845AE" w:rsidRPr="00570E28" w:rsidRDefault="00501DB8" w:rsidP="008845AE">
      <w:pPr>
        <w:spacing w:after="120" w:line="240" w:lineRule="auto"/>
        <w:ind w:firstLine="720"/>
        <w:jc w:val="both"/>
        <w:rPr>
          <w:b/>
          <w:bCs/>
          <w:color w:val="000000" w:themeColor="text1"/>
          <w:sz w:val="4"/>
          <w:szCs w:val="28"/>
          <w:lang w:val="en-US"/>
        </w:rPr>
      </w:pPr>
      <w:r w:rsidRPr="00570E28">
        <w:rPr>
          <w:rFonts w:ascii="Times New Roman" w:hAnsi="Times New Roman" w:cs="Times New Roman"/>
          <w:b/>
          <w:iCs/>
          <w:color w:val="000000" w:themeColor="text1"/>
          <w:sz w:val="28"/>
          <w:szCs w:val="28"/>
          <w:lang w:val="en-US"/>
        </w:rPr>
        <w:t>5.</w:t>
      </w:r>
      <w:r w:rsidR="00A40119" w:rsidRPr="00570E28">
        <w:rPr>
          <w:rFonts w:ascii="Times New Roman" w:hAnsi="Times New Roman" w:cs="Times New Roman"/>
          <w:b/>
          <w:iCs/>
          <w:color w:val="000000" w:themeColor="text1"/>
          <w:sz w:val="28"/>
          <w:szCs w:val="28"/>
          <w:lang w:val="en-US"/>
        </w:rPr>
        <w:t xml:space="preserve"> </w:t>
      </w:r>
      <w:r w:rsidR="008845AE" w:rsidRPr="00570E28">
        <w:rPr>
          <w:rFonts w:ascii="Times New Roman" w:hAnsi="Times New Roman" w:cs="Times New Roman"/>
          <w:b/>
          <w:color w:val="000000" w:themeColor="text1"/>
          <w:sz w:val="28"/>
          <w:szCs w:val="28"/>
          <w:lang w:val="en-US"/>
        </w:rPr>
        <w:t>Domestic consumer demand increased during holidays, including Tet, along with a rise in the number of international visitors to Viet</w:t>
      </w:r>
      <w:r w:rsidR="00364FAC">
        <w:rPr>
          <w:rFonts w:ascii="Times New Roman" w:hAnsi="Times New Roman" w:cs="Times New Roman"/>
          <w:b/>
          <w:color w:val="000000" w:themeColor="text1"/>
          <w:sz w:val="28"/>
          <w:szCs w:val="28"/>
          <w:lang w:val="en-US"/>
        </w:rPr>
        <w:t xml:space="preserve"> N</w:t>
      </w:r>
      <w:r w:rsidR="008845AE" w:rsidRPr="00570E28">
        <w:rPr>
          <w:rFonts w:ascii="Times New Roman" w:hAnsi="Times New Roman" w:cs="Times New Roman"/>
          <w:b/>
          <w:color w:val="000000" w:themeColor="text1"/>
          <w:sz w:val="28"/>
          <w:szCs w:val="28"/>
          <w:lang w:val="en-US"/>
        </w:rPr>
        <w:t xml:space="preserve">am, serving as important drivers of growth in the trade and services activities in the first quarter of 2026. Overall, in the first quarter of 2026, gross retail </w:t>
      </w:r>
      <w:r w:rsidR="008845AE" w:rsidRPr="00570E28">
        <w:rPr>
          <w:rFonts w:ascii="Times New Roman" w:hAnsi="Times New Roman" w:cs="Times New Roman"/>
          <w:b/>
          <w:color w:val="000000" w:themeColor="text1"/>
          <w:sz w:val="28"/>
          <w:szCs w:val="28"/>
          <w:lang w:val="en-US"/>
        </w:rPr>
        <w:lastRenderedPageBreak/>
        <w:t xml:space="preserve">sales of goods and services were estimated to rise by 10.9% year-on-year; passengers carried increased by 18.3% and passenger </w:t>
      </w:r>
      <w:r w:rsidR="005A6D9D" w:rsidRPr="00570E28">
        <w:rPr>
          <w:rFonts w:ascii="Times New Roman" w:hAnsi="Times New Roman" w:cs="Times New Roman"/>
          <w:b/>
          <w:color w:val="000000" w:themeColor="text1"/>
          <w:sz w:val="28"/>
          <w:szCs w:val="28"/>
          <w:lang w:val="en-US"/>
        </w:rPr>
        <w:t xml:space="preserve">(passenger-kilometers) </w:t>
      </w:r>
      <w:r w:rsidR="008845AE" w:rsidRPr="00570E28">
        <w:rPr>
          <w:rFonts w:ascii="Times New Roman" w:hAnsi="Times New Roman" w:cs="Times New Roman"/>
          <w:b/>
          <w:color w:val="000000" w:themeColor="text1"/>
          <w:sz w:val="28"/>
          <w:szCs w:val="28"/>
          <w:lang w:val="en-US"/>
        </w:rPr>
        <w:t xml:space="preserve">rose by 11.3% over that in the same period last year; freight </w:t>
      </w:r>
      <w:r w:rsidR="005A6D9D" w:rsidRPr="00570E28">
        <w:rPr>
          <w:rFonts w:ascii="Times New Roman" w:hAnsi="Times New Roman" w:cs="Times New Roman"/>
          <w:b/>
          <w:color w:val="000000" w:themeColor="text1"/>
          <w:sz w:val="28"/>
          <w:szCs w:val="28"/>
          <w:lang w:val="en-US"/>
        </w:rPr>
        <w:t xml:space="preserve">transported </w:t>
      </w:r>
      <w:r w:rsidR="008845AE" w:rsidRPr="00570E28">
        <w:rPr>
          <w:rFonts w:ascii="Times New Roman" w:hAnsi="Times New Roman" w:cs="Times New Roman"/>
          <w:b/>
          <w:color w:val="000000" w:themeColor="text1"/>
          <w:sz w:val="28"/>
          <w:szCs w:val="28"/>
          <w:lang w:val="en-US"/>
        </w:rPr>
        <w:t xml:space="preserve">increased by 14.5% and freight </w:t>
      </w:r>
      <w:r w:rsidR="005A6D9D" w:rsidRPr="00570E28">
        <w:rPr>
          <w:rFonts w:ascii="Times New Roman" w:hAnsi="Times New Roman" w:cs="Times New Roman"/>
          <w:b/>
          <w:color w:val="000000" w:themeColor="text1"/>
          <w:sz w:val="28"/>
          <w:szCs w:val="28"/>
          <w:lang w:val="en-US"/>
        </w:rPr>
        <w:t xml:space="preserve">transported (ton-kilometers) </w:t>
      </w:r>
      <w:r w:rsidR="008845AE" w:rsidRPr="00570E28">
        <w:rPr>
          <w:rFonts w:ascii="Times New Roman" w:hAnsi="Times New Roman" w:cs="Times New Roman"/>
          <w:b/>
          <w:color w:val="000000" w:themeColor="text1"/>
          <w:sz w:val="28"/>
          <w:szCs w:val="28"/>
          <w:lang w:val="en-US"/>
        </w:rPr>
        <w:t xml:space="preserve">rose by 12.0%. </w:t>
      </w:r>
      <w:r w:rsidR="005A6D9D" w:rsidRPr="00570E28">
        <w:rPr>
          <w:rFonts w:ascii="Times New Roman" w:eastAsia="Calibri" w:hAnsi="Times New Roman" w:cs="Times New Roman"/>
          <w:b/>
          <w:color w:val="000000" w:themeColor="text1"/>
          <w:sz w:val="28"/>
          <w:szCs w:val="28"/>
          <w:lang w:val="en-US"/>
        </w:rPr>
        <w:t>International</w:t>
      </w:r>
      <w:r w:rsidR="008845AE" w:rsidRPr="00570E28">
        <w:rPr>
          <w:rFonts w:ascii="Times New Roman" w:eastAsia="Calibri" w:hAnsi="Times New Roman" w:cs="Times New Roman"/>
          <w:b/>
          <w:color w:val="000000" w:themeColor="text1"/>
          <w:sz w:val="28"/>
          <w:szCs w:val="28"/>
          <w:lang w:val="en-US"/>
        </w:rPr>
        <w:t xml:space="preserve"> visitors to Viet Nam amounted to 6.76 million arrivals, an increase of 12.4% over that in the same period last year, marking the highest first-quarter level on record. </w:t>
      </w:r>
    </w:p>
    <w:p w14:paraId="62D45E1E" w14:textId="77777777" w:rsidR="008845AE" w:rsidRPr="00570E28" w:rsidRDefault="008845AE" w:rsidP="008845AE">
      <w:pPr>
        <w:spacing w:after="0" w:line="240" w:lineRule="auto"/>
        <w:ind w:firstLine="720"/>
        <w:jc w:val="both"/>
        <w:rPr>
          <w:rFonts w:ascii="Times New Roman" w:hAnsi="Times New Roman" w:cs="Times New Roman"/>
          <w:b/>
          <w:bCs/>
          <w:color w:val="000000" w:themeColor="text1"/>
          <w:sz w:val="28"/>
          <w:szCs w:val="28"/>
          <w:lang w:val="en-US"/>
        </w:rPr>
      </w:pPr>
      <w:r w:rsidRPr="00570E28">
        <w:rPr>
          <w:rFonts w:ascii="Times New Roman" w:hAnsi="Times New Roman" w:cs="Times New Roman"/>
          <w:i/>
          <w:iCs/>
          <w:color w:val="000000" w:themeColor="text1"/>
          <w:sz w:val="28"/>
          <w:szCs w:val="28"/>
          <w:lang w:val="en-US"/>
        </w:rPr>
        <w:t>The gross retail sales of goods and services</w:t>
      </w:r>
      <w:r w:rsidRPr="00570E28">
        <w:rPr>
          <w:rFonts w:ascii="Times New Roman" w:hAnsi="Times New Roman" w:cs="Times New Roman"/>
          <w:iCs/>
          <w:color w:val="000000" w:themeColor="text1"/>
          <w:sz w:val="28"/>
          <w:szCs w:val="28"/>
          <w:lang w:val="en-US"/>
        </w:rPr>
        <w:t xml:space="preserve"> </w:t>
      </w:r>
      <w:r w:rsidRPr="00570E28">
        <w:rPr>
          <w:rFonts w:ascii="Times New Roman" w:hAnsi="Times New Roman" w:cs="Times New Roman"/>
          <w:bCs/>
          <w:iCs/>
          <w:spacing w:val="-4"/>
          <w:sz w:val="28"/>
          <w:szCs w:val="28"/>
          <w:lang w:val="en-US"/>
        </w:rPr>
        <w:t>at current prices in</w:t>
      </w:r>
      <w:r w:rsidRPr="00570E28">
        <w:rPr>
          <w:rFonts w:ascii="Times New Roman" w:hAnsi="Times New Roman" w:cs="Times New Roman"/>
          <w:iCs/>
          <w:sz w:val="28"/>
          <w:szCs w:val="28"/>
          <w:lang w:val="en-US"/>
        </w:rPr>
        <w:t xml:space="preserve"> March 2026 </w:t>
      </w:r>
      <w:r w:rsidRPr="00570E28">
        <w:rPr>
          <w:rFonts w:ascii="Times New Roman" w:hAnsi="Times New Roman" w:cs="Times New Roman"/>
          <w:bCs/>
          <w:iCs/>
          <w:spacing w:val="-4"/>
          <w:sz w:val="28"/>
          <w:szCs w:val="28"/>
          <w:lang w:val="en-US"/>
        </w:rPr>
        <w:t>were estimated at</w:t>
      </w:r>
      <w:r w:rsidRPr="00570E28">
        <w:rPr>
          <w:rFonts w:ascii="Times New Roman" w:hAnsi="Times New Roman" w:cs="Times New Roman"/>
          <w:iCs/>
          <w:sz w:val="28"/>
          <w:szCs w:val="28"/>
          <w:lang w:val="en-US"/>
        </w:rPr>
        <w:t xml:space="preserve"> 638.6 </w:t>
      </w:r>
      <w:r w:rsidRPr="00570E28">
        <w:rPr>
          <w:rFonts w:ascii="Times New Roman" w:hAnsi="Times New Roman" w:cs="Times New Roman"/>
          <w:bCs/>
          <w:iCs/>
          <w:spacing w:val="-4"/>
          <w:sz w:val="28"/>
          <w:szCs w:val="28"/>
          <w:lang w:val="en-US"/>
        </w:rPr>
        <w:t>trillion VND, increasing by</w:t>
      </w:r>
      <w:r w:rsidRPr="00570E28">
        <w:rPr>
          <w:rFonts w:ascii="Times New Roman" w:hAnsi="Times New Roman" w:cs="Times New Roman"/>
          <w:iCs/>
          <w:sz w:val="28"/>
          <w:szCs w:val="28"/>
          <w:lang w:val="en-US"/>
        </w:rPr>
        <w:t xml:space="preserve"> 12.1% year-on-year</w:t>
      </w:r>
      <w:r w:rsidRPr="00570E28">
        <w:rPr>
          <w:rFonts w:ascii="Times New Roman" w:hAnsi="Times New Roman" w:cs="Times New Roman"/>
          <w:iCs/>
          <w:color w:val="000000" w:themeColor="text1"/>
          <w:sz w:val="28"/>
          <w:szCs w:val="28"/>
          <w:lang w:val="en-US"/>
        </w:rPr>
        <w:t xml:space="preserve">. </w:t>
      </w:r>
      <w:r w:rsidRPr="00570E28">
        <w:rPr>
          <w:rFonts w:ascii="Times New Roman" w:eastAsia="Calibri" w:hAnsi="Times New Roman" w:cs="Times New Roman"/>
          <w:bCs/>
          <w:spacing w:val="2"/>
          <w:sz w:val="28"/>
          <w:szCs w:val="28"/>
          <w:lang w:val="en-US"/>
        </w:rPr>
        <w:t xml:space="preserve">Overall, in the first quarter of 2026, </w:t>
      </w:r>
      <w:r w:rsidRPr="00570E28">
        <w:rPr>
          <w:rFonts w:ascii="Times New Roman" w:hAnsi="Times New Roman" w:cs="Times New Roman"/>
          <w:bCs/>
          <w:spacing w:val="-4"/>
          <w:sz w:val="28"/>
          <w:szCs w:val="28"/>
          <w:lang w:val="en-US"/>
        </w:rPr>
        <w:t>the gross retail sales of consumer goods and services at current prices were estimated at</w:t>
      </w:r>
      <w:r w:rsidRPr="00570E28">
        <w:rPr>
          <w:rFonts w:ascii="Times New Roman" w:eastAsia="Calibri" w:hAnsi="Times New Roman" w:cs="Times New Roman"/>
          <w:bCs/>
          <w:spacing w:val="2"/>
          <w:sz w:val="28"/>
          <w:szCs w:val="28"/>
          <w:lang w:val="en-US"/>
        </w:rPr>
        <w:t xml:space="preserve"> 1,902.8 </w:t>
      </w:r>
      <w:r w:rsidRPr="00570E28">
        <w:rPr>
          <w:rFonts w:ascii="Times New Roman" w:hAnsi="Times New Roman" w:cs="Times New Roman"/>
          <w:bCs/>
          <w:spacing w:val="-4"/>
          <w:sz w:val="28"/>
          <w:szCs w:val="28"/>
          <w:lang w:val="en-US"/>
        </w:rPr>
        <w:t>trillion VND</w:t>
      </w:r>
      <w:r w:rsidRPr="00570E28">
        <w:rPr>
          <w:rFonts w:ascii="Times New Roman" w:eastAsia="Calibri" w:hAnsi="Times New Roman" w:cs="Times New Roman"/>
          <w:bCs/>
          <w:spacing w:val="2"/>
          <w:sz w:val="28"/>
          <w:szCs w:val="28"/>
          <w:lang w:val="en-US"/>
        </w:rPr>
        <w:t xml:space="preserve">, </w:t>
      </w:r>
      <w:r w:rsidRPr="00570E28">
        <w:rPr>
          <w:rFonts w:ascii="Times New Roman" w:hAnsi="Times New Roman" w:cs="Times New Roman"/>
          <w:bCs/>
          <w:spacing w:val="-4"/>
          <w:sz w:val="28"/>
          <w:szCs w:val="28"/>
          <w:lang w:val="en-US"/>
        </w:rPr>
        <w:t>increasing by</w:t>
      </w:r>
      <w:r w:rsidRPr="00570E28">
        <w:rPr>
          <w:rFonts w:ascii="Times New Roman" w:eastAsia="Calibri" w:hAnsi="Times New Roman" w:cs="Times New Roman"/>
          <w:bCs/>
          <w:spacing w:val="2"/>
          <w:sz w:val="28"/>
          <w:szCs w:val="28"/>
          <w:lang w:val="en-US"/>
        </w:rPr>
        <w:t xml:space="preserve"> 10.9% </w:t>
      </w:r>
      <w:r w:rsidRPr="00570E28">
        <w:rPr>
          <w:rFonts w:ascii="Times New Roman" w:hAnsi="Times New Roman" w:cs="Times New Roman"/>
          <w:bCs/>
          <w:spacing w:val="-4"/>
          <w:sz w:val="28"/>
          <w:szCs w:val="28"/>
          <w:lang w:val="en-US"/>
        </w:rPr>
        <w:t xml:space="preserve">over that in the </w:t>
      </w:r>
      <w:r w:rsidRPr="00570E28">
        <w:rPr>
          <w:rFonts w:ascii="Times New Roman" w:hAnsi="Times New Roman" w:cs="Times New Roman"/>
          <w:bCs/>
          <w:sz w:val="28"/>
          <w:szCs w:val="28"/>
          <w:lang w:val="en-US"/>
        </w:rPr>
        <w:t>same period last</w:t>
      </w:r>
      <w:r w:rsidRPr="00570E28">
        <w:rPr>
          <w:rFonts w:ascii="Times New Roman" w:hAnsi="Times New Roman" w:cs="Times New Roman"/>
          <w:bCs/>
          <w:spacing w:val="-4"/>
          <w:sz w:val="28"/>
          <w:szCs w:val="28"/>
          <w:lang w:val="en-US"/>
        </w:rPr>
        <w:t xml:space="preserve"> year</w:t>
      </w:r>
      <w:r w:rsidRPr="00570E28">
        <w:rPr>
          <w:rFonts w:ascii="Times New Roman" w:eastAsia="Calibri" w:hAnsi="Times New Roman" w:cs="Times New Roman"/>
          <w:bCs/>
          <w:spacing w:val="2"/>
          <w:sz w:val="28"/>
          <w:szCs w:val="28"/>
          <w:lang w:val="en-US"/>
        </w:rPr>
        <w:t xml:space="preserve">, </w:t>
      </w:r>
      <w:r w:rsidRPr="00570E28">
        <w:rPr>
          <w:rFonts w:ascii="Times New Roman" w:hAnsi="Times New Roman" w:cs="Times New Roman"/>
          <w:bCs/>
          <w:sz w:val="28"/>
          <w:szCs w:val="28"/>
          <w:lang w:val="en-US"/>
        </w:rPr>
        <w:t>if excluding the price rising factor</w:t>
      </w:r>
      <w:r w:rsidRPr="00570E28">
        <w:rPr>
          <w:rFonts w:ascii="Times New Roman" w:hAnsi="Times New Roman" w:cs="Times New Roman"/>
          <w:bCs/>
          <w:spacing w:val="-4"/>
          <w:sz w:val="28"/>
          <w:szCs w:val="28"/>
          <w:lang w:val="en-US"/>
        </w:rPr>
        <w:t>, the increase was</w:t>
      </w:r>
      <w:r w:rsidRPr="00570E28">
        <w:rPr>
          <w:rFonts w:ascii="Times New Roman" w:eastAsia="Calibri" w:hAnsi="Times New Roman" w:cs="Times New Roman"/>
          <w:bCs/>
          <w:spacing w:val="2"/>
          <w:sz w:val="28"/>
          <w:szCs w:val="28"/>
          <w:lang w:val="en-US"/>
        </w:rPr>
        <w:t xml:space="preserve"> 7.0%</w:t>
      </w:r>
      <w:r w:rsidRPr="00570E28">
        <w:rPr>
          <w:rFonts w:ascii="Times New Roman" w:eastAsia="Calibri" w:hAnsi="Times New Roman" w:cs="Times New Roman"/>
          <w:bCs/>
          <w:color w:val="000000" w:themeColor="text1"/>
          <w:spacing w:val="2"/>
          <w:sz w:val="28"/>
          <w:szCs w:val="28"/>
          <w:lang w:val="en-US"/>
        </w:rPr>
        <w:t>.</w:t>
      </w:r>
    </w:p>
    <w:p w14:paraId="082B881B" w14:textId="77777777" w:rsidR="008845AE" w:rsidRPr="00570E28" w:rsidRDefault="008845AE" w:rsidP="008845AE">
      <w:pPr>
        <w:tabs>
          <w:tab w:val="left" w:pos="2835"/>
        </w:tabs>
        <w:spacing w:before="120" w:after="0" w:line="240" w:lineRule="auto"/>
        <w:jc w:val="center"/>
        <w:rPr>
          <w:rFonts w:ascii="Arial" w:hAnsi="Arial" w:cs="Arial"/>
          <w:b/>
          <w:bCs/>
          <w:color w:val="000000" w:themeColor="text1"/>
          <w:spacing w:val="-6"/>
          <w:sz w:val="24"/>
          <w:szCs w:val="20"/>
          <w:lang w:val="en-US"/>
        </w:rPr>
      </w:pPr>
      <w:r w:rsidRPr="00570E28">
        <w:rPr>
          <w:rFonts w:ascii="Arial" w:hAnsi="Arial" w:cs="Arial"/>
          <w:b/>
          <w:spacing w:val="-2"/>
          <w:sz w:val="24"/>
          <w:szCs w:val="26"/>
          <w:lang w:val="en-US"/>
        </w:rPr>
        <w:t>Gross retail sales of consumer goods and services at current prices</w:t>
      </w:r>
    </w:p>
    <w:p w14:paraId="09113A2C" w14:textId="77777777" w:rsidR="008845AE" w:rsidRPr="00570E28" w:rsidRDefault="008845AE" w:rsidP="008845AE">
      <w:pPr>
        <w:tabs>
          <w:tab w:val="left" w:pos="2835"/>
        </w:tabs>
        <w:spacing w:before="120" w:after="0" w:line="240" w:lineRule="auto"/>
        <w:ind w:right="142" w:firstLine="567"/>
        <w:jc w:val="right"/>
        <w:rPr>
          <w:rFonts w:ascii="Arial" w:hAnsi="Arial" w:cs="Arial"/>
          <w:b/>
          <w:bCs/>
          <w:i/>
          <w:color w:val="000000" w:themeColor="text1"/>
          <w:spacing w:val="-6"/>
          <w:sz w:val="20"/>
          <w:szCs w:val="20"/>
          <w:lang w:val="en-US"/>
        </w:rPr>
      </w:pPr>
      <w:r w:rsidRPr="00570E28">
        <w:rPr>
          <w:rFonts w:ascii="Arial" w:hAnsi="Arial"/>
          <w:b/>
          <w:i/>
          <w:sz w:val="20"/>
          <w:lang w:val="en-US"/>
        </w:rPr>
        <w:t>Trillion VND</w:t>
      </w:r>
    </w:p>
    <w:tbl>
      <w:tblPr>
        <w:tblW w:w="9038" w:type="dxa"/>
        <w:jc w:val="center"/>
        <w:tblLayout w:type="fixed"/>
        <w:tblLook w:val="04A0" w:firstRow="1" w:lastRow="0" w:firstColumn="1" w:lastColumn="0" w:noHBand="0" w:noVBand="1"/>
      </w:tblPr>
      <w:tblGrid>
        <w:gridCol w:w="3014"/>
        <w:gridCol w:w="1433"/>
        <w:gridCol w:w="1588"/>
        <w:gridCol w:w="1686"/>
        <w:gridCol w:w="1317"/>
      </w:tblGrid>
      <w:tr w:rsidR="008845AE" w:rsidRPr="00570E28" w14:paraId="40E9FD40" w14:textId="77777777" w:rsidTr="00B6329C">
        <w:trPr>
          <w:cantSplit/>
          <w:trHeight w:val="541"/>
          <w:jc w:val="center"/>
        </w:trPr>
        <w:tc>
          <w:tcPr>
            <w:tcW w:w="3014" w:type="dxa"/>
            <w:vMerge w:val="restart"/>
            <w:tcBorders>
              <w:top w:val="single" w:sz="4" w:space="0" w:color="auto"/>
              <w:left w:val="nil"/>
              <w:bottom w:val="single" w:sz="4" w:space="0" w:color="auto"/>
              <w:right w:val="nil"/>
            </w:tcBorders>
            <w:vAlign w:val="center"/>
            <w:hideMark/>
          </w:tcPr>
          <w:p w14:paraId="74F14C99" w14:textId="77777777" w:rsidR="008845AE" w:rsidRPr="00570E28" w:rsidRDefault="008845AE" w:rsidP="00B6329C">
            <w:pPr>
              <w:spacing w:after="0" w:line="240" w:lineRule="auto"/>
              <w:jc w:val="both"/>
              <w:rPr>
                <w:rFonts w:ascii="Arial" w:hAnsi="Arial" w:cs="Arial"/>
                <w:sz w:val="20"/>
                <w:szCs w:val="20"/>
                <w:lang w:val="en-US"/>
              </w:rPr>
            </w:pPr>
            <w:r w:rsidRPr="00570E28">
              <w:rPr>
                <w:rFonts w:ascii="Arial" w:hAnsi="Arial" w:cs="Arial"/>
                <w:bCs/>
                <w:sz w:val="20"/>
                <w:szCs w:val="20"/>
                <w:lang w:val="en-US"/>
              </w:rPr>
              <w:t> </w:t>
            </w:r>
          </w:p>
        </w:tc>
        <w:tc>
          <w:tcPr>
            <w:tcW w:w="1433" w:type="dxa"/>
            <w:vMerge w:val="restart"/>
            <w:tcBorders>
              <w:top w:val="single" w:sz="4" w:space="0" w:color="auto"/>
              <w:left w:val="nil"/>
              <w:bottom w:val="single" w:sz="4" w:space="0" w:color="auto"/>
              <w:right w:val="nil"/>
            </w:tcBorders>
            <w:vAlign w:val="center"/>
            <w:hideMark/>
          </w:tcPr>
          <w:p w14:paraId="681486A3" w14:textId="77777777" w:rsidR="008845AE" w:rsidRPr="00570E28" w:rsidRDefault="008845AE" w:rsidP="00B6329C">
            <w:pPr>
              <w:spacing w:before="60" w:after="60"/>
              <w:jc w:val="center"/>
              <w:rPr>
                <w:rFonts w:ascii="Arial" w:hAnsi="Arial" w:cs="Arial"/>
                <w:bCs/>
                <w:sz w:val="20"/>
                <w:szCs w:val="20"/>
                <w:lang w:val="en-US"/>
              </w:rPr>
            </w:pPr>
            <w:r w:rsidRPr="00570E28">
              <w:rPr>
                <w:rFonts w:ascii="Arial" w:hAnsi="Arial" w:cs="Arial"/>
                <w:bCs/>
                <w:sz w:val="20"/>
                <w:szCs w:val="20"/>
                <w:lang w:val="en-US"/>
              </w:rPr>
              <w:t xml:space="preserve">Estimate </w:t>
            </w:r>
          </w:p>
          <w:p w14:paraId="767DFB32" w14:textId="77777777" w:rsidR="008845AE" w:rsidRPr="00570E28" w:rsidRDefault="008845AE" w:rsidP="00B6329C">
            <w:pPr>
              <w:spacing w:after="0" w:line="240" w:lineRule="auto"/>
              <w:jc w:val="center"/>
              <w:rPr>
                <w:rFonts w:ascii="Arial" w:hAnsi="Arial" w:cs="Arial"/>
                <w:sz w:val="20"/>
                <w:szCs w:val="20"/>
                <w:lang w:val="en-US"/>
              </w:rPr>
            </w:pPr>
            <w:r w:rsidRPr="00570E28">
              <w:rPr>
                <w:rFonts w:ascii="Arial" w:hAnsi="Arial" w:cs="Arial"/>
                <w:bCs/>
                <w:sz w:val="20"/>
                <w:szCs w:val="20"/>
                <w:lang w:val="en-US"/>
              </w:rPr>
              <w:t>for</w:t>
            </w:r>
            <w:r w:rsidRPr="00570E28">
              <w:rPr>
                <w:rFonts w:ascii="Arial" w:hAnsi="Arial" w:cs="Arial"/>
                <w:sz w:val="20"/>
                <w:szCs w:val="20"/>
                <w:lang w:val="en-US"/>
              </w:rPr>
              <w:t xml:space="preserve"> March</w:t>
            </w:r>
          </w:p>
          <w:p w14:paraId="5A1AA127" w14:textId="77777777" w:rsidR="008845AE" w:rsidRPr="00570E28" w:rsidRDefault="008845AE" w:rsidP="00B6329C">
            <w:pPr>
              <w:spacing w:after="0" w:line="240" w:lineRule="auto"/>
              <w:jc w:val="center"/>
              <w:rPr>
                <w:rFonts w:ascii="Arial" w:hAnsi="Arial" w:cs="Arial"/>
                <w:sz w:val="20"/>
                <w:szCs w:val="20"/>
                <w:lang w:val="en-US"/>
              </w:rPr>
            </w:pPr>
            <w:r w:rsidRPr="00570E28">
              <w:rPr>
                <w:rFonts w:ascii="Arial" w:hAnsi="Arial" w:cs="Arial"/>
                <w:sz w:val="20"/>
                <w:szCs w:val="20"/>
                <w:lang w:val="en-US"/>
              </w:rPr>
              <w:t>2026</w:t>
            </w:r>
          </w:p>
        </w:tc>
        <w:tc>
          <w:tcPr>
            <w:tcW w:w="1588" w:type="dxa"/>
            <w:vMerge w:val="restart"/>
            <w:tcBorders>
              <w:top w:val="single" w:sz="4" w:space="0" w:color="auto"/>
              <w:left w:val="nil"/>
              <w:bottom w:val="single" w:sz="4" w:space="0" w:color="auto"/>
              <w:right w:val="nil"/>
            </w:tcBorders>
            <w:vAlign w:val="center"/>
            <w:hideMark/>
          </w:tcPr>
          <w:p w14:paraId="4AA535E6" w14:textId="77777777" w:rsidR="008845AE" w:rsidRPr="00570E28" w:rsidRDefault="008845AE" w:rsidP="00B6329C">
            <w:pPr>
              <w:spacing w:after="0" w:line="240" w:lineRule="auto"/>
              <w:jc w:val="center"/>
              <w:rPr>
                <w:rFonts w:ascii="Arial" w:hAnsi="Arial" w:cs="Arial"/>
                <w:bCs/>
                <w:sz w:val="20"/>
                <w:szCs w:val="20"/>
                <w:lang w:val="en-US"/>
              </w:rPr>
            </w:pPr>
            <w:r w:rsidRPr="00570E28">
              <w:rPr>
                <w:rFonts w:ascii="Arial" w:hAnsi="Arial" w:cs="Arial"/>
                <w:bCs/>
                <w:sz w:val="20"/>
                <w:szCs w:val="20"/>
                <w:lang w:val="en-US"/>
              </w:rPr>
              <w:t xml:space="preserve">Estimate for </w:t>
            </w:r>
          </w:p>
          <w:p w14:paraId="3F11A580" w14:textId="77777777" w:rsidR="008845AE" w:rsidRPr="00570E28" w:rsidRDefault="008845AE" w:rsidP="00B6329C">
            <w:pPr>
              <w:spacing w:after="0" w:line="240" w:lineRule="auto"/>
              <w:jc w:val="center"/>
              <w:rPr>
                <w:rFonts w:ascii="Arial" w:hAnsi="Arial" w:cs="Arial"/>
                <w:sz w:val="20"/>
                <w:szCs w:val="20"/>
                <w:lang w:val="en-US"/>
              </w:rPr>
            </w:pPr>
            <w:r w:rsidRPr="00570E28">
              <w:rPr>
                <w:rFonts w:ascii="Arial" w:hAnsi="Arial" w:cs="Arial"/>
                <w:bCs/>
                <w:sz w:val="20"/>
                <w:szCs w:val="20"/>
                <w:lang w:val="en-US"/>
              </w:rPr>
              <w:t>1</w:t>
            </w:r>
            <w:r w:rsidRPr="00570E28">
              <w:rPr>
                <w:rFonts w:ascii="Arial" w:hAnsi="Arial" w:cs="Arial"/>
                <w:bCs/>
                <w:sz w:val="20"/>
                <w:szCs w:val="20"/>
                <w:vertAlign w:val="superscript"/>
                <w:lang w:val="en-US"/>
              </w:rPr>
              <w:t>st</w:t>
            </w:r>
            <w:r w:rsidRPr="00570E28">
              <w:rPr>
                <w:rFonts w:ascii="Arial" w:hAnsi="Arial" w:cs="Arial"/>
                <w:bCs/>
                <w:sz w:val="20"/>
                <w:szCs w:val="20"/>
                <w:lang w:val="en-US"/>
              </w:rPr>
              <w:t xml:space="preserve"> quarter</w:t>
            </w:r>
          </w:p>
          <w:p w14:paraId="2306FD63" w14:textId="77777777" w:rsidR="008845AE" w:rsidRPr="00570E28" w:rsidRDefault="008845AE" w:rsidP="00B6329C">
            <w:pPr>
              <w:spacing w:after="0" w:line="240" w:lineRule="auto"/>
              <w:jc w:val="center"/>
              <w:rPr>
                <w:rFonts w:ascii="Arial" w:hAnsi="Arial" w:cs="Arial"/>
                <w:sz w:val="20"/>
                <w:szCs w:val="20"/>
                <w:lang w:val="en-US"/>
              </w:rPr>
            </w:pPr>
            <w:r w:rsidRPr="00570E28">
              <w:rPr>
                <w:rFonts w:ascii="Arial" w:hAnsi="Arial" w:cs="Arial"/>
                <w:sz w:val="20"/>
                <w:szCs w:val="20"/>
                <w:lang w:val="en-US"/>
              </w:rPr>
              <w:t>of 2026</w:t>
            </w:r>
          </w:p>
        </w:tc>
        <w:tc>
          <w:tcPr>
            <w:tcW w:w="3003" w:type="dxa"/>
            <w:gridSpan w:val="2"/>
            <w:tcBorders>
              <w:top w:val="single" w:sz="4" w:space="0" w:color="auto"/>
              <w:left w:val="nil"/>
              <w:bottom w:val="single" w:sz="4" w:space="0" w:color="auto"/>
              <w:right w:val="nil"/>
            </w:tcBorders>
            <w:vAlign w:val="center"/>
            <w:hideMark/>
          </w:tcPr>
          <w:p w14:paraId="5E33894B" w14:textId="77777777" w:rsidR="008845AE" w:rsidRPr="00570E28" w:rsidRDefault="008845AE" w:rsidP="00B6329C">
            <w:pPr>
              <w:spacing w:before="60" w:after="60"/>
              <w:ind w:right="96"/>
              <w:jc w:val="center"/>
              <w:rPr>
                <w:rFonts w:ascii="Arial" w:hAnsi="Arial" w:cs="Arial"/>
                <w:bCs/>
                <w:sz w:val="20"/>
                <w:szCs w:val="20"/>
                <w:lang w:val="en-US"/>
              </w:rPr>
            </w:pPr>
            <w:r w:rsidRPr="00570E28">
              <w:rPr>
                <w:rFonts w:ascii="Arial" w:hAnsi="Arial" w:cs="Arial"/>
                <w:bCs/>
                <w:sz w:val="20"/>
                <w:szCs w:val="20"/>
                <w:lang w:val="en-US"/>
              </w:rPr>
              <w:t xml:space="preserve">Year-On-Year </w:t>
            </w:r>
          </w:p>
          <w:p w14:paraId="7A26E346" w14:textId="77777777" w:rsidR="008845AE" w:rsidRPr="00570E28" w:rsidRDefault="008845AE" w:rsidP="00B6329C">
            <w:pPr>
              <w:spacing w:after="0" w:line="240" w:lineRule="auto"/>
              <w:jc w:val="center"/>
              <w:rPr>
                <w:rFonts w:ascii="Arial" w:hAnsi="Arial" w:cs="Arial"/>
                <w:sz w:val="20"/>
                <w:szCs w:val="20"/>
                <w:lang w:val="en-US"/>
              </w:rPr>
            </w:pPr>
            <w:r w:rsidRPr="00570E28">
              <w:rPr>
                <w:rFonts w:ascii="Arial" w:hAnsi="Arial" w:cs="Arial"/>
                <w:bCs/>
                <w:sz w:val="20"/>
                <w:szCs w:val="20"/>
                <w:lang w:val="en-US"/>
              </w:rPr>
              <w:t>Growth rate</w:t>
            </w:r>
            <w:r w:rsidRPr="00570E28">
              <w:rPr>
                <w:rFonts w:ascii="Arial" w:hAnsi="Arial" w:cs="Arial"/>
                <w:sz w:val="20"/>
                <w:szCs w:val="20"/>
                <w:lang w:val="en-US"/>
              </w:rPr>
              <w:t xml:space="preserve"> (%)</w:t>
            </w:r>
          </w:p>
        </w:tc>
      </w:tr>
      <w:tr w:rsidR="008845AE" w:rsidRPr="00570E28" w14:paraId="7128091F" w14:textId="77777777" w:rsidTr="00B6329C">
        <w:trPr>
          <w:cantSplit/>
          <w:trHeight w:val="452"/>
          <w:jc w:val="center"/>
        </w:trPr>
        <w:tc>
          <w:tcPr>
            <w:tcW w:w="3014" w:type="dxa"/>
            <w:vMerge/>
            <w:tcBorders>
              <w:top w:val="single" w:sz="4" w:space="0" w:color="auto"/>
              <w:left w:val="nil"/>
              <w:bottom w:val="single" w:sz="4" w:space="0" w:color="auto"/>
              <w:right w:val="nil"/>
            </w:tcBorders>
            <w:vAlign w:val="center"/>
            <w:hideMark/>
          </w:tcPr>
          <w:p w14:paraId="6BA54DCC" w14:textId="77777777" w:rsidR="008845AE" w:rsidRPr="00570E28" w:rsidRDefault="008845AE" w:rsidP="00B6329C">
            <w:pPr>
              <w:spacing w:after="0" w:line="240" w:lineRule="auto"/>
              <w:rPr>
                <w:rFonts w:ascii="Arial" w:hAnsi="Arial" w:cs="Arial"/>
                <w:sz w:val="20"/>
                <w:szCs w:val="20"/>
                <w:lang w:val="en-US"/>
              </w:rPr>
            </w:pPr>
          </w:p>
        </w:tc>
        <w:tc>
          <w:tcPr>
            <w:tcW w:w="1433" w:type="dxa"/>
            <w:vMerge/>
            <w:tcBorders>
              <w:top w:val="single" w:sz="4" w:space="0" w:color="auto"/>
              <w:left w:val="nil"/>
              <w:bottom w:val="single" w:sz="4" w:space="0" w:color="auto"/>
              <w:right w:val="nil"/>
            </w:tcBorders>
            <w:vAlign w:val="center"/>
            <w:hideMark/>
          </w:tcPr>
          <w:p w14:paraId="3FA68B3D" w14:textId="77777777" w:rsidR="008845AE" w:rsidRPr="00570E28" w:rsidRDefault="008845AE" w:rsidP="00B6329C">
            <w:pPr>
              <w:spacing w:after="0" w:line="240" w:lineRule="auto"/>
              <w:rPr>
                <w:rFonts w:ascii="Arial" w:hAnsi="Arial" w:cs="Arial"/>
                <w:sz w:val="20"/>
                <w:szCs w:val="20"/>
                <w:lang w:val="en-US"/>
              </w:rPr>
            </w:pPr>
          </w:p>
        </w:tc>
        <w:tc>
          <w:tcPr>
            <w:tcW w:w="1588" w:type="dxa"/>
            <w:vMerge/>
            <w:tcBorders>
              <w:top w:val="single" w:sz="4" w:space="0" w:color="auto"/>
              <w:left w:val="nil"/>
              <w:bottom w:val="single" w:sz="4" w:space="0" w:color="auto"/>
              <w:right w:val="nil"/>
            </w:tcBorders>
            <w:vAlign w:val="center"/>
            <w:hideMark/>
          </w:tcPr>
          <w:p w14:paraId="73386E03" w14:textId="77777777" w:rsidR="008845AE" w:rsidRPr="00570E28" w:rsidRDefault="008845AE" w:rsidP="00B6329C">
            <w:pPr>
              <w:spacing w:after="0" w:line="240" w:lineRule="auto"/>
              <w:rPr>
                <w:rFonts w:ascii="Arial" w:hAnsi="Arial" w:cs="Arial"/>
                <w:sz w:val="20"/>
                <w:szCs w:val="20"/>
                <w:lang w:val="en-US"/>
              </w:rPr>
            </w:pPr>
          </w:p>
        </w:tc>
        <w:tc>
          <w:tcPr>
            <w:tcW w:w="1686" w:type="dxa"/>
            <w:tcBorders>
              <w:top w:val="single" w:sz="4" w:space="0" w:color="auto"/>
              <w:left w:val="nil"/>
              <w:bottom w:val="single" w:sz="4" w:space="0" w:color="auto"/>
              <w:right w:val="nil"/>
            </w:tcBorders>
            <w:vAlign w:val="center"/>
            <w:hideMark/>
          </w:tcPr>
          <w:p w14:paraId="56E15489" w14:textId="77777777" w:rsidR="008845AE" w:rsidRPr="00570E28" w:rsidRDefault="008845AE" w:rsidP="00B6329C">
            <w:pPr>
              <w:spacing w:after="0" w:line="240" w:lineRule="auto"/>
              <w:jc w:val="center"/>
              <w:rPr>
                <w:rFonts w:ascii="Arial" w:hAnsi="Arial" w:cs="Arial"/>
                <w:sz w:val="20"/>
                <w:szCs w:val="20"/>
                <w:lang w:val="en-US"/>
              </w:rPr>
            </w:pPr>
            <w:r w:rsidRPr="00570E28">
              <w:rPr>
                <w:rFonts w:ascii="Arial" w:hAnsi="Arial" w:cs="Arial"/>
                <w:sz w:val="20"/>
                <w:szCs w:val="20"/>
                <w:lang w:val="en-US"/>
              </w:rPr>
              <w:t>March</w:t>
            </w:r>
          </w:p>
          <w:p w14:paraId="1D74F7E5" w14:textId="77777777" w:rsidR="008845AE" w:rsidRPr="00570E28" w:rsidRDefault="008845AE" w:rsidP="00B6329C">
            <w:pPr>
              <w:spacing w:after="0" w:line="240" w:lineRule="auto"/>
              <w:jc w:val="center"/>
              <w:rPr>
                <w:rFonts w:ascii="Arial" w:hAnsi="Arial" w:cs="Arial"/>
                <w:sz w:val="20"/>
                <w:szCs w:val="20"/>
                <w:lang w:val="en-US"/>
              </w:rPr>
            </w:pPr>
            <w:r w:rsidRPr="00570E28">
              <w:rPr>
                <w:rFonts w:ascii="Arial" w:hAnsi="Arial" w:cs="Arial"/>
                <w:sz w:val="20"/>
                <w:szCs w:val="20"/>
                <w:lang w:val="en-US"/>
              </w:rPr>
              <w:t>2026</w:t>
            </w:r>
          </w:p>
        </w:tc>
        <w:tc>
          <w:tcPr>
            <w:tcW w:w="1317" w:type="dxa"/>
            <w:tcBorders>
              <w:top w:val="single" w:sz="4" w:space="0" w:color="auto"/>
              <w:left w:val="nil"/>
              <w:bottom w:val="single" w:sz="4" w:space="0" w:color="auto"/>
              <w:right w:val="nil"/>
            </w:tcBorders>
            <w:vAlign w:val="center"/>
            <w:hideMark/>
          </w:tcPr>
          <w:p w14:paraId="2B56C3CA" w14:textId="77777777" w:rsidR="008845AE" w:rsidRPr="00570E28" w:rsidRDefault="008845AE" w:rsidP="00B6329C">
            <w:pPr>
              <w:spacing w:after="0" w:line="240" w:lineRule="auto"/>
              <w:jc w:val="center"/>
              <w:rPr>
                <w:rFonts w:ascii="Arial" w:hAnsi="Arial" w:cs="Arial"/>
                <w:sz w:val="20"/>
                <w:szCs w:val="20"/>
                <w:lang w:val="en-US"/>
              </w:rPr>
            </w:pPr>
            <w:r w:rsidRPr="00570E28">
              <w:rPr>
                <w:rFonts w:ascii="Arial" w:hAnsi="Arial" w:cs="Arial"/>
                <w:bCs/>
                <w:sz w:val="20"/>
                <w:szCs w:val="20"/>
                <w:lang w:val="en-US"/>
              </w:rPr>
              <w:t>1</w:t>
            </w:r>
            <w:r w:rsidRPr="00570E28">
              <w:rPr>
                <w:rFonts w:ascii="Arial" w:hAnsi="Arial" w:cs="Arial"/>
                <w:bCs/>
                <w:sz w:val="20"/>
                <w:szCs w:val="20"/>
                <w:vertAlign w:val="superscript"/>
                <w:lang w:val="en-US"/>
              </w:rPr>
              <w:t>st</w:t>
            </w:r>
            <w:r w:rsidRPr="00570E28">
              <w:rPr>
                <w:rFonts w:ascii="Arial" w:hAnsi="Arial" w:cs="Arial"/>
                <w:bCs/>
                <w:sz w:val="20"/>
                <w:szCs w:val="20"/>
                <w:lang w:val="en-US"/>
              </w:rPr>
              <w:t xml:space="preserve"> quarter</w:t>
            </w:r>
          </w:p>
          <w:p w14:paraId="3AA1EDAE" w14:textId="77777777" w:rsidR="008845AE" w:rsidRPr="00570E28" w:rsidRDefault="008845AE" w:rsidP="00B6329C">
            <w:pPr>
              <w:spacing w:after="0" w:line="240" w:lineRule="auto"/>
              <w:jc w:val="center"/>
              <w:rPr>
                <w:rFonts w:ascii="Arial" w:hAnsi="Arial" w:cs="Arial"/>
                <w:sz w:val="20"/>
                <w:szCs w:val="20"/>
                <w:lang w:val="en-US"/>
              </w:rPr>
            </w:pPr>
            <w:r w:rsidRPr="00570E28">
              <w:rPr>
                <w:rFonts w:ascii="Arial" w:hAnsi="Arial" w:cs="Arial"/>
                <w:sz w:val="20"/>
                <w:szCs w:val="20"/>
                <w:lang w:val="en-US"/>
              </w:rPr>
              <w:t>of 2026</w:t>
            </w:r>
          </w:p>
        </w:tc>
      </w:tr>
      <w:tr w:rsidR="008845AE" w:rsidRPr="00570E28" w14:paraId="7B5DAD16" w14:textId="77777777" w:rsidTr="00B6329C">
        <w:trPr>
          <w:cantSplit/>
          <w:trHeight w:val="276"/>
          <w:jc w:val="center"/>
        </w:trPr>
        <w:tc>
          <w:tcPr>
            <w:tcW w:w="3014" w:type="dxa"/>
            <w:tcBorders>
              <w:top w:val="single" w:sz="4" w:space="0" w:color="auto"/>
              <w:left w:val="nil"/>
              <w:bottom w:val="nil"/>
              <w:right w:val="nil"/>
            </w:tcBorders>
            <w:vAlign w:val="center"/>
            <w:hideMark/>
          </w:tcPr>
          <w:p w14:paraId="27F2CD18" w14:textId="77777777" w:rsidR="008845AE" w:rsidRPr="00570E28" w:rsidRDefault="008845AE" w:rsidP="00B6329C">
            <w:pPr>
              <w:spacing w:before="60" w:after="60" w:line="256" w:lineRule="auto"/>
              <w:rPr>
                <w:rFonts w:ascii="Arial" w:hAnsi="Arial" w:cs="Arial"/>
                <w:b/>
                <w:bCs/>
                <w:sz w:val="20"/>
                <w:szCs w:val="20"/>
                <w:lang w:val="en-US"/>
              </w:rPr>
            </w:pPr>
            <w:r w:rsidRPr="00570E28">
              <w:rPr>
                <w:rFonts w:ascii="Arial" w:hAnsi="Arial" w:cs="Arial"/>
                <w:b/>
                <w:bCs/>
                <w:sz w:val="20"/>
                <w:szCs w:val="20"/>
                <w:lang w:val="en-US"/>
              </w:rPr>
              <w:t>Total</w:t>
            </w:r>
          </w:p>
        </w:tc>
        <w:tc>
          <w:tcPr>
            <w:tcW w:w="1433" w:type="dxa"/>
            <w:tcBorders>
              <w:top w:val="single" w:sz="4" w:space="0" w:color="auto"/>
              <w:left w:val="nil"/>
              <w:bottom w:val="nil"/>
              <w:right w:val="nil"/>
            </w:tcBorders>
            <w:vAlign w:val="center"/>
            <w:hideMark/>
          </w:tcPr>
          <w:p w14:paraId="28B2DBAD" w14:textId="77777777" w:rsidR="008845AE" w:rsidRPr="00570E28" w:rsidRDefault="008845AE" w:rsidP="00B6329C">
            <w:pPr>
              <w:spacing w:before="60" w:after="60" w:line="256" w:lineRule="auto"/>
              <w:ind w:right="281"/>
              <w:jc w:val="right"/>
              <w:rPr>
                <w:rFonts w:ascii="Arial" w:hAnsi="Arial" w:cs="Arial"/>
                <w:b/>
                <w:bCs/>
                <w:sz w:val="20"/>
                <w:szCs w:val="20"/>
                <w:lang w:val="en-US"/>
              </w:rPr>
            </w:pPr>
            <w:r w:rsidRPr="00570E28">
              <w:rPr>
                <w:rFonts w:ascii="Arial" w:hAnsi="Arial" w:cs="Arial"/>
                <w:b/>
                <w:bCs/>
                <w:sz w:val="20"/>
                <w:szCs w:val="20"/>
                <w:lang w:val="en-US"/>
              </w:rPr>
              <w:t>638.6</w:t>
            </w:r>
          </w:p>
        </w:tc>
        <w:tc>
          <w:tcPr>
            <w:tcW w:w="1588" w:type="dxa"/>
            <w:tcBorders>
              <w:top w:val="single" w:sz="4" w:space="0" w:color="auto"/>
              <w:left w:val="nil"/>
              <w:bottom w:val="nil"/>
              <w:right w:val="nil"/>
            </w:tcBorders>
            <w:vAlign w:val="center"/>
            <w:hideMark/>
          </w:tcPr>
          <w:p w14:paraId="70A23A09" w14:textId="77777777" w:rsidR="008845AE" w:rsidRPr="00570E28" w:rsidRDefault="008845AE" w:rsidP="00B6329C">
            <w:pPr>
              <w:spacing w:before="60" w:after="60" w:line="256" w:lineRule="auto"/>
              <w:ind w:right="330"/>
              <w:jc w:val="right"/>
              <w:rPr>
                <w:rFonts w:ascii="Arial" w:hAnsi="Arial" w:cs="Arial"/>
                <w:b/>
                <w:bCs/>
                <w:sz w:val="20"/>
                <w:szCs w:val="20"/>
                <w:lang w:val="en-US"/>
              </w:rPr>
            </w:pPr>
            <w:r w:rsidRPr="00570E28">
              <w:rPr>
                <w:rFonts w:ascii="Arial" w:hAnsi="Arial" w:cs="Arial"/>
                <w:b/>
                <w:bCs/>
                <w:sz w:val="20"/>
                <w:szCs w:val="20"/>
                <w:lang w:val="en-US"/>
              </w:rPr>
              <w:t>1,902.8</w:t>
            </w:r>
          </w:p>
        </w:tc>
        <w:tc>
          <w:tcPr>
            <w:tcW w:w="1686" w:type="dxa"/>
            <w:tcBorders>
              <w:top w:val="single" w:sz="4" w:space="0" w:color="auto"/>
              <w:left w:val="nil"/>
              <w:bottom w:val="nil"/>
              <w:right w:val="nil"/>
            </w:tcBorders>
            <w:vAlign w:val="center"/>
            <w:hideMark/>
          </w:tcPr>
          <w:p w14:paraId="1A996255" w14:textId="77777777" w:rsidR="008845AE" w:rsidRPr="00570E28" w:rsidRDefault="008845AE" w:rsidP="00B6329C">
            <w:pPr>
              <w:spacing w:before="60" w:after="60" w:line="256" w:lineRule="auto"/>
              <w:ind w:right="486"/>
              <w:jc w:val="right"/>
              <w:rPr>
                <w:rFonts w:ascii="Arial" w:hAnsi="Arial" w:cs="Arial"/>
                <w:b/>
                <w:bCs/>
                <w:sz w:val="20"/>
                <w:szCs w:val="20"/>
                <w:lang w:val="en-US"/>
              </w:rPr>
            </w:pPr>
            <w:r w:rsidRPr="00570E28">
              <w:rPr>
                <w:rFonts w:ascii="Arial" w:hAnsi="Arial" w:cs="Arial"/>
                <w:b/>
                <w:bCs/>
                <w:sz w:val="20"/>
                <w:szCs w:val="20"/>
                <w:lang w:val="en-US"/>
              </w:rPr>
              <w:t>12.1</w:t>
            </w:r>
          </w:p>
        </w:tc>
        <w:tc>
          <w:tcPr>
            <w:tcW w:w="1317" w:type="dxa"/>
            <w:tcBorders>
              <w:top w:val="single" w:sz="4" w:space="0" w:color="auto"/>
              <w:left w:val="nil"/>
              <w:bottom w:val="nil"/>
              <w:right w:val="nil"/>
            </w:tcBorders>
            <w:vAlign w:val="center"/>
            <w:hideMark/>
          </w:tcPr>
          <w:p w14:paraId="095E227C" w14:textId="77777777" w:rsidR="008845AE" w:rsidRPr="00570E28" w:rsidRDefault="008845AE" w:rsidP="00B6329C">
            <w:pPr>
              <w:spacing w:before="60" w:after="60" w:line="256" w:lineRule="auto"/>
              <w:ind w:right="410"/>
              <w:jc w:val="right"/>
              <w:rPr>
                <w:rFonts w:ascii="Arial" w:hAnsi="Arial" w:cs="Arial"/>
                <w:b/>
                <w:bCs/>
                <w:sz w:val="20"/>
                <w:szCs w:val="20"/>
                <w:lang w:val="en-US"/>
              </w:rPr>
            </w:pPr>
            <w:r w:rsidRPr="00570E28">
              <w:rPr>
                <w:rFonts w:ascii="Arial" w:hAnsi="Arial" w:cs="Arial"/>
                <w:b/>
                <w:bCs/>
                <w:sz w:val="20"/>
                <w:szCs w:val="20"/>
                <w:lang w:val="en-US"/>
              </w:rPr>
              <w:t>10.9</w:t>
            </w:r>
          </w:p>
        </w:tc>
      </w:tr>
      <w:tr w:rsidR="008845AE" w:rsidRPr="00570E28" w14:paraId="31412822" w14:textId="77777777" w:rsidTr="00B6329C">
        <w:trPr>
          <w:cantSplit/>
          <w:trHeight w:val="287"/>
          <w:jc w:val="center"/>
        </w:trPr>
        <w:tc>
          <w:tcPr>
            <w:tcW w:w="3014" w:type="dxa"/>
            <w:vAlign w:val="center"/>
            <w:hideMark/>
          </w:tcPr>
          <w:p w14:paraId="53C60E1E" w14:textId="77777777" w:rsidR="008845AE" w:rsidRPr="00570E28" w:rsidRDefault="008845AE" w:rsidP="00B6329C">
            <w:pPr>
              <w:spacing w:before="60" w:after="60" w:line="256" w:lineRule="auto"/>
              <w:ind w:firstLine="317"/>
              <w:rPr>
                <w:rFonts w:ascii="Arial" w:hAnsi="Arial" w:cs="Arial"/>
                <w:sz w:val="20"/>
                <w:szCs w:val="20"/>
                <w:lang w:val="en-US"/>
              </w:rPr>
            </w:pPr>
            <w:r w:rsidRPr="00570E28">
              <w:rPr>
                <w:rFonts w:ascii="Arial" w:hAnsi="Arial" w:cs="Arial"/>
                <w:bCs/>
                <w:sz w:val="20"/>
                <w:szCs w:val="20"/>
                <w:lang w:val="en-US"/>
              </w:rPr>
              <w:t>Retail sales of goods</w:t>
            </w:r>
          </w:p>
        </w:tc>
        <w:tc>
          <w:tcPr>
            <w:tcW w:w="1433" w:type="dxa"/>
            <w:vAlign w:val="center"/>
            <w:hideMark/>
          </w:tcPr>
          <w:p w14:paraId="701868BE" w14:textId="77777777" w:rsidR="008845AE" w:rsidRPr="00570E28" w:rsidRDefault="008845AE" w:rsidP="00B6329C">
            <w:pPr>
              <w:spacing w:before="60" w:after="60" w:line="256" w:lineRule="auto"/>
              <w:ind w:right="281"/>
              <w:jc w:val="right"/>
              <w:rPr>
                <w:rFonts w:ascii="Arial" w:hAnsi="Arial" w:cs="Arial"/>
                <w:bCs/>
                <w:sz w:val="20"/>
                <w:szCs w:val="20"/>
                <w:lang w:val="en-US"/>
              </w:rPr>
            </w:pPr>
            <w:r w:rsidRPr="00570E28">
              <w:rPr>
                <w:rFonts w:ascii="Arial" w:hAnsi="Arial" w:cs="Arial"/>
                <w:sz w:val="20"/>
                <w:szCs w:val="20"/>
                <w:lang w:val="en-US"/>
              </w:rPr>
              <w:t>485.8</w:t>
            </w:r>
          </w:p>
        </w:tc>
        <w:tc>
          <w:tcPr>
            <w:tcW w:w="1588" w:type="dxa"/>
            <w:vAlign w:val="center"/>
            <w:hideMark/>
          </w:tcPr>
          <w:p w14:paraId="737724AD" w14:textId="77777777" w:rsidR="008845AE" w:rsidRPr="00570E28" w:rsidRDefault="008845AE" w:rsidP="00B6329C">
            <w:pPr>
              <w:spacing w:before="60" w:after="60" w:line="256" w:lineRule="auto"/>
              <w:ind w:right="330"/>
              <w:jc w:val="right"/>
              <w:rPr>
                <w:rFonts w:ascii="Arial" w:hAnsi="Arial" w:cs="Arial"/>
                <w:bCs/>
                <w:sz w:val="20"/>
                <w:szCs w:val="20"/>
                <w:lang w:val="en-US"/>
              </w:rPr>
            </w:pPr>
            <w:r w:rsidRPr="00570E28">
              <w:rPr>
                <w:rFonts w:ascii="Arial" w:hAnsi="Arial" w:cs="Arial"/>
                <w:sz w:val="20"/>
                <w:szCs w:val="20"/>
                <w:lang w:val="en-US"/>
              </w:rPr>
              <w:t>1,452.4</w:t>
            </w:r>
          </w:p>
        </w:tc>
        <w:tc>
          <w:tcPr>
            <w:tcW w:w="1686" w:type="dxa"/>
            <w:vAlign w:val="center"/>
            <w:hideMark/>
          </w:tcPr>
          <w:p w14:paraId="3CC6F12A" w14:textId="77777777" w:rsidR="008845AE" w:rsidRPr="00570E28" w:rsidRDefault="008845AE" w:rsidP="00B6329C">
            <w:pPr>
              <w:spacing w:before="60" w:after="60" w:line="256" w:lineRule="auto"/>
              <w:ind w:right="486"/>
              <w:jc w:val="right"/>
              <w:rPr>
                <w:rFonts w:ascii="Arial" w:hAnsi="Arial" w:cs="Arial"/>
                <w:bCs/>
                <w:sz w:val="20"/>
                <w:szCs w:val="20"/>
                <w:lang w:val="en-US"/>
              </w:rPr>
            </w:pPr>
            <w:r w:rsidRPr="00570E28">
              <w:rPr>
                <w:rFonts w:ascii="Arial" w:hAnsi="Arial" w:cs="Arial"/>
                <w:sz w:val="20"/>
                <w:szCs w:val="20"/>
                <w:lang w:val="en-US"/>
              </w:rPr>
              <w:t>12.4</w:t>
            </w:r>
          </w:p>
        </w:tc>
        <w:tc>
          <w:tcPr>
            <w:tcW w:w="1317" w:type="dxa"/>
            <w:vAlign w:val="center"/>
            <w:hideMark/>
          </w:tcPr>
          <w:p w14:paraId="371EBCE3" w14:textId="77777777" w:rsidR="008845AE" w:rsidRPr="00570E28" w:rsidRDefault="008845AE" w:rsidP="00B6329C">
            <w:pPr>
              <w:spacing w:before="60" w:after="60" w:line="256" w:lineRule="auto"/>
              <w:ind w:right="410"/>
              <w:jc w:val="right"/>
              <w:rPr>
                <w:rFonts w:ascii="Arial" w:hAnsi="Arial" w:cs="Arial"/>
                <w:bCs/>
                <w:sz w:val="20"/>
                <w:szCs w:val="20"/>
                <w:lang w:val="en-US"/>
              </w:rPr>
            </w:pPr>
            <w:r w:rsidRPr="00570E28">
              <w:rPr>
                <w:rFonts w:ascii="Arial" w:hAnsi="Arial" w:cs="Arial"/>
                <w:sz w:val="20"/>
                <w:szCs w:val="20"/>
                <w:lang w:val="en-US"/>
              </w:rPr>
              <w:t>10.9</w:t>
            </w:r>
          </w:p>
        </w:tc>
      </w:tr>
      <w:tr w:rsidR="008845AE" w:rsidRPr="00570E28" w14:paraId="1EBBC563" w14:textId="77777777" w:rsidTr="00B6329C">
        <w:trPr>
          <w:cantSplit/>
          <w:trHeight w:val="287"/>
          <w:jc w:val="center"/>
        </w:trPr>
        <w:tc>
          <w:tcPr>
            <w:tcW w:w="3014" w:type="dxa"/>
            <w:vAlign w:val="center"/>
            <w:hideMark/>
          </w:tcPr>
          <w:p w14:paraId="2BAD67C3" w14:textId="1F5516A8" w:rsidR="008845AE" w:rsidRPr="00570E28" w:rsidRDefault="008845AE" w:rsidP="00B6329C">
            <w:pPr>
              <w:spacing w:before="60" w:after="60" w:line="256" w:lineRule="auto"/>
              <w:ind w:firstLine="317"/>
              <w:rPr>
                <w:rFonts w:ascii="Arial" w:hAnsi="Arial" w:cs="Arial"/>
                <w:sz w:val="20"/>
                <w:szCs w:val="20"/>
                <w:lang w:val="en-US"/>
              </w:rPr>
            </w:pPr>
            <w:r w:rsidRPr="00570E28">
              <w:rPr>
                <w:rFonts w:ascii="Arial" w:hAnsi="Arial" w:cs="Arial"/>
                <w:bCs/>
                <w:sz w:val="20"/>
                <w:szCs w:val="20"/>
                <w:lang w:val="en-US"/>
              </w:rPr>
              <w:t xml:space="preserve">Accommodation and </w:t>
            </w:r>
            <w:r w:rsidR="008E33F6">
              <w:rPr>
                <w:rFonts w:ascii="Arial" w:hAnsi="Arial" w:cs="Arial"/>
                <w:bCs/>
                <w:sz w:val="20"/>
                <w:szCs w:val="20"/>
                <w:lang w:val="en-US"/>
              </w:rPr>
              <w:t>f</w:t>
            </w:r>
            <w:r w:rsidR="005A6D9D" w:rsidRPr="00570E28">
              <w:rPr>
                <w:rFonts w:ascii="Arial" w:hAnsi="Arial" w:cs="Arial"/>
                <w:bCs/>
                <w:sz w:val="20"/>
                <w:szCs w:val="20"/>
                <w:lang w:val="en-US"/>
              </w:rPr>
              <w:t>ood services</w:t>
            </w:r>
          </w:p>
        </w:tc>
        <w:tc>
          <w:tcPr>
            <w:tcW w:w="1433" w:type="dxa"/>
            <w:vAlign w:val="center"/>
            <w:hideMark/>
          </w:tcPr>
          <w:p w14:paraId="36725B4A" w14:textId="77777777" w:rsidR="008845AE" w:rsidRPr="00570E28" w:rsidRDefault="008845AE" w:rsidP="00B6329C">
            <w:pPr>
              <w:spacing w:before="60" w:after="60" w:line="256" w:lineRule="auto"/>
              <w:ind w:right="281"/>
              <w:jc w:val="right"/>
              <w:rPr>
                <w:rFonts w:ascii="Arial" w:hAnsi="Arial" w:cs="Arial"/>
                <w:bCs/>
                <w:sz w:val="20"/>
                <w:szCs w:val="20"/>
                <w:lang w:val="en-US"/>
              </w:rPr>
            </w:pPr>
            <w:r w:rsidRPr="00570E28">
              <w:rPr>
                <w:rFonts w:ascii="Arial" w:hAnsi="Arial" w:cs="Arial"/>
                <w:sz w:val="20"/>
                <w:szCs w:val="20"/>
                <w:lang w:val="en-US"/>
              </w:rPr>
              <w:t>80.3</w:t>
            </w:r>
          </w:p>
        </w:tc>
        <w:tc>
          <w:tcPr>
            <w:tcW w:w="1588" w:type="dxa"/>
            <w:vAlign w:val="center"/>
            <w:hideMark/>
          </w:tcPr>
          <w:p w14:paraId="5C24E93E" w14:textId="77777777" w:rsidR="008845AE" w:rsidRPr="00570E28" w:rsidRDefault="008845AE" w:rsidP="00B6329C">
            <w:pPr>
              <w:spacing w:before="60" w:after="60" w:line="256" w:lineRule="auto"/>
              <w:ind w:right="330"/>
              <w:jc w:val="right"/>
              <w:rPr>
                <w:rFonts w:ascii="Arial" w:hAnsi="Arial" w:cs="Arial"/>
                <w:bCs/>
                <w:sz w:val="20"/>
                <w:szCs w:val="20"/>
                <w:lang w:val="en-US"/>
              </w:rPr>
            </w:pPr>
            <w:r w:rsidRPr="00570E28">
              <w:rPr>
                <w:rFonts w:ascii="Arial" w:hAnsi="Arial" w:cs="Arial"/>
                <w:sz w:val="20"/>
                <w:szCs w:val="20"/>
                <w:lang w:val="en-US"/>
              </w:rPr>
              <w:t>234.7</w:t>
            </w:r>
          </w:p>
        </w:tc>
        <w:tc>
          <w:tcPr>
            <w:tcW w:w="1686" w:type="dxa"/>
            <w:vAlign w:val="center"/>
            <w:hideMark/>
          </w:tcPr>
          <w:p w14:paraId="0F14D4AE" w14:textId="77777777" w:rsidR="008845AE" w:rsidRPr="00570E28" w:rsidRDefault="008845AE" w:rsidP="00B6329C">
            <w:pPr>
              <w:spacing w:before="60" w:after="60" w:line="256" w:lineRule="auto"/>
              <w:ind w:right="486"/>
              <w:jc w:val="right"/>
              <w:rPr>
                <w:rFonts w:ascii="Arial" w:hAnsi="Arial" w:cs="Arial"/>
                <w:bCs/>
                <w:sz w:val="20"/>
                <w:szCs w:val="20"/>
                <w:lang w:val="en-US"/>
              </w:rPr>
            </w:pPr>
            <w:r w:rsidRPr="00570E28">
              <w:rPr>
                <w:rFonts w:ascii="Arial" w:hAnsi="Arial" w:cs="Arial"/>
                <w:sz w:val="20"/>
                <w:szCs w:val="20"/>
                <w:lang w:val="en-US"/>
              </w:rPr>
              <w:t>13.9</w:t>
            </w:r>
          </w:p>
        </w:tc>
        <w:tc>
          <w:tcPr>
            <w:tcW w:w="1317" w:type="dxa"/>
            <w:vAlign w:val="center"/>
            <w:hideMark/>
          </w:tcPr>
          <w:p w14:paraId="2D2FD2EE" w14:textId="77777777" w:rsidR="008845AE" w:rsidRPr="00570E28" w:rsidRDefault="008845AE" w:rsidP="00B6329C">
            <w:pPr>
              <w:spacing w:before="60" w:after="60" w:line="256" w:lineRule="auto"/>
              <w:ind w:right="410"/>
              <w:jc w:val="right"/>
              <w:rPr>
                <w:rFonts w:ascii="Arial" w:hAnsi="Arial" w:cs="Arial"/>
                <w:bCs/>
                <w:sz w:val="20"/>
                <w:szCs w:val="20"/>
                <w:lang w:val="en-US"/>
              </w:rPr>
            </w:pPr>
            <w:r w:rsidRPr="00570E28">
              <w:rPr>
                <w:rFonts w:ascii="Arial" w:hAnsi="Arial" w:cs="Arial"/>
                <w:sz w:val="20"/>
                <w:szCs w:val="20"/>
                <w:lang w:val="en-US"/>
              </w:rPr>
              <w:t>13.3</w:t>
            </w:r>
          </w:p>
        </w:tc>
      </w:tr>
      <w:tr w:rsidR="008845AE" w:rsidRPr="00570E28" w14:paraId="17246B63" w14:textId="77777777" w:rsidTr="00B6329C">
        <w:trPr>
          <w:cantSplit/>
          <w:trHeight w:val="287"/>
          <w:jc w:val="center"/>
        </w:trPr>
        <w:tc>
          <w:tcPr>
            <w:tcW w:w="3014" w:type="dxa"/>
            <w:vAlign w:val="center"/>
            <w:hideMark/>
          </w:tcPr>
          <w:p w14:paraId="24902109" w14:textId="4116B117" w:rsidR="008845AE" w:rsidRPr="00570E28" w:rsidRDefault="008845AE" w:rsidP="00B6329C">
            <w:pPr>
              <w:spacing w:before="60" w:after="60" w:line="256" w:lineRule="auto"/>
              <w:ind w:firstLine="317"/>
              <w:rPr>
                <w:rFonts w:ascii="Arial" w:hAnsi="Arial" w:cs="Arial"/>
                <w:sz w:val="20"/>
                <w:szCs w:val="20"/>
                <w:lang w:val="en-US"/>
              </w:rPr>
            </w:pPr>
            <w:r w:rsidRPr="00570E28">
              <w:rPr>
                <w:rFonts w:ascii="Arial" w:hAnsi="Arial" w:cs="Arial"/>
                <w:bCs/>
                <w:sz w:val="20"/>
                <w:szCs w:val="20"/>
                <w:lang w:val="en-US"/>
              </w:rPr>
              <w:t xml:space="preserve">Travelling </w:t>
            </w:r>
            <w:r w:rsidR="005A6D9D" w:rsidRPr="00570E28">
              <w:rPr>
                <w:rFonts w:ascii="Arial" w:hAnsi="Arial" w:cs="Arial"/>
                <w:bCs/>
                <w:sz w:val="20"/>
                <w:szCs w:val="20"/>
                <w:lang w:val="en-US"/>
              </w:rPr>
              <w:t>services</w:t>
            </w:r>
          </w:p>
        </w:tc>
        <w:tc>
          <w:tcPr>
            <w:tcW w:w="1433" w:type="dxa"/>
            <w:vAlign w:val="center"/>
            <w:hideMark/>
          </w:tcPr>
          <w:p w14:paraId="48502757" w14:textId="77777777" w:rsidR="008845AE" w:rsidRPr="00570E28" w:rsidRDefault="008845AE" w:rsidP="00B6329C">
            <w:pPr>
              <w:spacing w:before="60" w:after="60" w:line="256" w:lineRule="auto"/>
              <w:ind w:right="281"/>
              <w:jc w:val="right"/>
              <w:rPr>
                <w:rFonts w:ascii="Arial" w:hAnsi="Arial" w:cs="Arial"/>
                <w:bCs/>
                <w:sz w:val="20"/>
                <w:szCs w:val="20"/>
                <w:lang w:val="en-US"/>
              </w:rPr>
            </w:pPr>
            <w:r w:rsidRPr="00570E28">
              <w:rPr>
                <w:rFonts w:ascii="Arial" w:hAnsi="Arial" w:cs="Arial"/>
                <w:sz w:val="20"/>
                <w:szCs w:val="20"/>
                <w:lang w:val="en-US"/>
              </w:rPr>
              <w:t>7.8</w:t>
            </w:r>
          </w:p>
        </w:tc>
        <w:tc>
          <w:tcPr>
            <w:tcW w:w="1588" w:type="dxa"/>
            <w:vAlign w:val="center"/>
            <w:hideMark/>
          </w:tcPr>
          <w:p w14:paraId="460222FA" w14:textId="77777777" w:rsidR="008845AE" w:rsidRPr="00570E28" w:rsidRDefault="008845AE" w:rsidP="00B6329C">
            <w:pPr>
              <w:spacing w:before="60" w:after="60" w:line="256" w:lineRule="auto"/>
              <w:ind w:right="330"/>
              <w:jc w:val="right"/>
              <w:rPr>
                <w:rFonts w:ascii="Arial" w:hAnsi="Arial" w:cs="Arial"/>
                <w:bCs/>
                <w:sz w:val="20"/>
                <w:szCs w:val="20"/>
                <w:lang w:val="en-US"/>
              </w:rPr>
            </w:pPr>
            <w:r w:rsidRPr="00570E28">
              <w:rPr>
                <w:rFonts w:ascii="Arial" w:hAnsi="Arial" w:cs="Arial"/>
                <w:sz w:val="20"/>
                <w:szCs w:val="20"/>
                <w:lang w:val="en-US"/>
              </w:rPr>
              <w:t>22.9</w:t>
            </w:r>
          </w:p>
        </w:tc>
        <w:tc>
          <w:tcPr>
            <w:tcW w:w="1686" w:type="dxa"/>
            <w:vAlign w:val="center"/>
            <w:hideMark/>
          </w:tcPr>
          <w:p w14:paraId="5B0499A6" w14:textId="77777777" w:rsidR="008845AE" w:rsidRPr="00570E28" w:rsidRDefault="008845AE" w:rsidP="00B6329C">
            <w:pPr>
              <w:spacing w:before="60" w:after="60" w:line="256" w:lineRule="auto"/>
              <w:ind w:right="486"/>
              <w:jc w:val="right"/>
              <w:rPr>
                <w:rFonts w:ascii="Arial" w:hAnsi="Arial" w:cs="Arial"/>
                <w:bCs/>
                <w:sz w:val="20"/>
                <w:szCs w:val="20"/>
                <w:lang w:val="en-US"/>
              </w:rPr>
            </w:pPr>
            <w:r w:rsidRPr="00570E28">
              <w:rPr>
                <w:rFonts w:ascii="Arial" w:hAnsi="Arial" w:cs="Arial"/>
                <w:sz w:val="20"/>
                <w:szCs w:val="20"/>
                <w:lang w:val="en-US"/>
              </w:rPr>
              <w:t>11.5</w:t>
            </w:r>
          </w:p>
        </w:tc>
        <w:tc>
          <w:tcPr>
            <w:tcW w:w="1317" w:type="dxa"/>
            <w:vAlign w:val="center"/>
            <w:hideMark/>
          </w:tcPr>
          <w:p w14:paraId="5A87646C" w14:textId="77777777" w:rsidR="008845AE" w:rsidRPr="00570E28" w:rsidRDefault="008845AE" w:rsidP="00B6329C">
            <w:pPr>
              <w:spacing w:before="60" w:after="60" w:line="256" w:lineRule="auto"/>
              <w:ind w:right="410"/>
              <w:jc w:val="right"/>
              <w:rPr>
                <w:rFonts w:ascii="Arial" w:hAnsi="Arial" w:cs="Arial"/>
                <w:bCs/>
                <w:sz w:val="20"/>
                <w:szCs w:val="20"/>
                <w:lang w:val="en-US"/>
              </w:rPr>
            </w:pPr>
            <w:r w:rsidRPr="00570E28">
              <w:rPr>
                <w:rFonts w:ascii="Arial" w:hAnsi="Arial" w:cs="Arial"/>
                <w:sz w:val="20"/>
                <w:szCs w:val="20"/>
                <w:lang w:val="en-US"/>
              </w:rPr>
              <w:t>12.5</w:t>
            </w:r>
          </w:p>
        </w:tc>
      </w:tr>
      <w:tr w:rsidR="008845AE" w:rsidRPr="00570E28" w14:paraId="3BA0567E" w14:textId="77777777" w:rsidTr="00B6329C">
        <w:trPr>
          <w:cantSplit/>
          <w:trHeight w:val="287"/>
          <w:jc w:val="center"/>
        </w:trPr>
        <w:tc>
          <w:tcPr>
            <w:tcW w:w="3014" w:type="dxa"/>
            <w:tcBorders>
              <w:top w:val="nil"/>
              <w:left w:val="nil"/>
              <w:bottom w:val="single" w:sz="4" w:space="0" w:color="auto"/>
              <w:right w:val="nil"/>
            </w:tcBorders>
            <w:vAlign w:val="center"/>
            <w:hideMark/>
          </w:tcPr>
          <w:p w14:paraId="6B387ADF" w14:textId="77777777" w:rsidR="008845AE" w:rsidRPr="00570E28" w:rsidRDefault="008845AE" w:rsidP="00B6329C">
            <w:pPr>
              <w:spacing w:before="60" w:after="60" w:line="256" w:lineRule="auto"/>
              <w:ind w:firstLine="317"/>
              <w:rPr>
                <w:rFonts w:ascii="Arial" w:hAnsi="Arial" w:cs="Arial"/>
                <w:sz w:val="20"/>
                <w:szCs w:val="20"/>
                <w:lang w:val="en-US"/>
              </w:rPr>
            </w:pPr>
            <w:r w:rsidRPr="00570E28">
              <w:rPr>
                <w:rFonts w:ascii="Arial" w:hAnsi="Arial" w:cs="Arial"/>
                <w:bCs/>
                <w:sz w:val="20"/>
                <w:szCs w:val="20"/>
                <w:lang w:val="en-US"/>
              </w:rPr>
              <w:t>Other services</w:t>
            </w:r>
          </w:p>
        </w:tc>
        <w:tc>
          <w:tcPr>
            <w:tcW w:w="1433" w:type="dxa"/>
            <w:tcBorders>
              <w:top w:val="nil"/>
              <w:left w:val="nil"/>
              <w:bottom w:val="single" w:sz="4" w:space="0" w:color="auto"/>
              <w:right w:val="nil"/>
            </w:tcBorders>
            <w:vAlign w:val="center"/>
            <w:hideMark/>
          </w:tcPr>
          <w:p w14:paraId="70CEA8E8" w14:textId="77777777" w:rsidR="008845AE" w:rsidRPr="00570E28" w:rsidRDefault="008845AE" w:rsidP="00B6329C">
            <w:pPr>
              <w:spacing w:before="60" w:after="60" w:line="256" w:lineRule="auto"/>
              <w:ind w:right="281"/>
              <w:jc w:val="right"/>
              <w:rPr>
                <w:rFonts w:ascii="Arial" w:hAnsi="Arial" w:cs="Arial"/>
                <w:bCs/>
                <w:sz w:val="20"/>
                <w:szCs w:val="20"/>
                <w:lang w:val="en-US"/>
              </w:rPr>
            </w:pPr>
            <w:r w:rsidRPr="00570E28">
              <w:rPr>
                <w:rFonts w:ascii="Arial" w:hAnsi="Arial" w:cs="Arial"/>
                <w:sz w:val="20"/>
                <w:szCs w:val="20"/>
                <w:lang w:val="en-US"/>
              </w:rPr>
              <w:t>64.7</w:t>
            </w:r>
          </w:p>
        </w:tc>
        <w:tc>
          <w:tcPr>
            <w:tcW w:w="1588" w:type="dxa"/>
            <w:tcBorders>
              <w:top w:val="nil"/>
              <w:left w:val="nil"/>
              <w:bottom w:val="single" w:sz="4" w:space="0" w:color="auto"/>
              <w:right w:val="nil"/>
            </w:tcBorders>
            <w:vAlign w:val="center"/>
            <w:hideMark/>
          </w:tcPr>
          <w:p w14:paraId="4332BBB3" w14:textId="77777777" w:rsidR="008845AE" w:rsidRPr="00570E28" w:rsidRDefault="008845AE" w:rsidP="00B6329C">
            <w:pPr>
              <w:spacing w:before="60" w:after="60" w:line="256" w:lineRule="auto"/>
              <w:ind w:right="330"/>
              <w:jc w:val="right"/>
              <w:rPr>
                <w:rFonts w:ascii="Arial" w:hAnsi="Arial" w:cs="Arial"/>
                <w:bCs/>
                <w:sz w:val="20"/>
                <w:szCs w:val="20"/>
                <w:lang w:val="en-US"/>
              </w:rPr>
            </w:pPr>
            <w:r w:rsidRPr="00570E28">
              <w:rPr>
                <w:rFonts w:ascii="Arial" w:hAnsi="Arial" w:cs="Arial"/>
                <w:sz w:val="20"/>
                <w:szCs w:val="20"/>
                <w:lang w:val="en-US"/>
              </w:rPr>
              <w:t>192.8</w:t>
            </w:r>
          </w:p>
        </w:tc>
        <w:tc>
          <w:tcPr>
            <w:tcW w:w="1686" w:type="dxa"/>
            <w:tcBorders>
              <w:top w:val="nil"/>
              <w:left w:val="nil"/>
              <w:bottom w:val="single" w:sz="4" w:space="0" w:color="auto"/>
              <w:right w:val="nil"/>
            </w:tcBorders>
            <w:vAlign w:val="center"/>
            <w:hideMark/>
          </w:tcPr>
          <w:p w14:paraId="0C579FC4" w14:textId="77777777" w:rsidR="008845AE" w:rsidRPr="00570E28" w:rsidRDefault="008845AE" w:rsidP="00B6329C">
            <w:pPr>
              <w:spacing w:before="60" w:after="60" w:line="256" w:lineRule="auto"/>
              <w:ind w:right="486"/>
              <w:jc w:val="right"/>
              <w:rPr>
                <w:rFonts w:ascii="Arial" w:hAnsi="Arial" w:cs="Arial"/>
                <w:bCs/>
                <w:sz w:val="20"/>
                <w:szCs w:val="20"/>
                <w:lang w:val="en-US"/>
              </w:rPr>
            </w:pPr>
            <w:r w:rsidRPr="00570E28">
              <w:rPr>
                <w:rFonts w:ascii="Arial" w:hAnsi="Arial" w:cs="Arial"/>
                <w:sz w:val="20"/>
                <w:szCs w:val="20"/>
                <w:lang w:val="en-US"/>
              </w:rPr>
              <w:t>7.6</w:t>
            </w:r>
          </w:p>
        </w:tc>
        <w:tc>
          <w:tcPr>
            <w:tcW w:w="1317" w:type="dxa"/>
            <w:tcBorders>
              <w:top w:val="nil"/>
              <w:left w:val="nil"/>
              <w:bottom w:val="single" w:sz="4" w:space="0" w:color="auto"/>
              <w:right w:val="nil"/>
            </w:tcBorders>
            <w:vAlign w:val="center"/>
            <w:hideMark/>
          </w:tcPr>
          <w:p w14:paraId="1898DE99" w14:textId="77777777" w:rsidR="008845AE" w:rsidRPr="00570E28" w:rsidRDefault="008845AE" w:rsidP="00B6329C">
            <w:pPr>
              <w:spacing w:before="60" w:after="60" w:line="256" w:lineRule="auto"/>
              <w:ind w:right="410"/>
              <w:jc w:val="right"/>
              <w:rPr>
                <w:rFonts w:ascii="Arial" w:hAnsi="Arial" w:cs="Arial"/>
                <w:bCs/>
                <w:sz w:val="20"/>
                <w:szCs w:val="20"/>
                <w:lang w:val="en-US"/>
              </w:rPr>
            </w:pPr>
            <w:r w:rsidRPr="00570E28">
              <w:rPr>
                <w:rFonts w:ascii="Arial" w:hAnsi="Arial" w:cs="Arial"/>
                <w:sz w:val="20"/>
                <w:szCs w:val="20"/>
                <w:lang w:val="en-US"/>
              </w:rPr>
              <w:t>8.0</w:t>
            </w:r>
          </w:p>
        </w:tc>
      </w:tr>
    </w:tbl>
    <w:p w14:paraId="1123017C" w14:textId="65248178" w:rsidR="008845AE" w:rsidRPr="00570E28" w:rsidRDefault="008845AE" w:rsidP="008845AE">
      <w:pPr>
        <w:spacing w:before="120" w:after="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i/>
          <w:sz w:val="28"/>
          <w:szCs w:val="28"/>
          <w:lang w:val="en-US"/>
        </w:rPr>
        <w:t xml:space="preserve">Passenger carried </w:t>
      </w:r>
      <w:r w:rsidRPr="00570E28">
        <w:rPr>
          <w:rFonts w:ascii="Times New Roman" w:hAnsi="Times New Roman" w:cs="Times New Roman"/>
          <w:sz w:val="28"/>
          <w:szCs w:val="28"/>
          <w:lang w:val="en-US"/>
        </w:rPr>
        <w:t>in March 2026 was estimated at 539.3 million turns of passengers</w:t>
      </w:r>
      <w:r w:rsidRPr="00570E28">
        <w:rPr>
          <w:rFonts w:ascii="Times New Roman" w:hAnsi="Times New Roman" w:cs="Times New Roman"/>
          <w:color w:val="000000" w:themeColor="text1"/>
          <w:sz w:val="28"/>
          <w:szCs w:val="28"/>
          <w:lang w:val="en-US"/>
        </w:rPr>
        <w:t xml:space="preserve">, </w:t>
      </w:r>
      <w:r w:rsidRPr="00570E28">
        <w:rPr>
          <w:rFonts w:ascii="Times New Roman Italic" w:eastAsiaTheme="minorHAnsi" w:hAnsi="Times New Roman Italic" w:cs="Times New Roman"/>
          <w:bCs/>
          <w:spacing w:val="-2"/>
          <w:sz w:val="28"/>
          <w:szCs w:val="28"/>
          <w:lang w:val="en-US"/>
        </w:rPr>
        <w:t xml:space="preserve">a year-on-year increase of </w:t>
      </w:r>
      <w:r w:rsidRPr="00570E28">
        <w:rPr>
          <w:rFonts w:ascii="Times New Roman" w:hAnsi="Times New Roman" w:cs="Times New Roman"/>
          <w:bCs/>
          <w:sz w:val="28"/>
          <w:szCs w:val="28"/>
          <w:lang w:val="en-US"/>
        </w:rPr>
        <w:t>17.3%</w:t>
      </w:r>
      <w:r w:rsidRPr="00570E28">
        <w:rPr>
          <w:rFonts w:ascii="Times New Roman" w:hAnsi="Times New Roman" w:cs="Times New Roman"/>
          <w:color w:val="000000" w:themeColor="text1"/>
          <w:sz w:val="28"/>
          <w:szCs w:val="28"/>
          <w:lang w:val="en-US"/>
        </w:rPr>
        <w:t xml:space="preserve"> </w:t>
      </w:r>
      <w:r w:rsidRPr="00570E28">
        <w:rPr>
          <w:rFonts w:ascii="Times New Roman" w:hAnsi="Times New Roman" w:cs="Times New Roman"/>
          <w:sz w:val="28"/>
          <w:szCs w:val="28"/>
          <w:lang w:val="en-US"/>
        </w:rPr>
        <w:t xml:space="preserve">and passenger </w:t>
      </w:r>
      <w:r w:rsidR="00553950" w:rsidRPr="00570E28">
        <w:rPr>
          <w:rFonts w:ascii="Times New Roman" w:hAnsi="Times New Roman" w:cs="Times New Roman"/>
          <w:sz w:val="28"/>
          <w:szCs w:val="28"/>
          <w:lang w:val="en-US"/>
        </w:rPr>
        <w:t xml:space="preserve">carried (passenger-kilometers) </w:t>
      </w:r>
      <w:r w:rsidRPr="00570E28">
        <w:rPr>
          <w:rFonts w:ascii="Times New Roman" w:hAnsi="Times New Roman" w:cs="Times New Roman"/>
          <w:sz w:val="28"/>
          <w:szCs w:val="28"/>
          <w:lang w:val="en-US"/>
        </w:rPr>
        <w:t>reached 26.8 billion passenger-kilometer</w:t>
      </w:r>
      <w:r w:rsidRPr="00570E28">
        <w:rPr>
          <w:rFonts w:ascii="Times New Roman" w:hAnsi="Times New Roman" w:cs="Times New Roman"/>
          <w:color w:val="000000" w:themeColor="text1"/>
          <w:sz w:val="28"/>
          <w:szCs w:val="28"/>
          <w:lang w:val="en-US"/>
        </w:rPr>
        <w:t>, a year-on-year increase of 11</w:t>
      </w:r>
      <w:r w:rsidR="008E33F6">
        <w:rPr>
          <w:rFonts w:ascii="Times New Roman" w:hAnsi="Times New Roman" w:cs="Times New Roman"/>
          <w:color w:val="000000" w:themeColor="text1"/>
          <w:sz w:val="28"/>
          <w:szCs w:val="28"/>
          <w:lang w:val="en-US"/>
        </w:rPr>
        <w:t>.</w:t>
      </w:r>
      <w:r w:rsidRPr="00570E28">
        <w:rPr>
          <w:rFonts w:ascii="Times New Roman" w:hAnsi="Times New Roman" w:cs="Times New Roman"/>
          <w:color w:val="000000" w:themeColor="text1"/>
          <w:sz w:val="28"/>
          <w:szCs w:val="28"/>
          <w:lang w:val="en-US"/>
        </w:rPr>
        <w:t xml:space="preserve">9%. </w:t>
      </w:r>
      <w:r w:rsidRPr="00570E28">
        <w:rPr>
          <w:rFonts w:ascii="Times New Roman" w:hAnsi="Times New Roman" w:cs="Times New Roman"/>
          <w:sz w:val="28"/>
          <w:szCs w:val="28"/>
          <w:lang w:val="en-US"/>
        </w:rPr>
        <w:t xml:space="preserve">Overall, in the first quarter of 2026, passenger </w:t>
      </w:r>
      <w:r w:rsidRPr="00570E28">
        <w:rPr>
          <w:rFonts w:ascii="Times New Roman" w:hAnsi="Times New Roman" w:cs="Times New Roman"/>
          <w:bCs/>
          <w:sz w:val="28"/>
          <w:szCs w:val="28"/>
          <w:lang w:val="en-US"/>
        </w:rPr>
        <w:t>carried</w:t>
      </w:r>
      <w:r w:rsidRPr="00570E28">
        <w:rPr>
          <w:rFonts w:ascii="Times New Roman" w:hAnsi="Times New Roman" w:cs="Times New Roman"/>
          <w:sz w:val="28"/>
          <w:szCs w:val="28"/>
          <w:lang w:val="en-US"/>
        </w:rPr>
        <w:t xml:space="preserve"> was estimated at 1,649.8 million </w:t>
      </w:r>
      <w:r w:rsidRPr="00570E28">
        <w:rPr>
          <w:rFonts w:ascii="Times New Roman" w:hAnsi="Times New Roman" w:cs="Times New Roman"/>
          <w:bCs/>
          <w:sz w:val="28"/>
          <w:szCs w:val="28"/>
          <w:lang w:val="en-US"/>
        </w:rPr>
        <w:t>turns of</w:t>
      </w:r>
      <w:r w:rsidRPr="00570E28">
        <w:rPr>
          <w:rFonts w:ascii="Times New Roman" w:hAnsi="Times New Roman" w:cs="Times New Roman"/>
          <w:sz w:val="28"/>
          <w:szCs w:val="28"/>
          <w:lang w:val="en-US"/>
        </w:rPr>
        <w:t xml:space="preserve"> passengers, a year-on-year increase of 18.3% and passenger </w:t>
      </w:r>
      <w:r w:rsidR="00553950" w:rsidRPr="00570E28">
        <w:rPr>
          <w:rFonts w:ascii="Times New Roman" w:hAnsi="Times New Roman" w:cs="Times New Roman"/>
          <w:sz w:val="28"/>
          <w:szCs w:val="28"/>
          <w:lang w:val="en-US"/>
        </w:rPr>
        <w:t xml:space="preserve">carried (passenger-kilometers) </w:t>
      </w:r>
      <w:r w:rsidRPr="00570E28">
        <w:rPr>
          <w:rFonts w:ascii="Times New Roman" w:hAnsi="Times New Roman" w:cs="Times New Roman"/>
          <w:sz w:val="28"/>
          <w:szCs w:val="28"/>
          <w:lang w:val="en-US"/>
        </w:rPr>
        <w:t>reached 84.5 billion passenger-kilometer, a rise of 11.3%</w:t>
      </w:r>
      <w:r w:rsidRPr="00570E28">
        <w:rPr>
          <w:rFonts w:ascii="Times New Roman" w:hAnsi="Times New Roman" w:cs="Times New Roman"/>
          <w:color w:val="000000" w:themeColor="text1"/>
          <w:sz w:val="28"/>
          <w:szCs w:val="28"/>
          <w:lang w:val="en-US"/>
        </w:rPr>
        <w:t>.</w:t>
      </w:r>
    </w:p>
    <w:p w14:paraId="06FCA022" w14:textId="465261DD" w:rsidR="008845AE" w:rsidRPr="00570E28" w:rsidRDefault="008845AE" w:rsidP="008845AE">
      <w:pPr>
        <w:spacing w:before="120" w:after="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i/>
          <w:sz w:val="28"/>
          <w:szCs w:val="28"/>
          <w:lang w:val="en-US"/>
        </w:rPr>
        <w:t xml:space="preserve">Freight </w:t>
      </w:r>
      <w:r w:rsidR="00553950" w:rsidRPr="00570E28">
        <w:rPr>
          <w:rFonts w:ascii="Times New Roman" w:hAnsi="Times New Roman" w:cs="Times New Roman"/>
          <w:i/>
          <w:sz w:val="28"/>
          <w:szCs w:val="28"/>
          <w:lang w:val="en-US"/>
        </w:rPr>
        <w:t xml:space="preserve">transported </w:t>
      </w:r>
      <w:r w:rsidRPr="00570E28">
        <w:rPr>
          <w:rFonts w:ascii="Times New Roman" w:hAnsi="Times New Roman" w:cs="Times New Roman"/>
          <w:sz w:val="28"/>
          <w:szCs w:val="28"/>
          <w:lang w:val="en-US"/>
        </w:rPr>
        <w:t>in March 2026 was estimated at 272.5 million tons</w:t>
      </w:r>
      <w:r w:rsidRPr="00570E28">
        <w:rPr>
          <w:rFonts w:ascii="Times New Roman" w:hAnsi="Times New Roman" w:cs="Times New Roman"/>
          <w:color w:val="000000" w:themeColor="text1"/>
          <w:sz w:val="28"/>
          <w:szCs w:val="28"/>
          <w:lang w:val="en-US"/>
        </w:rPr>
        <w:t xml:space="preserve">, a year-on-year rise of 16.3% </w:t>
      </w:r>
      <w:r w:rsidRPr="00570E28">
        <w:rPr>
          <w:rFonts w:ascii="Times New Roman" w:hAnsi="Times New Roman" w:cs="Times New Roman"/>
          <w:sz w:val="28"/>
          <w:szCs w:val="28"/>
          <w:lang w:val="en-US"/>
        </w:rPr>
        <w:t xml:space="preserve">and freight </w:t>
      </w:r>
      <w:r w:rsidR="00553950" w:rsidRPr="00570E28">
        <w:rPr>
          <w:rFonts w:ascii="Times New Roman" w:hAnsi="Times New Roman" w:cs="Times New Roman"/>
          <w:sz w:val="28"/>
          <w:szCs w:val="28"/>
          <w:lang w:val="en-US"/>
        </w:rPr>
        <w:t xml:space="preserve">transported (ton-kilometers) </w:t>
      </w:r>
      <w:r w:rsidRPr="00570E28">
        <w:rPr>
          <w:rFonts w:ascii="Times New Roman" w:hAnsi="Times New Roman" w:cs="Times New Roman"/>
          <w:sz w:val="28"/>
          <w:szCs w:val="28"/>
          <w:lang w:val="en-US"/>
        </w:rPr>
        <w:t>reached 54.8 billion ton-kilometer</w:t>
      </w:r>
      <w:r w:rsidRPr="00570E28">
        <w:rPr>
          <w:rFonts w:ascii="Times New Roman" w:hAnsi="Times New Roman" w:cs="Times New Roman"/>
          <w:color w:val="000000" w:themeColor="text1"/>
          <w:sz w:val="28"/>
          <w:szCs w:val="28"/>
          <w:lang w:val="en-US"/>
        </w:rPr>
        <w:t xml:space="preserve">, a year-on-year rise of 14.9%. </w:t>
      </w:r>
      <w:r w:rsidRPr="00570E28">
        <w:rPr>
          <w:rFonts w:ascii="Times New Roman" w:hAnsi="Times New Roman" w:cs="Times New Roman"/>
          <w:sz w:val="28"/>
          <w:szCs w:val="28"/>
          <w:lang w:val="en-US"/>
        </w:rPr>
        <w:t xml:space="preserve">Overall, in the first quarter of 2026, freight </w:t>
      </w:r>
      <w:r w:rsidR="00553950" w:rsidRPr="00570E28">
        <w:rPr>
          <w:rFonts w:ascii="Times New Roman" w:hAnsi="Times New Roman" w:cs="Times New Roman"/>
          <w:sz w:val="28"/>
          <w:szCs w:val="28"/>
          <w:lang w:val="en-US"/>
        </w:rPr>
        <w:t xml:space="preserve">transported </w:t>
      </w:r>
      <w:r w:rsidRPr="00570E28">
        <w:rPr>
          <w:rFonts w:ascii="Times New Roman" w:hAnsi="Times New Roman" w:cs="Times New Roman"/>
          <w:sz w:val="28"/>
          <w:szCs w:val="28"/>
          <w:lang w:val="en-US"/>
        </w:rPr>
        <w:t xml:space="preserve">was estimated at 810.9 million tons, </w:t>
      </w:r>
      <w:r w:rsidRPr="00570E28">
        <w:rPr>
          <w:rFonts w:ascii="Times New Roman" w:hAnsi="Times New Roman" w:cs="Times New Roman"/>
          <w:bCs/>
          <w:sz w:val="28"/>
          <w:szCs w:val="28"/>
          <w:lang w:val="en-US"/>
        </w:rPr>
        <w:t>a year-on-year increase of</w:t>
      </w:r>
      <w:r w:rsidRPr="00570E28">
        <w:rPr>
          <w:rFonts w:ascii="Times New Roman" w:hAnsi="Times New Roman" w:cs="Times New Roman"/>
          <w:sz w:val="28"/>
          <w:szCs w:val="28"/>
          <w:lang w:val="en-US"/>
        </w:rPr>
        <w:t xml:space="preserve"> 14.5% and freight </w:t>
      </w:r>
      <w:r w:rsidR="00553950" w:rsidRPr="00570E28">
        <w:rPr>
          <w:rFonts w:ascii="Times New Roman" w:hAnsi="Times New Roman" w:cs="Times New Roman"/>
          <w:sz w:val="28"/>
          <w:szCs w:val="28"/>
          <w:lang w:val="en-US"/>
        </w:rPr>
        <w:t xml:space="preserve">transported (ton-kilometers) </w:t>
      </w:r>
      <w:r w:rsidRPr="00570E28">
        <w:rPr>
          <w:rFonts w:ascii="Times New Roman" w:hAnsi="Times New Roman" w:cs="Times New Roman"/>
          <w:sz w:val="28"/>
          <w:szCs w:val="28"/>
          <w:lang w:val="en-US"/>
        </w:rPr>
        <w:t xml:space="preserve">reached 157.6 billion ton-kilometer, </w:t>
      </w:r>
      <w:r w:rsidRPr="00570E28">
        <w:rPr>
          <w:rFonts w:ascii="Times New Roman" w:hAnsi="Times New Roman" w:cs="Times New Roman"/>
          <w:bCs/>
          <w:sz w:val="28"/>
          <w:szCs w:val="28"/>
          <w:lang w:val="en-US"/>
        </w:rPr>
        <w:t xml:space="preserve">a </w:t>
      </w:r>
      <w:r w:rsidRPr="00570E28">
        <w:rPr>
          <w:rFonts w:ascii="Times New Roman" w:hAnsi="Times New Roman" w:cs="Times New Roman"/>
          <w:bCs/>
          <w:iCs/>
          <w:sz w:val="28"/>
          <w:szCs w:val="28"/>
          <w:lang w:val="en-US"/>
        </w:rPr>
        <w:t>year-on-year</w:t>
      </w:r>
      <w:r w:rsidRPr="00570E28">
        <w:rPr>
          <w:rFonts w:ascii="Times New Roman" w:hAnsi="Times New Roman" w:cs="Times New Roman"/>
          <w:bCs/>
          <w:sz w:val="28"/>
          <w:szCs w:val="28"/>
          <w:lang w:val="en-US"/>
        </w:rPr>
        <w:t xml:space="preserve"> increase of</w:t>
      </w:r>
      <w:r w:rsidRPr="00570E28">
        <w:rPr>
          <w:rFonts w:ascii="Times New Roman" w:hAnsi="Times New Roman" w:cs="Times New Roman"/>
          <w:sz w:val="28"/>
          <w:szCs w:val="28"/>
          <w:lang w:val="en-US"/>
        </w:rPr>
        <w:t xml:space="preserve"> 12.0%</w:t>
      </w:r>
      <w:r w:rsidRPr="00570E28">
        <w:rPr>
          <w:rFonts w:ascii="Times New Roman" w:hAnsi="Times New Roman" w:cs="Times New Roman"/>
          <w:color w:val="000000" w:themeColor="text1"/>
          <w:sz w:val="28"/>
          <w:szCs w:val="28"/>
          <w:lang w:val="en-US"/>
        </w:rPr>
        <w:t xml:space="preserve">. </w:t>
      </w:r>
    </w:p>
    <w:p w14:paraId="2497E0AA" w14:textId="3964A9A7" w:rsidR="008845AE" w:rsidRPr="00570E28" w:rsidRDefault="008845AE" w:rsidP="008845AE">
      <w:pPr>
        <w:spacing w:before="120" w:after="0" w:line="240" w:lineRule="auto"/>
        <w:ind w:firstLine="720"/>
        <w:jc w:val="both"/>
        <w:rPr>
          <w:rFonts w:ascii="Times New Roman" w:hAnsi="Times New Roman" w:cs="Times New Roman"/>
          <w:b/>
          <w:bCs/>
          <w:i/>
          <w:iCs/>
          <w:color w:val="000000" w:themeColor="text1"/>
          <w:sz w:val="28"/>
          <w:szCs w:val="28"/>
          <w:lang w:val="en-US"/>
        </w:rPr>
      </w:pPr>
      <w:r w:rsidRPr="00570E28">
        <w:rPr>
          <w:rFonts w:ascii="Times New Roman" w:eastAsia="Calibri" w:hAnsi="Times New Roman" w:cs="Times New Roman"/>
          <w:color w:val="000000" w:themeColor="text1"/>
          <w:sz w:val="28"/>
          <w:szCs w:val="28"/>
          <w:lang w:val="en-US"/>
        </w:rPr>
        <w:softHyphen/>
      </w:r>
      <w:r w:rsidRPr="00570E28">
        <w:rPr>
          <w:rFonts w:ascii="Times New Roman" w:eastAsia="Calibri" w:hAnsi="Times New Roman" w:cs="Times New Roman"/>
          <w:color w:val="000000" w:themeColor="text1"/>
          <w:sz w:val="28"/>
          <w:szCs w:val="28"/>
          <w:lang w:val="en-US"/>
        </w:rPr>
        <w:softHyphen/>
      </w:r>
      <w:r w:rsidRPr="00570E28">
        <w:rPr>
          <w:rFonts w:ascii="Times New Roman" w:eastAsia="Calibri" w:hAnsi="Times New Roman" w:cs="Times New Roman"/>
          <w:color w:val="000000" w:themeColor="text1"/>
          <w:sz w:val="28"/>
          <w:szCs w:val="28"/>
          <w:lang w:val="en-US"/>
        </w:rPr>
        <w:softHyphen/>
      </w:r>
      <w:r w:rsidRPr="00570E28">
        <w:rPr>
          <w:rFonts w:ascii="Times New Roman" w:eastAsia="Calibri" w:hAnsi="Times New Roman" w:cs="Times New Roman"/>
          <w:color w:val="000000" w:themeColor="text1"/>
          <w:sz w:val="28"/>
          <w:szCs w:val="28"/>
          <w:lang w:val="en-US"/>
        </w:rPr>
        <w:softHyphen/>
      </w:r>
      <w:r w:rsidRPr="00570E28">
        <w:rPr>
          <w:rFonts w:ascii="Times New Roman" w:hAnsi="Times New Roman" w:cs="Times New Roman"/>
          <w:color w:val="000000" w:themeColor="text1"/>
          <w:sz w:val="28"/>
          <w:szCs w:val="28"/>
          <w:lang w:val="en-US"/>
        </w:rPr>
        <w:t xml:space="preserve"> </w:t>
      </w:r>
      <w:r w:rsidRPr="00570E28">
        <w:rPr>
          <w:rFonts w:ascii="Times New Roman" w:hAnsi="Times New Roman" w:cs="Times New Roman"/>
          <w:i/>
          <w:color w:val="000000" w:themeColor="text1"/>
          <w:sz w:val="28"/>
          <w:szCs w:val="28"/>
          <w:lang w:val="en-US"/>
        </w:rPr>
        <w:t xml:space="preserve">Telecommunications turnover </w:t>
      </w:r>
      <w:r w:rsidRPr="00570E28">
        <w:rPr>
          <w:rFonts w:ascii="Times New Roman" w:hAnsi="Times New Roman" w:cs="Times New Roman"/>
          <w:color w:val="000000" w:themeColor="text1"/>
          <w:sz w:val="28"/>
          <w:szCs w:val="28"/>
          <w:lang w:val="en-US"/>
        </w:rPr>
        <w:t xml:space="preserve">at current prices in the </w:t>
      </w:r>
      <w:r w:rsidR="00364FAC">
        <w:rPr>
          <w:rFonts w:ascii="Times New Roman" w:hAnsi="Times New Roman" w:cs="Times New Roman"/>
          <w:color w:val="000000" w:themeColor="text1"/>
          <w:sz w:val="28"/>
          <w:szCs w:val="28"/>
          <w:lang w:val="en-US"/>
        </w:rPr>
        <w:t xml:space="preserve">Q1 </w:t>
      </w:r>
      <w:r w:rsidRPr="00570E28">
        <w:rPr>
          <w:rFonts w:ascii="Times New Roman" w:hAnsi="Times New Roman" w:cs="Times New Roman"/>
          <w:color w:val="000000" w:themeColor="text1"/>
          <w:sz w:val="28"/>
          <w:szCs w:val="28"/>
          <w:lang w:val="en-US"/>
        </w:rPr>
        <w:t>2026, was estimated at 102.8 trillion VND, a year-on-year increase of 6.3% (excluding price factors, it increased by 6.6%).</w:t>
      </w:r>
      <w:r w:rsidRPr="00570E28">
        <w:rPr>
          <w:rFonts w:ascii="Times New Roman" w:eastAsia="Calibri" w:hAnsi="Times New Roman" w:cs="Times New Roman"/>
          <w:color w:val="000000" w:themeColor="text1"/>
          <w:sz w:val="28"/>
          <w:szCs w:val="28"/>
          <w:lang w:val="en-US"/>
        </w:rPr>
        <w:t xml:space="preserve"> </w:t>
      </w:r>
      <w:r w:rsidR="00553950" w:rsidRPr="00570E28">
        <w:rPr>
          <w:rFonts w:ascii="Times New Roman" w:eastAsia="Calibri" w:hAnsi="Times New Roman" w:cs="Times New Roman"/>
          <w:sz w:val="28"/>
          <w:szCs w:val="28"/>
          <w:lang w:val="en-US"/>
        </w:rPr>
        <w:t>T</w:t>
      </w:r>
      <w:r w:rsidRPr="00570E28">
        <w:rPr>
          <w:rFonts w:ascii="Times New Roman" w:eastAsia="Calibri" w:hAnsi="Times New Roman" w:cs="Times New Roman"/>
          <w:sz w:val="28"/>
          <w:szCs w:val="28"/>
          <w:lang w:val="en-US"/>
        </w:rPr>
        <w:t xml:space="preserve">otal number of telephone subscribers as of the end of March 2026 was estimated at 122.4 million, an increase of 0.9% over that in the same period last year. Of which, </w:t>
      </w:r>
      <w:r w:rsidRPr="00570E28">
        <w:rPr>
          <w:rFonts w:ascii="Times New Roman" w:eastAsia="Calibri" w:hAnsi="Times New Roman" w:cs="Times New Roman"/>
          <w:spacing w:val="-2"/>
          <w:sz w:val="28"/>
          <w:szCs w:val="28"/>
          <w:lang w:val="en-US"/>
        </w:rPr>
        <w:t>the number of</w:t>
      </w:r>
      <w:r w:rsidRPr="00570E28">
        <w:rPr>
          <w:rFonts w:ascii="Times New Roman" w:eastAsia="Calibri" w:hAnsi="Times New Roman" w:cs="Times New Roman"/>
          <w:sz w:val="28"/>
          <w:szCs w:val="28"/>
          <w:lang w:val="en-US"/>
        </w:rPr>
        <w:t xml:space="preserve"> mobile subscribers was 120.0 million, </w:t>
      </w:r>
      <w:r w:rsidRPr="00570E28">
        <w:rPr>
          <w:rFonts w:ascii="Times New Roman" w:hAnsi="Times New Roman" w:cs="Times New Roman"/>
          <w:bCs/>
          <w:iCs/>
          <w:sz w:val="28"/>
          <w:szCs w:val="28"/>
          <w:lang w:val="en-US"/>
        </w:rPr>
        <w:t>a growth of</w:t>
      </w:r>
      <w:r w:rsidRPr="00570E28">
        <w:rPr>
          <w:rFonts w:ascii="Times New Roman" w:eastAsia="Calibri" w:hAnsi="Times New Roman" w:cs="Times New Roman"/>
          <w:sz w:val="28"/>
          <w:szCs w:val="28"/>
          <w:lang w:val="en-US"/>
        </w:rPr>
        <w:t xml:space="preserve"> 1.3%. The number of </w:t>
      </w:r>
      <w:r w:rsidRPr="00570E28">
        <w:rPr>
          <w:rFonts w:ascii="Times New Roman" w:eastAsia="Calibri" w:hAnsi="Times New Roman" w:cs="Times New Roman"/>
          <w:spacing w:val="-2"/>
          <w:sz w:val="28"/>
          <w:szCs w:val="28"/>
          <w:lang w:val="en-US"/>
        </w:rPr>
        <w:t>DSL</w:t>
      </w:r>
      <w:r w:rsidRPr="00570E28">
        <w:rPr>
          <w:rFonts w:ascii="Times New Roman" w:eastAsia="Calibri" w:hAnsi="Times New Roman" w:cs="Times New Roman"/>
          <w:sz w:val="28"/>
          <w:szCs w:val="28"/>
          <w:lang w:val="en-US"/>
        </w:rPr>
        <w:t xml:space="preserve"> Internet subscribers as of the end </w:t>
      </w:r>
      <w:r w:rsidRPr="00570E28">
        <w:rPr>
          <w:rFonts w:ascii="Times New Roman" w:eastAsia="Calibri" w:hAnsi="Times New Roman" w:cs="Times New Roman"/>
          <w:sz w:val="28"/>
          <w:szCs w:val="28"/>
          <w:lang w:val="en-US"/>
        </w:rPr>
        <w:lastRenderedPageBreak/>
        <w:t>of</w:t>
      </w:r>
      <w:r w:rsidRPr="00570E28">
        <w:rPr>
          <w:rFonts w:ascii="Times New Roman" w:hAnsi="Times New Roman" w:cs="Times New Roman"/>
          <w:sz w:val="28"/>
          <w:szCs w:val="28"/>
          <w:lang w:val="en-US"/>
        </w:rPr>
        <w:t xml:space="preserve"> March 2026 </w:t>
      </w:r>
      <w:r w:rsidRPr="00570E28">
        <w:rPr>
          <w:rFonts w:ascii="Times New Roman" w:eastAsia="Calibri" w:hAnsi="Times New Roman" w:cs="Times New Roman"/>
          <w:sz w:val="28"/>
          <w:szCs w:val="28"/>
          <w:lang w:val="en-US"/>
        </w:rPr>
        <w:t>was estimated at 25.3 million, increasing by 4.0% over the same period last year</w:t>
      </w:r>
      <w:r w:rsidRPr="00570E28">
        <w:rPr>
          <w:rFonts w:ascii="Times New Roman" w:hAnsi="Times New Roman" w:cs="Times New Roman"/>
          <w:color w:val="000000" w:themeColor="text1"/>
          <w:sz w:val="28"/>
          <w:szCs w:val="28"/>
          <w:lang w:val="en-US"/>
        </w:rPr>
        <w:t>.</w:t>
      </w:r>
    </w:p>
    <w:p w14:paraId="7192A8F4" w14:textId="77777777" w:rsidR="008845AE" w:rsidRPr="00570E28" w:rsidRDefault="008845AE" w:rsidP="008845AE">
      <w:pPr>
        <w:spacing w:before="120" w:after="0" w:line="240" w:lineRule="auto"/>
        <w:ind w:firstLine="720"/>
        <w:jc w:val="both"/>
        <w:rPr>
          <w:rFonts w:ascii="Times New Roman" w:eastAsia="Calibri" w:hAnsi="Times New Roman" w:cs="Times New Roman"/>
          <w:color w:val="000000" w:themeColor="text1"/>
          <w:sz w:val="28"/>
          <w:szCs w:val="28"/>
          <w:lang w:val="en-US"/>
        </w:rPr>
      </w:pPr>
      <w:r w:rsidRPr="00570E28">
        <w:rPr>
          <w:rFonts w:ascii="Times New Roman" w:hAnsi="Times New Roman" w:cs="Times New Roman"/>
          <w:sz w:val="28"/>
          <w:szCs w:val="28"/>
          <w:lang w:val="en-US"/>
        </w:rPr>
        <w:t xml:space="preserve"> </w:t>
      </w:r>
      <w:r w:rsidRPr="00570E28">
        <w:rPr>
          <w:rFonts w:ascii="Times New Roman" w:eastAsia="Calibri" w:hAnsi="Times New Roman" w:cs="Times New Roman"/>
          <w:i/>
          <w:color w:val="000000" w:themeColor="text1"/>
          <w:sz w:val="28"/>
          <w:szCs w:val="28"/>
          <w:lang w:val="en-US"/>
        </w:rPr>
        <w:t xml:space="preserve">International visitors to Viet Nam </w:t>
      </w:r>
      <w:r w:rsidRPr="00570E28">
        <w:rPr>
          <w:rFonts w:ascii="Times New Roman" w:eastAsia="Calibri" w:hAnsi="Times New Roman" w:cs="Times New Roman"/>
          <w:sz w:val="28"/>
          <w:szCs w:val="28"/>
          <w:lang w:val="en-US"/>
        </w:rPr>
        <w:t>in the first quarter of 2026</w:t>
      </w:r>
      <w:r w:rsidRPr="00570E28">
        <w:rPr>
          <w:rFonts w:ascii="Times New Roman" w:eastAsia="Calibri" w:hAnsi="Times New Roman" w:cs="Times New Roman"/>
          <w:color w:val="000000" w:themeColor="text1"/>
          <w:sz w:val="28"/>
          <w:szCs w:val="28"/>
          <w:lang w:val="en-US"/>
        </w:rPr>
        <w:t xml:space="preserve"> </w:t>
      </w:r>
      <w:r w:rsidRPr="00570E28">
        <w:rPr>
          <w:rFonts w:ascii="Times New Roman" w:eastAsia="Calibri" w:hAnsi="Times New Roman" w:cs="Times New Roman"/>
          <w:sz w:val="28"/>
          <w:szCs w:val="28"/>
          <w:lang w:val="en-US"/>
        </w:rPr>
        <w:t>amounted to 6.76 million arrivals, an increase of 12.4% over that in the same period last year</w:t>
      </w:r>
      <w:r w:rsidRPr="00570E28">
        <w:rPr>
          <w:rFonts w:ascii="Times New Roman" w:eastAsia="Calibri" w:hAnsi="Times New Roman" w:cs="Times New Roman"/>
          <w:color w:val="000000" w:themeColor="text1"/>
          <w:sz w:val="28"/>
          <w:szCs w:val="28"/>
          <w:lang w:val="en-US"/>
        </w:rPr>
        <w:t xml:space="preserve">, </w:t>
      </w:r>
      <w:r w:rsidRPr="00570E28">
        <w:rPr>
          <w:rFonts w:ascii="Times New Roman" w:eastAsia="Calibri" w:hAnsi="Times New Roman" w:cs="Times New Roman"/>
          <w:sz w:val="28"/>
          <w:szCs w:val="28"/>
          <w:lang w:val="en-US"/>
        </w:rPr>
        <w:t>of which, arrivals by air reached 5.56 million</w:t>
      </w:r>
      <w:r w:rsidRPr="00570E28">
        <w:rPr>
          <w:rFonts w:ascii="Times New Roman" w:hAnsi="Times New Roman" w:cs="Times New Roman"/>
          <w:bCs/>
          <w:iCs/>
          <w:spacing w:val="-2"/>
          <w:sz w:val="28"/>
          <w:szCs w:val="28"/>
          <w:lang w:val="en-US"/>
        </w:rPr>
        <w:t xml:space="preserve"> arrivals</w:t>
      </w:r>
      <w:r w:rsidRPr="00570E28">
        <w:rPr>
          <w:rFonts w:ascii="Times New Roman" w:eastAsia="Calibri" w:hAnsi="Times New Roman" w:cs="Times New Roman"/>
          <w:sz w:val="28"/>
          <w:szCs w:val="28"/>
          <w:lang w:val="en-US"/>
        </w:rPr>
        <w:t>, accounting for 82.3% of total international visitors to Viet Nam and rising by 7.0% year-on-year; arrivals by road reached 1.05 million</w:t>
      </w:r>
      <w:r w:rsidRPr="00570E28">
        <w:rPr>
          <w:rFonts w:ascii="Times New Roman" w:hAnsi="Times New Roman" w:cs="Times New Roman"/>
          <w:bCs/>
          <w:iCs/>
          <w:spacing w:val="-2"/>
          <w:sz w:val="28"/>
          <w:szCs w:val="28"/>
          <w:lang w:val="en-US"/>
        </w:rPr>
        <w:t xml:space="preserve"> arrivals</w:t>
      </w:r>
      <w:r w:rsidRPr="00570E28">
        <w:rPr>
          <w:rFonts w:ascii="Times New Roman" w:eastAsia="Calibri" w:hAnsi="Times New Roman" w:cs="Times New Roman"/>
          <w:sz w:val="28"/>
          <w:szCs w:val="28"/>
          <w:lang w:val="en-US"/>
        </w:rPr>
        <w:t>, accounting for 15.5% and increasing by 53.1%; arrivals by sea reached 148.2 thousand arrivals,  accounting for 2.2% and rising by 11.4%.</w:t>
      </w:r>
      <w:r w:rsidRPr="00570E28">
        <w:rPr>
          <w:rFonts w:ascii="Times New Roman" w:eastAsia="Calibri" w:hAnsi="Times New Roman" w:cs="Times New Roman"/>
          <w:color w:val="000000" w:themeColor="text1"/>
          <w:sz w:val="28"/>
          <w:szCs w:val="28"/>
          <w:lang w:val="en-US"/>
        </w:rPr>
        <w:t xml:space="preserve"> </w:t>
      </w:r>
      <w:r w:rsidRPr="00570E28">
        <w:rPr>
          <w:rFonts w:ascii="Times New Roman" w:eastAsia="Calibri" w:hAnsi="Times New Roman" w:cs="Times New Roman"/>
          <w:iCs/>
          <w:color w:val="000000" w:themeColor="text1"/>
          <w:sz w:val="28"/>
          <w:szCs w:val="28"/>
          <w:lang w:val="en-US"/>
        </w:rPr>
        <w:t>By region, arrivals from Asia in the first quarter of 2026 reached 4.92 million, going up 4.4% over that in the same period last year; from Europe reached 1.23 million, up 55.6%; from the Americas reached 403.2 thousand, up 18.1%; from Oceania reached 189.7 thousand, up 18.5%; and from Africa reached 15.8 thousand, up 28.4%</w:t>
      </w:r>
      <w:r w:rsidRPr="00570E28">
        <w:rPr>
          <w:rFonts w:ascii="Times New Roman" w:hAnsi="Times New Roman" w:cs="Times New Roman"/>
          <w:color w:val="000000" w:themeColor="text1"/>
          <w:sz w:val="28"/>
          <w:szCs w:val="28"/>
          <w:lang w:val="en-US"/>
        </w:rPr>
        <w:t>.</w:t>
      </w:r>
    </w:p>
    <w:p w14:paraId="277E140D" w14:textId="32A3D809" w:rsidR="00AE0D21" w:rsidRPr="00570E28" w:rsidRDefault="00553950" w:rsidP="008845AE">
      <w:pPr>
        <w:spacing w:after="120" w:line="240" w:lineRule="auto"/>
        <w:ind w:firstLine="720"/>
        <w:jc w:val="both"/>
        <w:rPr>
          <w:b/>
          <w:bCs/>
          <w:color w:val="000000" w:themeColor="text1"/>
          <w:sz w:val="4"/>
          <w:szCs w:val="28"/>
          <w:lang w:val="en-US"/>
        </w:rPr>
      </w:pPr>
      <w:r w:rsidRPr="00570E28">
        <w:rPr>
          <w:rFonts w:ascii="Times New Roman" w:hAnsi="Times New Roman" w:cs="Times New Roman"/>
          <w:bCs/>
          <w:sz w:val="28"/>
          <w:szCs w:val="28"/>
          <w:lang w:val="en-US" w:eastAsia="en-GB"/>
        </w:rPr>
        <w:t>N</w:t>
      </w:r>
      <w:r w:rsidR="008845AE" w:rsidRPr="00570E28">
        <w:rPr>
          <w:rFonts w:ascii="Times New Roman" w:hAnsi="Times New Roman" w:cs="Times New Roman"/>
          <w:bCs/>
          <w:sz w:val="28"/>
          <w:szCs w:val="28"/>
          <w:lang w:val="en-US" w:eastAsia="en-GB"/>
        </w:rPr>
        <w:t>umber of outbound Vietnamese citizens</w:t>
      </w:r>
      <w:r w:rsidR="008845AE" w:rsidRPr="00570E28">
        <w:rPr>
          <w:rFonts w:ascii="Times New Roman" w:hAnsi="Times New Roman" w:cs="Times New Roman"/>
          <w:bCs/>
          <w:color w:val="000000" w:themeColor="text1"/>
          <w:spacing w:val="-4"/>
          <w:sz w:val="28"/>
          <w:szCs w:val="28"/>
          <w:lang w:val="en-US" w:eastAsia="en-GB"/>
        </w:rPr>
        <w:t xml:space="preserve"> </w:t>
      </w:r>
      <w:r w:rsidR="008845AE" w:rsidRPr="00570E28">
        <w:rPr>
          <w:rFonts w:ascii="Times New Roman" w:hAnsi="Times New Roman" w:cs="Times New Roman"/>
          <w:bCs/>
          <w:sz w:val="28"/>
          <w:szCs w:val="28"/>
          <w:lang w:val="en-US" w:eastAsia="en-GB"/>
        </w:rPr>
        <w:t>in the first quarter of 2026 reached 1.2 million, going down 55% over the same period last year</w:t>
      </w:r>
      <w:r w:rsidR="00AE0D21" w:rsidRPr="00570E28">
        <w:rPr>
          <w:rFonts w:ascii="Times New Roman" w:hAnsi="Times New Roman" w:cs="Times New Roman"/>
          <w:bCs/>
          <w:color w:val="000000" w:themeColor="text1"/>
          <w:sz w:val="28"/>
          <w:szCs w:val="28"/>
          <w:lang w:val="en-US" w:eastAsia="en-GB"/>
        </w:rPr>
        <w:t>.</w:t>
      </w:r>
    </w:p>
    <w:p w14:paraId="48AEB729" w14:textId="0EF59639" w:rsidR="00833ECC" w:rsidRPr="00570E28" w:rsidRDefault="00CE3C6E" w:rsidP="00833ECC">
      <w:pPr>
        <w:shd w:val="clear" w:color="auto" w:fill="FFFFFF"/>
        <w:spacing w:before="120" w:after="0" w:line="240" w:lineRule="auto"/>
        <w:ind w:firstLine="720"/>
        <w:jc w:val="both"/>
        <w:rPr>
          <w:rFonts w:ascii="Times New Roman" w:hAnsi="Times New Roman" w:cs="Times New Roman"/>
          <w:b/>
          <w:color w:val="000000" w:themeColor="text1"/>
          <w:sz w:val="28"/>
          <w:szCs w:val="28"/>
          <w:lang w:val="en-US"/>
        </w:rPr>
      </w:pPr>
      <w:r w:rsidRPr="00570E28">
        <w:rPr>
          <w:rFonts w:ascii="Times New Roman" w:hAnsi="Times New Roman" w:cs="Times New Roman"/>
          <w:b/>
          <w:bCs/>
          <w:color w:val="000000" w:themeColor="text1"/>
          <w:sz w:val="28"/>
          <w:szCs w:val="28"/>
          <w:lang w:val="en-US"/>
        </w:rPr>
        <w:t xml:space="preserve">6. </w:t>
      </w:r>
      <w:r w:rsidR="00833ECC" w:rsidRPr="00570E28">
        <w:rPr>
          <w:rFonts w:ascii="Times New Roman" w:hAnsi="Times New Roman"/>
          <w:b/>
          <w:color w:val="000000" w:themeColor="text1"/>
          <w:sz w:val="28"/>
          <w:lang w:val="en-US"/>
        </w:rPr>
        <w:t>Monetary policy in</w:t>
      </w:r>
      <w:r w:rsidR="00364FAC">
        <w:rPr>
          <w:rFonts w:ascii="Times New Roman" w:hAnsi="Times New Roman"/>
          <w:b/>
          <w:color w:val="000000" w:themeColor="text1"/>
          <w:sz w:val="28"/>
          <w:lang w:val="en-US"/>
        </w:rPr>
        <w:t xml:space="preserve"> the</w:t>
      </w:r>
      <w:r w:rsidR="00833ECC" w:rsidRPr="00570E28">
        <w:rPr>
          <w:rFonts w:ascii="Times New Roman" w:hAnsi="Times New Roman"/>
          <w:b/>
          <w:color w:val="000000" w:themeColor="text1"/>
          <w:sz w:val="28"/>
          <w:lang w:val="en-US"/>
        </w:rPr>
        <w:t xml:space="preserve"> Q1 2026 was managed in a proactive, flexible, and synchronized manner, ensuring harmony with fiscal and other macroeconomic policies to support growth and stabilize the monetary, foreign exchange, and banking system. Meanwhile, the insurance sector recorded positive growth signals, and the stock market saw a significant expansion in trading volume, facilitating capital mobilization for enterprises. </w:t>
      </w:r>
    </w:p>
    <w:p w14:paraId="71B57695" w14:textId="2D0F4B86" w:rsidR="00833ECC" w:rsidRPr="00570E28" w:rsidRDefault="00B91333" w:rsidP="00833ECC">
      <w:pPr>
        <w:shd w:val="clear" w:color="auto" w:fill="FFFFFF"/>
        <w:spacing w:before="120" w:after="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sz w:val="28"/>
          <w:lang w:val="en-US"/>
        </w:rPr>
        <w:t>As of March 24</w:t>
      </w:r>
      <w:r w:rsidRPr="00570E28">
        <w:rPr>
          <w:rFonts w:ascii="Times New Roman" w:hAnsi="Times New Roman"/>
          <w:sz w:val="28"/>
          <w:vertAlign w:val="superscript"/>
          <w:lang w:val="en-US"/>
        </w:rPr>
        <w:t>th</w:t>
      </w:r>
      <w:r w:rsidRPr="00570E28">
        <w:rPr>
          <w:rFonts w:ascii="Times New Roman" w:hAnsi="Times New Roman"/>
          <w:sz w:val="28"/>
          <w:lang w:val="en-US"/>
        </w:rPr>
        <w:t>, 2026, total liquidity increased by 1.04% compared to the end of 2025 (versus a 1.89% increase during the same period in 2025). Deposits of credit institutions rose by 0.44% (the corresponding figure in 2025 was 1.23%), and credit growth of the economy reached 2.15% (against 2.28% in the corresponding period of 2025)</w:t>
      </w:r>
      <w:r w:rsidR="00833ECC" w:rsidRPr="00570E28">
        <w:rPr>
          <w:rFonts w:ascii="Times New Roman" w:hAnsi="Times New Roman"/>
          <w:color w:val="000000" w:themeColor="text1"/>
          <w:sz w:val="28"/>
          <w:lang w:val="en-US"/>
        </w:rPr>
        <w:t xml:space="preserve">. </w:t>
      </w:r>
    </w:p>
    <w:p w14:paraId="59933866" w14:textId="75DCDBFB" w:rsidR="00833ECC" w:rsidRPr="00570E28" w:rsidRDefault="00833ECC" w:rsidP="00833ECC">
      <w:pPr>
        <w:tabs>
          <w:tab w:val="left" w:pos="0"/>
        </w:tabs>
        <w:spacing w:before="120" w:after="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i/>
          <w:iCs/>
          <w:color w:val="000000" w:themeColor="text1"/>
          <w:sz w:val="28"/>
          <w:lang w:val="en-US"/>
        </w:rPr>
        <w:t>Regarding the insurance market</w:t>
      </w:r>
      <w:r w:rsidRPr="00570E28">
        <w:rPr>
          <w:rFonts w:ascii="Times New Roman" w:hAnsi="Times New Roman"/>
          <w:color w:val="000000" w:themeColor="text1"/>
          <w:sz w:val="28"/>
          <w:lang w:val="en-US"/>
        </w:rPr>
        <w:t xml:space="preserve">, total premium revenue in </w:t>
      </w:r>
      <w:r w:rsidR="00364FAC">
        <w:rPr>
          <w:rFonts w:ascii="Times New Roman" w:hAnsi="Times New Roman"/>
          <w:color w:val="000000" w:themeColor="text1"/>
          <w:sz w:val="28"/>
          <w:lang w:val="en-US"/>
        </w:rPr>
        <w:t xml:space="preserve">the </w:t>
      </w:r>
      <w:r w:rsidRPr="00570E28">
        <w:rPr>
          <w:rFonts w:ascii="Times New Roman" w:hAnsi="Times New Roman"/>
          <w:color w:val="000000" w:themeColor="text1"/>
          <w:sz w:val="28"/>
          <w:lang w:val="en-US"/>
        </w:rPr>
        <w:t xml:space="preserve">Q1 2026 was estimated at 57,058 billion VND, a year-on-year rise of 2.5%, specifically: Life insurance premium revenue was estimated at 33,073 billion VND, down 2.5%, while the non-life insurance premium revenue was estimated to reach 23,985 billion VND, an increase of 10.2%. </w:t>
      </w:r>
    </w:p>
    <w:p w14:paraId="7FE78E12" w14:textId="3807B7AC" w:rsidR="00833ECC" w:rsidRPr="00570E28" w:rsidRDefault="00833ECC" w:rsidP="00833ECC">
      <w:pPr>
        <w:spacing w:before="120" w:after="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i/>
          <w:iCs/>
          <w:color w:val="000000" w:themeColor="text1"/>
          <w:sz w:val="28"/>
          <w:lang w:val="en-US"/>
        </w:rPr>
        <w:t>In the stock market</w:t>
      </w:r>
      <w:r w:rsidRPr="00570E28">
        <w:rPr>
          <w:rFonts w:ascii="Times New Roman" w:hAnsi="Times New Roman"/>
          <w:color w:val="000000" w:themeColor="text1"/>
          <w:sz w:val="28"/>
          <w:lang w:val="en-US"/>
        </w:rPr>
        <w:t>, as of March 31</w:t>
      </w:r>
      <w:r w:rsidR="00B91333" w:rsidRPr="00570E28">
        <w:rPr>
          <w:rFonts w:ascii="Times New Roman" w:hAnsi="Times New Roman"/>
          <w:color w:val="000000" w:themeColor="text1"/>
          <w:sz w:val="28"/>
          <w:vertAlign w:val="superscript"/>
          <w:lang w:val="en-US"/>
        </w:rPr>
        <w:t>st</w:t>
      </w:r>
      <w:r w:rsidRPr="00570E28">
        <w:rPr>
          <w:rFonts w:ascii="Times New Roman" w:hAnsi="Times New Roman"/>
          <w:color w:val="000000" w:themeColor="text1"/>
          <w:sz w:val="28"/>
          <w:lang w:val="en-US"/>
        </w:rPr>
        <w:t>, 2026, the VN-Index reached 1,674.49 points, a decline of 6.2% compared to the end of 2025. As of March 30th, 2026, market capitalization of listed stocks reached 9,613.6 trillion VND, down 3.6%. The average trading value reached 35,043 billion VND per session, increasing by nearly 19.8% compared to the 2025 average figure. By the end of February 2026, the stock market featured 728 listed stocks and fund certificates, and 844 stocks registered for trading on the UPCoM market. The total value of listed and registered securities reached 2,768 trillion VND, an increase of 2.5% compared to the end of 2025.</w:t>
      </w:r>
    </w:p>
    <w:p w14:paraId="714253C1" w14:textId="453905AD" w:rsidR="00833ECC" w:rsidRPr="00570E28" w:rsidRDefault="00833ECC" w:rsidP="00833ECC">
      <w:pPr>
        <w:spacing w:before="120" w:after="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i/>
          <w:iCs/>
          <w:color w:val="000000" w:themeColor="text1"/>
          <w:sz w:val="28"/>
          <w:lang w:val="en-US"/>
        </w:rPr>
        <w:t>In the bond market</w:t>
      </w:r>
      <w:r w:rsidRPr="00570E28">
        <w:rPr>
          <w:rFonts w:ascii="Times New Roman" w:hAnsi="Times New Roman"/>
          <w:color w:val="000000" w:themeColor="text1"/>
          <w:sz w:val="28"/>
          <w:lang w:val="en-US"/>
        </w:rPr>
        <w:t xml:space="preserve">, the average trading value in </w:t>
      </w:r>
      <w:r w:rsidR="00364FAC">
        <w:rPr>
          <w:rFonts w:ascii="Times New Roman" w:hAnsi="Times New Roman"/>
          <w:color w:val="000000" w:themeColor="text1"/>
          <w:sz w:val="28"/>
          <w:lang w:val="en-US"/>
        </w:rPr>
        <w:t xml:space="preserve">the </w:t>
      </w:r>
      <w:r w:rsidRPr="00570E28">
        <w:rPr>
          <w:rFonts w:ascii="Times New Roman" w:hAnsi="Times New Roman"/>
          <w:color w:val="000000" w:themeColor="text1"/>
          <w:sz w:val="28"/>
          <w:lang w:val="en-US"/>
        </w:rPr>
        <w:t xml:space="preserve">Q1 2026 reached 21,452 billion VND per session, an increase of 2.6% compared to the 2025 average figure. By the end of February 2026, the bond market featured 471 listed </w:t>
      </w:r>
      <w:r w:rsidRPr="00570E28">
        <w:rPr>
          <w:rFonts w:ascii="Times New Roman" w:hAnsi="Times New Roman"/>
          <w:color w:val="000000" w:themeColor="text1"/>
          <w:sz w:val="28"/>
          <w:lang w:val="en-US"/>
        </w:rPr>
        <w:lastRenderedPageBreak/>
        <w:t>bond codes with a listed value reaching 2,719 trillion VND, marking an increase of 1.6% compared to that in the end of 2025.</w:t>
      </w:r>
    </w:p>
    <w:p w14:paraId="14FF0F96" w14:textId="398FD9BA" w:rsidR="00060DA1" w:rsidRPr="00570E28" w:rsidRDefault="00833ECC" w:rsidP="00833ECC">
      <w:pPr>
        <w:shd w:val="clear" w:color="auto" w:fill="FFFFFF"/>
        <w:spacing w:before="120" w:after="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i/>
          <w:iCs/>
          <w:color w:val="000000" w:themeColor="text1"/>
          <w:sz w:val="28"/>
          <w:lang w:val="en-US"/>
        </w:rPr>
        <w:t>In the derivatives market</w:t>
      </w:r>
      <w:r w:rsidRPr="00570E28">
        <w:rPr>
          <w:rFonts w:ascii="Times New Roman" w:hAnsi="Times New Roman"/>
          <w:color w:val="000000" w:themeColor="text1"/>
          <w:sz w:val="28"/>
          <w:lang w:val="en-US"/>
        </w:rPr>
        <w:t>, the average trading value in</w:t>
      </w:r>
      <w:r w:rsidR="00364FAC">
        <w:rPr>
          <w:rFonts w:ascii="Times New Roman" w:hAnsi="Times New Roman"/>
          <w:color w:val="000000" w:themeColor="text1"/>
          <w:sz w:val="28"/>
          <w:lang w:val="en-US"/>
        </w:rPr>
        <w:t xml:space="preserve"> the</w:t>
      </w:r>
      <w:r w:rsidRPr="00570E28">
        <w:rPr>
          <w:rFonts w:ascii="Times New Roman" w:hAnsi="Times New Roman"/>
          <w:color w:val="000000" w:themeColor="text1"/>
          <w:sz w:val="28"/>
          <w:lang w:val="en-US"/>
        </w:rPr>
        <w:t xml:space="preserve"> Q1 2026 reached nearly 276.9 thousand contracts per session, representing an increase of 14.2% compared to the 2025 average figure. </w:t>
      </w:r>
      <w:r w:rsidRPr="00570E28">
        <w:rPr>
          <w:rFonts w:ascii="Times New Roman" w:hAnsi="Times New Roman"/>
          <w:i/>
          <w:iCs/>
          <w:color w:val="000000" w:themeColor="text1"/>
          <w:sz w:val="28"/>
          <w:lang w:val="en-US"/>
        </w:rPr>
        <w:t>The number of investor accounts</w:t>
      </w:r>
      <w:r w:rsidRPr="00570E28">
        <w:rPr>
          <w:rFonts w:ascii="Times New Roman" w:hAnsi="Times New Roman"/>
          <w:color w:val="000000" w:themeColor="text1"/>
          <w:sz w:val="28"/>
          <w:lang w:val="en-US"/>
        </w:rPr>
        <w:t xml:space="preserve"> reached 12.3 million accounts by the end of February 2026, up 3.7% from year-end 2025</w:t>
      </w:r>
      <w:r w:rsidR="00060DA1" w:rsidRPr="00570E28">
        <w:rPr>
          <w:rFonts w:ascii="Times New Roman" w:hAnsi="Times New Roman" w:cs="Times New Roman"/>
          <w:color w:val="000000" w:themeColor="text1"/>
          <w:sz w:val="28"/>
          <w:szCs w:val="28"/>
          <w:lang w:val="en-US"/>
        </w:rPr>
        <w:t>.</w:t>
      </w:r>
    </w:p>
    <w:p w14:paraId="5BE50DF0" w14:textId="280C9994" w:rsidR="00DE4803" w:rsidRPr="00570E28" w:rsidRDefault="004115BC" w:rsidP="00DE4803">
      <w:pPr>
        <w:spacing w:before="120" w:after="0" w:line="240" w:lineRule="auto"/>
        <w:ind w:firstLine="720"/>
        <w:jc w:val="both"/>
        <w:rPr>
          <w:rFonts w:ascii="Times New Roman" w:hAnsi="Times New Roman" w:cs="Times New Roman"/>
          <w:b/>
          <w:color w:val="000000" w:themeColor="text1"/>
          <w:sz w:val="28"/>
          <w:szCs w:val="28"/>
          <w:lang w:val="en-US"/>
        </w:rPr>
      </w:pPr>
      <w:r w:rsidRPr="00570E28">
        <w:rPr>
          <w:rFonts w:ascii="Times New Roman" w:hAnsi="Times New Roman" w:cs="Times New Roman"/>
          <w:b/>
          <w:color w:val="000000" w:themeColor="text1"/>
          <w:spacing w:val="2"/>
          <w:sz w:val="28"/>
          <w:szCs w:val="28"/>
          <w:lang w:val="en-US"/>
        </w:rPr>
        <w:t xml:space="preserve">7. </w:t>
      </w:r>
      <w:r w:rsidR="00DE4803" w:rsidRPr="00570E28">
        <w:rPr>
          <w:rFonts w:ascii="Times New Roman" w:hAnsi="Times New Roman" w:cs="Times New Roman"/>
          <w:b/>
          <w:color w:val="000000" w:themeColor="text1"/>
          <w:sz w:val="28"/>
          <w:szCs w:val="28"/>
          <w:lang w:val="en-US"/>
        </w:rPr>
        <w:t xml:space="preserve">Total disbursed investment in the first quarter of 2026 at current prices increased by 10.7% over that in the same period last year, higher than the growth </w:t>
      </w:r>
      <w:r w:rsidR="00B91333" w:rsidRPr="00570E28">
        <w:rPr>
          <w:rFonts w:ascii="Times New Roman" w:hAnsi="Times New Roman" w:cs="Times New Roman"/>
          <w:b/>
          <w:color w:val="000000" w:themeColor="text1"/>
          <w:sz w:val="28"/>
          <w:szCs w:val="28"/>
          <w:lang w:val="en-US"/>
        </w:rPr>
        <w:t>of 9.4</w:t>
      </w:r>
      <w:r w:rsidR="00DE4803" w:rsidRPr="00570E28">
        <w:rPr>
          <w:rFonts w:ascii="Times New Roman" w:hAnsi="Times New Roman" w:cs="Times New Roman"/>
          <w:b/>
          <w:color w:val="000000" w:themeColor="text1"/>
          <w:sz w:val="28"/>
          <w:szCs w:val="28"/>
          <w:lang w:val="en-US"/>
        </w:rPr>
        <w:t xml:space="preserve">% recorded in the first quarter of 2025, reflecting a distinct recovery trend across various sectors and industries, contributing to enhance production capacity, improve infrastructure, and support economic growth. </w:t>
      </w:r>
      <w:r w:rsidR="00B91333" w:rsidRPr="00570E28">
        <w:rPr>
          <w:rFonts w:ascii="Times New Roman" w:hAnsi="Times New Roman" w:cs="Times New Roman"/>
          <w:b/>
          <w:color w:val="000000" w:themeColor="text1"/>
          <w:sz w:val="28"/>
          <w:szCs w:val="28"/>
          <w:lang w:val="en-US"/>
        </w:rPr>
        <w:t>D</w:t>
      </w:r>
      <w:r w:rsidR="00DE4803" w:rsidRPr="00570E28">
        <w:rPr>
          <w:rFonts w:ascii="Times New Roman" w:hAnsi="Times New Roman" w:cs="Times New Roman"/>
          <w:b/>
          <w:color w:val="000000" w:themeColor="text1"/>
          <w:sz w:val="28"/>
          <w:szCs w:val="28"/>
          <w:lang w:val="en-US"/>
        </w:rPr>
        <w:t xml:space="preserve">isbursed Foreign </w:t>
      </w:r>
      <w:r w:rsidR="00B91333" w:rsidRPr="00570E28">
        <w:rPr>
          <w:rFonts w:ascii="Times New Roman" w:hAnsi="Times New Roman" w:cs="Times New Roman"/>
          <w:b/>
          <w:color w:val="000000" w:themeColor="text1"/>
          <w:sz w:val="28"/>
          <w:szCs w:val="28"/>
          <w:lang w:val="en-US"/>
        </w:rPr>
        <w:t xml:space="preserve">Direct Investment </w:t>
      </w:r>
      <w:r w:rsidR="00DE4803" w:rsidRPr="00570E28">
        <w:rPr>
          <w:rFonts w:ascii="Times New Roman" w:hAnsi="Times New Roman" w:cs="Times New Roman"/>
          <w:b/>
          <w:color w:val="000000" w:themeColor="text1"/>
          <w:sz w:val="28"/>
          <w:szCs w:val="28"/>
          <w:lang w:val="en-US"/>
        </w:rPr>
        <w:t>(FDI) in Viet Nam for the first quarter of 2026 was estimated at 5.41 billion USD, a year-on-year increase of 9.1%, marking the highest first-quarter level recorded since 2022.</w:t>
      </w:r>
    </w:p>
    <w:p w14:paraId="7D5485AD" w14:textId="77777777" w:rsidR="00DE4803" w:rsidRPr="00570E28" w:rsidRDefault="00DE4803" w:rsidP="00DE4803">
      <w:pPr>
        <w:spacing w:before="120" w:after="0" w:line="240" w:lineRule="auto"/>
        <w:ind w:firstLine="720"/>
        <w:jc w:val="both"/>
        <w:rPr>
          <w:rFonts w:ascii="Times New Roman" w:hAnsi="Times New Roman" w:cs="Times New Roman"/>
          <w:iCs/>
          <w:color w:val="000000" w:themeColor="text1"/>
          <w:sz w:val="28"/>
          <w:szCs w:val="28"/>
          <w:lang w:val="en-US"/>
        </w:rPr>
      </w:pPr>
      <w:r w:rsidRPr="00570E28">
        <w:rPr>
          <w:rFonts w:ascii="Times New Roman" w:hAnsi="Times New Roman" w:cs="Times New Roman"/>
          <w:i/>
          <w:sz w:val="28"/>
          <w:szCs w:val="28"/>
          <w:lang w:val="en-US"/>
        </w:rPr>
        <w:t>The total disbursed investment</w:t>
      </w:r>
      <w:r w:rsidRPr="00570E28">
        <w:rPr>
          <w:rFonts w:ascii="Times New Roman" w:hAnsi="Times New Roman" w:cs="Times New Roman"/>
          <w:iCs/>
          <w:sz w:val="28"/>
          <w:szCs w:val="28"/>
          <w:lang w:val="en-US"/>
        </w:rPr>
        <w:t xml:space="preserve"> in the first quarter of 2026 at current prices was estimated at 744.7 trillion VND, a year-on-year increase of 10.7%, including: State sector’s investment capital reached 207.2 trillion VND, accounting for 27.8% of the total investment and a year-on-year upturn of 11.6%; the non-State sector’s investment  reached 402.4 trillion VND, accounting for 54.1%, up 9.8%; the FDI sector’s investment was estimated at 135.1 trillion VND, accounting for 18.1% and up 11.8%.</w:t>
      </w:r>
    </w:p>
    <w:p w14:paraId="2E9947B8" w14:textId="0E7EC678" w:rsidR="00DE4803" w:rsidRPr="00570E28" w:rsidRDefault="00DE4803" w:rsidP="00DE4803">
      <w:pPr>
        <w:spacing w:before="120" w:after="0" w:line="240" w:lineRule="auto"/>
        <w:ind w:firstLine="720"/>
        <w:jc w:val="both"/>
        <w:rPr>
          <w:rFonts w:ascii="Times New Roman" w:hAnsi="Times New Roman" w:cs="Times New Roman"/>
          <w:color w:val="000000" w:themeColor="text1"/>
          <w:spacing w:val="2"/>
          <w:sz w:val="28"/>
          <w:szCs w:val="28"/>
          <w:lang w:val="en-US"/>
        </w:rPr>
      </w:pPr>
      <w:r w:rsidRPr="00570E28">
        <w:rPr>
          <w:rFonts w:ascii="Times New Roman" w:hAnsi="Times New Roman" w:cs="Times New Roman"/>
          <w:i/>
          <w:iCs/>
          <w:color w:val="000000" w:themeColor="text1"/>
          <w:spacing w:val="2"/>
          <w:sz w:val="28"/>
          <w:szCs w:val="28"/>
          <w:lang w:val="en-US"/>
        </w:rPr>
        <w:t>Total inward foreign direct investment (FDI) in Viet Nam</w:t>
      </w:r>
      <w:r w:rsidRPr="00570E28">
        <w:rPr>
          <w:rStyle w:val="FootnoteReference"/>
          <w:rFonts w:ascii="Times New Roman" w:hAnsi="Times New Roman"/>
          <w:i/>
          <w:iCs/>
          <w:color w:val="000000" w:themeColor="text1"/>
          <w:spacing w:val="2"/>
          <w:sz w:val="28"/>
          <w:szCs w:val="28"/>
          <w:lang w:val="en-US"/>
        </w:rPr>
        <w:footnoteReference w:id="19"/>
      </w:r>
      <w:r w:rsidRPr="00570E28">
        <w:rPr>
          <w:rFonts w:ascii="Times New Roman" w:hAnsi="Times New Roman" w:cs="Times New Roman"/>
          <w:i/>
          <w:iCs/>
          <w:color w:val="000000" w:themeColor="text1"/>
          <w:spacing w:val="2"/>
          <w:sz w:val="28"/>
          <w:szCs w:val="28"/>
          <w:lang w:val="en-US"/>
        </w:rPr>
        <w:t xml:space="preserve"> </w:t>
      </w:r>
      <w:r w:rsidRPr="00570E28">
        <w:rPr>
          <w:rFonts w:ascii="Times New Roman" w:hAnsi="Times New Roman" w:cs="Times New Roman"/>
          <w:iCs/>
          <w:color w:val="000000" w:themeColor="text1"/>
          <w:spacing w:val="2"/>
          <w:sz w:val="28"/>
          <w:szCs w:val="28"/>
          <w:lang w:val="en-US"/>
        </w:rPr>
        <w:t>as of March 31st, 2026</w:t>
      </w:r>
      <w:r w:rsidRPr="00570E28">
        <w:rPr>
          <w:rFonts w:ascii="Times New Roman" w:hAnsi="Times New Roman" w:cs="Times New Roman"/>
          <w:i/>
          <w:iCs/>
          <w:color w:val="000000" w:themeColor="text1"/>
          <w:spacing w:val="2"/>
          <w:sz w:val="28"/>
          <w:szCs w:val="28"/>
          <w:vertAlign w:val="superscript"/>
          <w:lang w:val="en-US"/>
        </w:rPr>
        <w:footnoteReference w:id="20"/>
      </w:r>
      <w:r w:rsidRPr="00570E28">
        <w:rPr>
          <w:rFonts w:ascii="Times New Roman" w:hAnsi="Times New Roman" w:cs="Times New Roman"/>
          <w:iCs/>
          <w:color w:val="000000" w:themeColor="text1"/>
          <w:spacing w:val="2"/>
          <w:sz w:val="28"/>
          <w:szCs w:val="28"/>
          <w:lang w:val="en-US"/>
        </w:rPr>
        <w:t xml:space="preserve"> reached 15.20 billion USD, a year-on-year upturn of 42.9%. Of which: </w:t>
      </w:r>
      <w:r w:rsidRPr="00570E28">
        <w:rPr>
          <w:rFonts w:ascii="Times New Roman" w:hAnsi="Times New Roman" w:cs="Times New Roman"/>
          <w:i/>
          <w:color w:val="000000" w:themeColor="text1"/>
          <w:spacing w:val="2"/>
          <w:sz w:val="28"/>
          <w:szCs w:val="28"/>
          <w:lang w:val="en-US"/>
        </w:rPr>
        <w:t>Newly registered capital</w:t>
      </w:r>
      <w:r w:rsidRPr="00570E28">
        <w:rPr>
          <w:rFonts w:ascii="Times New Roman" w:hAnsi="Times New Roman" w:cs="Times New Roman"/>
          <w:iCs/>
          <w:color w:val="000000" w:themeColor="text1"/>
          <w:spacing w:val="2"/>
          <w:sz w:val="28"/>
          <w:szCs w:val="28"/>
          <w:lang w:val="en-US"/>
        </w:rPr>
        <w:t xml:space="preserve">, </w:t>
      </w:r>
      <w:r w:rsidRPr="00570E28">
        <w:rPr>
          <w:rFonts w:ascii="Times New Roman" w:hAnsi="Times New Roman" w:cs="Times New Roman"/>
          <w:color w:val="000000" w:themeColor="text1"/>
          <w:spacing w:val="2"/>
          <w:sz w:val="28"/>
          <w:szCs w:val="28"/>
          <w:lang w:val="en-US"/>
        </w:rPr>
        <w:t>904 projects were newly licensed with registered capital of 10.23 billion USD, a year-on-year increase of 6.4% in terms of the number of projects and an upturn of 2.4 times in terms of registered capital</w:t>
      </w:r>
      <w:r w:rsidRPr="00570E28">
        <w:rPr>
          <w:rFonts w:ascii="Times New Roman" w:hAnsi="Times New Roman" w:cs="Times New Roman"/>
          <w:iCs/>
          <w:color w:val="000000" w:themeColor="text1"/>
          <w:spacing w:val="2"/>
          <w:sz w:val="28"/>
          <w:szCs w:val="28"/>
          <w:lang w:val="en-US"/>
        </w:rPr>
        <w:t xml:space="preserve">. </w:t>
      </w:r>
      <w:r w:rsidR="00B91333" w:rsidRPr="00570E28">
        <w:rPr>
          <w:rFonts w:ascii="Times New Roman" w:hAnsi="Times New Roman" w:cs="Times New Roman"/>
          <w:i/>
          <w:iCs/>
          <w:color w:val="000000" w:themeColor="text1"/>
          <w:spacing w:val="2"/>
          <w:sz w:val="28"/>
          <w:szCs w:val="28"/>
          <w:lang w:val="en-US"/>
        </w:rPr>
        <w:t xml:space="preserve">Adjusted </w:t>
      </w:r>
      <w:r w:rsidRPr="00570E28">
        <w:rPr>
          <w:rFonts w:ascii="Times New Roman" w:hAnsi="Times New Roman" w:cs="Times New Roman"/>
          <w:i/>
          <w:iCs/>
          <w:color w:val="000000" w:themeColor="text1"/>
          <w:spacing w:val="2"/>
          <w:sz w:val="28"/>
          <w:szCs w:val="28"/>
          <w:lang w:val="en-US"/>
        </w:rPr>
        <w:t>registered capital</w:t>
      </w:r>
      <w:r w:rsidRPr="00570E28">
        <w:rPr>
          <w:rFonts w:ascii="Times New Roman" w:hAnsi="Times New Roman" w:cs="Times New Roman"/>
          <w:color w:val="000000" w:themeColor="text1"/>
          <w:spacing w:val="2"/>
          <w:sz w:val="28"/>
          <w:szCs w:val="28"/>
          <w:lang w:val="en-US"/>
        </w:rPr>
        <w:t>, 251 projects that were licensed from previous years registered to adjust investment capital to increase by 2.30 billion USD, a year-on-year decrease of 55.1%</w:t>
      </w:r>
      <w:r w:rsidRPr="00570E28">
        <w:rPr>
          <w:rFonts w:ascii="Times New Roman" w:hAnsi="Times New Roman" w:cs="Times New Roman"/>
          <w:iCs/>
          <w:color w:val="000000" w:themeColor="text1"/>
          <w:spacing w:val="2"/>
          <w:sz w:val="28"/>
          <w:szCs w:val="28"/>
          <w:lang w:val="en-US"/>
        </w:rPr>
        <w:t xml:space="preserve">. </w:t>
      </w:r>
      <w:r w:rsidRPr="00570E28">
        <w:rPr>
          <w:rFonts w:ascii="Times New Roman" w:hAnsi="Times New Roman" w:cs="Times New Roman"/>
          <w:color w:val="000000" w:themeColor="text1"/>
          <w:spacing w:val="2"/>
          <w:sz w:val="28"/>
          <w:szCs w:val="28"/>
          <w:lang w:val="en-US"/>
        </w:rPr>
        <w:t xml:space="preserve">There were 703 turns of </w:t>
      </w:r>
      <w:r w:rsidRPr="00570E28">
        <w:rPr>
          <w:rFonts w:ascii="Times New Roman" w:hAnsi="Times New Roman" w:cs="Times New Roman"/>
          <w:i/>
          <w:iCs/>
          <w:color w:val="000000" w:themeColor="text1"/>
          <w:spacing w:val="2"/>
          <w:sz w:val="28"/>
          <w:szCs w:val="28"/>
          <w:lang w:val="en-US"/>
        </w:rPr>
        <w:t>registered capital contribution and shares</w:t>
      </w:r>
      <w:r w:rsidR="00B91333" w:rsidRPr="00570E28">
        <w:rPr>
          <w:rFonts w:ascii="Times New Roman" w:hAnsi="Times New Roman" w:cs="Times New Roman"/>
          <w:i/>
          <w:iCs/>
          <w:color w:val="000000" w:themeColor="text1"/>
          <w:spacing w:val="2"/>
          <w:sz w:val="28"/>
          <w:szCs w:val="28"/>
          <w:lang w:val="en-US"/>
        </w:rPr>
        <w:t xml:space="preserve"> purchased</w:t>
      </w:r>
      <w:r w:rsidRPr="00570E28">
        <w:rPr>
          <w:rFonts w:ascii="Times New Roman" w:hAnsi="Times New Roman" w:cs="Times New Roman"/>
          <w:i/>
          <w:iCs/>
          <w:color w:val="000000" w:themeColor="text1"/>
          <w:spacing w:val="2"/>
          <w:sz w:val="28"/>
          <w:szCs w:val="28"/>
          <w:lang w:val="en-US"/>
        </w:rPr>
        <w:t xml:space="preserve"> by foreign investors</w:t>
      </w:r>
      <w:r w:rsidRPr="00570E28">
        <w:rPr>
          <w:rFonts w:ascii="Times New Roman" w:hAnsi="Times New Roman" w:cs="Times New Roman"/>
          <w:color w:val="000000" w:themeColor="text1"/>
          <w:spacing w:val="2"/>
          <w:sz w:val="28"/>
          <w:szCs w:val="28"/>
          <w:lang w:val="en-US"/>
        </w:rPr>
        <w:t xml:space="preserve"> with a total capital contribution value of 2.66 billion USD, 2.3 times higher than that in the same period last year. </w:t>
      </w:r>
    </w:p>
    <w:p w14:paraId="496119B6" w14:textId="77777777" w:rsidR="00DE4803" w:rsidRPr="00570E28" w:rsidRDefault="00DE4803" w:rsidP="00DE4803">
      <w:pPr>
        <w:spacing w:before="120" w:after="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i/>
          <w:iCs/>
          <w:color w:val="000000" w:themeColor="text1"/>
          <w:sz w:val="28"/>
          <w:szCs w:val="28"/>
          <w:lang w:val="en-US"/>
        </w:rPr>
        <w:t>The disbursed FDI in Viet Nam</w:t>
      </w:r>
      <w:r w:rsidRPr="00570E28">
        <w:rPr>
          <w:rFonts w:ascii="Times New Roman" w:hAnsi="Times New Roman" w:cs="Times New Roman"/>
          <w:color w:val="000000" w:themeColor="text1"/>
          <w:sz w:val="28"/>
          <w:szCs w:val="28"/>
          <w:lang w:val="en-US"/>
        </w:rPr>
        <w:t xml:space="preserve"> in the three months of 2026 was estimated at 5.41 billion USD, a year-on-year increase of 9.1%. </w:t>
      </w:r>
    </w:p>
    <w:p w14:paraId="40B98716" w14:textId="30909DD2" w:rsidR="002944F9" w:rsidRPr="00570E28" w:rsidRDefault="00DE4803" w:rsidP="00DE4803">
      <w:pPr>
        <w:spacing w:before="120" w:after="0" w:line="240" w:lineRule="auto"/>
        <w:ind w:firstLine="720"/>
        <w:jc w:val="both"/>
        <w:rPr>
          <w:rFonts w:ascii="Times New Roman" w:hAnsi="Times New Roman" w:cs="Times New Roman"/>
          <w:i/>
          <w:iCs/>
          <w:sz w:val="28"/>
          <w:szCs w:val="28"/>
          <w:lang w:val="en-US"/>
        </w:rPr>
      </w:pPr>
      <w:r w:rsidRPr="00570E28">
        <w:rPr>
          <w:rFonts w:ascii="Times New Roman" w:hAnsi="Times New Roman" w:cs="Times New Roman"/>
          <w:i/>
          <w:iCs/>
          <w:sz w:val="28"/>
          <w:szCs w:val="28"/>
          <w:lang w:val="en-US"/>
        </w:rPr>
        <w:t xml:space="preserve">Viet Nam's outward investment </w:t>
      </w:r>
      <w:r w:rsidRPr="00570E28">
        <w:rPr>
          <w:rFonts w:ascii="Times New Roman" w:hAnsi="Times New Roman" w:cs="Times New Roman"/>
          <w:iCs/>
          <w:sz w:val="28"/>
          <w:szCs w:val="28"/>
          <w:lang w:val="en-US"/>
        </w:rPr>
        <w:t xml:space="preserve">in the three months of 2026 witnessed 48 projects granted with new investment certificates with a total capital of 597.2 million USD, 2.6 times higher than that in the same period last year; 4 turns of projects adjusted their capital with an additional </w:t>
      </w:r>
      <w:r w:rsidR="00B91333" w:rsidRPr="00570E28">
        <w:rPr>
          <w:rFonts w:ascii="Times New Roman" w:hAnsi="Times New Roman" w:cs="Times New Roman"/>
          <w:iCs/>
          <w:sz w:val="28"/>
          <w:szCs w:val="28"/>
          <w:lang w:val="en-US"/>
        </w:rPr>
        <w:t>of 22.8</w:t>
      </w:r>
      <w:r w:rsidRPr="00570E28">
        <w:rPr>
          <w:rFonts w:ascii="Times New Roman" w:hAnsi="Times New Roman" w:cs="Times New Roman"/>
          <w:iCs/>
          <w:sz w:val="28"/>
          <w:szCs w:val="28"/>
          <w:lang w:val="en-US"/>
        </w:rPr>
        <w:t xml:space="preserve"> million USD, 4.3 times higher than that in the same period last year. </w:t>
      </w:r>
      <w:r w:rsidRPr="00570E28">
        <w:rPr>
          <w:rFonts w:ascii="Times New Roman" w:hAnsi="Times New Roman" w:cs="Times New Roman"/>
          <w:iCs/>
          <w:spacing w:val="-4"/>
          <w:sz w:val="28"/>
          <w:szCs w:val="28"/>
          <w:lang w:val="en-US"/>
        </w:rPr>
        <w:t>Generally, total Viet Nam's outward FDI (newly licensed and adjusted capital) reached 619.9 million USD, 2.6 times higher than that in the same period last year</w:t>
      </w:r>
      <w:r w:rsidR="002944F9" w:rsidRPr="00570E28">
        <w:rPr>
          <w:rFonts w:ascii="Times New Roman" w:hAnsi="Times New Roman" w:cs="Times New Roman"/>
          <w:iCs/>
          <w:spacing w:val="-4"/>
          <w:sz w:val="28"/>
          <w:szCs w:val="28"/>
          <w:lang w:val="en-US"/>
        </w:rPr>
        <w:t>.</w:t>
      </w:r>
    </w:p>
    <w:p w14:paraId="62E5609E" w14:textId="70003CFE" w:rsidR="00E22CCE" w:rsidRPr="00570E28" w:rsidRDefault="00CE7E51" w:rsidP="00E22CCE">
      <w:pPr>
        <w:spacing w:before="120" w:after="0" w:line="240" w:lineRule="auto"/>
        <w:ind w:firstLine="720"/>
        <w:jc w:val="both"/>
        <w:rPr>
          <w:rFonts w:ascii="Times New Roman" w:hAnsi="Times New Roman" w:cs="Times New Roman"/>
          <w:b/>
          <w:color w:val="000000" w:themeColor="text1"/>
          <w:sz w:val="28"/>
          <w:szCs w:val="28"/>
          <w:lang w:val="en-US"/>
        </w:rPr>
      </w:pPr>
      <w:r w:rsidRPr="00570E28">
        <w:rPr>
          <w:rFonts w:ascii="Times New Roman" w:hAnsi="Times New Roman" w:cs="Times New Roman"/>
          <w:b/>
          <w:bCs/>
          <w:iCs/>
          <w:color w:val="000000" w:themeColor="text1"/>
          <w:spacing w:val="2"/>
          <w:sz w:val="28"/>
          <w:szCs w:val="28"/>
          <w:lang w:val="en-US"/>
        </w:rPr>
        <w:lastRenderedPageBreak/>
        <w:t>8.</w:t>
      </w:r>
      <w:r w:rsidRPr="00570E28">
        <w:rPr>
          <w:rFonts w:ascii="Times New Roman" w:hAnsi="Times New Roman" w:cs="Times New Roman"/>
          <w:b/>
          <w:color w:val="000000" w:themeColor="text1"/>
          <w:spacing w:val="2"/>
          <w:sz w:val="28"/>
          <w:szCs w:val="28"/>
          <w:lang w:val="en-US"/>
        </w:rPr>
        <w:t xml:space="preserve"> </w:t>
      </w:r>
      <w:r w:rsidR="00E22CCE" w:rsidRPr="00570E28">
        <w:rPr>
          <w:rFonts w:ascii="Times New Roman" w:hAnsi="Times New Roman"/>
          <w:b/>
          <w:color w:val="000000" w:themeColor="text1"/>
          <w:sz w:val="28"/>
          <w:lang w:val="en-US"/>
        </w:rPr>
        <w:t xml:space="preserve">State budget revenue in </w:t>
      </w:r>
      <w:r w:rsidR="00364FAC">
        <w:rPr>
          <w:rFonts w:ascii="Times New Roman" w:hAnsi="Times New Roman"/>
          <w:b/>
          <w:color w:val="000000" w:themeColor="text1"/>
          <w:sz w:val="28"/>
          <w:lang w:val="en-US"/>
        </w:rPr>
        <w:t xml:space="preserve">the </w:t>
      </w:r>
      <w:r w:rsidR="00E22CCE" w:rsidRPr="00570E28">
        <w:rPr>
          <w:rFonts w:ascii="Times New Roman" w:hAnsi="Times New Roman"/>
          <w:b/>
          <w:color w:val="000000" w:themeColor="text1"/>
          <w:sz w:val="28"/>
          <w:lang w:val="en-US"/>
        </w:rPr>
        <w:t>Q1 2026</w:t>
      </w:r>
      <w:r w:rsidR="00E22CCE" w:rsidRPr="00570E28">
        <w:rPr>
          <w:rFonts w:ascii="Times New Roman" w:hAnsi="Times New Roman" w:cs="Times New Roman"/>
          <w:b/>
          <w:bCs/>
          <w:sz w:val="28"/>
          <w:szCs w:val="28"/>
          <w:vertAlign w:val="superscript"/>
          <w:lang w:val="en-US"/>
        </w:rPr>
        <w:footnoteReference w:id="21"/>
      </w:r>
      <w:r w:rsidR="00E22CCE" w:rsidRPr="00570E28">
        <w:rPr>
          <w:rFonts w:ascii="Times New Roman" w:hAnsi="Times New Roman"/>
          <w:b/>
          <w:color w:val="000000" w:themeColor="text1"/>
          <w:sz w:val="28"/>
          <w:lang w:val="en-US"/>
        </w:rPr>
        <w:t xml:space="preserve"> was estimated to increase by 11.4% over the same period last year. State budget expenditure was estimated to increase by 23.1% over the same period in 2025, ensuring the needs of socio-economic development, national defense, security, state management, payment of due debts as well as timely payment to beneficiaries according to regulations.</w:t>
      </w:r>
    </w:p>
    <w:p w14:paraId="14B86A50" w14:textId="46EA25A1" w:rsidR="00E22CCE" w:rsidRPr="00570E28" w:rsidRDefault="00E22CCE" w:rsidP="00E22CCE">
      <w:pPr>
        <w:spacing w:before="120" w:after="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i/>
          <w:iCs/>
          <w:color w:val="000000" w:themeColor="text1"/>
          <w:sz w:val="28"/>
          <w:lang w:val="en-US"/>
        </w:rPr>
        <w:t>The total state budget revenue</w:t>
      </w:r>
      <w:r w:rsidRPr="00570E28">
        <w:rPr>
          <w:rFonts w:ascii="Times New Roman" w:hAnsi="Times New Roman"/>
          <w:color w:val="000000" w:themeColor="text1"/>
          <w:sz w:val="28"/>
          <w:lang w:val="en-US"/>
        </w:rPr>
        <w:t xml:space="preserve"> accumulated in </w:t>
      </w:r>
      <w:r w:rsidR="00364FAC">
        <w:rPr>
          <w:rFonts w:ascii="Times New Roman" w:hAnsi="Times New Roman"/>
          <w:color w:val="000000" w:themeColor="text1"/>
          <w:sz w:val="28"/>
          <w:lang w:val="en-US"/>
        </w:rPr>
        <w:t xml:space="preserve">the </w:t>
      </w:r>
      <w:r w:rsidRPr="00570E28">
        <w:rPr>
          <w:rFonts w:ascii="Times New Roman" w:hAnsi="Times New Roman"/>
          <w:color w:val="000000" w:themeColor="text1"/>
          <w:sz w:val="28"/>
          <w:lang w:val="en-US"/>
        </w:rPr>
        <w:t>Q1 2026 reached 829.4 trillion VND, reaching 32.8% of the annual estimate and going up by 11.4% over the same period last year</w:t>
      </w:r>
      <w:r w:rsidRPr="00570E28">
        <w:rPr>
          <w:rStyle w:val="FootnoteReference"/>
          <w:rFonts w:ascii="Times New Roman" w:hAnsi="Times New Roman"/>
          <w:color w:val="000000" w:themeColor="text1"/>
          <w:sz w:val="28"/>
          <w:szCs w:val="28"/>
          <w:lang w:val="en-US"/>
        </w:rPr>
        <w:footnoteReference w:id="22"/>
      </w:r>
      <w:r w:rsidRPr="00570E28">
        <w:rPr>
          <w:rFonts w:ascii="Times New Roman" w:hAnsi="Times New Roman"/>
          <w:color w:val="000000" w:themeColor="text1"/>
          <w:sz w:val="28"/>
          <w:lang w:val="en-US"/>
        </w:rPr>
        <w:t xml:space="preserve">. Specifically: The domestic revenue in </w:t>
      </w:r>
      <w:r w:rsidR="00364FAC">
        <w:rPr>
          <w:rFonts w:ascii="Times New Roman" w:hAnsi="Times New Roman"/>
          <w:color w:val="000000" w:themeColor="text1"/>
          <w:sz w:val="28"/>
          <w:lang w:val="en-US"/>
        </w:rPr>
        <w:t xml:space="preserve">the </w:t>
      </w:r>
      <w:r w:rsidRPr="00570E28">
        <w:rPr>
          <w:rFonts w:ascii="Times New Roman" w:hAnsi="Times New Roman"/>
          <w:color w:val="000000" w:themeColor="text1"/>
          <w:sz w:val="28"/>
          <w:lang w:val="en-US"/>
        </w:rPr>
        <w:t xml:space="preserve">Q1 2026 was 740.7 trillion VND, reaching 33.7% of the annual estimate and going up by 12.5% over the same period last year. </w:t>
      </w:r>
      <w:r w:rsidR="00B91333" w:rsidRPr="00570E28">
        <w:rPr>
          <w:rFonts w:ascii="Times New Roman" w:hAnsi="Times New Roman"/>
          <w:color w:val="000000" w:themeColor="text1"/>
          <w:sz w:val="28"/>
          <w:lang w:val="en-US"/>
        </w:rPr>
        <w:t>O</w:t>
      </w:r>
      <w:r w:rsidRPr="00570E28">
        <w:rPr>
          <w:rFonts w:ascii="Times New Roman" w:hAnsi="Times New Roman"/>
          <w:color w:val="000000" w:themeColor="text1"/>
          <w:sz w:val="28"/>
          <w:lang w:val="en-US"/>
        </w:rPr>
        <w:t>il</w:t>
      </w:r>
      <w:r w:rsidR="00B91333" w:rsidRPr="00570E28">
        <w:rPr>
          <w:rFonts w:ascii="Times New Roman" w:hAnsi="Times New Roman"/>
          <w:color w:val="000000" w:themeColor="text1"/>
          <w:sz w:val="28"/>
          <w:lang w:val="en-US"/>
        </w:rPr>
        <w:t xml:space="preserve"> revenue</w:t>
      </w:r>
      <w:r w:rsidRPr="00570E28">
        <w:rPr>
          <w:rFonts w:ascii="Times New Roman" w:hAnsi="Times New Roman"/>
          <w:color w:val="000000" w:themeColor="text1"/>
          <w:sz w:val="28"/>
          <w:lang w:val="en-US"/>
        </w:rPr>
        <w:t xml:space="preserve"> in Q1 2026 was 11.2 trillion VND, reaching 26.1% of the annual estimate (down 15.8% YoY). This decline was attributed to the complicated and unpredictable global situation, intensifying strategic competition between major powers, and surging global oil prices.</w:t>
      </w:r>
      <w:r w:rsidRPr="00570E28">
        <w:rPr>
          <w:rStyle w:val="FootnoteReference"/>
          <w:rFonts w:ascii="Times New Roman" w:hAnsi="Times New Roman"/>
          <w:color w:val="000000" w:themeColor="text1"/>
          <w:spacing w:val="-4"/>
          <w:sz w:val="28"/>
          <w:szCs w:val="28"/>
          <w:lang w:val="en-US"/>
        </w:rPr>
        <w:footnoteReference w:id="23"/>
      </w:r>
      <w:r w:rsidRPr="00570E28">
        <w:rPr>
          <w:rFonts w:ascii="Times New Roman" w:hAnsi="Times New Roman"/>
          <w:color w:val="000000" w:themeColor="text1"/>
          <w:sz w:val="28"/>
          <w:lang w:val="en-US"/>
        </w:rPr>
        <w:t xml:space="preserve"> </w:t>
      </w:r>
      <w:r w:rsidR="00B91333" w:rsidRPr="00570E28">
        <w:rPr>
          <w:rFonts w:ascii="Times New Roman" w:hAnsi="Times New Roman"/>
          <w:color w:val="000000" w:themeColor="text1"/>
          <w:sz w:val="28"/>
          <w:lang w:val="en-US"/>
        </w:rPr>
        <w:t xml:space="preserve">Revenue from budget balance of import-export activities </w:t>
      </w:r>
      <w:r w:rsidRPr="00570E28">
        <w:rPr>
          <w:rFonts w:ascii="Times New Roman" w:hAnsi="Times New Roman"/>
          <w:color w:val="000000" w:themeColor="text1"/>
          <w:sz w:val="28"/>
          <w:lang w:val="en-US"/>
        </w:rPr>
        <w:t xml:space="preserve">was 77.4 trillion VND, reaching 27.8% of the annual estimate (+7.6% YoY). </w:t>
      </w:r>
    </w:p>
    <w:p w14:paraId="37F8343B" w14:textId="7B6E8088" w:rsidR="002807C7" w:rsidRPr="00570E28" w:rsidRDefault="00E22CCE" w:rsidP="00E22CCE">
      <w:pPr>
        <w:spacing w:before="120" w:after="0" w:line="240" w:lineRule="auto"/>
        <w:ind w:firstLine="720"/>
        <w:jc w:val="both"/>
        <w:rPr>
          <w:rFonts w:ascii="Times New Roman" w:hAnsi="Times New Roman" w:cs="Times New Roman"/>
          <w:color w:val="000000" w:themeColor="text1"/>
          <w:spacing w:val="-4"/>
          <w:sz w:val="28"/>
          <w:szCs w:val="28"/>
          <w:lang w:val="en-US"/>
        </w:rPr>
      </w:pPr>
      <w:r w:rsidRPr="00570E28">
        <w:rPr>
          <w:rFonts w:ascii="Times New Roman" w:hAnsi="Times New Roman"/>
          <w:i/>
          <w:iCs/>
          <w:color w:val="000000" w:themeColor="text1"/>
          <w:sz w:val="28"/>
          <w:lang w:val="en-US"/>
        </w:rPr>
        <w:t>The total state budget expenditure</w:t>
      </w:r>
      <w:r w:rsidRPr="00570E28">
        <w:rPr>
          <w:rFonts w:ascii="Times New Roman" w:hAnsi="Times New Roman"/>
          <w:color w:val="000000" w:themeColor="text1"/>
          <w:sz w:val="28"/>
          <w:lang w:val="en-US"/>
        </w:rPr>
        <w:t xml:space="preserve"> in </w:t>
      </w:r>
      <w:r w:rsidR="00364FAC">
        <w:rPr>
          <w:rFonts w:ascii="Times New Roman" w:hAnsi="Times New Roman"/>
          <w:color w:val="000000" w:themeColor="text1"/>
          <w:sz w:val="28"/>
          <w:lang w:val="en-US"/>
        </w:rPr>
        <w:t xml:space="preserve">the </w:t>
      </w:r>
      <w:r w:rsidRPr="00570E28">
        <w:rPr>
          <w:rFonts w:ascii="Times New Roman" w:hAnsi="Times New Roman"/>
          <w:color w:val="000000" w:themeColor="text1"/>
          <w:sz w:val="28"/>
          <w:lang w:val="en-US"/>
        </w:rPr>
        <w:t xml:space="preserve">Q1 2026 was estimated at 530.1 trillion VND, reaching 16.8% of the annual estimate (+ 23.1% YoY). Specifically, recurrent expenditure in </w:t>
      </w:r>
      <w:r w:rsidR="00364FAC">
        <w:rPr>
          <w:rFonts w:ascii="Times New Roman" w:hAnsi="Times New Roman"/>
          <w:color w:val="000000" w:themeColor="text1"/>
          <w:sz w:val="28"/>
          <w:lang w:val="en-US"/>
        </w:rPr>
        <w:t xml:space="preserve">the </w:t>
      </w:r>
      <w:r w:rsidRPr="00570E28">
        <w:rPr>
          <w:rFonts w:ascii="Times New Roman" w:hAnsi="Times New Roman"/>
          <w:color w:val="000000" w:themeColor="text1"/>
          <w:sz w:val="28"/>
          <w:lang w:val="en-US"/>
        </w:rPr>
        <w:t>Q1 2026 was estimated at 376.0 trillion VND, equivalent to 20.8% of the annual estimate (+18.8% YoY); development investment expenditure was 116.1 trillion VND, equivalent to 10.4% of the annual estimate (+44.6% YoY); interest payment was 37.2 trillion VND, equivalent to 30.7% of the annual estimate (+11.9%YoY)</w:t>
      </w:r>
      <w:r w:rsidR="002807C7" w:rsidRPr="00570E28">
        <w:rPr>
          <w:rFonts w:ascii="Times New Roman" w:hAnsi="Times New Roman" w:cs="Times New Roman"/>
          <w:color w:val="000000" w:themeColor="text1"/>
          <w:spacing w:val="-4"/>
          <w:sz w:val="28"/>
          <w:szCs w:val="28"/>
          <w:lang w:val="en-US"/>
        </w:rPr>
        <w:t>.</w:t>
      </w:r>
    </w:p>
    <w:p w14:paraId="39B99EBF" w14:textId="77777777" w:rsidR="00A906C2" w:rsidRPr="00570E28" w:rsidRDefault="00A906C2" w:rsidP="00A906C2">
      <w:pPr>
        <w:tabs>
          <w:tab w:val="left" w:pos="900"/>
        </w:tabs>
        <w:spacing w:before="120" w:after="0" w:line="240" w:lineRule="auto"/>
        <w:ind w:firstLine="720"/>
        <w:jc w:val="both"/>
        <w:rPr>
          <w:rFonts w:ascii="Times New Roman" w:hAnsi="Times New Roman" w:cs="Times New Roman"/>
          <w:b/>
          <w:bCs/>
          <w:iCs/>
          <w:color w:val="000000" w:themeColor="text1"/>
          <w:sz w:val="28"/>
          <w:szCs w:val="28"/>
          <w:lang w:val="en-US"/>
        </w:rPr>
      </w:pPr>
      <w:bookmarkStart w:id="0" w:name="_Hlk54593811"/>
      <w:r w:rsidRPr="00570E28">
        <w:rPr>
          <w:rFonts w:ascii="Times New Roman" w:hAnsi="Times New Roman" w:cs="Times New Roman"/>
          <w:b/>
          <w:bCs/>
          <w:iCs/>
          <w:color w:val="000000" w:themeColor="text1"/>
          <w:sz w:val="28"/>
          <w:szCs w:val="28"/>
          <w:lang w:val="en-US"/>
        </w:rPr>
        <w:t xml:space="preserve">9. </w:t>
      </w:r>
      <w:r w:rsidRPr="00570E28">
        <w:rPr>
          <w:rFonts w:ascii="Times New Roman" w:hAnsi="Times New Roman" w:cs="Times New Roman"/>
          <w:b/>
          <w:bCs/>
          <w:sz w:val="28"/>
          <w:szCs w:val="28"/>
          <w:lang w:val="en-US"/>
        </w:rPr>
        <w:t>Export and import of goods and services</w:t>
      </w:r>
    </w:p>
    <w:p w14:paraId="210BCE85" w14:textId="77777777" w:rsidR="00A906C2" w:rsidRPr="00570E28" w:rsidRDefault="00A906C2" w:rsidP="00A906C2">
      <w:pPr>
        <w:tabs>
          <w:tab w:val="left" w:pos="900"/>
          <w:tab w:val="left" w:pos="9475"/>
        </w:tabs>
        <w:spacing w:before="120" w:after="0" w:line="240" w:lineRule="auto"/>
        <w:ind w:firstLine="720"/>
        <w:jc w:val="both"/>
        <w:rPr>
          <w:rFonts w:ascii="Times New Roman" w:hAnsi="Times New Roman" w:cs="Times New Roman"/>
          <w:b/>
          <w:bCs/>
          <w:i/>
          <w:iCs/>
          <w:color w:val="000000" w:themeColor="text1"/>
          <w:sz w:val="28"/>
          <w:szCs w:val="28"/>
          <w:lang w:val="en-US"/>
        </w:rPr>
      </w:pPr>
      <w:r w:rsidRPr="00570E28">
        <w:rPr>
          <w:rFonts w:ascii="Times New Roman" w:hAnsi="Times New Roman" w:cs="Times New Roman"/>
          <w:b/>
          <w:bCs/>
          <w:i/>
          <w:iCs/>
          <w:color w:val="000000" w:themeColor="text1"/>
          <w:sz w:val="28"/>
          <w:szCs w:val="28"/>
          <w:lang w:val="en-US"/>
        </w:rPr>
        <w:t xml:space="preserve">a) </w:t>
      </w:r>
      <w:r w:rsidRPr="00570E28">
        <w:rPr>
          <w:rFonts w:ascii="Times New Roman" w:eastAsiaTheme="majorEastAsia" w:hAnsi="Times New Roman" w:cs="Times New Roman"/>
          <w:b/>
          <w:bCs/>
          <w:i/>
          <w:sz w:val="28"/>
          <w:szCs w:val="28"/>
          <w:lang w:val="en-US"/>
        </w:rPr>
        <w:t>Export and import of goods</w:t>
      </w:r>
      <w:r w:rsidRPr="00570E28">
        <w:rPr>
          <w:rFonts w:ascii="Times New Roman" w:hAnsi="Times New Roman" w:cs="Times New Roman"/>
          <w:b/>
          <w:bCs/>
          <w:i/>
          <w:iCs/>
          <w:color w:val="000000" w:themeColor="text1"/>
          <w:sz w:val="28"/>
          <w:szCs w:val="28"/>
          <w:vertAlign w:val="superscript"/>
          <w:lang w:val="en-US"/>
        </w:rPr>
        <w:footnoteReference w:id="24"/>
      </w:r>
      <w:r w:rsidRPr="00570E28">
        <w:rPr>
          <w:rFonts w:ascii="Times New Roman" w:hAnsi="Times New Roman" w:cs="Times New Roman"/>
          <w:b/>
          <w:bCs/>
          <w:i/>
          <w:iCs/>
          <w:color w:val="000000" w:themeColor="text1"/>
          <w:sz w:val="28"/>
          <w:szCs w:val="28"/>
          <w:lang w:val="en-US"/>
        </w:rPr>
        <w:t xml:space="preserve"> </w:t>
      </w:r>
    </w:p>
    <w:p w14:paraId="5CFE8295" w14:textId="77777777" w:rsidR="00A906C2" w:rsidRPr="00570E28" w:rsidRDefault="00A906C2" w:rsidP="00A906C2">
      <w:pPr>
        <w:tabs>
          <w:tab w:val="left" w:pos="900"/>
          <w:tab w:val="left" w:pos="9475"/>
        </w:tabs>
        <w:spacing w:before="120" w:after="120" w:line="240" w:lineRule="auto"/>
        <w:ind w:firstLine="720"/>
        <w:jc w:val="both"/>
        <w:rPr>
          <w:rFonts w:ascii="Times New Roman" w:hAnsi="Times New Roman" w:cs="Times New Roman"/>
          <w:b/>
          <w:i/>
          <w:color w:val="000000" w:themeColor="text1"/>
          <w:spacing w:val="-4"/>
          <w:sz w:val="28"/>
          <w:szCs w:val="28"/>
          <w:lang w:val="en-US"/>
        </w:rPr>
      </w:pPr>
      <w:r w:rsidRPr="00570E28">
        <w:rPr>
          <w:rFonts w:ascii="Times New Roman" w:hAnsi="Times New Roman" w:cs="Times New Roman"/>
          <w:b/>
          <w:i/>
          <w:color w:val="000000" w:themeColor="text1"/>
          <w:spacing w:val="-4"/>
          <w:sz w:val="28"/>
          <w:szCs w:val="28"/>
          <w:lang w:val="en-US"/>
        </w:rPr>
        <w:t>In Q1 2026, the total export and import turnover of goods reached 249.50 billion USD, going up 23.0% over same period last year, of which exports increased by 19.1%; and imports rose by 27.0%</w:t>
      </w:r>
      <w:r w:rsidRPr="00570E28">
        <w:rPr>
          <w:rFonts w:ascii="Times New Roman" w:hAnsi="Times New Roman" w:cs="Times New Roman"/>
          <w:b/>
          <w:i/>
          <w:color w:val="000000" w:themeColor="text1"/>
          <w:spacing w:val="-4"/>
          <w:sz w:val="28"/>
          <w:szCs w:val="28"/>
          <w:vertAlign w:val="superscript"/>
          <w:lang w:val="en-US"/>
        </w:rPr>
        <w:footnoteReference w:id="25"/>
      </w:r>
      <w:r w:rsidRPr="00570E28">
        <w:rPr>
          <w:rFonts w:ascii="Times New Roman" w:hAnsi="Times New Roman" w:cs="Times New Roman"/>
          <w:b/>
          <w:i/>
          <w:color w:val="000000" w:themeColor="text1"/>
          <w:spacing w:val="-4"/>
          <w:sz w:val="28"/>
          <w:szCs w:val="28"/>
          <w:lang w:val="en-US"/>
        </w:rPr>
        <w:t xml:space="preserve">. The trade balance of goods recorded a deficit of 3.64 billion USD. </w:t>
      </w:r>
    </w:p>
    <w:p w14:paraId="2AE465CC" w14:textId="6FEFEF1F" w:rsidR="00A906C2" w:rsidRPr="00570E28" w:rsidRDefault="00A906C2" w:rsidP="00A906C2">
      <w:pPr>
        <w:tabs>
          <w:tab w:val="num" w:pos="0"/>
          <w:tab w:val="left" w:pos="9475"/>
        </w:tabs>
        <w:spacing w:after="60" w:line="240" w:lineRule="auto"/>
        <w:ind w:right="119" w:firstLine="562"/>
        <w:jc w:val="both"/>
        <w:rPr>
          <w:rFonts w:ascii="Times New Roman" w:hAnsi="Times New Roman" w:cs="Times New Roman"/>
          <w:color w:val="000000" w:themeColor="text1"/>
          <w:spacing w:val="-4"/>
          <w:sz w:val="28"/>
          <w:szCs w:val="28"/>
          <w:lang w:val="en-US"/>
        </w:rPr>
      </w:pPr>
      <w:r w:rsidRPr="00570E28">
        <w:rPr>
          <w:rFonts w:ascii="Times New Roman" w:hAnsi="Times New Roman" w:cs="Times New Roman"/>
          <w:bCs/>
          <w:i/>
          <w:color w:val="000000" w:themeColor="text1"/>
          <w:sz w:val="28"/>
          <w:szCs w:val="28"/>
          <w:lang w:val="en-US"/>
        </w:rPr>
        <w:t>Export turnover of goods</w:t>
      </w:r>
      <w:r w:rsidRPr="00570E28">
        <w:rPr>
          <w:rFonts w:ascii="Times New Roman" w:hAnsi="Times New Roman" w:cs="Times New Roman"/>
          <w:bCs/>
          <w:color w:val="000000" w:themeColor="text1"/>
          <w:sz w:val="28"/>
          <w:szCs w:val="28"/>
          <w:lang w:val="en-US"/>
        </w:rPr>
        <w:t xml:space="preserve"> </w:t>
      </w:r>
      <w:r w:rsidRPr="00570E28">
        <w:rPr>
          <w:rFonts w:ascii="Times New Roman" w:hAnsi="Times New Roman" w:cs="Times New Roman"/>
          <w:bCs/>
          <w:sz w:val="28"/>
          <w:szCs w:val="28"/>
          <w:lang w:val="en-US"/>
        </w:rPr>
        <w:t>in March 2026 amounted to 46.44 billion USD, increasing by 40.3% over the previous month</w:t>
      </w:r>
      <w:r w:rsidRPr="00570E28">
        <w:rPr>
          <w:rFonts w:ascii="Times New Roman" w:hAnsi="Times New Roman" w:cs="Times New Roman"/>
          <w:bCs/>
          <w:color w:val="000000" w:themeColor="text1"/>
          <w:sz w:val="28"/>
          <w:szCs w:val="28"/>
          <w:lang w:val="en-US"/>
        </w:rPr>
        <w:t xml:space="preserve">. </w:t>
      </w:r>
      <w:r w:rsidRPr="00570E28">
        <w:rPr>
          <w:rFonts w:ascii="Times New Roman" w:hAnsi="Times New Roman" w:cs="Times New Roman"/>
          <w:bCs/>
          <w:spacing w:val="-4"/>
          <w:sz w:val="28"/>
          <w:szCs w:val="28"/>
          <w:lang w:val="en-US"/>
        </w:rPr>
        <w:t xml:space="preserve">Overall, in </w:t>
      </w:r>
      <w:r w:rsidR="00364FAC">
        <w:rPr>
          <w:rFonts w:ascii="Times New Roman" w:hAnsi="Times New Roman" w:cs="Times New Roman"/>
          <w:bCs/>
          <w:spacing w:val="-4"/>
          <w:sz w:val="28"/>
          <w:szCs w:val="28"/>
          <w:lang w:val="en-US"/>
        </w:rPr>
        <w:t xml:space="preserve">the </w:t>
      </w:r>
      <w:r w:rsidRPr="00570E28">
        <w:rPr>
          <w:rFonts w:ascii="Times New Roman" w:hAnsi="Times New Roman" w:cs="Times New Roman"/>
          <w:bCs/>
          <w:spacing w:val="-4"/>
          <w:sz w:val="28"/>
          <w:szCs w:val="28"/>
          <w:lang w:val="en-US"/>
        </w:rPr>
        <w:t xml:space="preserve">Q1 2026, </w:t>
      </w:r>
      <w:r w:rsidRPr="00570E28">
        <w:rPr>
          <w:rFonts w:ascii="Times New Roman" w:hAnsi="Times New Roman" w:cs="Times New Roman"/>
          <w:bCs/>
          <w:sz w:val="28"/>
          <w:szCs w:val="28"/>
          <w:lang w:val="en-US"/>
        </w:rPr>
        <w:t>export turnover reached</w:t>
      </w:r>
      <w:r w:rsidRPr="00570E28">
        <w:rPr>
          <w:rFonts w:ascii="Times New Roman" w:hAnsi="Times New Roman" w:cs="Times New Roman"/>
          <w:bCs/>
          <w:spacing w:val="-4"/>
          <w:sz w:val="28"/>
          <w:szCs w:val="28"/>
          <w:lang w:val="en-US"/>
        </w:rPr>
        <w:t xml:space="preserve"> 122.93 billion USD, </w:t>
      </w:r>
      <w:r w:rsidRPr="00570E28">
        <w:rPr>
          <w:rFonts w:ascii="Times New Roman" w:hAnsi="Times New Roman" w:cs="Times New Roman"/>
          <w:bCs/>
          <w:sz w:val="28"/>
          <w:szCs w:val="28"/>
          <w:lang w:val="en-US"/>
        </w:rPr>
        <w:t>increasing by</w:t>
      </w:r>
      <w:r w:rsidRPr="00570E28">
        <w:rPr>
          <w:rFonts w:ascii="Times New Roman" w:hAnsi="Times New Roman" w:cs="Times New Roman"/>
          <w:bCs/>
          <w:spacing w:val="-4"/>
          <w:sz w:val="28"/>
          <w:szCs w:val="28"/>
          <w:lang w:val="en-US"/>
        </w:rPr>
        <w:t xml:space="preserve"> 19.1% </w:t>
      </w:r>
      <w:r w:rsidRPr="00570E28">
        <w:rPr>
          <w:rFonts w:ascii="Times New Roman" w:hAnsi="Times New Roman" w:cs="Times New Roman"/>
          <w:bCs/>
          <w:sz w:val="28"/>
          <w:szCs w:val="28"/>
          <w:lang w:val="en-US"/>
        </w:rPr>
        <w:t>over the same period last year</w:t>
      </w:r>
      <w:r w:rsidRPr="00570E28">
        <w:rPr>
          <w:rFonts w:ascii="Times New Roman" w:hAnsi="Times New Roman" w:cs="Times New Roman"/>
          <w:bCs/>
          <w:spacing w:val="-4"/>
          <w:sz w:val="28"/>
          <w:szCs w:val="28"/>
          <w:lang w:val="en-US"/>
        </w:rPr>
        <w:t xml:space="preserve">. </w:t>
      </w:r>
      <w:r w:rsidRPr="00570E28">
        <w:rPr>
          <w:rFonts w:ascii="Times New Roman" w:hAnsi="Times New Roman" w:cs="Times New Roman"/>
          <w:bCs/>
          <w:sz w:val="28"/>
          <w:szCs w:val="28"/>
          <w:lang w:val="en-US"/>
        </w:rPr>
        <w:t>Of which, the domestic economic sector reached</w:t>
      </w:r>
      <w:r w:rsidRPr="00570E28">
        <w:rPr>
          <w:rFonts w:ascii="Times New Roman" w:hAnsi="Times New Roman" w:cs="Times New Roman"/>
          <w:bCs/>
          <w:spacing w:val="-4"/>
          <w:sz w:val="28"/>
          <w:szCs w:val="28"/>
          <w:lang w:val="en-US"/>
        </w:rPr>
        <w:t xml:space="preserve"> 24.47 billion USD, </w:t>
      </w:r>
      <w:r w:rsidRPr="00570E28">
        <w:rPr>
          <w:rFonts w:ascii="Times New Roman" w:hAnsi="Times New Roman" w:cs="Times New Roman"/>
          <w:bCs/>
          <w:sz w:val="28"/>
          <w:szCs w:val="28"/>
          <w:lang w:val="en-US"/>
        </w:rPr>
        <w:lastRenderedPageBreak/>
        <w:t>decreasing by</w:t>
      </w:r>
      <w:r w:rsidRPr="00570E28">
        <w:rPr>
          <w:rFonts w:ascii="Times New Roman" w:hAnsi="Times New Roman" w:cs="Times New Roman"/>
          <w:bCs/>
          <w:spacing w:val="-4"/>
          <w:sz w:val="28"/>
          <w:szCs w:val="28"/>
          <w:lang w:val="en-US"/>
        </w:rPr>
        <w:t xml:space="preserve"> 16.6%, </w:t>
      </w:r>
      <w:r w:rsidRPr="00570E28">
        <w:rPr>
          <w:rFonts w:ascii="Times New Roman" w:hAnsi="Times New Roman" w:cs="Times New Roman"/>
          <w:bCs/>
          <w:sz w:val="28"/>
          <w:szCs w:val="28"/>
          <w:lang w:val="en-US"/>
        </w:rPr>
        <w:t>accounting for</w:t>
      </w:r>
      <w:r w:rsidRPr="00570E28">
        <w:rPr>
          <w:rFonts w:ascii="Times New Roman" w:hAnsi="Times New Roman" w:cs="Times New Roman"/>
          <w:bCs/>
          <w:spacing w:val="-4"/>
          <w:sz w:val="28"/>
          <w:szCs w:val="28"/>
          <w:lang w:val="en-US"/>
        </w:rPr>
        <w:t xml:space="preserve"> 19.9% </w:t>
      </w:r>
      <w:r w:rsidRPr="00570E28">
        <w:rPr>
          <w:rFonts w:ascii="Times New Roman" w:hAnsi="Times New Roman" w:cs="Times New Roman"/>
          <w:bCs/>
          <w:sz w:val="28"/>
          <w:szCs w:val="28"/>
          <w:lang w:val="en-US"/>
        </w:rPr>
        <w:t xml:space="preserve">of total export </w:t>
      </w:r>
      <w:r w:rsidRPr="00570E28">
        <w:rPr>
          <w:rFonts w:ascii="Times New Roman" w:hAnsi="Times New Roman" w:cs="Times New Roman"/>
          <w:iCs/>
          <w:sz w:val="28"/>
          <w:szCs w:val="28"/>
          <w:lang w:val="en-US"/>
        </w:rPr>
        <w:t>turnover</w:t>
      </w:r>
      <w:r w:rsidRPr="00570E28">
        <w:rPr>
          <w:rFonts w:ascii="Times New Roman" w:hAnsi="Times New Roman" w:cs="Times New Roman"/>
          <w:bCs/>
          <w:spacing w:val="-4"/>
          <w:sz w:val="28"/>
          <w:szCs w:val="28"/>
          <w:lang w:val="en-US"/>
        </w:rPr>
        <w:t xml:space="preserve">; </w:t>
      </w:r>
      <w:r w:rsidRPr="00570E28">
        <w:rPr>
          <w:rFonts w:ascii="Times New Roman" w:hAnsi="Times New Roman" w:cs="Times New Roman"/>
          <w:bCs/>
          <w:sz w:val="28"/>
          <w:szCs w:val="28"/>
          <w:lang w:val="en-US"/>
        </w:rPr>
        <w:t xml:space="preserve">the FDI sector (including crude oil) </w:t>
      </w:r>
      <w:r w:rsidRPr="00570E28">
        <w:rPr>
          <w:rFonts w:ascii="Times New Roman" w:hAnsi="Times New Roman" w:cs="Times New Roman"/>
          <w:iCs/>
          <w:sz w:val="28"/>
          <w:szCs w:val="28"/>
          <w:lang w:val="en-US"/>
        </w:rPr>
        <w:t>attained</w:t>
      </w:r>
      <w:r w:rsidRPr="00570E28">
        <w:rPr>
          <w:rFonts w:ascii="Times New Roman" w:hAnsi="Times New Roman" w:cs="Times New Roman"/>
          <w:bCs/>
          <w:spacing w:val="-4"/>
          <w:sz w:val="28"/>
          <w:szCs w:val="28"/>
          <w:lang w:val="en-US"/>
        </w:rPr>
        <w:t xml:space="preserve"> 98.46 billion USD, </w:t>
      </w:r>
      <w:r w:rsidRPr="00570E28">
        <w:rPr>
          <w:rFonts w:ascii="Times New Roman" w:hAnsi="Times New Roman" w:cs="Times New Roman"/>
          <w:iCs/>
          <w:sz w:val="28"/>
          <w:szCs w:val="28"/>
          <w:lang w:val="en-US"/>
        </w:rPr>
        <w:t>increasing by</w:t>
      </w:r>
      <w:r w:rsidRPr="00570E28">
        <w:rPr>
          <w:rFonts w:ascii="Times New Roman" w:hAnsi="Times New Roman" w:cs="Times New Roman"/>
          <w:bCs/>
          <w:spacing w:val="-4"/>
          <w:sz w:val="28"/>
          <w:szCs w:val="28"/>
          <w:lang w:val="en-US"/>
        </w:rPr>
        <w:t xml:space="preserve"> 33.3% </w:t>
      </w:r>
      <w:r w:rsidRPr="00570E28">
        <w:rPr>
          <w:rFonts w:ascii="Times New Roman" w:hAnsi="Times New Roman" w:cs="Times New Roman"/>
          <w:bCs/>
          <w:sz w:val="28"/>
          <w:szCs w:val="28"/>
          <w:lang w:val="en-US"/>
        </w:rPr>
        <w:t>and accounting for</w:t>
      </w:r>
      <w:r w:rsidRPr="00570E28">
        <w:rPr>
          <w:rFonts w:ascii="Times New Roman" w:hAnsi="Times New Roman" w:cs="Times New Roman"/>
          <w:bCs/>
          <w:spacing w:val="-4"/>
          <w:sz w:val="28"/>
          <w:szCs w:val="28"/>
          <w:lang w:val="en-US"/>
        </w:rPr>
        <w:t xml:space="preserve"> 80.1%</w:t>
      </w:r>
      <w:r w:rsidRPr="00570E28">
        <w:rPr>
          <w:rFonts w:ascii="Times New Roman" w:hAnsi="Times New Roman" w:cs="Times New Roman"/>
          <w:bCs/>
          <w:color w:val="000000" w:themeColor="text1"/>
          <w:sz w:val="28"/>
          <w:szCs w:val="28"/>
          <w:lang w:val="en-US"/>
        </w:rPr>
        <w:t xml:space="preserve">. </w:t>
      </w:r>
      <w:r w:rsidRPr="00570E28">
        <w:rPr>
          <w:rFonts w:ascii="Times New Roman" w:hAnsi="Times New Roman" w:cs="Times New Roman"/>
          <w:bCs/>
          <w:sz w:val="28"/>
          <w:szCs w:val="28"/>
          <w:lang w:val="en-US"/>
        </w:rPr>
        <w:t xml:space="preserve">There were 20 </w:t>
      </w:r>
      <w:r w:rsidRPr="00570E28">
        <w:rPr>
          <w:rFonts w:ascii="Times New Roman" w:hAnsi="Times New Roman" w:cs="Times New Roman"/>
          <w:sz w:val="28"/>
          <w:szCs w:val="28"/>
          <w:lang w:val="en-US"/>
        </w:rPr>
        <w:t>export items</w:t>
      </w:r>
      <w:r w:rsidRPr="00570E28">
        <w:rPr>
          <w:rFonts w:ascii="Times New Roman" w:hAnsi="Times New Roman" w:cs="Times New Roman"/>
          <w:bCs/>
          <w:sz w:val="28"/>
          <w:szCs w:val="28"/>
          <w:lang w:val="en-US"/>
        </w:rPr>
        <w:t xml:space="preserve"> with a value exceeding 1 billion USD, accounting for 86.8% of the total export </w:t>
      </w:r>
      <w:r w:rsidRPr="00570E28">
        <w:rPr>
          <w:rFonts w:ascii="Times New Roman" w:hAnsi="Times New Roman" w:cs="Times New Roman"/>
          <w:sz w:val="28"/>
          <w:szCs w:val="28"/>
          <w:lang w:val="en-US"/>
        </w:rPr>
        <w:t>turnover</w:t>
      </w:r>
      <w:r w:rsidRPr="00570E28">
        <w:rPr>
          <w:rFonts w:ascii="Times New Roman" w:hAnsi="Times New Roman" w:cs="Times New Roman"/>
          <w:bCs/>
          <w:sz w:val="28"/>
          <w:szCs w:val="28"/>
          <w:lang w:val="en-US"/>
        </w:rPr>
        <w:t xml:space="preserve"> (</w:t>
      </w:r>
      <w:r w:rsidRPr="00570E28">
        <w:rPr>
          <w:rFonts w:ascii="Times New Roman" w:hAnsi="Times New Roman" w:cs="Times New Roman"/>
          <w:sz w:val="28"/>
          <w:szCs w:val="28"/>
          <w:lang w:val="en-US"/>
        </w:rPr>
        <w:t>including</w:t>
      </w:r>
      <w:r w:rsidRPr="00570E28">
        <w:rPr>
          <w:rFonts w:ascii="Times New Roman" w:hAnsi="Times New Roman" w:cs="Times New Roman"/>
          <w:bCs/>
          <w:sz w:val="28"/>
          <w:szCs w:val="28"/>
          <w:lang w:val="en-US"/>
        </w:rPr>
        <w:t xml:space="preserve"> 5 items recorded export values of over 5 billion USD, accounting for 62.4%)</w:t>
      </w:r>
      <w:r w:rsidRPr="00570E28">
        <w:rPr>
          <w:rFonts w:ascii="Times New Roman" w:hAnsi="Times New Roman" w:cs="Times New Roman"/>
          <w:color w:val="000000" w:themeColor="text1"/>
          <w:spacing w:val="-4"/>
          <w:sz w:val="28"/>
          <w:szCs w:val="28"/>
          <w:lang w:val="en-US"/>
        </w:rPr>
        <w:t>.</w:t>
      </w:r>
    </w:p>
    <w:p w14:paraId="17220A85" w14:textId="798B26DB" w:rsidR="00A906C2" w:rsidRPr="00570E28" w:rsidRDefault="00A906C2" w:rsidP="00A906C2">
      <w:pPr>
        <w:tabs>
          <w:tab w:val="left" w:pos="9475"/>
        </w:tabs>
        <w:spacing w:after="60" w:line="240" w:lineRule="auto"/>
        <w:ind w:right="6" w:firstLine="562"/>
        <w:jc w:val="both"/>
        <w:rPr>
          <w:rStyle w:val="Strong"/>
          <w:rFonts w:ascii="Times New Roman" w:eastAsiaTheme="minorHAnsi" w:hAnsi="Times New Roman"/>
          <w:b w:val="0"/>
          <w:bCs w:val="0"/>
          <w:color w:val="000000" w:themeColor="text1"/>
          <w:sz w:val="28"/>
          <w:szCs w:val="28"/>
          <w:lang w:val="en-US"/>
        </w:rPr>
      </w:pPr>
      <w:r w:rsidRPr="00570E28">
        <w:rPr>
          <w:rFonts w:ascii="Times New Roman" w:hAnsi="Times New Roman" w:cs="Times New Roman"/>
          <w:bCs/>
          <w:i/>
          <w:color w:val="000000" w:themeColor="text1"/>
          <w:sz w:val="28"/>
          <w:szCs w:val="28"/>
          <w:lang w:val="en-US"/>
        </w:rPr>
        <w:t>Import turnover of goods</w:t>
      </w:r>
      <w:r w:rsidRPr="00570E28">
        <w:rPr>
          <w:rFonts w:ascii="Times New Roman" w:hAnsi="Times New Roman" w:cs="Times New Roman"/>
          <w:bCs/>
          <w:color w:val="000000" w:themeColor="text1"/>
          <w:sz w:val="28"/>
          <w:szCs w:val="28"/>
          <w:lang w:val="en-US"/>
        </w:rPr>
        <w:t xml:space="preserve"> </w:t>
      </w:r>
      <w:r w:rsidRPr="00570E28">
        <w:rPr>
          <w:rFonts w:ascii="Times New Roman" w:hAnsi="Times New Roman" w:cs="Times New Roman"/>
          <w:bCs/>
          <w:sz w:val="28"/>
          <w:szCs w:val="28"/>
          <w:lang w:val="en-US"/>
        </w:rPr>
        <w:t>in March 2026</w:t>
      </w:r>
      <w:r w:rsidRPr="00570E28">
        <w:rPr>
          <w:rFonts w:ascii="Times New Roman" w:hAnsi="Times New Roman" w:cs="Times New Roman"/>
          <w:bCs/>
          <w:spacing w:val="-4"/>
          <w:sz w:val="28"/>
          <w:szCs w:val="28"/>
          <w:lang w:val="en-US"/>
        </w:rPr>
        <w:t xml:space="preserve"> reached 47.11 billion USD, </w:t>
      </w:r>
      <w:r w:rsidRPr="00570E28">
        <w:rPr>
          <w:rFonts w:ascii="Times New Roman" w:hAnsi="Times New Roman" w:cs="Times New Roman"/>
          <w:bCs/>
          <w:sz w:val="28"/>
          <w:szCs w:val="28"/>
          <w:lang w:val="en-US"/>
        </w:rPr>
        <w:t>a rise of</w:t>
      </w:r>
      <w:r w:rsidRPr="00570E28">
        <w:rPr>
          <w:rFonts w:ascii="Times New Roman" w:hAnsi="Times New Roman" w:cs="Times New Roman"/>
          <w:bCs/>
          <w:spacing w:val="-4"/>
          <w:sz w:val="28"/>
          <w:szCs w:val="28"/>
          <w:lang w:val="en-US"/>
        </w:rPr>
        <w:t xml:space="preserve"> 38.2% </w:t>
      </w:r>
      <w:r w:rsidRPr="00570E28">
        <w:rPr>
          <w:rFonts w:ascii="Times New Roman" w:hAnsi="Times New Roman" w:cs="Times New Roman"/>
          <w:bCs/>
          <w:sz w:val="28"/>
          <w:szCs w:val="28"/>
          <w:lang w:val="en-US"/>
        </w:rPr>
        <w:t>over the previous month</w:t>
      </w:r>
      <w:r w:rsidRPr="00570E28">
        <w:rPr>
          <w:rFonts w:ascii="Times New Roman" w:hAnsi="Times New Roman" w:cs="Times New Roman"/>
          <w:bCs/>
          <w:color w:val="000000" w:themeColor="text1"/>
          <w:sz w:val="28"/>
          <w:szCs w:val="28"/>
          <w:lang w:val="en-US"/>
        </w:rPr>
        <w:t xml:space="preserve">. </w:t>
      </w:r>
      <w:r w:rsidR="00364FAC" w:rsidRPr="00570E28">
        <w:rPr>
          <w:rFonts w:ascii="Times New Roman" w:hAnsi="Times New Roman" w:cs="Times New Roman"/>
          <w:bCs/>
          <w:sz w:val="28"/>
          <w:szCs w:val="28"/>
          <w:lang w:val="en-US"/>
        </w:rPr>
        <w:t>Overall,</w:t>
      </w:r>
      <w:r w:rsidRPr="00570E28">
        <w:rPr>
          <w:rFonts w:ascii="Times New Roman" w:hAnsi="Times New Roman" w:cs="Times New Roman"/>
          <w:bCs/>
          <w:sz w:val="28"/>
          <w:szCs w:val="28"/>
          <w:lang w:val="en-US"/>
        </w:rPr>
        <w:t xml:space="preserve"> in </w:t>
      </w:r>
      <w:r w:rsidR="00364FAC">
        <w:rPr>
          <w:rFonts w:ascii="Times New Roman" w:hAnsi="Times New Roman" w:cs="Times New Roman"/>
          <w:bCs/>
          <w:sz w:val="28"/>
          <w:szCs w:val="28"/>
          <w:lang w:val="en-US"/>
        </w:rPr>
        <w:t xml:space="preserve">the </w:t>
      </w:r>
      <w:r w:rsidRPr="00570E28">
        <w:rPr>
          <w:rFonts w:ascii="Times New Roman" w:hAnsi="Times New Roman" w:cs="Times New Roman"/>
          <w:bCs/>
          <w:sz w:val="28"/>
          <w:szCs w:val="28"/>
          <w:lang w:val="en-US"/>
        </w:rPr>
        <w:t xml:space="preserve">Q1 2026, </w:t>
      </w:r>
      <w:r w:rsidRPr="00570E28">
        <w:rPr>
          <w:rFonts w:ascii="Times New Roman" w:hAnsi="Times New Roman" w:cs="Times New Roman"/>
          <w:bCs/>
          <w:spacing w:val="-4"/>
          <w:sz w:val="28"/>
          <w:szCs w:val="28"/>
          <w:lang w:val="en-US"/>
        </w:rPr>
        <w:t xml:space="preserve">the </w:t>
      </w:r>
      <w:r w:rsidRPr="00570E28">
        <w:rPr>
          <w:rFonts w:ascii="Times New Roman" w:hAnsi="Times New Roman" w:cs="Times New Roman"/>
          <w:sz w:val="28"/>
          <w:szCs w:val="28"/>
          <w:lang w:val="en-US"/>
        </w:rPr>
        <w:t>import turnover of goods</w:t>
      </w:r>
      <w:r w:rsidRPr="00570E28">
        <w:rPr>
          <w:rFonts w:ascii="Times New Roman" w:hAnsi="Times New Roman" w:cs="Times New Roman"/>
          <w:bCs/>
          <w:spacing w:val="-4"/>
          <w:sz w:val="28"/>
          <w:szCs w:val="28"/>
          <w:lang w:val="en-US"/>
        </w:rPr>
        <w:t xml:space="preserve"> reached</w:t>
      </w:r>
      <w:r w:rsidRPr="00570E28">
        <w:rPr>
          <w:rFonts w:ascii="Times New Roman" w:hAnsi="Times New Roman" w:cs="Times New Roman"/>
          <w:bCs/>
          <w:sz w:val="28"/>
          <w:szCs w:val="28"/>
          <w:lang w:val="en-US"/>
        </w:rPr>
        <w:t xml:space="preserve"> 126.57 billion USD, </w:t>
      </w:r>
      <w:r w:rsidRPr="00570E28">
        <w:rPr>
          <w:rFonts w:ascii="Times New Roman" w:hAnsi="Times New Roman" w:cs="Times New Roman"/>
          <w:sz w:val="28"/>
          <w:szCs w:val="28"/>
          <w:lang w:val="en-US"/>
        </w:rPr>
        <w:t>a year-on-year surge of</w:t>
      </w:r>
      <w:r w:rsidRPr="00570E28">
        <w:rPr>
          <w:rFonts w:ascii="Times New Roman" w:hAnsi="Times New Roman" w:cs="Times New Roman"/>
          <w:bCs/>
          <w:sz w:val="28"/>
          <w:szCs w:val="28"/>
          <w:lang w:val="en-US"/>
        </w:rPr>
        <w:t xml:space="preserve"> 27.0%. </w:t>
      </w:r>
      <w:r w:rsidRPr="00570E28">
        <w:rPr>
          <w:rFonts w:ascii="Times New Roman" w:hAnsi="Times New Roman" w:cs="Times New Roman"/>
          <w:bCs/>
          <w:spacing w:val="-4"/>
          <w:sz w:val="28"/>
          <w:szCs w:val="28"/>
          <w:lang w:val="en-US"/>
        </w:rPr>
        <w:t>Of which, the domestic economic sector reached</w:t>
      </w:r>
      <w:r w:rsidRPr="00570E28">
        <w:rPr>
          <w:rFonts w:ascii="Times New Roman" w:hAnsi="Times New Roman" w:cs="Times New Roman"/>
          <w:bCs/>
          <w:sz w:val="28"/>
          <w:szCs w:val="28"/>
          <w:lang w:val="en-US"/>
        </w:rPr>
        <w:t xml:space="preserve"> 35.2 billion USD, </w:t>
      </w:r>
      <w:r w:rsidRPr="00570E28">
        <w:rPr>
          <w:rFonts w:ascii="Times New Roman" w:hAnsi="Times New Roman" w:cs="Times New Roman"/>
          <w:bCs/>
          <w:spacing w:val="-4"/>
          <w:sz w:val="28"/>
          <w:szCs w:val="28"/>
          <w:lang w:val="en-US"/>
        </w:rPr>
        <w:t>a downturn of</w:t>
      </w:r>
      <w:r w:rsidRPr="00570E28">
        <w:rPr>
          <w:rFonts w:ascii="Times New Roman" w:hAnsi="Times New Roman" w:cs="Times New Roman"/>
          <w:bCs/>
          <w:sz w:val="28"/>
          <w:szCs w:val="28"/>
          <w:lang w:val="en-US"/>
        </w:rPr>
        <w:t xml:space="preserve"> 4.3%; </w:t>
      </w:r>
      <w:r w:rsidRPr="00570E28">
        <w:rPr>
          <w:rFonts w:ascii="Times New Roman" w:hAnsi="Times New Roman" w:cs="Times New Roman"/>
          <w:bCs/>
          <w:spacing w:val="-4"/>
          <w:sz w:val="28"/>
          <w:szCs w:val="28"/>
          <w:lang w:val="en-US"/>
        </w:rPr>
        <w:t>and the FDI sector reached</w:t>
      </w:r>
      <w:r w:rsidRPr="00570E28">
        <w:rPr>
          <w:rFonts w:ascii="Times New Roman" w:hAnsi="Times New Roman" w:cs="Times New Roman"/>
          <w:bCs/>
          <w:sz w:val="28"/>
          <w:szCs w:val="28"/>
          <w:lang w:val="en-US"/>
        </w:rPr>
        <w:t xml:space="preserve"> 91.37 billion USD, </w:t>
      </w:r>
      <w:r w:rsidRPr="00570E28">
        <w:rPr>
          <w:rFonts w:ascii="Times New Roman" w:hAnsi="Times New Roman" w:cs="Times New Roman"/>
          <w:sz w:val="28"/>
          <w:szCs w:val="28"/>
          <w:lang w:val="en-US"/>
        </w:rPr>
        <w:t>an expansion of</w:t>
      </w:r>
      <w:r w:rsidRPr="00570E28">
        <w:rPr>
          <w:rFonts w:ascii="Times New Roman" w:hAnsi="Times New Roman" w:cs="Times New Roman"/>
          <w:bCs/>
          <w:sz w:val="28"/>
          <w:szCs w:val="28"/>
          <w:lang w:val="en-US"/>
        </w:rPr>
        <w:t xml:space="preserve"> 45.3%</w:t>
      </w:r>
      <w:r w:rsidRPr="00570E28">
        <w:rPr>
          <w:rFonts w:ascii="Times New Roman" w:hAnsi="Times New Roman" w:cs="Times New Roman"/>
          <w:bCs/>
          <w:color w:val="000000" w:themeColor="text1"/>
          <w:sz w:val="28"/>
          <w:szCs w:val="28"/>
          <w:lang w:val="en-US"/>
        </w:rPr>
        <w:t xml:space="preserve">. </w:t>
      </w:r>
      <w:r w:rsidRPr="00570E28">
        <w:rPr>
          <w:rFonts w:ascii="Times New Roman" w:hAnsi="Times New Roman" w:cs="Times New Roman"/>
          <w:bCs/>
          <w:sz w:val="28"/>
          <w:szCs w:val="28"/>
          <w:lang w:val="en-US"/>
        </w:rPr>
        <w:t xml:space="preserve">There were 22 imported </w:t>
      </w:r>
      <w:r w:rsidRPr="00570E28">
        <w:rPr>
          <w:rFonts w:ascii="Times New Roman" w:hAnsi="Times New Roman" w:cs="Times New Roman"/>
          <w:sz w:val="28"/>
          <w:szCs w:val="28"/>
          <w:lang w:val="en-US"/>
        </w:rPr>
        <w:t>products</w:t>
      </w:r>
      <w:r w:rsidRPr="00570E28">
        <w:rPr>
          <w:rFonts w:ascii="Times New Roman" w:hAnsi="Times New Roman" w:cs="Times New Roman"/>
          <w:bCs/>
          <w:sz w:val="28"/>
          <w:szCs w:val="28"/>
          <w:lang w:val="en-US"/>
        </w:rPr>
        <w:t xml:space="preserve"> with a value exceeding 1 billion USD, accounting for 82.8% of the total import turnover (including 2 </w:t>
      </w:r>
      <w:r w:rsidRPr="00570E28">
        <w:rPr>
          <w:rFonts w:ascii="Times New Roman" w:hAnsi="Times New Roman" w:cs="Times New Roman"/>
          <w:spacing w:val="-2"/>
          <w:sz w:val="28"/>
          <w:szCs w:val="28"/>
          <w:lang w:val="en-US"/>
        </w:rPr>
        <w:t>imported products</w:t>
      </w:r>
      <w:r w:rsidRPr="00570E28">
        <w:rPr>
          <w:rFonts w:ascii="Times New Roman" w:hAnsi="Times New Roman" w:cs="Times New Roman"/>
          <w:bCs/>
          <w:sz w:val="28"/>
          <w:szCs w:val="28"/>
          <w:lang w:val="en-US"/>
        </w:rPr>
        <w:t xml:space="preserve"> with the value of over 5 billion USD, accounting for 49.8%)</w:t>
      </w:r>
      <w:r w:rsidRPr="00570E28">
        <w:rPr>
          <w:rStyle w:val="Strong"/>
          <w:rFonts w:ascii="Times New Roman" w:hAnsi="Times New Roman"/>
          <w:b w:val="0"/>
          <w:color w:val="000000" w:themeColor="text1"/>
          <w:sz w:val="28"/>
          <w:szCs w:val="28"/>
          <w:lang w:val="en-US"/>
        </w:rPr>
        <w:t>.</w:t>
      </w:r>
    </w:p>
    <w:p w14:paraId="0FFA47C4" w14:textId="77777777" w:rsidR="00A906C2" w:rsidRPr="00570E28" w:rsidRDefault="00A906C2" w:rsidP="00A906C2">
      <w:pPr>
        <w:spacing w:after="60" w:line="240" w:lineRule="auto"/>
        <w:ind w:firstLine="720"/>
        <w:jc w:val="both"/>
        <w:rPr>
          <w:rFonts w:ascii="Times New Roman" w:hAnsi="Times New Roman" w:cs="Times New Roman"/>
          <w:b/>
          <w:bCs/>
          <w:i/>
          <w:color w:val="000000" w:themeColor="text1"/>
          <w:sz w:val="28"/>
          <w:szCs w:val="28"/>
          <w:lang w:val="en-US"/>
        </w:rPr>
      </w:pPr>
      <w:r w:rsidRPr="00570E28">
        <w:rPr>
          <w:rFonts w:ascii="Times New Roman" w:hAnsi="Times New Roman" w:cs="Times New Roman"/>
          <w:b/>
          <w:bCs/>
          <w:i/>
          <w:color w:val="000000" w:themeColor="text1"/>
          <w:sz w:val="28"/>
          <w:szCs w:val="28"/>
          <w:lang w:val="en-US"/>
        </w:rPr>
        <w:t xml:space="preserve">b) </w:t>
      </w:r>
      <w:r w:rsidRPr="00570E28">
        <w:rPr>
          <w:rFonts w:ascii="Times New Roman" w:hAnsi="Times New Roman" w:cs="Times New Roman"/>
          <w:b/>
          <w:bCs/>
          <w:i/>
          <w:iCs/>
          <w:sz w:val="28"/>
          <w:szCs w:val="28"/>
          <w:lang w:val="en-US"/>
        </w:rPr>
        <w:t>Export and import of services</w:t>
      </w:r>
    </w:p>
    <w:p w14:paraId="0F9FED91" w14:textId="723AF69F" w:rsidR="00A906C2" w:rsidRPr="00570E28" w:rsidRDefault="00A906C2" w:rsidP="00A906C2">
      <w:pPr>
        <w:spacing w:after="60" w:line="240" w:lineRule="auto"/>
        <w:ind w:firstLine="567"/>
        <w:jc w:val="both"/>
        <w:rPr>
          <w:rFonts w:ascii="Times New Roman" w:hAnsi="Times New Roman" w:cs="Times New Roman"/>
          <w:iCs/>
          <w:sz w:val="28"/>
          <w:szCs w:val="28"/>
          <w:lang w:val="en-US"/>
        </w:rPr>
      </w:pPr>
      <w:r w:rsidRPr="00570E28">
        <w:rPr>
          <w:rFonts w:ascii="Times New Roman" w:hAnsi="Times New Roman" w:cs="Times New Roman"/>
          <w:bCs/>
          <w:i/>
          <w:color w:val="000000" w:themeColor="text1"/>
          <w:spacing w:val="2"/>
          <w:sz w:val="28"/>
          <w:szCs w:val="28"/>
          <w:lang w:val="en-US"/>
        </w:rPr>
        <w:t>The export turnover of services</w:t>
      </w:r>
      <w:r w:rsidRPr="00570E28">
        <w:rPr>
          <w:rFonts w:ascii="Times New Roman" w:hAnsi="Times New Roman" w:cs="Times New Roman"/>
          <w:bCs/>
          <w:color w:val="000000" w:themeColor="text1"/>
          <w:spacing w:val="2"/>
          <w:sz w:val="28"/>
          <w:szCs w:val="28"/>
          <w:lang w:val="en-US"/>
        </w:rPr>
        <w:t xml:space="preserve"> </w:t>
      </w:r>
      <w:r w:rsidRPr="00570E28">
        <w:rPr>
          <w:rFonts w:ascii="Times New Roman" w:hAnsi="Times New Roman" w:cs="Times New Roman"/>
          <w:iCs/>
          <w:sz w:val="28"/>
          <w:szCs w:val="28"/>
          <w:lang w:val="en-US"/>
        </w:rPr>
        <w:t>in</w:t>
      </w:r>
      <w:r w:rsidR="00364FAC">
        <w:rPr>
          <w:rFonts w:ascii="Times New Roman" w:hAnsi="Times New Roman" w:cs="Times New Roman"/>
          <w:iCs/>
          <w:sz w:val="28"/>
          <w:szCs w:val="28"/>
          <w:lang w:val="en-US"/>
        </w:rPr>
        <w:t xml:space="preserve"> the</w:t>
      </w:r>
      <w:r w:rsidRPr="00570E28">
        <w:rPr>
          <w:rFonts w:ascii="Times New Roman" w:hAnsi="Times New Roman" w:cs="Times New Roman"/>
          <w:iCs/>
          <w:sz w:val="28"/>
          <w:szCs w:val="28"/>
          <w:lang w:val="en-US"/>
        </w:rPr>
        <w:t xml:space="preserve"> Q1 2026 was estimated at 9.1 billion USD, a year-on-year increase of 19.2%. Of which, tourism services reached 4.9 billion USD (accounting for 53.8% of the total turnover), surging up 16.7%; and transport services reached 2.65 billion USD (accounting for 29.1%), shooting up 29.3%.</w:t>
      </w:r>
    </w:p>
    <w:p w14:paraId="05699278" w14:textId="2EBF7711" w:rsidR="00A906C2" w:rsidRPr="00570E28" w:rsidRDefault="00A906C2" w:rsidP="00A906C2">
      <w:pPr>
        <w:spacing w:after="60" w:line="240" w:lineRule="auto"/>
        <w:ind w:firstLine="567"/>
        <w:jc w:val="both"/>
        <w:rPr>
          <w:rFonts w:ascii="Times New Roman" w:hAnsi="Times New Roman" w:cs="Times New Roman"/>
          <w:iCs/>
          <w:sz w:val="28"/>
          <w:szCs w:val="28"/>
          <w:lang w:val="en-US"/>
        </w:rPr>
      </w:pPr>
      <w:r w:rsidRPr="00570E28">
        <w:rPr>
          <w:rFonts w:ascii="Times New Roman" w:hAnsi="Times New Roman" w:cs="Times New Roman"/>
          <w:bCs/>
          <w:i/>
          <w:color w:val="000000" w:themeColor="text1"/>
          <w:sz w:val="28"/>
          <w:szCs w:val="28"/>
          <w:lang w:val="en-US"/>
        </w:rPr>
        <w:t>The import turnover of services</w:t>
      </w:r>
      <w:r w:rsidRPr="00570E28">
        <w:rPr>
          <w:rFonts w:ascii="Times New Roman" w:hAnsi="Times New Roman" w:cs="Times New Roman"/>
          <w:bCs/>
          <w:color w:val="000000" w:themeColor="text1"/>
          <w:sz w:val="28"/>
          <w:szCs w:val="28"/>
          <w:lang w:val="en-US"/>
        </w:rPr>
        <w:t xml:space="preserve"> </w:t>
      </w:r>
      <w:r w:rsidRPr="00570E28">
        <w:rPr>
          <w:rFonts w:ascii="Times New Roman" w:hAnsi="Times New Roman" w:cs="Times New Roman"/>
          <w:iCs/>
          <w:spacing w:val="-4"/>
          <w:sz w:val="28"/>
          <w:szCs w:val="28"/>
          <w:lang w:val="en-US"/>
        </w:rPr>
        <w:t>in</w:t>
      </w:r>
      <w:r w:rsidRPr="00570E28">
        <w:rPr>
          <w:rFonts w:ascii="Times New Roman" w:hAnsi="Times New Roman" w:cs="Times New Roman"/>
          <w:iCs/>
          <w:sz w:val="28"/>
          <w:szCs w:val="28"/>
          <w:lang w:val="en-US"/>
        </w:rPr>
        <w:t xml:space="preserve"> </w:t>
      </w:r>
      <w:r w:rsidR="00364FAC">
        <w:rPr>
          <w:rFonts w:ascii="Times New Roman" w:hAnsi="Times New Roman" w:cs="Times New Roman"/>
          <w:iCs/>
          <w:sz w:val="28"/>
          <w:szCs w:val="28"/>
          <w:lang w:val="en-US"/>
        </w:rPr>
        <w:t xml:space="preserve">the </w:t>
      </w:r>
      <w:r w:rsidRPr="00570E28">
        <w:rPr>
          <w:rFonts w:ascii="Times New Roman" w:hAnsi="Times New Roman" w:cs="Times New Roman"/>
          <w:iCs/>
          <w:sz w:val="28"/>
          <w:szCs w:val="28"/>
          <w:lang w:val="en-US"/>
        </w:rPr>
        <w:t xml:space="preserve">Q1 2026 </w:t>
      </w:r>
      <w:r w:rsidRPr="00570E28">
        <w:rPr>
          <w:rFonts w:ascii="Times New Roman" w:hAnsi="Times New Roman" w:cs="Times New Roman"/>
          <w:iCs/>
          <w:spacing w:val="-4"/>
          <w:sz w:val="28"/>
          <w:szCs w:val="28"/>
          <w:lang w:val="en-US"/>
        </w:rPr>
        <w:t>was estimated at</w:t>
      </w:r>
      <w:r w:rsidRPr="00570E28">
        <w:rPr>
          <w:rFonts w:ascii="Times New Roman" w:hAnsi="Times New Roman" w:cs="Times New Roman"/>
          <w:iCs/>
          <w:sz w:val="28"/>
          <w:szCs w:val="28"/>
          <w:lang w:val="en-US"/>
        </w:rPr>
        <w:t xml:space="preserve"> 10.78 billion USD (including 4.0 billion USD for </w:t>
      </w:r>
      <w:r w:rsidRPr="00570E28">
        <w:rPr>
          <w:rFonts w:ascii="Times New Roman" w:hAnsi="Times New Roman" w:cs="Times New Roman"/>
          <w:bCs/>
          <w:iCs/>
          <w:sz w:val="28"/>
          <w:szCs w:val="28"/>
          <w:lang w:val="en-US"/>
        </w:rPr>
        <w:t>transportation and insurance service fees of imported goods</w:t>
      </w:r>
      <w:r w:rsidRPr="00570E28">
        <w:rPr>
          <w:rFonts w:ascii="Times New Roman" w:hAnsi="Times New Roman" w:cs="Times New Roman"/>
          <w:iCs/>
          <w:sz w:val="28"/>
          <w:szCs w:val="28"/>
          <w:lang w:val="en-US"/>
        </w:rPr>
        <w:t xml:space="preserve">), a year-on-year surge of 16.9%. Of which, </w:t>
      </w:r>
      <w:r w:rsidRPr="00570E28">
        <w:rPr>
          <w:rFonts w:ascii="Times New Roman" w:hAnsi="Times New Roman" w:cs="Times New Roman"/>
          <w:iCs/>
          <w:spacing w:val="-4"/>
          <w:sz w:val="28"/>
          <w:szCs w:val="28"/>
          <w:lang w:val="en-US"/>
        </w:rPr>
        <w:t>transport services reached</w:t>
      </w:r>
      <w:r w:rsidRPr="00570E28">
        <w:rPr>
          <w:rFonts w:ascii="Times New Roman" w:hAnsi="Times New Roman" w:cs="Times New Roman"/>
          <w:iCs/>
          <w:sz w:val="28"/>
          <w:szCs w:val="28"/>
          <w:lang w:val="en-US"/>
        </w:rPr>
        <w:t xml:space="preserve"> 4.75 billion USD (</w:t>
      </w:r>
      <w:r w:rsidRPr="00570E28">
        <w:rPr>
          <w:rFonts w:ascii="Times New Roman" w:hAnsi="Times New Roman" w:cs="Times New Roman"/>
          <w:iCs/>
          <w:spacing w:val="-4"/>
          <w:sz w:val="28"/>
          <w:szCs w:val="28"/>
          <w:lang w:val="en-US"/>
        </w:rPr>
        <w:t>accounting for</w:t>
      </w:r>
      <w:r w:rsidRPr="00570E28">
        <w:rPr>
          <w:rFonts w:ascii="Times New Roman" w:hAnsi="Times New Roman" w:cs="Times New Roman"/>
          <w:iCs/>
          <w:sz w:val="28"/>
          <w:szCs w:val="28"/>
          <w:lang w:val="en-US"/>
        </w:rPr>
        <w:t xml:space="preserve"> 44.1% </w:t>
      </w:r>
      <w:r w:rsidRPr="00570E28">
        <w:rPr>
          <w:rFonts w:ascii="Times New Roman" w:hAnsi="Times New Roman" w:cs="Times New Roman"/>
          <w:iCs/>
          <w:spacing w:val="-4"/>
          <w:sz w:val="28"/>
          <w:szCs w:val="28"/>
          <w:lang w:val="en-US"/>
        </w:rPr>
        <w:t>of the total turnover</w:t>
      </w:r>
      <w:r w:rsidRPr="00570E28">
        <w:rPr>
          <w:rFonts w:ascii="Times New Roman" w:hAnsi="Times New Roman" w:cs="Times New Roman"/>
          <w:iCs/>
          <w:sz w:val="28"/>
          <w:szCs w:val="28"/>
          <w:lang w:val="en-US"/>
        </w:rPr>
        <w:t xml:space="preserve">), going up 27.2%; </w:t>
      </w:r>
      <w:r w:rsidRPr="00570E28">
        <w:rPr>
          <w:rFonts w:ascii="Times New Roman" w:hAnsi="Times New Roman" w:cs="Times New Roman"/>
          <w:iCs/>
          <w:spacing w:val="-4"/>
          <w:sz w:val="28"/>
          <w:szCs w:val="28"/>
          <w:lang w:val="en-US"/>
        </w:rPr>
        <w:t>and tourism services reached</w:t>
      </w:r>
      <w:r w:rsidRPr="00570E28">
        <w:rPr>
          <w:rFonts w:ascii="Times New Roman" w:hAnsi="Times New Roman" w:cs="Times New Roman"/>
          <w:iCs/>
          <w:sz w:val="28"/>
          <w:szCs w:val="28"/>
          <w:lang w:val="en-US"/>
        </w:rPr>
        <w:t xml:space="preserve"> 3.8 billion USD (</w:t>
      </w:r>
      <w:r w:rsidRPr="00570E28">
        <w:rPr>
          <w:rFonts w:ascii="Times New Roman" w:hAnsi="Times New Roman" w:cs="Times New Roman"/>
          <w:iCs/>
          <w:spacing w:val="-4"/>
          <w:sz w:val="28"/>
          <w:szCs w:val="28"/>
          <w:lang w:val="en-US"/>
        </w:rPr>
        <w:t>accounting for</w:t>
      </w:r>
      <w:r w:rsidRPr="00570E28">
        <w:rPr>
          <w:rFonts w:ascii="Times New Roman" w:hAnsi="Times New Roman" w:cs="Times New Roman"/>
          <w:iCs/>
          <w:sz w:val="28"/>
          <w:szCs w:val="28"/>
          <w:lang w:val="en-US"/>
        </w:rPr>
        <w:t xml:space="preserve"> 35.3%), accelerating by 11.8%. </w:t>
      </w:r>
    </w:p>
    <w:p w14:paraId="3E24C150" w14:textId="5A44325A" w:rsidR="00A906C2" w:rsidRPr="00570E28" w:rsidRDefault="00A906C2" w:rsidP="00A906C2">
      <w:pPr>
        <w:spacing w:after="60" w:line="240" w:lineRule="auto"/>
        <w:ind w:firstLine="567"/>
        <w:jc w:val="both"/>
        <w:rPr>
          <w:rFonts w:ascii="Times New Roman" w:hAnsi="Times New Roman" w:cs="Times New Roman"/>
          <w:iCs/>
          <w:spacing w:val="-2"/>
          <w:sz w:val="28"/>
          <w:szCs w:val="28"/>
          <w:lang w:val="en-US"/>
        </w:rPr>
      </w:pPr>
      <w:r w:rsidRPr="00570E28">
        <w:rPr>
          <w:rFonts w:ascii="Times New Roman" w:hAnsi="Times New Roman" w:cs="Times New Roman"/>
          <w:iCs/>
          <w:spacing w:val="-2"/>
          <w:sz w:val="28"/>
          <w:szCs w:val="28"/>
          <w:lang w:val="en-US"/>
        </w:rPr>
        <w:t xml:space="preserve">The trade deficit of services in </w:t>
      </w:r>
      <w:r w:rsidR="00364FAC">
        <w:rPr>
          <w:rFonts w:ascii="Times New Roman" w:hAnsi="Times New Roman" w:cs="Times New Roman"/>
          <w:iCs/>
          <w:spacing w:val="-2"/>
          <w:sz w:val="28"/>
          <w:szCs w:val="28"/>
          <w:lang w:val="en-US"/>
        </w:rPr>
        <w:t xml:space="preserve">the </w:t>
      </w:r>
      <w:r w:rsidRPr="00570E28">
        <w:rPr>
          <w:rFonts w:ascii="Times New Roman" w:hAnsi="Times New Roman" w:cs="Times New Roman"/>
          <w:iCs/>
          <w:spacing w:val="-2"/>
          <w:sz w:val="28"/>
          <w:szCs w:val="28"/>
          <w:lang w:val="en-US"/>
        </w:rPr>
        <w:t>Q1 2026 was 1.68 billion USD</w:t>
      </w:r>
      <w:r w:rsidRPr="00570E28">
        <w:rPr>
          <w:rFonts w:ascii="Times New Roman" w:hAnsi="Times New Roman" w:cs="Times New Roman"/>
          <w:iCs/>
          <w:sz w:val="28"/>
          <w:szCs w:val="28"/>
          <w:lang w:val="en-US"/>
        </w:rPr>
        <w:t>.</w:t>
      </w:r>
    </w:p>
    <w:p w14:paraId="2318EAFD" w14:textId="07476E6D" w:rsidR="00A906C2" w:rsidRPr="00570E28" w:rsidRDefault="00A906C2" w:rsidP="00A906C2">
      <w:pPr>
        <w:shd w:val="clear" w:color="auto" w:fill="FFFFFF"/>
        <w:spacing w:before="120" w:after="120" w:line="240" w:lineRule="auto"/>
        <w:ind w:firstLine="720"/>
        <w:jc w:val="both"/>
        <w:rPr>
          <w:rFonts w:ascii="Times New Roman" w:hAnsi="Times New Roman" w:cs="Times New Roman"/>
          <w:b/>
          <w:color w:val="000000" w:themeColor="text1"/>
          <w:sz w:val="28"/>
          <w:szCs w:val="28"/>
          <w:lang w:val="en-US"/>
        </w:rPr>
      </w:pPr>
      <w:r w:rsidRPr="00570E28">
        <w:rPr>
          <w:rFonts w:ascii="Times New Roman" w:hAnsi="Times New Roman" w:cs="Times New Roman"/>
          <w:b/>
          <w:bCs/>
          <w:color w:val="000000" w:themeColor="text1"/>
          <w:sz w:val="28"/>
          <w:szCs w:val="28"/>
          <w:lang w:val="en-US"/>
        </w:rPr>
        <w:t>10.</w:t>
      </w:r>
      <w:r w:rsidRPr="00570E28">
        <w:rPr>
          <w:rFonts w:ascii="Times New Roman" w:hAnsi="Times New Roman" w:cs="Times New Roman"/>
          <w:b/>
          <w:color w:val="000000" w:themeColor="text1"/>
          <w:sz w:val="28"/>
          <w:szCs w:val="28"/>
          <w:lang w:val="en-US"/>
        </w:rPr>
        <w:t xml:space="preserve"> In </w:t>
      </w:r>
      <w:r w:rsidR="00364FAC">
        <w:rPr>
          <w:rFonts w:ascii="Times New Roman" w:hAnsi="Times New Roman" w:cs="Times New Roman"/>
          <w:b/>
          <w:color w:val="000000" w:themeColor="text1"/>
          <w:sz w:val="28"/>
          <w:szCs w:val="28"/>
          <w:lang w:val="en-US"/>
        </w:rPr>
        <w:t xml:space="preserve">the </w:t>
      </w:r>
      <w:r w:rsidRPr="00570E28">
        <w:rPr>
          <w:rFonts w:ascii="Times New Roman" w:hAnsi="Times New Roman" w:cs="Times New Roman"/>
          <w:b/>
          <w:color w:val="000000" w:themeColor="text1"/>
          <w:sz w:val="28"/>
          <w:szCs w:val="28"/>
          <w:lang w:val="en-US"/>
        </w:rPr>
        <w:t xml:space="preserve">Q1 2026, the complex and unpredictable fluctuations of the global commodity market, escalating conflicts in the Middle East impacting the vital shipping routes, increased the risk of the global supply chain disruptions. The trend of trade protectionism, export and import controls, and the strategic goods reserves in many countries also increased. These factors impacted energy prices, logistics costs, and the prices of raw materials and fuels. Domestic production </w:t>
      </w:r>
      <w:r w:rsidR="008E33F6" w:rsidRPr="00570E28">
        <w:rPr>
          <w:rFonts w:ascii="Times New Roman" w:hAnsi="Times New Roman" w:cs="Times New Roman"/>
          <w:b/>
          <w:color w:val="000000" w:themeColor="text1"/>
          <w:sz w:val="28"/>
          <w:szCs w:val="28"/>
          <w:lang w:val="en-US"/>
        </w:rPr>
        <w:t>remained</w:t>
      </w:r>
      <w:r w:rsidRPr="00570E28">
        <w:rPr>
          <w:rFonts w:ascii="Times New Roman" w:hAnsi="Times New Roman" w:cs="Times New Roman"/>
          <w:b/>
          <w:color w:val="000000" w:themeColor="text1"/>
          <w:sz w:val="28"/>
          <w:szCs w:val="28"/>
          <w:lang w:val="en-US"/>
        </w:rPr>
        <w:t xml:space="preserve"> growth, meeting consumer demand during the Lunar New Year. The producer price index; input price index for production in </w:t>
      </w:r>
      <w:r w:rsidR="00364FAC">
        <w:rPr>
          <w:rFonts w:ascii="Times New Roman" w:hAnsi="Times New Roman" w:cs="Times New Roman"/>
          <w:b/>
          <w:color w:val="000000" w:themeColor="text1"/>
          <w:sz w:val="28"/>
          <w:szCs w:val="28"/>
          <w:lang w:val="en-US"/>
        </w:rPr>
        <w:t xml:space="preserve">the </w:t>
      </w:r>
      <w:r w:rsidRPr="00570E28">
        <w:rPr>
          <w:rFonts w:ascii="Times New Roman" w:hAnsi="Times New Roman" w:cs="Times New Roman"/>
          <w:b/>
          <w:color w:val="000000" w:themeColor="text1"/>
          <w:sz w:val="28"/>
          <w:szCs w:val="28"/>
          <w:lang w:val="en-US"/>
        </w:rPr>
        <w:t>Q1 2026 experienced a year-on-year rise. In contrast, merchandise export and import price index in Q1 2026 recorded a year-on-year downturn.</w:t>
      </w:r>
    </w:p>
    <w:p w14:paraId="0DFBA5FC" w14:textId="77777777" w:rsidR="00A906C2" w:rsidRPr="00570E28" w:rsidRDefault="00A906C2" w:rsidP="00A906C2">
      <w:pPr>
        <w:spacing w:after="120" w:line="240" w:lineRule="auto"/>
        <w:ind w:firstLine="720"/>
        <w:jc w:val="both"/>
        <w:rPr>
          <w:rFonts w:ascii="Times New Roman" w:hAnsi="Times New Roman" w:cs="Times New Roman"/>
          <w:b/>
          <w:bCs/>
          <w:i/>
          <w:iCs/>
          <w:color w:val="000000" w:themeColor="text1"/>
          <w:sz w:val="28"/>
          <w:szCs w:val="28"/>
          <w:lang w:val="en-US"/>
        </w:rPr>
      </w:pPr>
      <w:r w:rsidRPr="00570E28">
        <w:rPr>
          <w:rFonts w:ascii="Times New Roman" w:hAnsi="Times New Roman" w:cs="Times New Roman"/>
          <w:b/>
          <w:bCs/>
          <w:i/>
          <w:iCs/>
          <w:color w:val="000000" w:themeColor="text1"/>
          <w:sz w:val="28"/>
          <w:szCs w:val="28"/>
          <w:lang w:val="en-US"/>
        </w:rPr>
        <w:t xml:space="preserve">a) Consumer price index </w:t>
      </w:r>
    </w:p>
    <w:p w14:paraId="0A1B5F42" w14:textId="77777777" w:rsidR="00A906C2" w:rsidRPr="00570E28" w:rsidRDefault="00A906C2" w:rsidP="00A906C2">
      <w:pPr>
        <w:spacing w:after="12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color w:val="000000" w:themeColor="text1"/>
          <w:sz w:val="28"/>
          <w:szCs w:val="28"/>
          <w:lang w:val="en-US"/>
        </w:rPr>
        <w:t xml:space="preserve">The Consumer Price Index (CPI) in March 2026 witnessed a month-on-month increase of 1.23% as result of a high rise in the prices of domestic gasoline in line with the prices of global fuel and the prices of construction material resulting from the higher costs of raw material and transport. The CPI in March saw an expansion of 2.44% and 4.65% compared to that in December 2025 and same period last year, respectively, leading to the highest year-on-year increase </w:t>
      </w:r>
      <w:r w:rsidRPr="00570E28">
        <w:rPr>
          <w:rFonts w:ascii="Times New Roman" w:hAnsi="Times New Roman" w:cs="Times New Roman"/>
          <w:color w:val="000000" w:themeColor="text1"/>
          <w:sz w:val="28"/>
          <w:szCs w:val="28"/>
          <w:lang w:val="en-US"/>
        </w:rPr>
        <w:lastRenderedPageBreak/>
        <w:t>in CPI in March for five years</w:t>
      </w:r>
      <w:r w:rsidRPr="00570E28">
        <w:rPr>
          <w:rStyle w:val="FootnoteReference"/>
          <w:rFonts w:ascii="Times New Roman" w:hAnsi="Times New Roman"/>
          <w:color w:val="000000" w:themeColor="text1"/>
          <w:sz w:val="28"/>
          <w:szCs w:val="28"/>
          <w:lang w:val="en-US"/>
        </w:rPr>
        <w:footnoteReference w:id="26"/>
      </w:r>
      <w:r w:rsidRPr="00570E28">
        <w:rPr>
          <w:rFonts w:ascii="Times New Roman" w:hAnsi="Times New Roman" w:cs="Times New Roman"/>
          <w:color w:val="000000" w:themeColor="text1"/>
          <w:sz w:val="28"/>
          <w:szCs w:val="28"/>
          <w:lang w:val="en-US"/>
        </w:rPr>
        <w:t>. In general, the CPI in Q1 2026 experienced a year-on-year increase of 3.51%.</w:t>
      </w:r>
    </w:p>
    <w:p w14:paraId="57222EFB" w14:textId="4BA830F0" w:rsidR="00A906C2" w:rsidRPr="00570E28" w:rsidRDefault="00A906C2" w:rsidP="00A906C2">
      <w:pPr>
        <w:pStyle w:val="NormalWeb"/>
        <w:spacing w:before="0" w:beforeAutospacing="0" w:after="120" w:afterAutospacing="0"/>
        <w:ind w:firstLine="720"/>
        <w:jc w:val="both"/>
        <w:rPr>
          <w:rFonts w:ascii="Times New Roman" w:hAnsi="Times New Roman" w:cs="Times New Roman"/>
          <w:color w:val="000000" w:themeColor="text1"/>
          <w:sz w:val="28"/>
          <w:szCs w:val="28"/>
        </w:rPr>
      </w:pPr>
      <w:r w:rsidRPr="00570E28">
        <w:rPr>
          <w:rFonts w:ascii="Times New Roman" w:hAnsi="Times New Roman" w:cs="Times New Roman"/>
          <w:color w:val="000000" w:themeColor="text1"/>
          <w:sz w:val="28"/>
          <w:szCs w:val="28"/>
        </w:rPr>
        <w:t>Core inflation</w:t>
      </w:r>
      <w:r w:rsidRPr="00570E28">
        <w:rPr>
          <w:rStyle w:val="FootnoteReference"/>
          <w:rFonts w:ascii="Times New Roman" w:hAnsi="Times New Roman"/>
          <w:color w:val="000000" w:themeColor="text1"/>
          <w:sz w:val="28"/>
          <w:szCs w:val="28"/>
        </w:rPr>
        <w:footnoteReference w:id="27"/>
      </w:r>
      <w:r w:rsidRPr="00570E28">
        <w:rPr>
          <w:rFonts w:ascii="Times New Roman" w:hAnsi="Times New Roman" w:cs="Times New Roman"/>
          <w:color w:val="000000" w:themeColor="text1"/>
          <w:sz w:val="28"/>
          <w:szCs w:val="28"/>
        </w:rPr>
        <w:t xml:space="preserve"> in March 2026 witnessed a month-on-month increase of 0.47% and a year-on-year rise of 3.96%. On average, core inflation in </w:t>
      </w:r>
      <w:r w:rsidR="00364FAC">
        <w:rPr>
          <w:rFonts w:ascii="Times New Roman" w:hAnsi="Times New Roman" w:cs="Times New Roman"/>
          <w:color w:val="000000" w:themeColor="text1"/>
          <w:sz w:val="28"/>
          <w:szCs w:val="28"/>
        </w:rPr>
        <w:t xml:space="preserve">the </w:t>
      </w:r>
      <w:r w:rsidRPr="00570E28">
        <w:rPr>
          <w:rFonts w:ascii="Times New Roman" w:hAnsi="Times New Roman" w:cs="Times New Roman"/>
          <w:color w:val="000000" w:themeColor="text1"/>
          <w:sz w:val="28"/>
          <w:szCs w:val="28"/>
        </w:rPr>
        <w:t xml:space="preserve">Q1 2026 recorded a year-on-year surge of 3.63%, higher than a soar of 3.51% in the overall CPI, mainly due to food prices which were the factors that caused a decline in the overall CPI, were excluded from the list of core inflation calculations. </w:t>
      </w:r>
    </w:p>
    <w:p w14:paraId="55714260" w14:textId="77777777" w:rsidR="00A906C2" w:rsidRPr="00570E28" w:rsidRDefault="00A906C2" w:rsidP="00A906C2">
      <w:pPr>
        <w:spacing w:after="120" w:line="240" w:lineRule="auto"/>
        <w:ind w:firstLine="720"/>
        <w:jc w:val="both"/>
        <w:rPr>
          <w:rStyle w:val="a21"/>
          <w:rFonts w:ascii="Times New Roman" w:hAnsi="Times New Roman" w:cs="Times New Roman"/>
          <w:b/>
          <w:i/>
          <w:color w:val="000000" w:themeColor="text1"/>
          <w:sz w:val="28"/>
          <w:szCs w:val="28"/>
          <w:lang w:val="en-US"/>
        </w:rPr>
      </w:pPr>
      <w:r w:rsidRPr="00570E28">
        <w:rPr>
          <w:rStyle w:val="a21"/>
          <w:rFonts w:ascii="Times New Roman" w:hAnsi="Times New Roman" w:cs="Times New Roman"/>
          <w:b/>
          <w:i/>
          <w:color w:val="000000" w:themeColor="text1"/>
          <w:sz w:val="28"/>
          <w:szCs w:val="28"/>
          <w:lang w:val="en-US"/>
        </w:rPr>
        <w:t>b) Gold and US dollar price index</w:t>
      </w:r>
    </w:p>
    <w:p w14:paraId="750C4BFE" w14:textId="36A72AFD" w:rsidR="00A906C2" w:rsidRPr="00570E28" w:rsidRDefault="00A906C2" w:rsidP="00A906C2">
      <w:pPr>
        <w:spacing w:after="12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color w:val="000000" w:themeColor="text1"/>
          <w:sz w:val="28"/>
          <w:szCs w:val="28"/>
          <w:lang w:val="en-US"/>
        </w:rPr>
        <w:t xml:space="preserve">Domestic gold prices fluctuated in the opposite direction to the world gold prices. In March 2026, the world gold prices plunged after previous period of spike due to the combination of economic impacts and psychological impacts in the context of complex geopolitical environment. An increase in investor’s profit-taking and capital withdrawal at the end of February 2026 generated selling pressure on the gold market. Simultaneously, the US dollar appreciation and expectations of high interest rates led to a less attractiveness of gold. Domestic price index of gold in March </w:t>
      </w:r>
      <w:r w:rsidR="008E33F6" w:rsidRPr="00570E28">
        <w:rPr>
          <w:rFonts w:ascii="Times New Roman" w:hAnsi="Times New Roman" w:cs="Times New Roman"/>
          <w:color w:val="000000" w:themeColor="text1"/>
          <w:sz w:val="28"/>
          <w:szCs w:val="28"/>
          <w:lang w:val="en-US"/>
        </w:rPr>
        <w:t>2026 possessed</w:t>
      </w:r>
      <w:r w:rsidRPr="00570E28">
        <w:rPr>
          <w:rFonts w:ascii="Times New Roman" w:hAnsi="Times New Roman" w:cs="Times New Roman"/>
          <w:color w:val="000000" w:themeColor="text1"/>
          <w:sz w:val="28"/>
          <w:szCs w:val="28"/>
          <w:lang w:val="en-US"/>
        </w:rPr>
        <w:t xml:space="preserve"> a month-on-month jump of 1.54%</w:t>
      </w:r>
      <w:r w:rsidR="008E33F6" w:rsidRPr="00570E28">
        <w:rPr>
          <w:rFonts w:ascii="Times New Roman" w:hAnsi="Times New Roman" w:cs="Times New Roman"/>
          <w:color w:val="000000" w:themeColor="text1"/>
          <w:sz w:val="28"/>
          <w:szCs w:val="28"/>
          <w:lang w:val="en-US"/>
        </w:rPr>
        <w:t>; a</w:t>
      </w:r>
      <w:r w:rsidRPr="00570E28">
        <w:rPr>
          <w:rFonts w:ascii="Times New Roman" w:hAnsi="Times New Roman" w:cs="Times New Roman"/>
          <w:color w:val="000000" w:themeColor="text1"/>
          <w:sz w:val="28"/>
          <w:szCs w:val="28"/>
          <w:lang w:val="en-US"/>
        </w:rPr>
        <w:t xml:space="preserve"> year-on-year spite of 82.77%; a surge of 18.81% compared to that in December 2025; the average gold price index in </w:t>
      </w:r>
      <w:r w:rsidR="00364FAC">
        <w:rPr>
          <w:rFonts w:ascii="Times New Roman" w:hAnsi="Times New Roman" w:cs="Times New Roman"/>
          <w:color w:val="000000" w:themeColor="text1"/>
          <w:sz w:val="28"/>
          <w:szCs w:val="28"/>
          <w:lang w:val="en-US"/>
        </w:rPr>
        <w:t xml:space="preserve">the </w:t>
      </w:r>
      <w:r w:rsidRPr="00570E28">
        <w:rPr>
          <w:rFonts w:ascii="Times New Roman" w:hAnsi="Times New Roman" w:cs="Times New Roman"/>
          <w:color w:val="000000" w:themeColor="text1"/>
          <w:sz w:val="28"/>
          <w:szCs w:val="28"/>
          <w:lang w:val="en-US"/>
        </w:rPr>
        <w:t xml:space="preserve">Q1 2026 shot up 82.70%. </w:t>
      </w:r>
    </w:p>
    <w:p w14:paraId="73CC376C" w14:textId="58BB770F" w:rsidR="00A906C2" w:rsidRPr="00570E28" w:rsidRDefault="00A906C2" w:rsidP="00A906C2">
      <w:pPr>
        <w:pStyle w:val="NormalWeb"/>
        <w:spacing w:before="0" w:beforeAutospacing="0" w:after="120" w:afterAutospacing="0"/>
        <w:ind w:firstLine="720"/>
        <w:jc w:val="both"/>
        <w:rPr>
          <w:rStyle w:val="a21"/>
          <w:rFonts w:ascii="Times New Roman" w:hAnsi="Times New Roman" w:cs="Times New Roman"/>
          <w:spacing w:val="2"/>
          <w:sz w:val="28"/>
          <w:szCs w:val="28"/>
        </w:rPr>
      </w:pPr>
      <w:r w:rsidRPr="00570E28">
        <w:rPr>
          <w:rStyle w:val="a21"/>
          <w:rFonts w:ascii="Times New Roman" w:hAnsi="Times New Roman" w:cs="Times New Roman"/>
          <w:spacing w:val="2"/>
          <w:sz w:val="28"/>
          <w:szCs w:val="28"/>
        </w:rPr>
        <w:t xml:space="preserve">Domestic US dollar prices fluctuated in line with the global prices, the average on the free market was around 26,315 VND/USD. The US dollar price index in March 2026 saw a month-on-month expansion of 0.72%; a year-on-year upturn of 2.25%; a decrease of 0.47% compared to that in December 2025; the average US dollar price index in </w:t>
      </w:r>
      <w:r w:rsidR="00364FAC">
        <w:rPr>
          <w:rStyle w:val="a21"/>
          <w:rFonts w:ascii="Times New Roman" w:hAnsi="Times New Roman" w:cs="Times New Roman"/>
          <w:spacing w:val="2"/>
          <w:sz w:val="28"/>
          <w:szCs w:val="28"/>
        </w:rPr>
        <w:t xml:space="preserve">the </w:t>
      </w:r>
      <w:r w:rsidRPr="00570E28">
        <w:rPr>
          <w:rStyle w:val="a21"/>
          <w:rFonts w:ascii="Times New Roman" w:hAnsi="Times New Roman" w:cs="Times New Roman"/>
          <w:spacing w:val="2"/>
          <w:sz w:val="28"/>
          <w:szCs w:val="28"/>
        </w:rPr>
        <w:t>Q1 2026 accelerated by 2.58%.</w:t>
      </w:r>
    </w:p>
    <w:p w14:paraId="7C7716A7" w14:textId="77777777" w:rsidR="00A906C2" w:rsidRPr="00570E28" w:rsidRDefault="00A906C2" w:rsidP="00A906C2">
      <w:pPr>
        <w:tabs>
          <w:tab w:val="left" w:pos="720"/>
        </w:tabs>
        <w:spacing w:after="120" w:line="240" w:lineRule="auto"/>
        <w:ind w:firstLine="720"/>
        <w:jc w:val="both"/>
        <w:rPr>
          <w:rFonts w:ascii="Times New Roman" w:hAnsi="Times New Roman" w:cs="Times New Roman"/>
          <w:b/>
          <w:i/>
          <w:color w:val="000000" w:themeColor="text1"/>
          <w:spacing w:val="-6"/>
          <w:sz w:val="28"/>
          <w:szCs w:val="28"/>
          <w:lang w:val="en-US"/>
        </w:rPr>
      </w:pPr>
      <w:r w:rsidRPr="00570E28">
        <w:rPr>
          <w:rFonts w:ascii="Times New Roman" w:hAnsi="Times New Roman" w:cs="Times New Roman"/>
          <w:b/>
          <w:i/>
          <w:color w:val="000000" w:themeColor="text1"/>
          <w:spacing w:val="-6"/>
          <w:sz w:val="28"/>
          <w:szCs w:val="28"/>
          <w:lang w:val="en-US"/>
        </w:rPr>
        <w:t>c) Producer price index, input producer price index</w:t>
      </w:r>
    </w:p>
    <w:p w14:paraId="7FACFE93" w14:textId="7A5C64EA" w:rsidR="00A906C2" w:rsidRPr="00570E28" w:rsidRDefault="00A906C2" w:rsidP="00A906C2">
      <w:pPr>
        <w:shd w:val="clear" w:color="auto" w:fill="FFFFFF"/>
        <w:spacing w:after="12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color w:val="000000" w:themeColor="text1"/>
          <w:sz w:val="28"/>
          <w:szCs w:val="28"/>
          <w:lang w:val="en-US"/>
        </w:rPr>
        <w:t xml:space="preserve">The producer price index of agriculture, forestry and fishing in </w:t>
      </w:r>
      <w:r w:rsidR="00364FAC">
        <w:rPr>
          <w:rFonts w:ascii="Times New Roman" w:hAnsi="Times New Roman" w:cs="Times New Roman"/>
          <w:color w:val="000000" w:themeColor="text1"/>
          <w:sz w:val="28"/>
          <w:szCs w:val="28"/>
          <w:lang w:val="en-US"/>
        </w:rPr>
        <w:t xml:space="preserve">the </w:t>
      </w:r>
      <w:r w:rsidRPr="00570E28">
        <w:rPr>
          <w:rFonts w:ascii="Times New Roman" w:hAnsi="Times New Roman" w:cs="Times New Roman"/>
          <w:color w:val="000000" w:themeColor="text1"/>
          <w:sz w:val="28"/>
          <w:szCs w:val="28"/>
          <w:lang w:val="en-US"/>
        </w:rPr>
        <w:t xml:space="preserve">Q1 2026 witnessed a quarter-on-quarter expansion of 5.39% and a year-on-year upturn of 4.50%. Of which, the producer price index of agriculture and related services soared by 6.20% and 4.49%; the producer price index of forestry and related services </w:t>
      </w:r>
      <w:r w:rsidR="008E33F6" w:rsidRPr="00570E28">
        <w:rPr>
          <w:rFonts w:ascii="Times New Roman" w:hAnsi="Times New Roman" w:cs="Times New Roman"/>
          <w:color w:val="000000" w:themeColor="text1"/>
          <w:sz w:val="28"/>
          <w:szCs w:val="28"/>
          <w:lang w:val="en-US"/>
        </w:rPr>
        <w:t>jumped</w:t>
      </w:r>
      <w:r w:rsidRPr="00570E28">
        <w:rPr>
          <w:rFonts w:ascii="Times New Roman" w:hAnsi="Times New Roman" w:cs="Times New Roman"/>
          <w:color w:val="000000" w:themeColor="text1"/>
          <w:sz w:val="28"/>
          <w:szCs w:val="28"/>
          <w:lang w:val="en-US"/>
        </w:rPr>
        <w:t xml:space="preserve"> by 2.41% and 3.73%; the producer price index of aquaculture and fisheries products edged up 2.69% and 4.28%.</w:t>
      </w:r>
    </w:p>
    <w:p w14:paraId="2AAF3BA0" w14:textId="3D8F89D5" w:rsidR="00A906C2" w:rsidRPr="00570E28" w:rsidRDefault="00A906C2" w:rsidP="00A906C2">
      <w:pPr>
        <w:spacing w:before="120" w:after="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color w:val="000000" w:themeColor="text1"/>
          <w:sz w:val="28"/>
          <w:szCs w:val="28"/>
          <w:lang w:val="en-US"/>
        </w:rPr>
        <w:t>The producer price index of the industry in</w:t>
      </w:r>
      <w:r w:rsidR="00364FAC">
        <w:rPr>
          <w:rFonts w:ascii="Times New Roman" w:hAnsi="Times New Roman" w:cs="Times New Roman"/>
          <w:color w:val="000000" w:themeColor="text1"/>
          <w:sz w:val="28"/>
          <w:szCs w:val="28"/>
          <w:lang w:val="en-US"/>
        </w:rPr>
        <w:t xml:space="preserve"> the</w:t>
      </w:r>
      <w:r w:rsidRPr="00570E28">
        <w:rPr>
          <w:rFonts w:ascii="Times New Roman" w:hAnsi="Times New Roman" w:cs="Times New Roman"/>
          <w:color w:val="000000" w:themeColor="text1"/>
          <w:sz w:val="28"/>
          <w:szCs w:val="28"/>
          <w:lang w:val="en-US"/>
        </w:rPr>
        <w:t xml:space="preserve"> Q1 2026 possessed a quarter-on-quarter increase of 0.68% and a year-on-year rise of 2.95%. Of which: The producer price index of mining and quarrying products fell by 0.05% and 3.59%; manufacturing increased by 0.69%, 3.13%; electricity, gas, hot water, steam and air conditioning added up 0.97%, 5.23%; water collection, sewerage, waste management and remediation activities edged up 2.01%, 2.73%. </w:t>
      </w:r>
    </w:p>
    <w:p w14:paraId="1F8F2419" w14:textId="45E5B86D" w:rsidR="00A906C2" w:rsidRPr="00570E28" w:rsidRDefault="00A906C2" w:rsidP="00A906C2">
      <w:pPr>
        <w:spacing w:before="120" w:after="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color w:val="000000" w:themeColor="text1"/>
          <w:sz w:val="28"/>
          <w:szCs w:val="28"/>
          <w:lang w:val="en-US"/>
        </w:rPr>
        <w:t xml:space="preserve">The producer price index of the service in </w:t>
      </w:r>
      <w:r w:rsidR="00364FAC">
        <w:rPr>
          <w:rFonts w:ascii="Times New Roman" w:hAnsi="Times New Roman" w:cs="Times New Roman"/>
          <w:color w:val="000000" w:themeColor="text1"/>
          <w:sz w:val="28"/>
          <w:szCs w:val="28"/>
          <w:lang w:val="en-US"/>
        </w:rPr>
        <w:t xml:space="preserve">the </w:t>
      </w:r>
      <w:r w:rsidRPr="00570E28">
        <w:rPr>
          <w:rFonts w:ascii="Times New Roman" w:hAnsi="Times New Roman" w:cs="Times New Roman"/>
          <w:color w:val="000000" w:themeColor="text1"/>
          <w:sz w:val="28"/>
          <w:szCs w:val="28"/>
          <w:lang w:val="en-US"/>
        </w:rPr>
        <w:t xml:space="preserve">Q1 </w:t>
      </w:r>
      <w:r w:rsidR="008E33F6" w:rsidRPr="00570E28">
        <w:rPr>
          <w:rFonts w:ascii="Times New Roman" w:hAnsi="Times New Roman" w:cs="Times New Roman"/>
          <w:color w:val="000000" w:themeColor="text1"/>
          <w:sz w:val="28"/>
          <w:szCs w:val="28"/>
          <w:lang w:val="en-US"/>
        </w:rPr>
        <w:t>2026 saw</w:t>
      </w:r>
      <w:r w:rsidRPr="00570E28">
        <w:rPr>
          <w:rFonts w:ascii="Times New Roman" w:hAnsi="Times New Roman" w:cs="Times New Roman"/>
          <w:color w:val="000000" w:themeColor="text1"/>
          <w:sz w:val="28"/>
          <w:szCs w:val="28"/>
          <w:lang w:val="en-US"/>
        </w:rPr>
        <w:t xml:space="preserve"> a quarter-on-quarter increase of 2.08% and a year-on-year rise of 4.07%. Of which: transport and storage services increased by 5.75% and 8.77%; accommodation and catering </w:t>
      </w:r>
      <w:r w:rsidRPr="00570E28">
        <w:rPr>
          <w:rFonts w:ascii="Times New Roman" w:hAnsi="Times New Roman" w:cs="Times New Roman"/>
          <w:color w:val="000000" w:themeColor="text1"/>
          <w:sz w:val="28"/>
          <w:szCs w:val="28"/>
          <w:lang w:val="en-US"/>
        </w:rPr>
        <w:lastRenderedPageBreak/>
        <w:t xml:space="preserve">services jumped up 2.20% and 5.29%; information and communication added up 0.05% and decreased by 0.06%; education and training expanded by 0.15% and 3.42%; health care and social assistance activities climbed up 0.38% and 0.63%; arts, entertainment and recreation went up 0.36% and 1.52%. </w:t>
      </w:r>
    </w:p>
    <w:p w14:paraId="516884AF" w14:textId="00463850" w:rsidR="00A906C2" w:rsidRPr="00570E28" w:rsidRDefault="00A906C2" w:rsidP="00A906C2">
      <w:pPr>
        <w:spacing w:before="120" w:after="0" w:line="240" w:lineRule="auto"/>
        <w:ind w:firstLine="720"/>
        <w:jc w:val="both"/>
        <w:rPr>
          <w:rFonts w:ascii="Times New Roman" w:hAnsi="Times New Roman" w:cs="Times New Roman"/>
          <w:iCs/>
          <w:color w:val="000000" w:themeColor="text1"/>
          <w:sz w:val="28"/>
          <w:szCs w:val="28"/>
          <w:lang w:val="en-US"/>
        </w:rPr>
      </w:pPr>
      <w:r w:rsidRPr="00570E28">
        <w:rPr>
          <w:rFonts w:ascii="Times New Roman" w:hAnsi="Times New Roman" w:cs="Times New Roman"/>
          <w:iCs/>
          <w:color w:val="000000" w:themeColor="text1"/>
          <w:sz w:val="28"/>
          <w:szCs w:val="28"/>
          <w:lang w:val="en-US"/>
        </w:rPr>
        <w:t xml:space="preserve">The input producer price index in </w:t>
      </w:r>
      <w:r w:rsidR="00364FAC">
        <w:rPr>
          <w:rFonts w:ascii="Times New Roman" w:hAnsi="Times New Roman" w:cs="Times New Roman"/>
          <w:iCs/>
          <w:color w:val="000000" w:themeColor="text1"/>
          <w:sz w:val="28"/>
          <w:szCs w:val="28"/>
          <w:lang w:val="en-US"/>
        </w:rPr>
        <w:t xml:space="preserve">the </w:t>
      </w:r>
      <w:r w:rsidRPr="00570E28">
        <w:rPr>
          <w:rFonts w:ascii="Times New Roman" w:hAnsi="Times New Roman" w:cs="Times New Roman"/>
          <w:iCs/>
          <w:color w:val="000000" w:themeColor="text1"/>
          <w:sz w:val="28"/>
          <w:szCs w:val="28"/>
          <w:lang w:val="en-US"/>
        </w:rPr>
        <w:t xml:space="preserve">Q1 2026 possessed a quarter-on-quarter expansion of 1.44% and a year-on-year upturn of 4.76%. Of which, the input price index for agriculture, forestry, and fisheries rose by 1.87% and 3.84%; the input price index for manufacturing grew by 1.42% and 4.64%; and the input price index for construction soared by 1.59% and 6.32%. </w:t>
      </w:r>
    </w:p>
    <w:p w14:paraId="31B710DB" w14:textId="77777777" w:rsidR="00A906C2" w:rsidRPr="00570E28" w:rsidRDefault="00A906C2" w:rsidP="00A906C2">
      <w:pPr>
        <w:spacing w:before="120" w:after="0" w:line="240" w:lineRule="auto"/>
        <w:ind w:firstLine="720"/>
        <w:jc w:val="both"/>
        <w:rPr>
          <w:rFonts w:ascii="Times New Roman" w:hAnsi="Times New Roman" w:cs="Times New Roman"/>
          <w:b/>
          <w:i/>
          <w:color w:val="000000" w:themeColor="text1"/>
          <w:sz w:val="28"/>
          <w:szCs w:val="28"/>
          <w:lang w:val="en-US"/>
        </w:rPr>
      </w:pPr>
      <w:r w:rsidRPr="00570E28">
        <w:rPr>
          <w:rFonts w:ascii="Times New Roman" w:hAnsi="Times New Roman" w:cs="Times New Roman"/>
          <w:b/>
          <w:i/>
          <w:color w:val="000000" w:themeColor="text1"/>
          <w:sz w:val="28"/>
          <w:szCs w:val="28"/>
          <w:lang w:val="en-US"/>
        </w:rPr>
        <w:t>d) Merchandise export and import price index</w:t>
      </w:r>
    </w:p>
    <w:p w14:paraId="570E6EE2" w14:textId="5E0D777B" w:rsidR="00A906C2" w:rsidRPr="00570E28" w:rsidRDefault="00A906C2" w:rsidP="00A906C2">
      <w:pPr>
        <w:tabs>
          <w:tab w:val="left" w:pos="567"/>
        </w:tabs>
        <w:spacing w:before="120" w:after="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color w:val="000000" w:themeColor="text1"/>
          <w:sz w:val="28"/>
          <w:szCs w:val="28"/>
          <w:lang w:val="en-US"/>
        </w:rPr>
        <w:t xml:space="preserve">The merchandise export price index in </w:t>
      </w:r>
      <w:r w:rsidR="00364FAC">
        <w:rPr>
          <w:rFonts w:ascii="Times New Roman" w:hAnsi="Times New Roman" w:cs="Times New Roman"/>
          <w:color w:val="000000" w:themeColor="text1"/>
          <w:sz w:val="28"/>
          <w:szCs w:val="28"/>
          <w:lang w:val="en-US"/>
        </w:rPr>
        <w:t xml:space="preserve">the </w:t>
      </w:r>
      <w:r w:rsidRPr="00570E28">
        <w:rPr>
          <w:rFonts w:ascii="Times New Roman" w:hAnsi="Times New Roman" w:cs="Times New Roman"/>
          <w:color w:val="000000" w:themeColor="text1"/>
          <w:sz w:val="28"/>
          <w:szCs w:val="28"/>
          <w:lang w:val="en-US"/>
        </w:rPr>
        <w:t xml:space="preserve">Q1 2026 possessed a quarter-on-quarter increase of 0.31% and a year-on-year decrease of 0.18%. The merchandise import price index in </w:t>
      </w:r>
      <w:r w:rsidR="00364FAC">
        <w:rPr>
          <w:rFonts w:ascii="Times New Roman" w:hAnsi="Times New Roman" w:cs="Times New Roman"/>
          <w:color w:val="000000" w:themeColor="text1"/>
          <w:sz w:val="28"/>
          <w:szCs w:val="28"/>
          <w:lang w:val="en-US"/>
        </w:rPr>
        <w:t xml:space="preserve">the </w:t>
      </w:r>
      <w:r w:rsidRPr="00570E28">
        <w:rPr>
          <w:rFonts w:ascii="Times New Roman" w:hAnsi="Times New Roman" w:cs="Times New Roman"/>
          <w:color w:val="000000" w:themeColor="text1"/>
          <w:sz w:val="28"/>
          <w:szCs w:val="28"/>
          <w:lang w:val="en-US"/>
        </w:rPr>
        <w:t>Q1 2026 experienced a quarter-on-quarter increase of 0.63% and year-on-year downturn of 1.42%. The terms of trade (TOT)</w:t>
      </w:r>
      <w:r w:rsidRPr="00570E28">
        <w:rPr>
          <w:rStyle w:val="FootnoteReference"/>
          <w:rFonts w:ascii="Times New Roman" w:hAnsi="Times New Roman"/>
          <w:color w:val="000000" w:themeColor="text1"/>
          <w:sz w:val="28"/>
          <w:szCs w:val="28"/>
          <w:lang w:val="en-US"/>
        </w:rPr>
        <w:footnoteReference w:id="28"/>
      </w:r>
      <w:r w:rsidRPr="00570E28">
        <w:rPr>
          <w:rFonts w:ascii="Times New Roman" w:hAnsi="Times New Roman" w:cs="Times New Roman"/>
          <w:color w:val="000000" w:themeColor="text1"/>
          <w:sz w:val="28"/>
          <w:szCs w:val="28"/>
          <w:lang w:val="en-US"/>
        </w:rPr>
        <w:t xml:space="preserve"> in </w:t>
      </w:r>
      <w:r w:rsidR="00364FAC">
        <w:rPr>
          <w:rFonts w:ascii="Times New Roman" w:hAnsi="Times New Roman" w:cs="Times New Roman"/>
          <w:color w:val="000000" w:themeColor="text1"/>
          <w:sz w:val="28"/>
          <w:szCs w:val="28"/>
          <w:lang w:val="en-US"/>
        </w:rPr>
        <w:t xml:space="preserve">the </w:t>
      </w:r>
      <w:r w:rsidRPr="00570E28">
        <w:rPr>
          <w:rFonts w:ascii="Times New Roman" w:hAnsi="Times New Roman" w:cs="Times New Roman"/>
          <w:color w:val="000000" w:themeColor="text1"/>
          <w:sz w:val="28"/>
          <w:szCs w:val="28"/>
          <w:lang w:val="en-US"/>
        </w:rPr>
        <w:t>Q1 2026 recorded a quarter-on-quarter decrease of 0.32% and a year-on-year increase of 1.26%.</w:t>
      </w:r>
    </w:p>
    <w:p w14:paraId="5FC0BF53" w14:textId="77777777" w:rsidR="00A906C2" w:rsidRPr="00570E28" w:rsidRDefault="00A906C2" w:rsidP="00A906C2">
      <w:pPr>
        <w:spacing w:before="120" w:after="0" w:line="240" w:lineRule="auto"/>
        <w:ind w:firstLine="720"/>
        <w:jc w:val="both"/>
        <w:rPr>
          <w:rFonts w:ascii="Times New Roman" w:hAnsi="Times New Roman" w:cs="Times New Roman"/>
          <w:b/>
          <w:color w:val="000000" w:themeColor="text1"/>
          <w:sz w:val="28"/>
          <w:szCs w:val="28"/>
          <w:lang w:val="en-US"/>
        </w:rPr>
      </w:pPr>
      <w:r w:rsidRPr="00570E28">
        <w:rPr>
          <w:rFonts w:ascii="Times New Roman" w:hAnsi="Times New Roman" w:cs="Times New Roman"/>
          <w:b/>
          <w:color w:val="000000" w:themeColor="text1"/>
          <w:sz w:val="28"/>
          <w:szCs w:val="28"/>
          <w:lang w:val="en-US"/>
        </w:rPr>
        <w:t>III. SOCIAL ISSUES</w:t>
      </w:r>
    </w:p>
    <w:p w14:paraId="0078AA39" w14:textId="7B48A5BB" w:rsidR="00A906C2" w:rsidRPr="00570E28" w:rsidRDefault="00A906C2" w:rsidP="00A906C2">
      <w:pPr>
        <w:spacing w:before="120" w:after="0" w:line="240" w:lineRule="auto"/>
        <w:ind w:firstLine="720"/>
        <w:jc w:val="both"/>
        <w:rPr>
          <w:rFonts w:ascii="Times New Roman" w:hAnsi="Times New Roman" w:cs="Times New Roman"/>
          <w:b/>
          <w:sz w:val="28"/>
          <w:szCs w:val="28"/>
          <w:lang w:val="en-US"/>
        </w:rPr>
      </w:pPr>
      <w:r w:rsidRPr="00570E28">
        <w:rPr>
          <w:rFonts w:ascii="Times New Roman" w:hAnsi="Times New Roman" w:cs="Times New Roman"/>
          <w:b/>
          <w:iCs/>
          <w:color w:val="000000" w:themeColor="text1"/>
          <w:sz w:val="28"/>
          <w:szCs w:val="28"/>
          <w:lang w:val="en-US"/>
        </w:rPr>
        <w:t xml:space="preserve">1. </w:t>
      </w:r>
      <w:r w:rsidRPr="00570E28">
        <w:rPr>
          <w:rFonts w:ascii="Times New Roman" w:hAnsi="Times New Roman" w:cs="Times New Roman"/>
          <w:b/>
          <w:sz w:val="28"/>
          <w:szCs w:val="28"/>
          <w:lang w:val="en-US"/>
        </w:rPr>
        <w:t xml:space="preserve">The labour and employment situation in </w:t>
      </w:r>
      <w:r w:rsidR="00364FAC">
        <w:rPr>
          <w:rFonts w:ascii="Times New Roman" w:hAnsi="Times New Roman" w:cs="Times New Roman"/>
          <w:b/>
          <w:sz w:val="28"/>
          <w:szCs w:val="28"/>
          <w:lang w:val="en-US"/>
        </w:rPr>
        <w:t xml:space="preserve">the </w:t>
      </w:r>
      <w:r w:rsidRPr="00570E28">
        <w:rPr>
          <w:rFonts w:ascii="Times New Roman" w:hAnsi="Times New Roman" w:cs="Times New Roman"/>
          <w:b/>
          <w:sz w:val="28"/>
          <w:szCs w:val="28"/>
          <w:lang w:val="en-US"/>
        </w:rPr>
        <w:t>Q1 2026 remained stable. The size of the labour force and the number of employed persons decreased compared to the previous quarter but increased year-on-year, aligning with typical first-quarter trends. Average monthly income of employees rose both quarter-on-quarter and year-on-year, contributing to improved living standards of people. Unemployment rate and underemployment rate remained under control; the informal employment rate declined compared to the same period last year.</w:t>
      </w:r>
    </w:p>
    <w:p w14:paraId="302702BB" w14:textId="718FB9E1" w:rsidR="00A906C2" w:rsidRPr="00570E28" w:rsidRDefault="00A906C2" w:rsidP="00A906C2">
      <w:pPr>
        <w:spacing w:before="120" w:after="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i/>
          <w:sz w:val="28"/>
          <w:szCs w:val="28"/>
          <w:lang w:val="en-US"/>
        </w:rPr>
        <w:t xml:space="preserve">The labour force aged 15 and over </w:t>
      </w:r>
      <w:r w:rsidRPr="00570E28">
        <w:rPr>
          <w:rFonts w:ascii="Times New Roman" w:hAnsi="Times New Roman" w:cs="Times New Roman"/>
          <w:sz w:val="28"/>
          <w:szCs w:val="28"/>
          <w:lang w:val="en-US"/>
        </w:rPr>
        <w:t xml:space="preserve">in </w:t>
      </w:r>
      <w:r w:rsidR="00364FAC">
        <w:rPr>
          <w:rFonts w:ascii="Times New Roman" w:hAnsi="Times New Roman" w:cs="Times New Roman"/>
          <w:sz w:val="28"/>
          <w:szCs w:val="28"/>
          <w:lang w:val="en-US"/>
        </w:rPr>
        <w:t xml:space="preserve">the </w:t>
      </w:r>
      <w:r w:rsidRPr="00570E28">
        <w:rPr>
          <w:rFonts w:ascii="Times New Roman" w:hAnsi="Times New Roman" w:cs="Times New Roman"/>
          <w:sz w:val="28"/>
          <w:szCs w:val="28"/>
          <w:lang w:val="en-US"/>
        </w:rPr>
        <w:t xml:space="preserve">Q1 2026 reached 53.6 million persons, a quarter-on-quarter decrease of 232.9 thousand persons and a year-on-year increase of 687.8 thousand persons; the labour force participation rate in </w:t>
      </w:r>
      <w:r w:rsidR="00364FAC">
        <w:rPr>
          <w:rFonts w:ascii="Times New Roman" w:hAnsi="Times New Roman" w:cs="Times New Roman"/>
          <w:sz w:val="28"/>
          <w:szCs w:val="28"/>
          <w:lang w:val="en-US"/>
        </w:rPr>
        <w:t xml:space="preserve">the </w:t>
      </w:r>
      <w:r w:rsidRPr="00570E28">
        <w:rPr>
          <w:rFonts w:ascii="Times New Roman" w:hAnsi="Times New Roman" w:cs="Times New Roman"/>
          <w:sz w:val="28"/>
          <w:szCs w:val="28"/>
          <w:lang w:val="en-US"/>
        </w:rPr>
        <w:t>Q1 2026 stood at 68.3%, a quarter-on-quarter decline of 0.4 percentage points and a year-on-year growth of 0.1 percentage points. The proportion of employees with diplomas/certificates in</w:t>
      </w:r>
      <w:r w:rsidR="00364FAC">
        <w:rPr>
          <w:rFonts w:ascii="Times New Roman" w:hAnsi="Times New Roman" w:cs="Times New Roman"/>
          <w:sz w:val="28"/>
          <w:szCs w:val="28"/>
          <w:lang w:val="en-US"/>
        </w:rPr>
        <w:t xml:space="preserve"> the</w:t>
      </w:r>
      <w:r w:rsidRPr="00570E28">
        <w:rPr>
          <w:rFonts w:ascii="Times New Roman" w:hAnsi="Times New Roman" w:cs="Times New Roman"/>
          <w:sz w:val="28"/>
          <w:szCs w:val="28"/>
          <w:lang w:val="en-US"/>
        </w:rPr>
        <w:t xml:space="preserve"> Q1 2026 was 29.6%, representing a </w:t>
      </w:r>
      <w:r w:rsidRPr="00570E28">
        <w:rPr>
          <w:rFonts w:ascii="Times New Roman" w:eastAsia="Calibri" w:hAnsi="Times New Roman" w:cs="Times New Roman"/>
          <w:bCs/>
          <w:iCs/>
          <w:sz w:val="28"/>
          <w:szCs w:val="28"/>
          <w:lang w:val="en-US"/>
        </w:rPr>
        <w:t>quarter-on-quarter</w:t>
      </w:r>
      <w:r w:rsidRPr="00570E28">
        <w:rPr>
          <w:rFonts w:ascii="Times New Roman" w:hAnsi="Times New Roman" w:cs="Times New Roman"/>
          <w:sz w:val="28"/>
          <w:szCs w:val="28"/>
          <w:lang w:val="en-US"/>
        </w:rPr>
        <w:t xml:space="preserve"> increase of 0.1 percentage points and </w:t>
      </w:r>
      <w:r w:rsidRPr="00570E28">
        <w:rPr>
          <w:rFonts w:ascii="Times New Roman" w:eastAsia="Calibri" w:hAnsi="Times New Roman" w:cs="Times New Roman"/>
          <w:bCs/>
          <w:iCs/>
          <w:sz w:val="28"/>
          <w:szCs w:val="28"/>
          <w:lang w:val="en-US"/>
        </w:rPr>
        <w:t xml:space="preserve">a year-on-year rise of </w:t>
      </w:r>
      <w:r w:rsidRPr="00570E28">
        <w:rPr>
          <w:rFonts w:ascii="Times New Roman" w:hAnsi="Times New Roman" w:cs="Times New Roman"/>
          <w:sz w:val="28"/>
          <w:szCs w:val="28"/>
          <w:lang w:val="en-US"/>
        </w:rPr>
        <w:t>0.8 percentage points.</w:t>
      </w:r>
    </w:p>
    <w:p w14:paraId="63A09859" w14:textId="6AD607AC" w:rsidR="00A906C2" w:rsidRPr="00570E28" w:rsidRDefault="00A906C2" w:rsidP="00A906C2">
      <w:pPr>
        <w:spacing w:after="120" w:line="240" w:lineRule="auto"/>
        <w:ind w:firstLine="720"/>
        <w:jc w:val="both"/>
        <w:rPr>
          <w:rFonts w:ascii="Times New Roman" w:hAnsi="Times New Roman" w:cs="Times New Roman"/>
          <w:iCs/>
          <w:color w:val="000000" w:themeColor="text1"/>
          <w:spacing w:val="-4"/>
          <w:sz w:val="28"/>
          <w:szCs w:val="28"/>
          <w:lang w:val="en-US"/>
        </w:rPr>
      </w:pPr>
      <w:r w:rsidRPr="00570E28">
        <w:rPr>
          <w:rFonts w:ascii="Times New Roman" w:hAnsi="Times New Roman" w:cs="Times New Roman"/>
          <w:i/>
          <w:iCs/>
          <w:color w:val="000000" w:themeColor="text1"/>
          <w:spacing w:val="-4"/>
          <w:sz w:val="28"/>
          <w:szCs w:val="28"/>
          <w:lang w:val="en-US"/>
        </w:rPr>
        <w:t>The number of employed persons in</w:t>
      </w:r>
      <w:r w:rsidR="00364FAC">
        <w:rPr>
          <w:rFonts w:ascii="Times New Roman" w:hAnsi="Times New Roman" w:cs="Times New Roman"/>
          <w:i/>
          <w:iCs/>
          <w:color w:val="000000" w:themeColor="text1"/>
          <w:spacing w:val="-4"/>
          <w:sz w:val="28"/>
          <w:szCs w:val="28"/>
          <w:lang w:val="en-US"/>
        </w:rPr>
        <w:t xml:space="preserve"> the</w:t>
      </w:r>
      <w:r w:rsidRPr="00570E28">
        <w:rPr>
          <w:rFonts w:ascii="Times New Roman" w:hAnsi="Times New Roman" w:cs="Times New Roman"/>
          <w:i/>
          <w:iCs/>
          <w:color w:val="000000" w:themeColor="text1"/>
          <w:spacing w:val="-4"/>
          <w:sz w:val="28"/>
          <w:szCs w:val="28"/>
          <w:lang w:val="en-US"/>
        </w:rPr>
        <w:t xml:space="preserve"> Q1 2026</w:t>
      </w:r>
      <w:r w:rsidRPr="00570E28">
        <w:rPr>
          <w:rFonts w:ascii="Times New Roman" w:hAnsi="Times New Roman" w:cs="Times New Roman"/>
          <w:iCs/>
          <w:color w:val="000000" w:themeColor="text1"/>
          <w:spacing w:val="-4"/>
          <w:sz w:val="28"/>
          <w:szCs w:val="28"/>
          <w:lang w:val="en-US"/>
        </w:rPr>
        <w:t xml:space="preserve"> was estimated at 52.5 million persons, declining by 233.4 thousand persons, equivalent to a quarter-on-quarter drop of 0.4% and rising by 656.8 thousand persons, corresponding to a year-on-year augment of 1.3%. Of which, the employees in the urban area were 20.6 million persons, sharing 39.2%, a quarter-on-quarter drop of 122.2 thousand persons and a year-on-year increase of 587.5 thousand persons; those in the rural area were 31.9 million persons, occupying 60.8%, a decrease of 111.2 thousand persons and a growth of 69.3 thousand persons, respectively.</w:t>
      </w:r>
    </w:p>
    <w:p w14:paraId="23018090" w14:textId="338338B9" w:rsidR="00A906C2" w:rsidRPr="00570E28" w:rsidRDefault="00A906C2" w:rsidP="00A906C2">
      <w:pPr>
        <w:spacing w:after="120" w:line="240" w:lineRule="auto"/>
        <w:ind w:firstLine="720"/>
        <w:jc w:val="both"/>
        <w:rPr>
          <w:rFonts w:ascii="Times New Roman" w:hAnsi="Times New Roman" w:cs="Times New Roman"/>
          <w:sz w:val="28"/>
          <w:szCs w:val="28"/>
          <w:lang w:val="en-US"/>
        </w:rPr>
      </w:pPr>
      <w:r w:rsidRPr="00570E28">
        <w:rPr>
          <w:rFonts w:ascii="Times New Roman" w:hAnsi="Times New Roman" w:cs="Times New Roman"/>
          <w:i/>
          <w:sz w:val="28"/>
          <w:szCs w:val="28"/>
          <w:lang w:val="en-US"/>
        </w:rPr>
        <w:lastRenderedPageBreak/>
        <w:t>The number of underemployed persons at working age</w:t>
      </w:r>
      <w:r w:rsidRPr="00570E28">
        <w:rPr>
          <w:rStyle w:val="FootnoteReference"/>
          <w:rFonts w:ascii="Times New Roman" w:hAnsi="Times New Roman"/>
          <w:i/>
          <w:sz w:val="28"/>
          <w:szCs w:val="28"/>
          <w:lang w:val="en-US"/>
        </w:rPr>
        <w:footnoteReference w:id="29"/>
      </w:r>
      <w:r w:rsidRPr="00570E28">
        <w:rPr>
          <w:rFonts w:ascii="Times New Roman" w:hAnsi="Times New Roman" w:cs="Times New Roman"/>
          <w:sz w:val="28"/>
          <w:szCs w:val="28"/>
          <w:lang w:val="en-US"/>
        </w:rPr>
        <w:t xml:space="preserve"> in </w:t>
      </w:r>
      <w:r w:rsidR="00364FAC">
        <w:rPr>
          <w:rFonts w:ascii="Times New Roman" w:hAnsi="Times New Roman" w:cs="Times New Roman"/>
          <w:sz w:val="28"/>
          <w:szCs w:val="28"/>
          <w:lang w:val="en-US"/>
        </w:rPr>
        <w:t xml:space="preserve">the </w:t>
      </w:r>
      <w:r w:rsidRPr="00570E28">
        <w:rPr>
          <w:rFonts w:ascii="Times New Roman" w:hAnsi="Times New Roman" w:cs="Times New Roman"/>
          <w:sz w:val="28"/>
          <w:szCs w:val="28"/>
          <w:lang w:val="en-US"/>
        </w:rPr>
        <w:t>Q1 2026 was 786.7 thousand persons, representing a quarter-on-quarter increase of 2.7 thousand persons and a year-on-year decrease of 10.3 thousand persons. The underemployment rate at working age was 1.68%, reflecting a near-stable quarter-on-quarter trend and a slight year-on-year decline. Of which, the underemployment rate in urban areas was 1.27%, the figure for rural areas stood at 1.95%.</w:t>
      </w:r>
    </w:p>
    <w:p w14:paraId="0BADD79A" w14:textId="3EAF346C" w:rsidR="00A906C2" w:rsidRPr="00570E28" w:rsidRDefault="00A906C2" w:rsidP="00A906C2">
      <w:pPr>
        <w:spacing w:after="120" w:line="240" w:lineRule="auto"/>
        <w:ind w:firstLine="720"/>
        <w:jc w:val="both"/>
        <w:rPr>
          <w:rFonts w:ascii="Times New Roman" w:hAnsi="Times New Roman" w:cs="Times New Roman"/>
          <w:sz w:val="28"/>
          <w:szCs w:val="28"/>
          <w:lang w:val="en-US"/>
        </w:rPr>
      </w:pPr>
      <w:r w:rsidRPr="00570E28">
        <w:rPr>
          <w:rFonts w:ascii="Times New Roman" w:hAnsi="Times New Roman" w:cs="Times New Roman"/>
          <w:bCs/>
          <w:i/>
          <w:sz w:val="28"/>
          <w:szCs w:val="28"/>
          <w:lang w:val="en-US"/>
        </w:rPr>
        <w:t xml:space="preserve">The average income of employees </w:t>
      </w:r>
      <w:r w:rsidRPr="00570E28">
        <w:rPr>
          <w:rFonts w:ascii="Times New Roman" w:hAnsi="Times New Roman" w:cs="Times New Roman"/>
          <w:bCs/>
          <w:sz w:val="28"/>
          <w:szCs w:val="28"/>
          <w:lang w:val="en-US"/>
        </w:rPr>
        <w:t xml:space="preserve">in </w:t>
      </w:r>
      <w:r w:rsidR="00364FAC">
        <w:rPr>
          <w:rFonts w:ascii="Times New Roman" w:hAnsi="Times New Roman" w:cs="Times New Roman"/>
          <w:bCs/>
          <w:sz w:val="28"/>
          <w:szCs w:val="28"/>
          <w:lang w:val="en-US"/>
        </w:rPr>
        <w:t xml:space="preserve">the </w:t>
      </w:r>
      <w:r w:rsidRPr="00570E28">
        <w:rPr>
          <w:rFonts w:ascii="Times New Roman" w:hAnsi="Times New Roman" w:cs="Times New Roman"/>
          <w:bCs/>
          <w:sz w:val="28"/>
          <w:szCs w:val="28"/>
          <w:lang w:val="en-US"/>
        </w:rPr>
        <w:t xml:space="preserve">Q1 2026, sustained its upward trend, climbing to 9.0 million VND/month, reflecting a quarter-on-quarter growth of 329 thousand VND (3.8%) and a year-on-year rise of 706 thousand VND (8.5%). Of which, </w:t>
      </w:r>
      <w:r w:rsidRPr="00570E28">
        <w:rPr>
          <w:rFonts w:ascii="Times New Roman" w:hAnsi="Times New Roman" w:cs="Times New Roman"/>
          <w:bCs/>
          <w:iCs/>
          <w:sz w:val="28"/>
          <w:szCs w:val="28"/>
          <w:lang w:val="en-US"/>
        </w:rPr>
        <w:t xml:space="preserve">the average monthly income of male employees was </w:t>
      </w:r>
      <w:r w:rsidRPr="00570E28">
        <w:rPr>
          <w:rFonts w:ascii="Times New Roman" w:hAnsi="Times New Roman" w:cs="Times New Roman"/>
          <w:bCs/>
          <w:sz w:val="28"/>
          <w:szCs w:val="28"/>
          <w:lang w:val="en-US"/>
        </w:rPr>
        <w:t xml:space="preserve">10.1 million VND/month, </w:t>
      </w:r>
      <w:r w:rsidRPr="00570E28">
        <w:rPr>
          <w:rFonts w:ascii="Times New Roman" w:hAnsi="Times New Roman" w:cs="Times New Roman"/>
          <w:bCs/>
          <w:iCs/>
          <w:sz w:val="28"/>
          <w:szCs w:val="28"/>
          <w:lang w:val="en-US"/>
        </w:rPr>
        <w:t xml:space="preserve">the figure for female employees </w:t>
      </w:r>
      <w:r w:rsidRPr="00570E28">
        <w:rPr>
          <w:rFonts w:ascii="Times New Roman" w:hAnsi="Times New Roman" w:cs="Times New Roman"/>
          <w:bCs/>
          <w:sz w:val="28"/>
          <w:szCs w:val="28"/>
          <w:lang w:val="en-US"/>
        </w:rPr>
        <w:t xml:space="preserve">registered at 7.7 million VND/month; </w:t>
      </w:r>
      <w:r w:rsidRPr="00570E28">
        <w:rPr>
          <w:rFonts w:ascii="Times New Roman" w:hAnsi="Times New Roman" w:cs="Times New Roman"/>
          <w:bCs/>
          <w:iCs/>
          <w:sz w:val="28"/>
          <w:szCs w:val="28"/>
          <w:lang w:val="en-US"/>
        </w:rPr>
        <w:t>the average income of employees in the urban areas was</w:t>
      </w:r>
      <w:r w:rsidRPr="00570E28">
        <w:rPr>
          <w:rFonts w:ascii="Times New Roman" w:hAnsi="Times New Roman" w:cs="Times New Roman"/>
          <w:bCs/>
          <w:sz w:val="28"/>
          <w:szCs w:val="28"/>
          <w:lang w:val="en-US"/>
        </w:rPr>
        <w:t xml:space="preserve"> 10.7 million VND/month, </w:t>
      </w:r>
      <w:r w:rsidRPr="00570E28">
        <w:rPr>
          <w:rFonts w:ascii="Times New Roman" w:hAnsi="Times New Roman" w:cs="Times New Roman"/>
          <w:bCs/>
          <w:iCs/>
          <w:sz w:val="28"/>
          <w:szCs w:val="28"/>
          <w:lang w:val="en-US"/>
        </w:rPr>
        <w:t xml:space="preserve">while in the rural areas it was </w:t>
      </w:r>
      <w:r w:rsidRPr="00570E28">
        <w:rPr>
          <w:rFonts w:ascii="Times New Roman" w:hAnsi="Times New Roman" w:cs="Times New Roman"/>
          <w:bCs/>
          <w:sz w:val="28"/>
          <w:szCs w:val="28"/>
          <w:lang w:val="en-US"/>
        </w:rPr>
        <w:t>7.9 million VND/month.</w:t>
      </w:r>
    </w:p>
    <w:p w14:paraId="2734E6C5" w14:textId="253BD6ED" w:rsidR="00A906C2" w:rsidRPr="00570E28" w:rsidRDefault="00A906C2" w:rsidP="00A906C2">
      <w:pPr>
        <w:spacing w:after="120" w:line="240" w:lineRule="auto"/>
        <w:ind w:firstLine="720"/>
        <w:jc w:val="both"/>
        <w:rPr>
          <w:rFonts w:ascii="Times New Roman" w:eastAsia="Calibri" w:hAnsi="Times New Roman" w:cs="Times New Roman"/>
          <w:bCs/>
          <w:color w:val="000000" w:themeColor="text1"/>
          <w:sz w:val="28"/>
          <w:szCs w:val="28"/>
          <w:lang w:val="en-US"/>
        </w:rPr>
      </w:pPr>
      <w:r w:rsidRPr="00570E28">
        <w:rPr>
          <w:rFonts w:ascii="Times New Roman" w:eastAsia="Calibri" w:hAnsi="Times New Roman" w:cs="Times New Roman"/>
          <w:bCs/>
          <w:i/>
          <w:sz w:val="28"/>
          <w:szCs w:val="28"/>
          <w:lang w:val="en-US"/>
        </w:rPr>
        <w:t>The unemployment rate at working age</w:t>
      </w:r>
      <w:r w:rsidRPr="00570E28">
        <w:rPr>
          <w:rStyle w:val="FootnoteReference"/>
          <w:rFonts w:ascii="Times New Roman" w:eastAsia="Calibri" w:hAnsi="Times New Roman"/>
          <w:bCs/>
          <w:i/>
          <w:sz w:val="28"/>
          <w:szCs w:val="28"/>
          <w:lang w:val="en-US"/>
        </w:rPr>
        <w:footnoteReference w:id="30"/>
      </w:r>
      <w:r w:rsidRPr="00570E28">
        <w:rPr>
          <w:rFonts w:ascii="Times New Roman" w:eastAsia="Calibri" w:hAnsi="Times New Roman" w:cs="Times New Roman"/>
          <w:bCs/>
          <w:sz w:val="28"/>
          <w:szCs w:val="28"/>
          <w:lang w:val="en-US"/>
        </w:rPr>
        <w:t xml:space="preserve"> in </w:t>
      </w:r>
      <w:r w:rsidR="00364FAC">
        <w:rPr>
          <w:rFonts w:ascii="Times New Roman" w:eastAsia="Calibri" w:hAnsi="Times New Roman" w:cs="Times New Roman"/>
          <w:bCs/>
          <w:sz w:val="28"/>
          <w:szCs w:val="28"/>
          <w:lang w:val="en-US"/>
        </w:rPr>
        <w:t xml:space="preserve">the </w:t>
      </w:r>
      <w:r w:rsidRPr="00570E28">
        <w:rPr>
          <w:rFonts w:ascii="Times New Roman" w:eastAsia="Calibri" w:hAnsi="Times New Roman" w:cs="Times New Roman"/>
          <w:bCs/>
          <w:sz w:val="28"/>
          <w:szCs w:val="28"/>
          <w:lang w:val="en-US"/>
        </w:rPr>
        <w:t>Q1 2026 was 2.21%, remaining virtually unchanged quarter-on-quarter and year-on-year. The urban unemployment rate in Q1 this year was 2.46%, continuing to stay below 3.0%</w:t>
      </w:r>
      <w:r w:rsidRPr="00570E28">
        <w:rPr>
          <w:rStyle w:val="FootnoteReference"/>
          <w:rFonts w:ascii="Times New Roman" w:eastAsia="Calibri" w:hAnsi="Times New Roman"/>
          <w:bCs/>
          <w:sz w:val="28"/>
          <w:szCs w:val="28"/>
          <w:lang w:val="en-US"/>
        </w:rPr>
        <w:footnoteReference w:id="31"/>
      </w:r>
      <w:r w:rsidRPr="00570E28">
        <w:rPr>
          <w:rFonts w:ascii="Times New Roman" w:eastAsia="Calibri" w:hAnsi="Times New Roman" w:cs="Times New Roman"/>
          <w:bCs/>
          <w:sz w:val="28"/>
          <w:szCs w:val="28"/>
          <w:lang w:val="en-US"/>
        </w:rPr>
        <w:t>.</w:t>
      </w:r>
    </w:p>
    <w:p w14:paraId="3385D368" w14:textId="77777777" w:rsidR="00A906C2" w:rsidRPr="00570E28" w:rsidRDefault="00A906C2" w:rsidP="00A906C2">
      <w:pPr>
        <w:tabs>
          <w:tab w:val="left" w:pos="567"/>
        </w:tabs>
        <w:overflowPunct w:val="0"/>
        <w:autoSpaceDE w:val="0"/>
        <w:autoSpaceDN w:val="0"/>
        <w:adjustRightInd w:val="0"/>
        <w:spacing w:after="120" w:line="240" w:lineRule="auto"/>
        <w:ind w:firstLine="720"/>
        <w:jc w:val="both"/>
        <w:rPr>
          <w:rFonts w:ascii="Times New Roman" w:hAnsi="Times New Roman" w:cs="Times New Roman"/>
          <w:color w:val="000000" w:themeColor="text1"/>
          <w:spacing w:val="2"/>
          <w:sz w:val="28"/>
          <w:szCs w:val="28"/>
          <w:lang w:val="en-US"/>
        </w:rPr>
      </w:pPr>
      <w:r w:rsidRPr="00570E28">
        <w:rPr>
          <w:rFonts w:ascii="Times New Roman" w:hAnsi="Times New Roman" w:cs="Times New Roman"/>
          <w:i/>
          <w:color w:val="000000" w:themeColor="text1"/>
          <w:spacing w:val="2"/>
          <w:sz w:val="28"/>
          <w:szCs w:val="28"/>
          <w:lang w:val="en-US"/>
        </w:rPr>
        <w:t>The labour underutilization rate</w:t>
      </w:r>
      <w:r w:rsidRPr="00570E28">
        <w:rPr>
          <w:rStyle w:val="FootnoteReference"/>
          <w:rFonts w:ascii="Times New Roman" w:hAnsi="Times New Roman"/>
          <w:i/>
          <w:color w:val="000000" w:themeColor="text1"/>
          <w:spacing w:val="2"/>
          <w:sz w:val="28"/>
          <w:szCs w:val="28"/>
          <w:lang w:val="en-US"/>
        </w:rPr>
        <w:footnoteReference w:id="32"/>
      </w:r>
      <w:r w:rsidRPr="00570E28">
        <w:rPr>
          <w:rFonts w:ascii="Times New Roman" w:hAnsi="Times New Roman" w:cs="Times New Roman"/>
          <w:color w:val="000000" w:themeColor="text1"/>
          <w:spacing w:val="2"/>
          <w:sz w:val="28"/>
          <w:szCs w:val="28"/>
          <w:lang w:val="en-US"/>
        </w:rPr>
        <w:t xml:space="preserve"> in </w:t>
      </w:r>
      <w:r w:rsidRPr="00570E28">
        <w:rPr>
          <w:rFonts w:ascii="Times New Roman" w:hAnsi="Times New Roman" w:cs="Times New Roman"/>
          <w:sz w:val="28"/>
          <w:szCs w:val="28"/>
          <w:lang w:val="en-US"/>
        </w:rPr>
        <w:t>Q1 2026 stood at 4.2%. Specifically, the labour underutilization rate in urban areas was 3.9%, while it was 4.3% in rural areas.</w:t>
      </w:r>
    </w:p>
    <w:p w14:paraId="300C0D55" w14:textId="38F1CA7F" w:rsidR="00A906C2" w:rsidRPr="00570E28" w:rsidRDefault="00A906C2" w:rsidP="00A906C2">
      <w:pPr>
        <w:tabs>
          <w:tab w:val="left" w:pos="567"/>
        </w:tabs>
        <w:overflowPunct w:val="0"/>
        <w:autoSpaceDE w:val="0"/>
        <w:autoSpaceDN w:val="0"/>
        <w:adjustRightInd w:val="0"/>
        <w:spacing w:after="120" w:line="240" w:lineRule="auto"/>
        <w:ind w:firstLine="720"/>
        <w:jc w:val="both"/>
        <w:rPr>
          <w:rFonts w:ascii="Times New Roman" w:hAnsi="Times New Roman" w:cs="Times New Roman"/>
          <w:color w:val="000000" w:themeColor="text1"/>
          <w:sz w:val="28"/>
          <w:szCs w:val="28"/>
          <w:lang w:val="en-US"/>
        </w:rPr>
      </w:pPr>
      <w:r w:rsidRPr="00570E28">
        <w:rPr>
          <w:rFonts w:ascii="Times New Roman" w:hAnsi="Times New Roman" w:cs="Times New Roman"/>
          <w:i/>
          <w:color w:val="000000" w:themeColor="text1"/>
          <w:sz w:val="28"/>
          <w:szCs w:val="28"/>
          <w:lang w:val="en-US"/>
        </w:rPr>
        <w:t>The number of owned-account workers</w:t>
      </w:r>
      <w:r w:rsidRPr="00570E28">
        <w:rPr>
          <w:rFonts w:ascii="Times New Roman" w:hAnsi="Times New Roman" w:cs="Times New Roman"/>
          <w:color w:val="000000" w:themeColor="text1"/>
          <w:sz w:val="28"/>
          <w:szCs w:val="28"/>
          <w:lang w:val="en-US"/>
        </w:rPr>
        <w:t xml:space="preserve"> in </w:t>
      </w:r>
      <w:r w:rsidR="00364FAC">
        <w:rPr>
          <w:rFonts w:ascii="Times New Roman" w:hAnsi="Times New Roman" w:cs="Times New Roman"/>
          <w:color w:val="000000" w:themeColor="text1"/>
          <w:sz w:val="28"/>
          <w:szCs w:val="28"/>
          <w:lang w:val="en-US"/>
        </w:rPr>
        <w:t xml:space="preserve">the </w:t>
      </w:r>
      <w:r w:rsidRPr="00570E28">
        <w:rPr>
          <w:rFonts w:ascii="Times New Roman" w:hAnsi="Times New Roman" w:cs="Times New Roman"/>
          <w:color w:val="000000" w:themeColor="text1"/>
          <w:sz w:val="28"/>
          <w:szCs w:val="28"/>
          <w:lang w:val="en-US"/>
        </w:rPr>
        <w:t>Q1 2026 was over 3.8 million persons, equivalent to the same period last year.</w:t>
      </w:r>
    </w:p>
    <w:p w14:paraId="59683378" w14:textId="77777777" w:rsidR="00A906C2" w:rsidRPr="00570E28" w:rsidRDefault="00A906C2" w:rsidP="00A906C2">
      <w:pPr>
        <w:tabs>
          <w:tab w:val="left" w:pos="567"/>
        </w:tabs>
        <w:spacing w:after="120" w:line="240" w:lineRule="auto"/>
        <w:ind w:firstLine="720"/>
        <w:jc w:val="both"/>
        <w:rPr>
          <w:rStyle w:val="fontstyle01"/>
          <w:rFonts w:cs="Times New Roman"/>
          <w:b/>
          <w:bCs/>
          <w:iCs/>
          <w:color w:val="000000" w:themeColor="text1"/>
          <w:spacing w:val="2"/>
          <w:szCs w:val="28"/>
          <w:lang w:val="en-US"/>
        </w:rPr>
      </w:pPr>
      <w:r w:rsidRPr="00570E28">
        <w:rPr>
          <w:rFonts w:ascii="Times New Roman" w:hAnsi="Times New Roman" w:cs="Times New Roman"/>
          <w:b/>
          <w:bCs/>
          <w:iCs/>
          <w:color w:val="000000" w:themeColor="text1"/>
          <w:spacing w:val="2"/>
          <w:sz w:val="28"/>
          <w:szCs w:val="28"/>
          <w:lang w:val="en-US"/>
        </w:rPr>
        <w:t xml:space="preserve">2. </w:t>
      </w:r>
      <w:r w:rsidRPr="00570E28">
        <w:rPr>
          <w:rStyle w:val="fontstyle01"/>
          <w:rFonts w:cs="Times New Roman"/>
          <w:b/>
          <w:bCs/>
          <w:iCs/>
          <w:color w:val="000000" w:themeColor="text1"/>
          <w:spacing w:val="2"/>
          <w:szCs w:val="28"/>
          <w:lang w:val="en-US"/>
        </w:rPr>
        <w:t>According to monthly labour and employment survey results, household income and living standards continued to improve. Social security remained a priority, being implemented promptly and effectively by authorities from central to local levels.</w:t>
      </w:r>
    </w:p>
    <w:p w14:paraId="0D8B6846" w14:textId="2BFF7222" w:rsidR="00A906C2" w:rsidRPr="00570E28" w:rsidRDefault="00A906C2" w:rsidP="00A906C2">
      <w:pPr>
        <w:spacing w:after="120" w:line="240" w:lineRule="auto"/>
        <w:ind w:firstLine="720"/>
        <w:jc w:val="both"/>
        <w:rPr>
          <w:rFonts w:ascii="Times New Roman" w:hAnsi="Times New Roman" w:cs="Times New Roman"/>
          <w:bCs/>
          <w:snapToGrid w:val="0"/>
          <w:lang w:val="en-US"/>
        </w:rPr>
      </w:pPr>
      <w:r w:rsidRPr="00570E28">
        <w:rPr>
          <w:rFonts w:ascii="Times New Roman" w:hAnsi="Times New Roman" w:cs="Times New Roman"/>
          <w:bCs/>
          <w:i/>
          <w:snapToGrid w:val="0"/>
          <w:sz w:val="28"/>
          <w:szCs w:val="28"/>
          <w:lang w:val="en-US"/>
        </w:rPr>
        <w:t>The proportion of households assessing that their income</w:t>
      </w:r>
      <w:r w:rsidRPr="00570E28">
        <w:rPr>
          <w:rFonts w:ascii="Times New Roman" w:hAnsi="Times New Roman" w:cs="Times New Roman"/>
          <w:bCs/>
          <w:snapToGrid w:val="0"/>
          <w:sz w:val="28"/>
          <w:szCs w:val="28"/>
          <w:lang w:val="en-US"/>
        </w:rPr>
        <w:t xml:space="preserve"> in</w:t>
      </w:r>
      <w:r w:rsidR="00364FAC">
        <w:rPr>
          <w:rFonts w:ascii="Times New Roman" w:hAnsi="Times New Roman" w:cs="Times New Roman"/>
          <w:bCs/>
          <w:snapToGrid w:val="0"/>
          <w:sz w:val="28"/>
          <w:szCs w:val="28"/>
          <w:lang w:val="en-US"/>
        </w:rPr>
        <w:t xml:space="preserve"> the</w:t>
      </w:r>
      <w:r w:rsidRPr="00570E28">
        <w:rPr>
          <w:rFonts w:ascii="Times New Roman" w:hAnsi="Times New Roman" w:cs="Times New Roman"/>
          <w:bCs/>
          <w:snapToGrid w:val="0"/>
          <w:sz w:val="28"/>
          <w:szCs w:val="28"/>
          <w:lang w:val="en-US"/>
        </w:rPr>
        <w:t xml:space="preserve"> Q1 2026 increased compared to the same period in 2025 was 31.8%; 64.0% of households saw no change, and 4.2% reported that their income decreased or undetermined. Compared to the fourth quarter of 2025, the percentage of households with increased income rose by 3.3 percentage points, those with stable income fell by 3.6 percentage points, and those reporting a decrease or uncertainty grew by 0.3 percentage points. In comparison with </w:t>
      </w:r>
      <w:r w:rsidR="00364FAC">
        <w:rPr>
          <w:rFonts w:ascii="Times New Roman" w:hAnsi="Times New Roman" w:cs="Times New Roman"/>
          <w:bCs/>
          <w:snapToGrid w:val="0"/>
          <w:sz w:val="28"/>
          <w:szCs w:val="28"/>
          <w:lang w:val="en-US"/>
        </w:rPr>
        <w:t xml:space="preserve">the </w:t>
      </w:r>
      <w:r w:rsidRPr="00570E28">
        <w:rPr>
          <w:rFonts w:ascii="Times New Roman" w:hAnsi="Times New Roman" w:cs="Times New Roman"/>
          <w:bCs/>
          <w:snapToGrid w:val="0"/>
          <w:sz w:val="28"/>
          <w:szCs w:val="28"/>
          <w:lang w:val="en-US"/>
        </w:rPr>
        <w:t xml:space="preserve">Q1 2025, the proportion of households with rising income fell by 2.7 percentage points, unchanged income increased by </w:t>
      </w:r>
      <w:r w:rsidRPr="00570E28">
        <w:rPr>
          <w:rFonts w:ascii="Times New Roman" w:hAnsi="Times New Roman" w:cs="Times New Roman"/>
          <w:bCs/>
          <w:snapToGrid w:val="0"/>
          <w:sz w:val="28"/>
          <w:szCs w:val="28"/>
          <w:lang w:val="en-US"/>
        </w:rPr>
        <w:lastRenderedPageBreak/>
        <w:t>2.1 percentage points, and those with decreased or undetermined income rose by 0.6 percentage points.</w:t>
      </w:r>
    </w:p>
    <w:p w14:paraId="382C0B90" w14:textId="1D794B53" w:rsidR="00A906C2" w:rsidRPr="00570E28" w:rsidRDefault="00A906C2" w:rsidP="00A906C2">
      <w:pPr>
        <w:tabs>
          <w:tab w:val="left" w:pos="567"/>
        </w:tabs>
        <w:spacing w:after="120" w:line="240" w:lineRule="auto"/>
        <w:ind w:firstLine="720"/>
        <w:jc w:val="both"/>
        <w:rPr>
          <w:rFonts w:ascii="Times New Roman" w:hAnsi="Times New Roman" w:cs="Times New Roman"/>
          <w:bCs/>
          <w:iCs/>
          <w:color w:val="000000"/>
          <w:sz w:val="28"/>
          <w:szCs w:val="28"/>
          <w:lang w:val="en-US"/>
        </w:rPr>
      </w:pPr>
      <w:r w:rsidRPr="00570E28">
        <w:rPr>
          <w:rStyle w:val="fontstyle01"/>
          <w:rFonts w:cs="Times New Roman"/>
          <w:bCs/>
          <w:i/>
          <w:iCs/>
          <w:szCs w:val="28"/>
          <w:lang w:val="en-US"/>
        </w:rPr>
        <w:t>The total social security support</w:t>
      </w:r>
      <w:r w:rsidRPr="00570E28">
        <w:rPr>
          <w:rStyle w:val="FootnoteReference"/>
          <w:rFonts w:ascii="Times New Roman" w:hAnsi="Times New Roman"/>
          <w:bCs/>
          <w:i/>
          <w:iCs/>
          <w:color w:val="000000"/>
          <w:sz w:val="28"/>
          <w:szCs w:val="28"/>
          <w:lang w:val="en-US"/>
        </w:rPr>
        <w:footnoteReference w:id="33"/>
      </w:r>
      <w:r w:rsidRPr="00570E28">
        <w:rPr>
          <w:rStyle w:val="fontstyle01"/>
          <w:rFonts w:cs="Times New Roman"/>
          <w:bCs/>
          <w:iCs/>
          <w:szCs w:val="28"/>
          <w:lang w:val="en-US"/>
        </w:rPr>
        <w:t xml:space="preserve"> for all groups (as of March 25</w:t>
      </w:r>
      <w:r w:rsidRPr="00570E28">
        <w:rPr>
          <w:rStyle w:val="fontstyle01"/>
          <w:rFonts w:cs="Times New Roman"/>
          <w:bCs/>
          <w:iCs/>
          <w:szCs w:val="28"/>
          <w:vertAlign w:val="superscript"/>
          <w:lang w:val="en-US"/>
        </w:rPr>
        <w:t>th</w:t>
      </w:r>
      <w:r w:rsidRPr="00570E28">
        <w:rPr>
          <w:rStyle w:val="fontstyle01"/>
          <w:rFonts w:cs="Times New Roman"/>
          <w:bCs/>
          <w:iCs/>
          <w:szCs w:val="28"/>
          <w:lang w:val="en-US"/>
        </w:rPr>
        <w:t xml:space="preserve">, 2026) reached nearly 25.0 trillion VND, an increase of over 7.0 trillion VND (nearly 39.0%) compared to </w:t>
      </w:r>
      <w:r w:rsidR="00364FAC">
        <w:rPr>
          <w:rStyle w:val="fontstyle01"/>
          <w:rFonts w:cs="Times New Roman"/>
          <w:bCs/>
          <w:iCs/>
          <w:szCs w:val="28"/>
          <w:lang w:val="en-US"/>
        </w:rPr>
        <w:t xml:space="preserve">the </w:t>
      </w:r>
      <w:r w:rsidRPr="00570E28">
        <w:rPr>
          <w:rStyle w:val="fontstyle01"/>
          <w:rFonts w:cs="Times New Roman"/>
          <w:bCs/>
          <w:iCs/>
          <w:szCs w:val="28"/>
          <w:lang w:val="en-US"/>
        </w:rPr>
        <w:t>Q1 2025. Details for specific groups were as follows: support for national devotees and</w:t>
      </w:r>
      <w:r w:rsidRPr="00570E28">
        <w:rPr>
          <w:rFonts w:ascii="Times New Roman" w:hAnsi="Times New Roman" w:cs="Times New Roman"/>
          <w:snapToGrid w:val="0"/>
          <w:spacing w:val="-2"/>
          <w:sz w:val="28"/>
          <w:szCs w:val="28"/>
          <w:lang w:val="en-US"/>
        </w:rPr>
        <w:t xml:space="preserve"> martyrs' relatives</w:t>
      </w:r>
      <w:r w:rsidRPr="00570E28">
        <w:rPr>
          <w:rStyle w:val="fontstyle01"/>
          <w:rFonts w:cs="Times New Roman"/>
          <w:bCs/>
          <w:iCs/>
          <w:szCs w:val="28"/>
          <w:lang w:val="en-US"/>
        </w:rPr>
        <w:t xml:space="preserve"> reached nearly 12.7 trillion VND, a rise of 38.7% compared to Q1 2025; support for social protection beneficiaries under Decree N</w:t>
      </w:r>
      <w:r w:rsidRPr="00570E28">
        <w:rPr>
          <w:rStyle w:val="fontstyle01"/>
          <w:rFonts w:cs="Times New Roman"/>
          <w:bCs/>
          <w:iCs/>
          <w:szCs w:val="28"/>
          <w:vertAlign w:val="superscript"/>
          <w:lang w:val="en-US"/>
        </w:rPr>
        <w:t>o</w:t>
      </w:r>
      <w:r w:rsidRPr="00570E28">
        <w:rPr>
          <w:rStyle w:val="fontstyle01"/>
          <w:rFonts w:cs="Times New Roman"/>
          <w:bCs/>
          <w:iCs/>
          <w:szCs w:val="28"/>
          <w:lang w:val="en-US"/>
        </w:rPr>
        <w:t xml:space="preserve">. 20/2021/ND-CP was nearly 10.4 trillion VND, a growth of 53.5%; support for poor households, near-poor households, </w:t>
      </w:r>
      <w:r w:rsidRPr="00570E28">
        <w:rPr>
          <w:rFonts w:ascii="Times New Roman" w:hAnsi="Times New Roman" w:cs="Times New Roman"/>
          <w:bCs/>
          <w:iCs/>
          <w:sz w:val="28"/>
          <w:szCs w:val="28"/>
          <w:lang w:val="en-US"/>
        </w:rPr>
        <w:t>households</w:t>
      </w:r>
      <w:r w:rsidRPr="00570E28">
        <w:rPr>
          <w:rStyle w:val="fontstyle01"/>
          <w:rFonts w:cs="Times New Roman"/>
          <w:bCs/>
          <w:iCs/>
          <w:szCs w:val="28"/>
          <w:lang w:val="en-US"/>
        </w:rPr>
        <w:t xml:space="preserve"> in difficult circumstances, and social policy households reached nearly 1.6 trillion VND, a decrease of 15.3% ; </w:t>
      </w:r>
      <w:r w:rsidRPr="00570E28">
        <w:rPr>
          <w:rFonts w:ascii="Times New Roman" w:hAnsi="Times New Roman" w:cs="Times New Roman"/>
          <w:snapToGrid w:val="0"/>
          <w:spacing w:val="-2"/>
          <w:sz w:val="28"/>
          <w:szCs w:val="28"/>
          <w:lang w:val="en-US"/>
        </w:rPr>
        <w:t xml:space="preserve">sudden and unusual support in </w:t>
      </w:r>
      <w:r w:rsidRPr="00570E28">
        <w:rPr>
          <w:rFonts w:ascii="Times New Roman" w:hAnsi="Times New Roman" w:cs="Times New Roman"/>
          <w:bCs/>
          <w:iCs/>
          <w:sz w:val="28"/>
          <w:szCs w:val="28"/>
          <w:lang w:val="en-US"/>
        </w:rPr>
        <w:t>localities</w:t>
      </w:r>
      <w:r w:rsidRPr="00570E28">
        <w:rPr>
          <w:rStyle w:val="fontstyle01"/>
          <w:rFonts w:cs="Times New Roman"/>
          <w:bCs/>
          <w:iCs/>
          <w:szCs w:val="28"/>
          <w:lang w:val="en-US"/>
        </w:rPr>
        <w:t xml:space="preserve"> amounted to nearly 366.2 billion VND, a surge of 66.5%. </w:t>
      </w:r>
      <w:r w:rsidRPr="00570E28">
        <w:rPr>
          <w:rFonts w:ascii="Times New Roman" w:hAnsi="Times New Roman" w:cs="Times New Roman"/>
          <w:bCs/>
          <w:iCs/>
          <w:color w:val="000000"/>
          <w:sz w:val="28"/>
          <w:szCs w:val="28"/>
          <w:lang w:val="en-US"/>
        </w:rPr>
        <w:t>Over 32.6 million health insurance cards/ free medical examination and treatment cards were distributed to beneficiaries, representing a 22.2% increase compared to</w:t>
      </w:r>
      <w:r w:rsidR="00364FAC">
        <w:rPr>
          <w:rFonts w:ascii="Times New Roman" w:hAnsi="Times New Roman" w:cs="Times New Roman"/>
          <w:bCs/>
          <w:iCs/>
          <w:color w:val="000000"/>
          <w:sz w:val="28"/>
          <w:szCs w:val="28"/>
          <w:lang w:val="en-US"/>
        </w:rPr>
        <w:t xml:space="preserve"> the</w:t>
      </w:r>
      <w:r w:rsidRPr="00570E28">
        <w:rPr>
          <w:rFonts w:ascii="Times New Roman" w:hAnsi="Times New Roman" w:cs="Times New Roman"/>
          <w:bCs/>
          <w:iCs/>
          <w:color w:val="000000"/>
          <w:sz w:val="28"/>
          <w:szCs w:val="28"/>
          <w:lang w:val="en-US"/>
        </w:rPr>
        <w:t xml:space="preserve"> Q1 2025.</w:t>
      </w:r>
    </w:p>
    <w:p w14:paraId="0CC46DC1" w14:textId="77777777" w:rsidR="00A906C2" w:rsidRPr="00570E28" w:rsidRDefault="00A906C2" w:rsidP="00A906C2">
      <w:pPr>
        <w:pStyle w:val="BodyTextIndent"/>
        <w:tabs>
          <w:tab w:val="left" w:pos="0"/>
          <w:tab w:val="left" w:pos="720"/>
        </w:tabs>
        <w:spacing w:after="120"/>
        <w:ind w:firstLine="720"/>
        <w:rPr>
          <w:rFonts w:ascii="Times New Roman" w:hAnsi="Times New Roman" w:cs="Times New Roman"/>
          <w:bCs/>
          <w:snapToGrid w:val="0"/>
          <w:color w:val="000000" w:themeColor="text1"/>
        </w:rPr>
      </w:pPr>
      <w:r w:rsidRPr="00570E28">
        <w:rPr>
          <w:rFonts w:ascii="Times New Roman" w:hAnsi="Times New Roman" w:cs="Times New Roman"/>
          <w:bCs/>
          <w:i/>
          <w:snapToGrid w:val="0"/>
        </w:rPr>
        <w:t>With respect to rice assistance</w:t>
      </w:r>
      <w:r w:rsidRPr="00570E28">
        <w:rPr>
          <w:rFonts w:ascii="Times New Roman" w:hAnsi="Times New Roman" w:cs="Times New Roman"/>
          <w:bCs/>
          <w:snapToGrid w:val="0"/>
        </w:rPr>
        <w:t>, from the start of the year until March 27</w:t>
      </w:r>
      <w:r w:rsidRPr="00570E28">
        <w:rPr>
          <w:rFonts w:ascii="Times New Roman" w:hAnsi="Times New Roman" w:cs="Times New Roman"/>
          <w:bCs/>
          <w:snapToGrid w:val="0"/>
          <w:vertAlign w:val="superscript"/>
        </w:rPr>
        <w:t>th</w:t>
      </w:r>
      <w:r w:rsidRPr="00570E28">
        <w:rPr>
          <w:rFonts w:ascii="Times New Roman" w:hAnsi="Times New Roman" w:cs="Times New Roman"/>
          <w:bCs/>
          <w:snapToGrid w:val="0"/>
        </w:rPr>
        <w:t>, 2026, the Government provided 15.3 thousand tons of rice to the people, of which: nearly 9.1 thousand tons for hunger relief during the Lunar New Year for 604.6 thousand persons; 5.6 thousand tons for pre-harvest hunger relief for 372.9 thousand persons; and over 604 tons for natural disaster and flood recovery for 40.3 thousand persons.</w:t>
      </w:r>
    </w:p>
    <w:p w14:paraId="66B341CE" w14:textId="77777777" w:rsidR="00A906C2" w:rsidRPr="00570E28" w:rsidRDefault="00A906C2" w:rsidP="00A906C2">
      <w:pPr>
        <w:spacing w:after="120" w:line="240" w:lineRule="auto"/>
        <w:ind w:firstLine="720"/>
        <w:jc w:val="both"/>
        <w:rPr>
          <w:rFonts w:ascii="Times New Roman" w:hAnsi="Times New Roman" w:cs="Times New Roman"/>
          <w:sz w:val="28"/>
          <w:szCs w:val="28"/>
          <w:lang w:val="en-US"/>
        </w:rPr>
      </w:pPr>
      <w:r w:rsidRPr="00570E28">
        <w:rPr>
          <w:rFonts w:ascii="Times New Roman" w:hAnsi="Times New Roman" w:cs="Times New Roman"/>
          <w:sz w:val="28"/>
          <w:szCs w:val="28"/>
          <w:lang w:val="en-US"/>
        </w:rPr>
        <w:t>Regarding the “Quang Trung” Campaign, after 1.5 months of implementation, the campaign was completed two weeks ahead of schedule, 34,759 damaged houses were fully repaired, allowing residents to return by December 31</w:t>
      </w:r>
      <w:r w:rsidRPr="00570E28">
        <w:rPr>
          <w:rFonts w:ascii="Times New Roman" w:hAnsi="Times New Roman" w:cs="Times New Roman"/>
          <w:sz w:val="28"/>
          <w:szCs w:val="28"/>
          <w:vertAlign w:val="superscript"/>
          <w:lang w:val="en-US"/>
        </w:rPr>
        <w:t>st</w:t>
      </w:r>
      <w:r w:rsidRPr="00570E28">
        <w:rPr>
          <w:rFonts w:ascii="Times New Roman" w:hAnsi="Times New Roman" w:cs="Times New Roman"/>
          <w:sz w:val="28"/>
          <w:szCs w:val="28"/>
          <w:lang w:val="en-US"/>
        </w:rPr>
        <w:t>, 2025, all 1,597 houses that were destroyed, collapsed, or swept away were rebuilt and completed before January 15</w:t>
      </w:r>
      <w:r w:rsidRPr="00570E28">
        <w:rPr>
          <w:rFonts w:ascii="Times New Roman" w:hAnsi="Times New Roman" w:cs="Times New Roman"/>
          <w:sz w:val="28"/>
          <w:szCs w:val="28"/>
          <w:vertAlign w:val="superscript"/>
          <w:lang w:val="en-US"/>
        </w:rPr>
        <w:t>th</w:t>
      </w:r>
      <w:r w:rsidRPr="00570E28">
        <w:rPr>
          <w:rFonts w:ascii="Times New Roman" w:hAnsi="Times New Roman" w:cs="Times New Roman"/>
          <w:sz w:val="28"/>
          <w:szCs w:val="28"/>
          <w:lang w:val="en-US"/>
        </w:rPr>
        <w:t>, 2026, providing people with sturdy homes to celebrate the 14</w:t>
      </w:r>
      <w:r w:rsidRPr="00570E28">
        <w:rPr>
          <w:rFonts w:ascii="Times New Roman" w:hAnsi="Times New Roman" w:cs="Times New Roman"/>
          <w:sz w:val="28"/>
          <w:szCs w:val="28"/>
          <w:vertAlign w:val="superscript"/>
          <w:lang w:val="en-US"/>
        </w:rPr>
        <w:t xml:space="preserve">th </w:t>
      </w:r>
      <w:r w:rsidRPr="00570E28">
        <w:rPr>
          <w:rFonts w:ascii="Times New Roman" w:hAnsi="Times New Roman" w:cs="Times New Roman"/>
          <w:sz w:val="28"/>
          <w:szCs w:val="28"/>
          <w:lang w:val="en-US"/>
        </w:rPr>
        <w:t>National Party Congress and welcome the new spring</w:t>
      </w:r>
      <w:r w:rsidRPr="00570E28">
        <w:rPr>
          <w:rStyle w:val="FootnoteReference"/>
          <w:rFonts w:ascii="Times New Roman" w:hAnsi="Times New Roman"/>
          <w:sz w:val="28"/>
          <w:szCs w:val="28"/>
          <w:lang w:val="en-US"/>
        </w:rPr>
        <w:footnoteReference w:id="34"/>
      </w:r>
      <w:r w:rsidRPr="00570E28">
        <w:rPr>
          <w:rFonts w:ascii="Times New Roman" w:hAnsi="Times New Roman" w:cs="Times New Roman"/>
          <w:sz w:val="28"/>
          <w:szCs w:val="28"/>
          <w:lang w:val="en-US"/>
        </w:rPr>
        <w:t>.</w:t>
      </w:r>
    </w:p>
    <w:p w14:paraId="05F05AA0" w14:textId="7FDC8513" w:rsidR="00A906C2" w:rsidRPr="00570E28" w:rsidRDefault="00A906C2" w:rsidP="00A906C2">
      <w:pPr>
        <w:spacing w:before="120" w:after="0" w:line="240" w:lineRule="auto"/>
        <w:ind w:firstLine="720"/>
        <w:jc w:val="both"/>
        <w:rPr>
          <w:rFonts w:ascii="Times New Roman" w:hAnsi="Times New Roman" w:cs="Times New Roman"/>
          <w:spacing w:val="-2"/>
          <w:sz w:val="28"/>
          <w:szCs w:val="28"/>
          <w:lang w:val="en-US"/>
        </w:rPr>
      </w:pPr>
      <w:r w:rsidRPr="00570E28">
        <w:rPr>
          <w:rFonts w:ascii="Times New Roman" w:hAnsi="Times New Roman" w:cs="Times New Roman"/>
          <w:spacing w:val="-2"/>
          <w:sz w:val="28"/>
          <w:szCs w:val="28"/>
          <w:lang w:val="en-US"/>
        </w:rPr>
        <w:t xml:space="preserve">In implementation of </w:t>
      </w:r>
      <w:r w:rsidR="00364FAC">
        <w:rPr>
          <w:rFonts w:ascii="Times New Roman" w:hAnsi="Times New Roman" w:cs="Times New Roman"/>
          <w:spacing w:val="-2"/>
          <w:sz w:val="28"/>
          <w:szCs w:val="28"/>
          <w:lang w:val="en-US"/>
        </w:rPr>
        <w:t xml:space="preserve">the </w:t>
      </w:r>
      <w:r w:rsidRPr="00570E28">
        <w:rPr>
          <w:rFonts w:ascii="Times New Roman" w:hAnsi="Times New Roman" w:cs="Times New Roman"/>
          <w:spacing w:val="-2"/>
          <w:sz w:val="28"/>
          <w:szCs w:val="28"/>
          <w:lang w:val="en-US"/>
        </w:rPr>
        <w:t>Conclusion Notice N</w:t>
      </w:r>
      <w:r w:rsidRPr="00570E28">
        <w:rPr>
          <w:rFonts w:ascii="Times New Roman" w:hAnsi="Times New Roman" w:cs="Times New Roman"/>
          <w:spacing w:val="-2"/>
          <w:sz w:val="28"/>
          <w:szCs w:val="28"/>
          <w:vertAlign w:val="superscript"/>
          <w:lang w:val="en-US"/>
        </w:rPr>
        <w:t>o</w:t>
      </w:r>
      <w:r w:rsidRPr="00570E28">
        <w:rPr>
          <w:rFonts w:ascii="Times New Roman" w:hAnsi="Times New Roman" w:cs="Times New Roman"/>
          <w:spacing w:val="-2"/>
          <w:sz w:val="28"/>
          <w:szCs w:val="28"/>
          <w:lang w:val="en-US"/>
        </w:rPr>
        <w:t>. 81-TB/TW dated July 18</w:t>
      </w:r>
      <w:r w:rsidRPr="00570E28">
        <w:rPr>
          <w:rFonts w:ascii="Times New Roman" w:hAnsi="Times New Roman" w:cs="Times New Roman"/>
          <w:spacing w:val="-2"/>
          <w:sz w:val="28"/>
          <w:szCs w:val="28"/>
          <w:vertAlign w:val="superscript"/>
          <w:lang w:val="en-US"/>
        </w:rPr>
        <w:t>th</w:t>
      </w:r>
      <w:r w:rsidRPr="00570E28">
        <w:rPr>
          <w:rFonts w:ascii="Times New Roman" w:hAnsi="Times New Roman" w:cs="Times New Roman"/>
          <w:spacing w:val="-2"/>
          <w:sz w:val="28"/>
          <w:szCs w:val="28"/>
          <w:lang w:val="en-US"/>
        </w:rPr>
        <w:t>, 2025, by the Politburo regarding the investment policy for school construction in border communes, on March 19</w:t>
      </w:r>
      <w:r w:rsidRPr="00570E28">
        <w:rPr>
          <w:rFonts w:ascii="Times New Roman" w:hAnsi="Times New Roman" w:cs="Times New Roman"/>
          <w:spacing w:val="-2"/>
          <w:sz w:val="28"/>
          <w:szCs w:val="28"/>
          <w:vertAlign w:val="superscript"/>
          <w:lang w:val="en-US"/>
        </w:rPr>
        <w:t>th</w:t>
      </w:r>
      <w:r w:rsidRPr="00570E28">
        <w:rPr>
          <w:rFonts w:ascii="Times New Roman" w:hAnsi="Times New Roman" w:cs="Times New Roman"/>
          <w:spacing w:val="-2"/>
          <w:sz w:val="28"/>
          <w:szCs w:val="28"/>
          <w:lang w:val="en-US"/>
        </w:rPr>
        <w:t>, 2026, a simultaneous groundbreaking ceremony for multi-level boarding schools was held across 121 inland border communes in 17 provinces and cities nationwide. Along with the 108 schools started construction in 2025, this brought the total to 229 multi-level boarding schools, creating favorable conditions for the comprehensive educational development of pupils in 229 inland border communes</w:t>
      </w:r>
      <w:r w:rsidRPr="00570E28">
        <w:rPr>
          <w:rStyle w:val="FootnoteReference"/>
          <w:rFonts w:ascii="Times New Roman" w:hAnsi="Times New Roman"/>
          <w:spacing w:val="-2"/>
          <w:sz w:val="28"/>
          <w:szCs w:val="28"/>
          <w:lang w:val="en-US"/>
        </w:rPr>
        <w:footnoteReference w:id="35"/>
      </w:r>
      <w:r w:rsidRPr="00570E28">
        <w:rPr>
          <w:rFonts w:ascii="Times New Roman" w:hAnsi="Times New Roman" w:cs="Times New Roman"/>
          <w:spacing w:val="-2"/>
          <w:sz w:val="28"/>
          <w:szCs w:val="28"/>
          <w:lang w:val="en-US"/>
        </w:rPr>
        <w:t>.</w:t>
      </w:r>
    </w:p>
    <w:p w14:paraId="70D156FB" w14:textId="31B196B3" w:rsidR="00A906C2" w:rsidRPr="00570E28" w:rsidRDefault="00A906C2" w:rsidP="00A906C2">
      <w:pPr>
        <w:spacing w:after="120" w:line="240" w:lineRule="auto"/>
        <w:ind w:firstLine="720"/>
        <w:jc w:val="both"/>
        <w:rPr>
          <w:rStyle w:val="normalchar"/>
          <w:rFonts w:ascii="Times New Roman" w:hAnsi="Times New Roman"/>
          <w:b/>
          <w:iCs/>
          <w:spacing w:val="2"/>
          <w:w w:val="105"/>
          <w:sz w:val="28"/>
          <w:szCs w:val="28"/>
          <w:lang w:val="en-US"/>
        </w:rPr>
      </w:pPr>
      <w:r w:rsidRPr="00570E28">
        <w:rPr>
          <w:rStyle w:val="normalchar"/>
          <w:rFonts w:ascii="Times New Roman" w:hAnsi="Times New Roman"/>
          <w:b/>
          <w:iCs/>
          <w:color w:val="000000" w:themeColor="text1"/>
          <w:spacing w:val="2"/>
          <w:w w:val="105"/>
          <w:sz w:val="28"/>
          <w:szCs w:val="28"/>
          <w:lang w:val="en-US"/>
        </w:rPr>
        <w:t xml:space="preserve">3. </w:t>
      </w:r>
      <w:r w:rsidRPr="00570E28">
        <w:rPr>
          <w:rStyle w:val="normalchar"/>
          <w:rFonts w:ascii="Times New Roman" w:hAnsi="Times New Roman"/>
          <w:b/>
          <w:iCs/>
          <w:spacing w:val="2"/>
          <w:w w:val="105"/>
          <w:sz w:val="28"/>
          <w:szCs w:val="28"/>
          <w:lang w:val="en-US"/>
        </w:rPr>
        <w:t xml:space="preserve">Epidemic conditions, food hygiene and safety, and food </w:t>
      </w:r>
      <w:r w:rsidRPr="00570E28">
        <w:rPr>
          <w:rStyle w:val="normalchar"/>
          <w:rFonts w:ascii="Times New Roman" w:hAnsi="Times New Roman"/>
          <w:b/>
          <w:iCs/>
          <w:w w:val="105"/>
          <w:sz w:val="28"/>
          <w:szCs w:val="28"/>
          <w:lang w:val="en-US"/>
        </w:rPr>
        <w:t>poisoning remained largely under control in</w:t>
      </w:r>
      <w:r w:rsidR="00364FAC">
        <w:rPr>
          <w:rStyle w:val="normalchar"/>
          <w:rFonts w:ascii="Times New Roman" w:hAnsi="Times New Roman"/>
          <w:b/>
          <w:iCs/>
          <w:w w:val="105"/>
          <w:sz w:val="28"/>
          <w:szCs w:val="28"/>
          <w:lang w:val="en-US"/>
        </w:rPr>
        <w:t xml:space="preserve"> the</w:t>
      </w:r>
      <w:r w:rsidRPr="00570E28">
        <w:rPr>
          <w:rStyle w:val="normalchar"/>
          <w:rFonts w:ascii="Times New Roman" w:hAnsi="Times New Roman"/>
          <w:b/>
          <w:iCs/>
          <w:w w:val="105"/>
          <w:sz w:val="28"/>
          <w:szCs w:val="28"/>
          <w:lang w:val="en-US"/>
        </w:rPr>
        <w:t xml:space="preserve"> Q1 2026, though </w:t>
      </w:r>
      <w:r w:rsidRPr="00570E28">
        <w:rPr>
          <w:rStyle w:val="normalchar"/>
          <w:rFonts w:ascii="Times New Roman Bold" w:hAnsi="Times New Roman Bold"/>
          <w:b/>
          <w:iCs/>
          <w:w w:val="105"/>
          <w:sz w:val="28"/>
          <w:szCs w:val="28"/>
          <w:lang w:val="en-US"/>
        </w:rPr>
        <w:t>risks of further spread persisted, potentially affecting public health and lives.</w:t>
      </w:r>
    </w:p>
    <w:p w14:paraId="2A02D77E" w14:textId="1E7293BF" w:rsidR="00A906C2" w:rsidRPr="00570E28" w:rsidRDefault="00A906C2" w:rsidP="00A906C2">
      <w:pPr>
        <w:spacing w:after="120" w:line="240" w:lineRule="auto"/>
        <w:ind w:firstLine="720"/>
        <w:jc w:val="both"/>
        <w:rPr>
          <w:rFonts w:ascii="Times New Roman" w:hAnsi="Times New Roman" w:cs="Times New Roman"/>
          <w:sz w:val="28"/>
          <w:szCs w:val="28"/>
          <w:lang w:val="en-US"/>
        </w:rPr>
      </w:pPr>
      <w:r w:rsidRPr="00570E28">
        <w:rPr>
          <w:rFonts w:ascii="Times New Roman" w:hAnsi="Times New Roman" w:cs="Times New Roman"/>
          <w:sz w:val="28"/>
          <w:szCs w:val="28"/>
          <w:lang w:val="en-US"/>
        </w:rPr>
        <w:t xml:space="preserve">According to the report of the Ministry of Health, in general, in </w:t>
      </w:r>
      <w:r w:rsidR="00364FAC">
        <w:rPr>
          <w:rFonts w:ascii="Times New Roman" w:hAnsi="Times New Roman" w:cs="Times New Roman"/>
          <w:sz w:val="28"/>
          <w:szCs w:val="28"/>
          <w:lang w:val="en-US"/>
        </w:rPr>
        <w:t xml:space="preserve">the </w:t>
      </w:r>
      <w:r w:rsidRPr="00570E28">
        <w:rPr>
          <w:rFonts w:ascii="Times New Roman" w:hAnsi="Times New Roman" w:cs="Times New Roman"/>
          <w:sz w:val="28"/>
          <w:szCs w:val="28"/>
          <w:lang w:val="en-US"/>
        </w:rPr>
        <w:t xml:space="preserve">Q1 2026, there were </w:t>
      </w:r>
      <w:r w:rsidRPr="00570E28">
        <w:rPr>
          <w:rFonts w:ascii="Times New Roman" w:hAnsi="Times New Roman" w:cs="Times New Roman"/>
          <w:iCs/>
          <w:snapToGrid w:val="0"/>
          <w:sz w:val="28"/>
          <w:szCs w:val="28"/>
          <w:lang w:val="en-US"/>
        </w:rPr>
        <w:t xml:space="preserve">38.6 </w:t>
      </w:r>
      <w:r w:rsidRPr="00570E28">
        <w:rPr>
          <w:rFonts w:ascii="Times New Roman" w:hAnsi="Times New Roman" w:cs="Times New Roman"/>
          <w:sz w:val="28"/>
          <w:szCs w:val="28"/>
          <w:lang w:val="en-US"/>
        </w:rPr>
        <w:t>thousand cases of dengue fever (04 deaths</w:t>
      </w:r>
      <w:r w:rsidRPr="00570E28">
        <w:rPr>
          <w:rStyle w:val="FootnoteReference"/>
          <w:rFonts w:ascii="Times New Roman" w:hAnsi="Times New Roman"/>
          <w:iCs/>
          <w:snapToGrid w:val="0"/>
          <w:sz w:val="28"/>
          <w:szCs w:val="28"/>
          <w:lang w:val="en-US"/>
        </w:rPr>
        <w:footnoteReference w:id="36"/>
      </w:r>
      <w:r w:rsidRPr="00570E28">
        <w:rPr>
          <w:rFonts w:ascii="Times New Roman" w:hAnsi="Times New Roman" w:cs="Times New Roman"/>
          <w:sz w:val="28"/>
          <w:szCs w:val="28"/>
          <w:lang w:val="en-US"/>
        </w:rPr>
        <w:t xml:space="preserve">); 22.6 thousand </w:t>
      </w:r>
      <w:r w:rsidRPr="00570E28">
        <w:rPr>
          <w:rFonts w:ascii="Times New Roman" w:hAnsi="Times New Roman" w:cs="Times New Roman"/>
          <w:sz w:val="28"/>
          <w:szCs w:val="28"/>
          <w:lang w:val="en-US"/>
        </w:rPr>
        <w:lastRenderedPageBreak/>
        <w:t>cases of hand, foot and mouth disease (04 deaths</w:t>
      </w:r>
      <w:r w:rsidRPr="00570E28">
        <w:rPr>
          <w:rStyle w:val="FootnoteReference"/>
          <w:rFonts w:ascii="Times New Roman" w:hAnsi="Times New Roman"/>
          <w:iCs/>
          <w:snapToGrid w:val="0"/>
          <w:sz w:val="28"/>
          <w:szCs w:val="28"/>
          <w:lang w:val="en-US"/>
        </w:rPr>
        <w:footnoteReference w:id="37"/>
      </w:r>
      <w:r w:rsidRPr="00570E28">
        <w:rPr>
          <w:rFonts w:ascii="Times New Roman" w:hAnsi="Times New Roman" w:cs="Times New Roman"/>
          <w:sz w:val="28"/>
          <w:szCs w:val="28"/>
          <w:lang w:val="en-US"/>
        </w:rPr>
        <w:t xml:space="preserve">); </w:t>
      </w:r>
      <w:r w:rsidRPr="00570E28">
        <w:rPr>
          <w:rFonts w:ascii="Times New Roman" w:hAnsi="Times New Roman" w:cs="Times New Roman"/>
          <w:iCs/>
          <w:snapToGrid w:val="0"/>
          <w:sz w:val="28"/>
          <w:szCs w:val="28"/>
          <w:lang w:val="en-US"/>
        </w:rPr>
        <w:t>2,430</w:t>
      </w:r>
      <w:r w:rsidRPr="00570E28">
        <w:rPr>
          <w:rFonts w:ascii="Times New Roman" w:hAnsi="Times New Roman" w:cs="Times New Roman"/>
          <w:sz w:val="28"/>
          <w:szCs w:val="28"/>
          <w:lang w:val="en-US"/>
        </w:rPr>
        <w:t xml:space="preserve"> cases of rash fever suspected of measles; 81 cases of viral encephalitis; 54 cases of </w:t>
      </w:r>
      <w:r w:rsidRPr="00570E28">
        <w:rPr>
          <w:rFonts w:ascii="Times New Roman" w:hAnsi="Times New Roman" w:cs="Times New Roman"/>
          <w:iCs/>
          <w:snapToGrid w:val="0"/>
          <w:sz w:val="28"/>
          <w:szCs w:val="28"/>
          <w:lang w:val="en-US"/>
        </w:rPr>
        <w:t xml:space="preserve">COVID-19; </w:t>
      </w:r>
      <w:r w:rsidRPr="00570E28">
        <w:rPr>
          <w:rFonts w:ascii="Times New Roman" w:hAnsi="Times New Roman" w:cs="Times New Roman"/>
          <w:sz w:val="28"/>
          <w:szCs w:val="28"/>
          <w:lang w:val="en-US"/>
        </w:rPr>
        <w:t>21 cases of meningococcal meningitis; and 10 deaths from rabies in the whole country.</w:t>
      </w:r>
    </w:p>
    <w:p w14:paraId="4A11BD70" w14:textId="77777777" w:rsidR="00A906C2" w:rsidRPr="00570E28" w:rsidRDefault="00A906C2" w:rsidP="00A906C2">
      <w:pPr>
        <w:spacing w:after="120" w:line="240" w:lineRule="auto"/>
        <w:ind w:firstLine="720"/>
        <w:jc w:val="both"/>
        <w:rPr>
          <w:rFonts w:ascii="Times New Roman" w:hAnsi="Times New Roman" w:cs="Times New Roman"/>
          <w:sz w:val="28"/>
          <w:szCs w:val="28"/>
          <w:lang w:val="en-US"/>
        </w:rPr>
      </w:pPr>
      <w:r w:rsidRPr="00570E28">
        <w:rPr>
          <w:rFonts w:ascii="Times New Roman" w:hAnsi="Times New Roman" w:cs="Times New Roman"/>
          <w:sz w:val="28"/>
          <w:szCs w:val="28"/>
          <w:lang w:val="en-US"/>
        </w:rPr>
        <w:t>As of March 17</w:t>
      </w:r>
      <w:r w:rsidRPr="00570E28">
        <w:rPr>
          <w:rFonts w:ascii="Times New Roman" w:hAnsi="Times New Roman" w:cs="Times New Roman"/>
          <w:sz w:val="28"/>
          <w:szCs w:val="28"/>
          <w:vertAlign w:val="superscript"/>
          <w:lang w:val="en-US"/>
        </w:rPr>
        <w:t>th</w:t>
      </w:r>
      <w:r w:rsidRPr="00570E28">
        <w:rPr>
          <w:rFonts w:ascii="Times New Roman" w:hAnsi="Times New Roman" w:cs="Times New Roman"/>
          <w:sz w:val="28"/>
          <w:szCs w:val="28"/>
          <w:lang w:val="en-US"/>
        </w:rPr>
        <w:t xml:space="preserve">, 2026, the total number of people living with HIV nationwide was </w:t>
      </w:r>
      <w:r w:rsidRPr="00570E28">
        <w:rPr>
          <w:rFonts w:ascii="Times New Roman" w:hAnsi="Times New Roman" w:cs="Times New Roman"/>
          <w:sz w:val="28"/>
          <w:szCs w:val="28"/>
          <w:shd w:val="clear" w:color="auto" w:fill="FFFFFF"/>
          <w:lang w:val="en-US"/>
        </w:rPr>
        <w:t>255.6</w:t>
      </w:r>
      <w:r w:rsidRPr="00570E28">
        <w:rPr>
          <w:rFonts w:ascii="Times New Roman" w:hAnsi="Times New Roman" w:cs="Times New Roman"/>
          <w:sz w:val="28"/>
          <w:szCs w:val="28"/>
          <w:lang w:val="en-US"/>
        </w:rPr>
        <w:t xml:space="preserve"> thousand persons; the number of deaths from HIV/AIDS was </w:t>
      </w:r>
      <w:r w:rsidRPr="00570E28">
        <w:rPr>
          <w:rFonts w:ascii="Times New Roman" w:hAnsi="Times New Roman" w:cs="Times New Roman"/>
          <w:sz w:val="28"/>
          <w:szCs w:val="28"/>
          <w:shd w:val="clear" w:color="auto" w:fill="FFFFFF"/>
          <w:lang w:val="en-US"/>
        </w:rPr>
        <w:t xml:space="preserve">118.1 </w:t>
      </w:r>
      <w:r w:rsidRPr="00570E28">
        <w:rPr>
          <w:rFonts w:ascii="Times New Roman" w:hAnsi="Times New Roman" w:cs="Times New Roman"/>
          <w:sz w:val="28"/>
          <w:szCs w:val="28"/>
          <w:lang w:val="en-US"/>
        </w:rPr>
        <w:t xml:space="preserve">thousand persons. </w:t>
      </w:r>
    </w:p>
    <w:p w14:paraId="259D422A" w14:textId="0D188B69" w:rsidR="00A906C2" w:rsidRPr="00570E28" w:rsidRDefault="00A906C2" w:rsidP="00A906C2">
      <w:pPr>
        <w:spacing w:after="120" w:line="240" w:lineRule="auto"/>
        <w:ind w:firstLine="720"/>
        <w:jc w:val="both"/>
        <w:rPr>
          <w:rFonts w:ascii="Times New Roman" w:hAnsi="Times New Roman" w:cs="Times New Roman"/>
          <w:sz w:val="28"/>
          <w:szCs w:val="28"/>
          <w:lang w:val="en-US"/>
        </w:rPr>
      </w:pPr>
      <w:r w:rsidRPr="00570E28">
        <w:rPr>
          <w:rFonts w:ascii="Times New Roman" w:hAnsi="Times New Roman" w:cs="Times New Roman"/>
          <w:sz w:val="28"/>
          <w:szCs w:val="28"/>
          <w:lang w:val="en-US"/>
        </w:rPr>
        <w:t>Regarding food hygiene and safety, according to reports from several media agencies, in recent times, the authorities have detected and handled large-scale cases involving the collection, transportation, slaughter, and consumption of diseased pigs in several provinces. The violators distorted slaughter control results and created conditions for animals and animal products that did not meet veterinary hygiene and food safety requirements to enter the market. In response to this situation, on March 30</w:t>
      </w:r>
      <w:r w:rsidRPr="00570E28">
        <w:rPr>
          <w:rFonts w:ascii="Times New Roman" w:hAnsi="Times New Roman" w:cs="Times New Roman"/>
          <w:sz w:val="28"/>
          <w:szCs w:val="28"/>
          <w:vertAlign w:val="superscript"/>
          <w:lang w:val="en-US"/>
        </w:rPr>
        <w:t>th</w:t>
      </w:r>
      <w:r w:rsidRPr="00570E28">
        <w:rPr>
          <w:rFonts w:ascii="Times New Roman" w:hAnsi="Times New Roman" w:cs="Times New Roman"/>
          <w:sz w:val="28"/>
          <w:szCs w:val="28"/>
          <w:lang w:val="en-US"/>
        </w:rPr>
        <w:t>, 2026, the Prime Minister issued</w:t>
      </w:r>
      <w:r w:rsidR="00364FAC">
        <w:rPr>
          <w:rFonts w:ascii="Times New Roman" w:hAnsi="Times New Roman" w:cs="Times New Roman"/>
          <w:sz w:val="28"/>
          <w:szCs w:val="28"/>
          <w:lang w:val="en-US"/>
        </w:rPr>
        <w:t xml:space="preserve"> the</w:t>
      </w:r>
      <w:r w:rsidRPr="00570E28">
        <w:rPr>
          <w:rFonts w:ascii="Times New Roman" w:hAnsi="Times New Roman" w:cs="Times New Roman"/>
          <w:sz w:val="28"/>
          <w:szCs w:val="28"/>
          <w:lang w:val="en-US"/>
        </w:rPr>
        <w:t xml:space="preserve"> Official Dispatch N</w:t>
      </w:r>
      <w:r w:rsidRPr="00570E28">
        <w:rPr>
          <w:rFonts w:ascii="Times New Roman" w:hAnsi="Times New Roman" w:cs="Times New Roman"/>
          <w:sz w:val="28"/>
          <w:szCs w:val="28"/>
          <w:vertAlign w:val="superscript"/>
          <w:lang w:val="en-US"/>
        </w:rPr>
        <w:t>o</w:t>
      </w:r>
      <w:r w:rsidRPr="00570E28">
        <w:rPr>
          <w:rFonts w:ascii="Times New Roman" w:hAnsi="Times New Roman" w:cs="Times New Roman"/>
          <w:sz w:val="28"/>
          <w:szCs w:val="28"/>
          <w:lang w:val="en-US"/>
        </w:rPr>
        <w:t>. 26/CĐ-TTg to rectify slaughter control activities and strengthen discipline and administrative order in the performance of public duties</w:t>
      </w:r>
      <w:r w:rsidRPr="00570E28">
        <w:rPr>
          <w:rStyle w:val="FootnoteReference"/>
          <w:rFonts w:ascii="Times New Roman" w:hAnsi="Times New Roman"/>
          <w:sz w:val="28"/>
          <w:szCs w:val="28"/>
          <w:lang w:val="en-US"/>
        </w:rPr>
        <w:footnoteReference w:id="38"/>
      </w:r>
      <w:r w:rsidRPr="00570E28">
        <w:rPr>
          <w:rFonts w:ascii="Times New Roman" w:hAnsi="Times New Roman" w:cs="Times New Roman"/>
          <w:sz w:val="28"/>
          <w:szCs w:val="28"/>
          <w:lang w:val="en-US"/>
        </w:rPr>
        <w:t>.</w:t>
      </w:r>
    </w:p>
    <w:p w14:paraId="1CFFFBE2" w14:textId="77724889" w:rsidR="00A906C2" w:rsidRPr="00570E28" w:rsidRDefault="00A906C2" w:rsidP="00A906C2">
      <w:pPr>
        <w:tabs>
          <w:tab w:val="left" w:pos="851"/>
        </w:tabs>
        <w:spacing w:after="120" w:line="264" w:lineRule="auto"/>
        <w:ind w:firstLine="720"/>
        <w:jc w:val="both"/>
        <w:rPr>
          <w:rFonts w:ascii="Times New Roman" w:hAnsi="Times New Roman" w:cs="Times New Roman"/>
          <w:sz w:val="28"/>
          <w:szCs w:val="28"/>
          <w:lang w:val="en-US"/>
        </w:rPr>
      </w:pPr>
      <w:r w:rsidRPr="00570E28">
        <w:rPr>
          <w:rFonts w:ascii="Times New Roman" w:hAnsi="Times New Roman" w:cs="Times New Roman"/>
          <w:sz w:val="28"/>
          <w:szCs w:val="28"/>
          <w:lang w:val="en-US"/>
        </w:rPr>
        <w:t xml:space="preserve">Regarding food poisoning, </w:t>
      </w:r>
      <w:r w:rsidRPr="00570E28">
        <w:rPr>
          <w:rFonts w:ascii="Times New Roman" w:hAnsi="Times New Roman" w:cs="Times New Roman"/>
          <w:spacing w:val="-4"/>
          <w:sz w:val="28"/>
          <w:szCs w:val="28"/>
          <w:lang w:val="en-US"/>
        </w:rPr>
        <w:t xml:space="preserve">in </w:t>
      </w:r>
      <w:r w:rsidR="00364FAC">
        <w:rPr>
          <w:rFonts w:ascii="Times New Roman" w:hAnsi="Times New Roman" w:cs="Times New Roman"/>
          <w:spacing w:val="-4"/>
          <w:sz w:val="28"/>
          <w:szCs w:val="28"/>
          <w:lang w:val="en-US"/>
        </w:rPr>
        <w:t xml:space="preserve">the </w:t>
      </w:r>
      <w:r w:rsidRPr="00570E28">
        <w:rPr>
          <w:rFonts w:ascii="Times New Roman" w:hAnsi="Times New Roman" w:cs="Times New Roman"/>
          <w:spacing w:val="-4"/>
          <w:sz w:val="28"/>
          <w:szCs w:val="28"/>
          <w:lang w:val="en-US"/>
        </w:rPr>
        <w:t>Q1 2026 (from December 19</w:t>
      </w:r>
      <w:r w:rsidRPr="00570E28">
        <w:rPr>
          <w:rFonts w:ascii="Times New Roman" w:hAnsi="Times New Roman" w:cs="Times New Roman"/>
          <w:spacing w:val="-4"/>
          <w:sz w:val="28"/>
          <w:szCs w:val="28"/>
          <w:vertAlign w:val="superscript"/>
          <w:lang w:val="en-US"/>
        </w:rPr>
        <w:t>th</w:t>
      </w:r>
      <w:r w:rsidRPr="00570E28">
        <w:rPr>
          <w:rFonts w:ascii="Times New Roman" w:hAnsi="Times New Roman" w:cs="Times New Roman"/>
          <w:spacing w:val="-4"/>
          <w:sz w:val="28"/>
          <w:szCs w:val="28"/>
          <w:lang w:val="en-US"/>
        </w:rPr>
        <w:t>, 2025 to March 17</w:t>
      </w:r>
      <w:r w:rsidRPr="00570E28">
        <w:rPr>
          <w:rFonts w:ascii="Times New Roman" w:hAnsi="Times New Roman" w:cs="Times New Roman"/>
          <w:spacing w:val="-4"/>
          <w:sz w:val="28"/>
          <w:szCs w:val="28"/>
          <w:vertAlign w:val="superscript"/>
          <w:lang w:val="en-US"/>
        </w:rPr>
        <w:t>th</w:t>
      </w:r>
      <w:r w:rsidRPr="00570E28">
        <w:rPr>
          <w:rFonts w:ascii="Times New Roman" w:hAnsi="Times New Roman" w:cs="Times New Roman"/>
          <w:spacing w:val="-4"/>
          <w:sz w:val="28"/>
          <w:szCs w:val="28"/>
          <w:lang w:val="en-US"/>
        </w:rPr>
        <w:t xml:space="preserve">, 2026), there were </w:t>
      </w:r>
      <w:r w:rsidRPr="00570E28">
        <w:rPr>
          <w:rFonts w:ascii="Times New Roman" w:hAnsi="Times New Roman" w:cs="Times New Roman"/>
          <w:bCs/>
          <w:sz w:val="28"/>
          <w:szCs w:val="28"/>
          <w:lang w:val="en-US"/>
        </w:rPr>
        <w:t>20</w:t>
      </w:r>
      <w:r w:rsidRPr="00570E28">
        <w:rPr>
          <w:rFonts w:ascii="Times New Roman" w:hAnsi="Times New Roman" w:cs="Times New Roman"/>
          <w:spacing w:val="-4"/>
          <w:sz w:val="28"/>
          <w:szCs w:val="28"/>
          <w:lang w:val="en-US"/>
        </w:rPr>
        <w:t xml:space="preserve"> cases with </w:t>
      </w:r>
      <w:r w:rsidRPr="00570E28">
        <w:rPr>
          <w:rFonts w:ascii="Times New Roman" w:hAnsi="Times New Roman" w:cs="Times New Roman"/>
          <w:bCs/>
          <w:sz w:val="28"/>
          <w:szCs w:val="28"/>
          <w:lang w:val="en-US"/>
        </w:rPr>
        <w:t>500</w:t>
      </w:r>
      <w:r w:rsidRPr="00570E28">
        <w:rPr>
          <w:rFonts w:ascii="Times New Roman" w:hAnsi="Times New Roman" w:cs="Times New Roman"/>
          <w:spacing w:val="-4"/>
          <w:sz w:val="28"/>
          <w:szCs w:val="28"/>
          <w:lang w:val="en-US"/>
        </w:rPr>
        <w:t xml:space="preserve"> </w:t>
      </w:r>
      <w:r w:rsidRPr="00570E28">
        <w:rPr>
          <w:rFonts w:ascii="Times New Roman" w:hAnsi="Times New Roman" w:cs="Times New Roman"/>
          <w:sz w:val="28"/>
          <w:szCs w:val="28"/>
          <w:lang w:val="en-US"/>
        </w:rPr>
        <w:t xml:space="preserve">persons poisoned </w:t>
      </w:r>
      <w:r w:rsidRPr="00570E28">
        <w:rPr>
          <w:rFonts w:ascii="Times New Roman" w:hAnsi="Times New Roman" w:cs="Times New Roman"/>
          <w:spacing w:val="-4"/>
          <w:sz w:val="28"/>
          <w:szCs w:val="28"/>
          <w:lang w:val="en-US"/>
        </w:rPr>
        <w:t>(0</w:t>
      </w:r>
      <w:r w:rsidRPr="00570E28">
        <w:rPr>
          <w:rFonts w:ascii="Times New Roman" w:hAnsi="Times New Roman" w:cs="Times New Roman"/>
          <w:bCs/>
          <w:sz w:val="28"/>
          <w:szCs w:val="28"/>
          <w:lang w:val="en-US"/>
        </w:rPr>
        <w:t>3</w:t>
      </w:r>
      <w:r w:rsidRPr="00570E28">
        <w:rPr>
          <w:rFonts w:ascii="Times New Roman" w:hAnsi="Times New Roman" w:cs="Times New Roman"/>
          <w:spacing w:val="-4"/>
          <w:sz w:val="28"/>
          <w:szCs w:val="28"/>
          <w:lang w:val="en-US"/>
        </w:rPr>
        <w:t xml:space="preserve"> deaths) </w:t>
      </w:r>
      <w:r w:rsidRPr="00570E28">
        <w:rPr>
          <w:rFonts w:ascii="Times New Roman" w:hAnsi="Times New Roman" w:cs="Times New Roman"/>
          <w:sz w:val="28"/>
          <w:szCs w:val="28"/>
          <w:lang w:val="en-US"/>
        </w:rPr>
        <w:t>nationwide</w:t>
      </w:r>
      <w:r w:rsidRPr="00570E28">
        <w:rPr>
          <w:rFonts w:ascii="Times New Roman" w:hAnsi="Times New Roman" w:cs="Times New Roman"/>
          <w:spacing w:val="-4"/>
          <w:sz w:val="28"/>
          <w:szCs w:val="28"/>
          <w:lang w:val="en-US"/>
        </w:rPr>
        <w:t>.</w:t>
      </w:r>
    </w:p>
    <w:p w14:paraId="236ED08A" w14:textId="77777777" w:rsidR="00A906C2" w:rsidRPr="00570E28" w:rsidRDefault="00A906C2" w:rsidP="00A906C2">
      <w:pPr>
        <w:spacing w:before="120" w:after="0" w:line="240" w:lineRule="auto"/>
        <w:ind w:firstLine="720"/>
        <w:jc w:val="both"/>
        <w:rPr>
          <w:rStyle w:val="normalchar"/>
          <w:rFonts w:ascii="Times New Roman" w:hAnsi="Times New Roman"/>
          <w:b/>
          <w:iCs/>
          <w:spacing w:val="2"/>
          <w:sz w:val="28"/>
          <w:szCs w:val="28"/>
          <w:lang w:val="en-US"/>
        </w:rPr>
      </w:pPr>
      <w:r w:rsidRPr="00570E28">
        <w:rPr>
          <w:rStyle w:val="normalchar"/>
          <w:rFonts w:ascii="Times New Roman" w:hAnsi="Times New Roman"/>
          <w:b/>
          <w:iCs/>
          <w:spacing w:val="2"/>
          <w:sz w:val="28"/>
          <w:szCs w:val="28"/>
          <w:lang w:val="en-US"/>
        </w:rPr>
        <w:t>4. The protection and promotion of cultural heritage values received due attention and were actively implemented by local authorities. Elite sports also achieved several notable results.</w:t>
      </w:r>
    </w:p>
    <w:p w14:paraId="6D4303E3" w14:textId="1D8508C6" w:rsidR="00A906C2" w:rsidRPr="00570E28" w:rsidRDefault="00A906C2" w:rsidP="00A906C2">
      <w:pPr>
        <w:spacing w:before="120" w:after="0" w:line="240" w:lineRule="auto"/>
        <w:ind w:firstLine="720"/>
        <w:jc w:val="both"/>
        <w:rPr>
          <w:rStyle w:val="normalchar"/>
          <w:bCs/>
          <w:lang w:val="en-US"/>
        </w:rPr>
      </w:pPr>
      <w:r w:rsidRPr="00570E28">
        <w:rPr>
          <w:rFonts w:ascii="Times New Roman" w:hAnsi="Times New Roman" w:cs="Times New Roman"/>
          <w:spacing w:val="-2"/>
          <w:sz w:val="28"/>
          <w:szCs w:val="28"/>
          <w:lang w:val="en-US"/>
        </w:rPr>
        <w:t xml:space="preserve">In </w:t>
      </w:r>
      <w:r w:rsidR="00364FAC">
        <w:rPr>
          <w:rFonts w:ascii="Times New Roman" w:hAnsi="Times New Roman" w:cs="Times New Roman"/>
          <w:spacing w:val="-2"/>
          <w:sz w:val="28"/>
          <w:szCs w:val="28"/>
          <w:lang w:val="en-US"/>
        </w:rPr>
        <w:t xml:space="preserve">the </w:t>
      </w:r>
      <w:r w:rsidRPr="00570E28">
        <w:rPr>
          <w:rFonts w:ascii="Times New Roman" w:hAnsi="Times New Roman" w:cs="Times New Roman"/>
          <w:spacing w:val="-2"/>
          <w:sz w:val="28"/>
          <w:szCs w:val="28"/>
          <w:lang w:val="en-US"/>
        </w:rPr>
        <w:t>Q1 2026</w:t>
      </w:r>
      <w:r w:rsidRPr="00570E28">
        <w:rPr>
          <w:rStyle w:val="normalchar"/>
          <w:rFonts w:ascii="Times New Roman" w:hAnsi="Times New Roman"/>
          <w:bCs/>
          <w:sz w:val="28"/>
          <w:szCs w:val="28"/>
          <w:lang w:val="en-US"/>
        </w:rPr>
        <w:t>, a wide range of vibrant and diverse cultural activities took place, including traditional festivals, heritage preservation efforts, and artistic and creative events. Several traditional festivals were organized, such as Dong Da Mound Festival, Giong Festival in Soc Son, Huong Pagoda Festival, Yen Tu Festival, Vieng Market Festival, Ba Chua Kho Temple Festival, and Con Son-Kiep Bac Festival. In addition, a number of other notable cultural events were held during the quarter, including New Year celebrations and activities at the Viet Nam National Village for Ethnic Culture and Tourism, featuring programs that recreated folk festivals, highland markets, and cultural exchanges among ethnic groups; Pho Festival 2026 held from March 20</w:t>
      </w:r>
      <w:r w:rsidRPr="00570E28">
        <w:rPr>
          <w:rStyle w:val="normalchar"/>
          <w:rFonts w:ascii="Times New Roman" w:hAnsi="Times New Roman"/>
          <w:bCs/>
          <w:sz w:val="28"/>
          <w:szCs w:val="28"/>
          <w:vertAlign w:val="superscript"/>
          <w:lang w:val="en-US"/>
        </w:rPr>
        <w:t>th</w:t>
      </w:r>
      <w:r w:rsidRPr="00570E28">
        <w:rPr>
          <w:rStyle w:val="normalchar"/>
          <w:rFonts w:ascii="Times New Roman" w:hAnsi="Times New Roman"/>
          <w:bCs/>
          <w:sz w:val="28"/>
          <w:szCs w:val="28"/>
          <w:lang w:val="en-US"/>
        </w:rPr>
        <w:t>-22</w:t>
      </w:r>
      <w:r w:rsidRPr="00570E28">
        <w:rPr>
          <w:rStyle w:val="normalchar"/>
          <w:rFonts w:ascii="Times New Roman" w:hAnsi="Times New Roman"/>
          <w:bCs/>
          <w:sz w:val="28"/>
          <w:szCs w:val="28"/>
          <w:vertAlign w:val="superscript"/>
          <w:lang w:val="en-US"/>
        </w:rPr>
        <w:t>nd</w:t>
      </w:r>
      <w:r w:rsidRPr="00570E28">
        <w:rPr>
          <w:rStyle w:val="normalchar"/>
          <w:rFonts w:ascii="Times New Roman" w:hAnsi="Times New Roman"/>
          <w:bCs/>
          <w:sz w:val="28"/>
          <w:szCs w:val="28"/>
          <w:lang w:val="en-US"/>
        </w:rPr>
        <w:t xml:space="preserve"> in Ninh Binh; Ao Dai Week 2026 from March 1</w:t>
      </w:r>
      <w:r w:rsidRPr="00570E28">
        <w:rPr>
          <w:rStyle w:val="normalchar"/>
          <w:rFonts w:ascii="Times New Roman" w:hAnsi="Times New Roman"/>
          <w:bCs/>
          <w:sz w:val="28"/>
          <w:szCs w:val="28"/>
          <w:vertAlign w:val="superscript"/>
          <w:lang w:val="en-US"/>
        </w:rPr>
        <w:t>st</w:t>
      </w:r>
      <w:r w:rsidRPr="00570E28">
        <w:rPr>
          <w:rStyle w:val="normalchar"/>
          <w:rFonts w:ascii="Times New Roman" w:hAnsi="Times New Roman"/>
          <w:bCs/>
          <w:sz w:val="28"/>
          <w:szCs w:val="28"/>
          <w:lang w:val="en-US"/>
        </w:rPr>
        <w:t>-8</w:t>
      </w:r>
      <w:r w:rsidRPr="00570E28">
        <w:rPr>
          <w:rStyle w:val="normalchar"/>
          <w:rFonts w:ascii="Times New Roman" w:hAnsi="Times New Roman"/>
          <w:bCs/>
          <w:sz w:val="28"/>
          <w:szCs w:val="28"/>
          <w:vertAlign w:val="superscript"/>
          <w:lang w:val="en-US"/>
        </w:rPr>
        <w:t>th</w:t>
      </w:r>
      <w:r w:rsidRPr="00570E28">
        <w:rPr>
          <w:rStyle w:val="normalchar"/>
          <w:rFonts w:ascii="Times New Roman" w:hAnsi="Times New Roman"/>
          <w:bCs/>
          <w:sz w:val="28"/>
          <w:szCs w:val="28"/>
          <w:lang w:val="en-US"/>
        </w:rPr>
        <w:t xml:space="preserve"> in celebration of the 116</w:t>
      </w:r>
      <w:r w:rsidRPr="00570E28">
        <w:rPr>
          <w:rStyle w:val="normalchar"/>
          <w:rFonts w:ascii="Times New Roman" w:hAnsi="Times New Roman"/>
          <w:bCs/>
          <w:sz w:val="28"/>
          <w:szCs w:val="28"/>
          <w:vertAlign w:val="superscript"/>
          <w:lang w:val="en-US"/>
        </w:rPr>
        <w:t>th</w:t>
      </w:r>
      <w:r w:rsidRPr="00570E28">
        <w:rPr>
          <w:rStyle w:val="normalchar"/>
          <w:rFonts w:ascii="Times New Roman" w:hAnsi="Times New Roman"/>
          <w:bCs/>
          <w:sz w:val="28"/>
          <w:szCs w:val="28"/>
          <w:lang w:val="en-US"/>
        </w:rPr>
        <w:t xml:space="preserve"> anniversary of International Women’s Day; and the opening ceremony of the National Tourism Year – Gia Lai 2026, themed “Gia Lai – Where the Great Highlands Meet the Blue Sea” held </w:t>
      </w:r>
      <w:r w:rsidRPr="00570E28">
        <w:rPr>
          <w:rStyle w:val="normalchar"/>
          <w:rFonts w:ascii="Times New Roman" w:hAnsi="Times New Roman"/>
          <w:bCs/>
          <w:spacing w:val="-4"/>
          <w:sz w:val="28"/>
          <w:szCs w:val="28"/>
          <w:lang w:val="en-US"/>
        </w:rPr>
        <w:t>on March 28</w:t>
      </w:r>
      <w:r w:rsidRPr="00570E28">
        <w:rPr>
          <w:rStyle w:val="normalchar"/>
          <w:rFonts w:ascii="Times New Roman" w:hAnsi="Times New Roman"/>
          <w:bCs/>
          <w:spacing w:val="-4"/>
          <w:sz w:val="28"/>
          <w:szCs w:val="28"/>
          <w:vertAlign w:val="superscript"/>
          <w:lang w:val="en-US"/>
        </w:rPr>
        <w:t>th</w:t>
      </w:r>
      <w:r w:rsidRPr="00570E28">
        <w:rPr>
          <w:rStyle w:val="normalchar"/>
          <w:rFonts w:ascii="Times New Roman" w:hAnsi="Times New Roman"/>
          <w:bCs/>
          <w:spacing w:val="-4"/>
          <w:sz w:val="28"/>
          <w:szCs w:val="28"/>
          <w:lang w:val="en-US"/>
        </w:rPr>
        <w:t xml:space="preserve"> in Gia Lai, aiming to honor Viet Nam’s cultural, historical, and human values, and contributing to the promotion of tourism as a key economic sector.</w:t>
      </w:r>
    </w:p>
    <w:p w14:paraId="3EF91FCA" w14:textId="3D2639D0" w:rsidR="00A906C2" w:rsidRPr="00570E28" w:rsidRDefault="00A906C2" w:rsidP="00A906C2">
      <w:pPr>
        <w:spacing w:before="120" w:after="0" w:line="240" w:lineRule="auto"/>
        <w:ind w:firstLine="720"/>
        <w:jc w:val="both"/>
        <w:rPr>
          <w:rFonts w:ascii="Times New Roman" w:hAnsi="Times New Roman" w:cs="Times New Roman"/>
          <w:sz w:val="28"/>
          <w:szCs w:val="28"/>
          <w:lang w:val="en-US"/>
        </w:rPr>
      </w:pPr>
      <w:r w:rsidRPr="00570E28">
        <w:rPr>
          <w:rFonts w:ascii="Times New Roman" w:hAnsi="Times New Roman" w:cs="Times New Roman"/>
          <w:bCs/>
          <w:i/>
          <w:sz w:val="28"/>
          <w:szCs w:val="28"/>
          <w:lang w:val="en-US"/>
        </w:rPr>
        <w:t xml:space="preserve">Regarding mass </w:t>
      </w:r>
      <w:r w:rsidRPr="00570E28">
        <w:rPr>
          <w:rFonts w:ascii="Times New Roman" w:hAnsi="Times New Roman" w:cs="Times New Roman"/>
          <w:bCs/>
          <w:i/>
          <w:iCs/>
          <w:sz w:val="28"/>
          <w:szCs w:val="28"/>
          <w:lang w:val="en-US"/>
        </w:rPr>
        <w:t xml:space="preserve">sport, </w:t>
      </w:r>
      <w:r w:rsidRPr="00570E28">
        <w:rPr>
          <w:rFonts w:ascii="Times New Roman" w:hAnsi="Times New Roman" w:cs="Times New Roman"/>
          <w:bCs/>
          <w:iCs/>
          <w:sz w:val="28"/>
          <w:szCs w:val="28"/>
          <w:lang w:val="en-US"/>
        </w:rPr>
        <w:t xml:space="preserve">in </w:t>
      </w:r>
      <w:r w:rsidR="00364FAC">
        <w:rPr>
          <w:rFonts w:ascii="Times New Roman" w:hAnsi="Times New Roman" w:cs="Times New Roman"/>
          <w:bCs/>
          <w:iCs/>
          <w:sz w:val="28"/>
          <w:szCs w:val="28"/>
          <w:lang w:val="en-US"/>
        </w:rPr>
        <w:t xml:space="preserve">the </w:t>
      </w:r>
      <w:r w:rsidRPr="00570E28">
        <w:rPr>
          <w:rFonts w:ascii="Times New Roman" w:hAnsi="Times New Roman" w:cs="Times New Roman"/>
          <w:bCs/>
          <w:iCs/>
          <w:sz w:val="28"/>
          <w:szCs w:val="28"/>
          <w:lang w:val="en-US"/>
        </w:rPr>
        <w:t>Q1 2026, mass sports activities were dynamic and widespread, with enthusiastic participation of the public, in connection with celebrations of Viet Nam Sports Day (March 27</w:t>
      </w:r>
      <w:r w:rsidRPr="00570E28">
        <w:rPr>
          <w:rFonts w:ascii="Times New Roman" w:hAnsi="Times New Roman" w:cs="Times New Roman"/>
          <w:bCs/>
          <w:iCs/>
          <w:sz w:val="28"/>
          <w:szCs w:val="28"/>
          <w:vertAlign w:val="superscript"/>
          <w:lang w:val="en-US"/>
        </w:rPr>
        <w:t>th</w:t>
      </w:r>
      <w:r w:rsidRPr="00570E28">
        <w:rPr>
          <w:rFonts w:ascii="Times New Roman" w:hAnsi="Times New Roman" w:cs="Times New Roman"/>
          <w:bCs/>
          <w:iCs/>
          <w:sz w:val="28"/>
          <w:szCs w:val="28"/>
          <w:lang w:val="en-US"/>
        </w:rPr>
        <w:t xml:space="preserve">) and the orientation for sports development in the new period. Many localities simultaneously implemented the </w:t>
      </w:r>
      <w:r w:rsidRPr="00570E28">
        <w:rPr>
          <w:rFonts w:ascii="Times New Roman" w:hAnsi="Times New Roman" w:cs="Times New Roman"/>
          <w:bCs/>
          <w:iCs/>
          <w:sz w:val="28"/>
          <w:szCs w:val="28"/>
          <w:lang w:val="en-US"/>
        </w:rPr>
        <w:lastRenderedPageBreak/>
        <w:t>“</w:t>
      </w:r>
      <w:r w:rsidRPr="00570E28">
        <w:rPr>
          <w:rFonts w:ascii="Times New Roman" w:hAnsi="Times New Roman" w:cs="Times New Roman"/>
          <w:sz w:val="28"/>
          <w:szCs w:val="28"/>
          <w:lang w:val="en-US"/>
        </w:rPr>
        <w:t>National Physical Fitness and Sports Month</w:t>
      </w:r>
      <w:r w:rsidRPr="00570E28">
        <w:rPr>
          <w:rFonts w:ascii="Times New Roman" w:hAnsi="Times New Roman" w:cs="Times New Roman"/>
          <w:bCs/>
          <w:iCs/>
          <w:sz w:val="28"/>
          <w:szCs w:val="28"/>
          <w:lang w:val="en-US"/>
        </w:rPr>
        <w:t xml:space="preserve">” and the Olympic Run Day for Public Health, attracting participation from thousands to millions of people. </w:t>
      </w:r>
    </w:p>
    <w:p w14:paraId="764559D4" w14:textId="4A899D40" w:rsidR="00A906C2" w:rsidRPr="00570E28" w:rsidRDefault="00A906C2" w:rsidP="00A906C2">
      <w:pPr>
        <w:spacing w:after="120" w:line="247" w:lineRule="auto"/>
        <w:ind w:firstLine="720"/>
        <w:jc w:val="both"/>
        <w:rPr>
          <w:rFonts w:ascii="Times New Roman" w:hAnsi="Times New Roman" w:cs="Times New Roman"/>
          <w:sz w:val="28"/>
          <w:szCs w:val="28"/>
          <w:lang w:val="en-US"/>
        </w:rPr>
      </w:pPr>
      <w:r w:rsidRPr="00570E28">
        <w:rPr>
          <w:rFonts w:ascii="Times New Roman" w:hAnsi="Times New Roman" w:cs="Times New Roman"/>
          <w:i/>
          <w:iCs/>
          <w:sz w:val="28"/>
          <w:szCs w:val="28"/>
          <w:lang w:val="en-US"/>
        </w:rPr>
        <w:t xml:space="preserve">Regarding elite sport, </w:t>
      </w:r>
      <w:r w:rsidRPr="00570E28">
        <w:rPr>
          <w:rFonts w:ascii="Times New Roman" w:hAnsi="Times New Roman" w:cs="Times New Roman"/>
          <w:iCs/>
          <w:sz w:val="28"/>
          <w:szCs w:val="28"/>
          <w:lang w:val="en-US"/>
        </w:rPr>
        <w:t>in</w:t>
      </w:r>
      <w:r w:rsidR="00364FAC">
        <w:rPr>
          <w:rFonts w:ascii="Times New Roman" w:hAnsi="Times New Roman" w:cs="Times New Roman"/>
          <w:iCs/>
          <w:sz w:val="28"/>
          <w:szCs w:val="28"/>
          <w:lang w:val="en-US"/>
        </w:rPr>
        <w:t xml:space="preserve"> the</w:t>
      </w:r>
      <w:r w:rsidRPr="00570E28">
        <w:rPr>
          <w:rFonts w:ascii="Times New Roman" w:hAnsi="Times New Roman" w:cs="Times New Roman"/>
          <w:iCs/>
          <w:sz w:val="28"/>
          <w:szCs w:val="28"/>
          <w:lang w:val="en-US"/>
        </w:rPr>
        <w:t xml:space="preserve"> Q1 2026, Viet Nam’s elite sport recorded numerous dynamic and significant activities, particularly in the context of the 80</w:t>
      </w:r>
      <w:r w:rsidRPr="00570E28">
        <w:rPr>
          <w:rFonts w:ascii="Times New Roman" w:hAnsi="Times New Roman" w:cs="Times New Roman"/>
          <w:iCs/>
          <w:sz w:val="28"/>
          <w:szCs w:val="28"/>
          <w:vertAlign w:val="superscript"/>
          <w:lang w:val="en-US"/>
        </w:rPr>
        <w:t>th</w:t>
      </w:r>
      <w:r w:rsidRPr="00570E28">
        <w:rPr>
          <w:rFonts w:ascii="Times New Roman" w:hAnsi="Times New Roman" w:cs="Times New Roman"/>
          <w:iCs/>
          <w:sz w:val="28"/>
          <w:szCs w:val="28"/>
          <w:lang w:val="en-US"/>
        </w:rPr>
        <w:t xml:space="preserve"> anniversary of the Traditional Day of the Sports Sector (March 27</w:t>
      </w:r>
      <w:r w:rsidRPr="00570E28">
        <w:rPr>
          <w:rFonts w:ascii="Times New Roman" w:hAnsi="Times New Roman" w:cs="Times New Roman"/>
          <w:iCs/>
          <w:sz w:val="28"/>
          <w:szCs w:val="28"/>
          <w:vertAlign w:val="superscript"/>
          <w:lang w:val="en-US"/>
        </w:rPr>
        <w:t>th</w:t>
      </w:r>
      <w:r w:rsidRPr="00570E28">
        <w:rPr>
          <w:rFonts w:ascii="Times New Roman" w:hAnsi="Times New Roman" w:cs="Times New Roman"/>
          <w:iCs/>
          <w:sz w:val="28"/>
          <w:szCs w:val="28"/>
          <w:lang w:val="en-US"/>
        </w:rPr>
        <w:t>, 1946 - March 27</w:t>
      </w:r>
      <w:r w:rsidRPr="00570E28">
        <w:rPr>
          <w:rFonts w:ascii="Times New Roman" w:hAnsi="Times New Roman" w:cs="Times New Roman"/>
          <w:iCs/>
          <w:sz w:val="28"/>
          <w:szCs w:val="28"/>
          <w:vertAlign w:val="superscript"/>
          <w:lang w:val="en-US"/>
        </w:rPr>
        <w:t>th</w:t>
      </w:r>
      <w:r w:rsidRPr="00570E28">
        <w:rPr>
          <w:rFonts w:ascii="Times New Roman" w:hAnsi="Times New Roman" w:cs="Times New Roman"/>
          <w:iCs/>
          <w:sz w:val="28"/>
          <w:szCs w:val="28"/>
          <w:lang w:val="en-US"/>
        </w:rPr>
        <w:t>, 2026) and preparations for the 10</w:t>
      </w:r>
      <w:r w:rsidRPr="00570E28">
        <w:rPr>
          <w:rFonts w:ascii="Times New Roman" w:hAnsi="Times New Roman" w:cs="Times New Roman"/>
          <w:iCs/>
          <w:sz w:val="28"/>
          <w:szCs w:val="28"/>
          <w:vertAlign w:val="superscript"/>
          <w:lang w:val="en-US"/>
        </w:rPr>
        <w:t xml:space="preserve">th </w:t>
      </w:r>
      <w:r w:rsidRPr="00570E28">
        <w:rPr>
          <w:rFonts w:ascii="Times New Roman" w:hAnsi="Times New Roman" w:cs="Times New Roman"/>
          <w:iCs/>
          <w:sz w:val="28"/>
          <w:szCs w:val="28"/>
          <w:lang w:val="en-US"/>
        </w:rPr>
        <w:t>National Sports Games. Notable events included: the 67</w:t>
      </w:r>
      <w:r w:rsidRPr="00570E28">
        <w:rPr>
          <w:rFonts w:ascii="Times New Roman" w:hAnsi="Times New Roman" w:cs="Times New Roman"/>
          <w:iCs/>
          <w:sz w:val="28"/>
          <w:szCs w:val="28"/>
          <w:vertAlign w:val="superscript"/>
          <w:lang w:val="en-US"/>
        </w:rPr>
        <w:t>th</w:t>
      </w:r>
      <w:r w:rsidRPr="00570E28">
        <w:rPr>
          <w:rFonts w:ascii="Times New Roman" w:hAnsi="Times New Roman" w:cs="Times New Roman"/>
          <w:iCs/>
          <w:sz w:val="28"/>
          <w:szCs w:val="28"/>
          <w:lang w:val="en-US"/>
        </w:rPr>
        <w:t xml:space="preserve"> Tien Phong National Marathon and Long Distance Championships held in Khanh Hoa from March 27</w:t>
      </w:r>
      <w:r w:rsidRPr="00570E28">
        <w:rPr>
          <w:rFonts w:ascii="Times New Roman" w:hAnsi="Times New Roman" w:cs="Times New Roman"/>
          <w:iCs/>
          <w:sz w:val="28"/>
          <w:szCs w:val="28"/>
          <w:vertAlign w:val="superscript"/>
          <w:lang w:val="en-US"/>
        </w:rPr>
        <w:t>th</w:t>
      </w:r>
      <w:r w:rsidRPr="00570E28">
        <w:rPr>
          <w:rFonts w:ascii="Times New Roman" w:hAnsi="Times New Roman" w:cs="Times New Roman"/>
          <w:iCs/>
          <w:sz w:val="28"/>
          <w:szCs w:val="28"/>
          <w:lang w:val="en-US"/>
        </w:rPr>
        <w:t>-29</w:t>
      </w:r>
      <w:r w:rsidRPr="00570E28">
        <w:rPr>
          <w:rFonts w:ascii="Times New Roman" w:hAnsi="Times New Roman" w:cs="Times New Roman"/>
          <w:iCs/>
          <w:sz w:val="28"/>
          <w:szCs w:val="28"/>
          <w:vertAlign w:val="superscript"/>
          <w:lang w:val="en-US"/>
        </w:rPr>
        <w:t>th</w:t>
      </w:r>
      <w:r w:rsidRPr="00570E28">
        <w:rPr>
          <w:rFonts w:ascii="Times New Roman" w:hAnsi="Times New Roman" w:cs="Times New Roman"/>
          <w:iCs/>
          <w:sz w:val="28"/>
          <w:szCs w:val="28"/>
          <w:lang w:val="en-US"/>
        </w:rPr>
        <w:t>; the Ciputra Hanoi International Badminton Tournament held in Hanoi from March 22</w:t>
      </w:r>
      <w:r w:rsidRPr="00570E28">
        <w:rPr>
          <w:rFonts w:ascii="Times New Roman" w:hAnsi="Times New Roman" w:cs="Times New Roman"/>
          <w:iCs/>
          <w:sz w:val="28"/>
          <w:szCs w:val="28"/>
          <w:vertAlign w:val="superscript"/>
          <w:lang w:val="en-US"/>
        </w:rPr>
        <w:t>nd</w:t>
      </w:r>
      <w:r w:rsidRPr="00570E28">
        <w:rPr>
          <w:rFonts w:ascii="Times New Roman" w:hAnsi="Times New Roman" w:cs="Times New Roman"/>
          <w:iCs/>
          <w:sz w:val="28"/>
          <w:szCs w:val="28"/>
          <w:lang w:val="en-US"/>
        </w:rPr>
        <w:t>-29</w:t>
      </w:r>
      <w:r w:rsidRPr="00570E28">
        <w:rPr>
          <w:rFonts w:ascii="Times New Roman" w:hAnsi="Times New Roman" w:cs="Times New Roman"/>
          <w:iCs/>
          <w:sz w:val="28"/>
          <w:szCs w:val="28"/>
          <w:vertAlign w:val="superscript"/>
          <w:lang w:val="en-US"/>
        </w:rPr>
        <w:t>th</w:t>
      </w:r>
      <w:r w:rsidRPr="00570E28">
        <w:rPr>
          <w:rFonts w:ascii="Times New Roman" w:hAnsi="Times New Roman" w:cs="Times New Roman"/>
          <w:iCs/>
          <w:sz w:val="28"/>
          <w:szCs w:val="28"/>
          <w:lang w:val="en-US"/>
        </w:rPr>
        <w:t>; the 3x3 Basketball Open in Hanoi from March 13</w:t>
      </w:r>
      <w:r w:rsidRPr="00570E28">
        <w:rPr>
          <w:rFonts w:ascii="Times New Roman" w:hAnsi="Times New Roman" w:cs="Times New Roman"/>
          <w:iCs/>
          <w:sz w:val="28"/>
          <w:szCs w:val="28"/>
          <w:vertAlign w:val="superscript"/>
          <w:lang w:val="en-US"/>
        </w:rPr>
        <w:t>rd</w:t>
      </w:r>
      <w:r w:rsidRPr="00570E28">
        <w:rPr>
          <w:rFonts w:ascii="Times New Roman" w:hAnsi="Times New Roman" w:cs="Times New Roman"/>
          <w:iCs/>
          <w:sz w:val="28"/>
          <w:szCs w:val="28"/>
          <w:lang w:val="en-US"/>
        </w:rPr>
        <w:t xml:space="preserve"> to 15</w:t>
      </w:r>
      <w:r w:rsidRPr="00570E28">
        <w:rPr>
          <w:rFonts w:ascii="Times New Roman" w:hAnsi="Times New Roman" w:cs="Times New Roman"/>
          <w:iCs/>
          <w:sz w:val="28"/>
          <w:szCs w:val="28"/>
          <w:vertAlign w:val="superscript"/>
          <w:lang w:val="en-US"/>
        </w:rPr>
        <w:t>th</w:t>
      </w:r>
      <w:r w:rsidRPr="00570E28">
        <w:rPr>
          <w:rFonts w:ascii="Times New Roman" w:hAnsi="Times New Roman" w:cs="Times New Roman"/>
          <w:iCs/>
          <w:sz w:val="28"/>
          <w:szCs w:val="28"/>
          <w:lang w:val="en-US"/>
        </w:rPr>
        <w:t xml:space="preserve">  and national U16 youth tournaments; the International Women’s Cycling Tournament held in Ho Chi Minh City from March 9</w:t>
      </w:r>
      <w:r w:rsidRPr="00570E28">
        <w:rPr>
          <w:rFonts w:ascii="Times New Roman" w:hAnsi="Times New Roman" w:cs="Times New Roman"/>
          <w:iCs/>
          <w:sz w:val="28"/>
          <w:szCs w:val="28"/>
          <w:vertAlign w:val="superscript"/>
          <w:lang w:val="en-US"/>
        </w:rPr>
        <w:t>th</w:t>
      </w:r>
      <w:r w:rsidRPr="00570E28">
        <w:rPr>
          <w:rFonts w:ascii="Times New Roman" w:hAnsi="Times New Roman" w:cs="Times New Roman"/>
          <w:iCs/>
          <w:sz w:val="28"/>
          <w:szCs w:val="28"/>
          <w:lang w:val="en-US"/>
        </w:rPr>
        <w:t xml:space="preserve"> to 14</w:t>
      </w:r>
      <w:r w:rsidRPr="00570E28">
        <w:rPr>
          <w:rFonts w:ascii="Times New Roman" w:hAnsi="Times New Roman" w:cs="Times New Roman"/>
          <w:iCs/>
          <w:sz w:val="28"/>
          <w:szCs w:val="28"/>
          <w:vertAlign w:val="superscript"/>
          <w:lang w:val="en-US"/>
        </w:rPr>
        <w:t>th</w:t>
      </w:r>
      <w:r w:rsidRPr="00570E28">
        <w:rPr>
          <w:rFonts w:ascii="Times New Roman" w:hAnsi="Times New Roman" w:cs="Times New Roman"/>
          <w:iCs/>
          <w:sz w:val="28"/>
          <w:szCs w:val="28"/>
          <w:lang w:val="en-US"/>
        </w:rPr>
        <w:t>; beach wrestling in Bac Ninh from March 8</w:t>
      </w:r>
      <w:r w:rsidRPr="00570E28">
        <w:rPr>
          <w:rFonts w:ascii="Times New Roman" w:hAnsi="Times New Roman" w:cs="Times New Roman"/>
          <w:iCs/>
          <w:sz w:val="28"/>
          <w:szCs w:val="28"/>
          <w:vertAlign w:val="superscript"/>
          <w:lang w:val="en-US"/>
        </w:rPr>
        <w:t>th</w:t>
      </w:r>
      <w:r w:rsidRPr="00570E28">
        <w:rPr>
          <w:rFonts w:ascii="Times New Roman" w:hAnsi="Times New Roman" w:cs="Times New Roman"/>
          <w:iCs/>
          <w:sz w:val="28"/>
          <w:szCs w:val="28"/>
          <w:lang w:val="en-US"/>
        </w:rPr>
        <w:t xml:space="preserve"> to 15</w:t>
      </w:r>
      <w:r w:rsidRPr="00570E28">
        <w:rPr>
          <w:rFonts w:ascii="Times New Roman" w:hAnsi="Times New Roman" w:cs="Times New Roman"/>
          <w:iCs/>
          <w:sz w:val="28"/>
          <w:szCs w:val="28"/>
          <w:vertAlign w:val="superscript"/>
          <w:lang w:val="en-US"/>
        </w:rPr>
        <w:t>th</w:t>
      </w:r>
      <w:r w:rsidRPr="00570E28">
        <w:rPr>
          <w:rFonts w:ascii="Times New Roman" w:hAnsi="Times New Roman" w:cs="Times New Roman"/>
          <w:iCs/>
          <w:sz w:val="28"/>
          <w:szCs w:val="28"/>
          <w:lang w:val="en-US"/>
        </w:rPr>
        <w:t>; and the Viet Nam Masters 2026 professional golf tournament held in Long An from March 15</w:t>
      </w:r>
      <w:r w:rsidRPr="00570E28">
        <w:rPr>
          <w:rFonts w:ascii="Times New Roman" w:hAnsi="Times New Roman" w:cs="Times New Roman"/>
          <w:iCs/>
          <w:sz w:val="28"/>
          <w:szCs w:val="28"/>
          <w:vertAlign w:val="superscript"/>
          <w:lang w:val="en-US"/>
        </w:rPr>
        <w:t>th</w:t>
      </w:r>
      <w:r w:rsidRPr="00570E28">
        <w:rPr>
          <w:rFonts w:ascii="Times New Roman" w:hAnsi="Times New Roman" w:cs="Times New Roman"/>
          <w:iCs/>
          <w:sz w:val="28"/>
          <w:szCs w:val="28"/>
          <w:lang w:val="en-US"/>
        </w:rPr>
        <w:t xml:space="preserve"> to 19</w:t>
      </w:r>
      <w:r w:rsidRPr="00570E28">
        <w:rPr>
          <w:rFonts w:ascii="Times New Roman" w:hAnsi="Times New Roman" w:cs="Times New Roman"/>
          <w:iCs/>
          <w:sz w:val="28"/>
          <w:szCs w:val="28"/>
          <w:vertAlign w:val="superscript"/>
          <w:lang w:val="en-US"/>
        </w:rPr>
        <w:t>th</w:t>
      </w:r>
      <w:r w:rsidRPr="00570E28">
        <w:rPr>
          <w:rFonts w:ascii="Times New Roman" w:hAnsi="Times New Roman" w:cs="Times New Roman"/>
          <w:iCs/>
          <w:sz w:val="28"/>
          <w:szCs w:val="28"/>
          <w:lang w:val="en-US"/>
        </w:rPr>
        <w:t>.</w:t>
      </w:r>
    </w:p>
    <w:p w14:paraId="5D9404DD" w14:textId="77777777" w:rsidR="00A906C2" w:rsidRPr="00570E28" w:rsidRDefault="00A906C2" w:rsidP="00A906C2">
      <w:pPr>
        <w:spacing w:after="120" w:line="247" w:lineRule="auto"/>
        <w:ind w:firstLine="720"/>
        <w:jc w:val="both"/>
        <w:rPr>
          <w:rFonts w:ascii="Times New Roman" w:hAnsi="Times New Roman" w:cs="Times New Roman"/>
          <w:spacing w:val="-4"/>
          <w:sz w:val="28"/>
          <w:szCs w:val="28"/>
          <w:shd w:val="clear" w:color="auto" w:fill="FFFFFF"/>
          <w:lang w:val="en-US"/>
        </w:rPr>
      </w:pPr>
      <w:r w:rsidRPr="00570E28">
        <w:rPr>
          <w:rFonts w:ascii="Times New Roman" w:hAnsi="Times New Roman" w:cs="Times New Roman"/>
          <w:i/>
          <w:spacing w:val="-4"/>
          <w:sz w:val="28"/>
          <w:szCs w:val="28"/>
          <w:shd w:val="clear" w:color="auto" w:fill="FFFFFF"/>
          <w:lang w:val="en-US"/>
        </w:rPr>
        <w:t>Regarding international competition results</w:t>
      </w:r>
      <w:r w:rsidRPr="00570E28">
        <w:rPr>
          <w:rFonts w:ascii="Times New Roman" w:hAnsi="Times New Roman" w:cs="Times New Roman"/>
          <w:spacing w:val="-4"/>
          <w:sz w:val="28"/>
          <w:szCs w:val="28"/>
          <w:shd w:val="clear" w:color="auto" w:fill="FFFFFF"/>
          <w:lang w:val="en-US"/>
        </w:rPr>
        <w:t>, the Viet Nam women’s national football team recorded mixed results at the AFC Women’s Asian Cup 2026 held in Australia from March 1</w:t>
      </w:r>
      <w:r w:rsidRPr="00570E28">
        <w:rPr>
          <w:rFonts w:ascii="Times New Roman" w:hAnsi="Times New Roman" w:cs="Times New Roman"/>
          <w:spacing w:val="-4"/>
          <w:sz w:val="28"/>
          <w:szCs w:val="28"/>
          <w:shd w:val="clear" w:color="auto" w:fill="FFFFFF"/>
          <w:vertAlign w:val="superscript"/>
          <w:lang w:val="en-US"/>
        </w:rPr>
        <w:t>st</w:t>
      </w:r>
      <w:r w:rsidRPr="00570E28">
        <w:rPr>
          <w:rFonts w:ascii="Times New Roman" w:hAnsi="Times New Roman" w:cs="Times New Roman"/>
          <w:spacing w:val="-4"/>
          <w:sz w:val="28"/>
          <w:szCs w:val="28"/>
          <w:shd w:val="clear" w:color="auto" w:fill="FFFFFF"/>
          <w:lang w:val="en-US"/>
        </w:rPr>
        <w:t xml:space="preserve"> to 21</w:t>
      </w:r>
      <w:r w:rsidRPr="00570E28">
        <w:rPr>
          <w:rFonts w:ascii="Times New Roman" w:hAnsi="Times New Roman" w:cs="Times New Roman"/>
          <w:spacing w:val="-4"/>
          <w:sz w:val="28"/>
          <w:szCs w:val="28"/>
          <w:shd w:val="clear" w:color="auto" w:fill="FFFFFF"/>
          <w:vertAlign w:val="superscript"/>
          <w:lang w:val="en-US"/>
        </w:rPr>
        <w:t>st</w:t>
      </w:r>
      <w:r w:rsidRPr="00570E28">
        <w:rPr>
          <w:rFonts w:ascii="Times New Roman" w:hAnsi="Times New Roman" w:cs="Times New Roman"/>
          <w:spacing w:val="-4"/>
          <w:sz w:val="28"/>
          <w:szCs w:val="28"/>
          <w:shd w:val="clear" w:color="auto" w:fill="FFFFFF"/>
          <w:lang w:val="en-US"/>
        </w:rPr>
        <w:t>. Alongside competitions, a number of honoring activities such as the “Glory of Viet Nam Sports” Gala and the nationwide “Olympic Run Day” were organized, contributing to honoring outstanding athletes and promoting the spirit of sports.</w:t>
      </w:r>
    </w:p>
    <w:p w14:paraId="128B6D07" w14:textId="77777777" w:rsidR="00A906C2" w:rsidRPr="00570E28" w:rsidRDefault="00A906C2" w:rsidP="00A906C2">
      <w:pPr>
        <w:tabs>
          <w:tab w:val="left" w:pos="426"/>
          <w:tab w:val="left" w:pos="900"/>
        </w:tabs>
        <w:spacing w:before="120" w:after="0" w:line="240" w:lineRule="auto"/>
        <w:ind w:firstLine="720"/>
        <w:jc w:val="both"/>
        <w:rPr>
          <w:rFonts w:ascii="Times New Roman" w:hAnsi="Times New Roman" w:cs="Times New Roman"/>
          <w:b/>
          <w:iCs/>
          <w:sz w:val="28"/>
          <w:szCs w:val="28"/>
          <w:lang w:val="en-US"/>
        </w:rPr>
      </w:pPr>
      <w:r w:rsidRPr="00570E28">
        <w:rPr>
          <w:rFonts w:ascii="Times New Roman" w:eastAsia="Calibri" w:hAnsi="Times New Roman" w:cs="Times New Roman"/>
          <w:b/>
          <w:iCs/>
          <w:sz w:val="28"/>
          <w:szCs w:val="28"/>
          <w:lang w:val="en-US"/>
        </w:rPr>
        <w:t xml:space="preserve">5. </w:t>
      </w:r>
      <w:r w:rsidRPr="00570E28">
        <w:rPr>
          <w:rFonts w:ascii="Times New Roman" w:eastAsia="Calibri" w:hAnsi="Times New Roman" w:cs="Times New Roman"/>
          <w:b/>
          <w:sz w:val="28"/>
          <w:szCs w:val="28"/>
          <w:lang w:val="en-US"/>
        </w:rPr>
        <w:t>Traffic accidents</w:t>
      </w:r>
      <w:r w:rsidRPr="00570E28">
        <w:rPr>
          <w:rFonts w:ascii="Times New Roman" w:hAnsi="Times New Roman" w:cs="Times New Roman"/>
          <w:b/>
          <w:iCs/>
          <w:sz w:val="28"/>
          <w:szCs w:val="28"/>
          <w:vertAlign w:val="superscript"/>
          <w:lang w:val="en-US"/>
        </w:rPr>
        <w:footnoteReference w:id="39"/>
      </w:r>
    </w:p>
    <w:p w14:paraId="09E257C0" w14:textId="53F32DFE" w:rsidR="00A906C2" w:rsidRPr="00570E28" w:rsidRDefault="00A906C2" w:rsidP="00A906C2">
      <w:pPr>
        <w:tabs>
          <w:tab w:val="left" w:pos="426"/>
          <w:tab w:val="left" w:pos="900"/>
        </w:tabs>
        <w:spacing w:after="120" w:line="264" w:lineRule="auto"/>
        <w:ind w:firstLine="720"/>
        <w:jc w:val="both"/>
        <w:rPr>
          <w:rFonts w:ascii="Times New Roman" w:eastAsia="Calibri" w:hAnsi="Times New Roman" w:cs="Times New Roman"/>
          <w:sz w:val="28"/>
          <w:szCs w:val="28"/>
          <w:shd w:val="clear" w:color="auto" w:fill="FFFFFF"/>
          <w:lang w:val="en-US"/>
        </w:rPr>
      </w:pPr>
      <w:r w:rsidRPr="00570E28">
        <w:rPr>
          <w:rFonts w:ascii="Times New Roman" w:eastAsia="Calibri" w:hAnsi="Times New Roman" w:cs="Times New Roman"/>
          <w:sz w:val="28"/>
          <w:szCs w:val="28"/>
          <w:lang w:val="en-US"/>
        </w:rPr>
        <w:t xml:space="preserve">In </w:t>
      </w:r>
      <w:r w:rsidR="00364FAC">
        <w:rPr>
          <w:rFonts w:ascii="Times New Roman" w:eastAsia="Calibri" w:hAnsi="Times New Roman" w:cs="Times New Roman"/>
          <w:sz w:val="28"/>
          <w:szCs w:val="28"/>
          <w:lang w:val="en-US"/>
        </w:rPr>
        <w:t xml:space="preserve">the </w:t>
      </w:r>
      <w:r w:rsidRPr="00570E28">
        <w:rPr>
          <w:rFonts w:ascii="Times New Roman" w:eastAsia="Calibri" w:hAnsi="Times New Roman" w:cs="Times New Roman"/>
          <w:sz w:val="28"/>
          <w:szCs w:val="28"/>
          <w:lang w:val="en-US"/>
        </w:rPr>
        <w:t xml:space="preserve">Q1 this year, there were 3,926 traffic accidents nationwide, causing 2,407 deaths and 2,352 injuries. Compared to the figures of the same period last year, the number of traffic accidents cases, deaths, and injuries decreased by 15.7%, 6.7%, and 24.1%, respectively. On average, in </w:t>
      </w:r>
      <w:r w:rsidR="00364FAC">
        <w:rPr>
          <w:rFonts w:ascii="Times New Roman" w:eastAsia="Calibri" w:hAnsi="Times New Roman" w:cs="Times New Roman"/>
          <w:sz w:val="28"/>
          <w:szCs w:val="28"/>
          <w:lang w:val="en-US"/>
        </w:rPr>
        <w:t xml:space="preserve">the </w:t>
      </w:r>
      <w:r w:rsidRPr="00570E28">
        <w:rPr>
          <w:rFonts w:ascii="Times New Roman" w:eastAsia="Calibri" w:hAnsi="Times New Roman" w:cs="Times New Roman"/>
          <w:sz w:val="28"/>
          <w:szCs w:val="28"/>
          <w:lang w:val="en-US"/>
        </w:rPr>
        <w:t>Q1 2026, there were 44 traffic accidents occurred a day, causing 27 deaths and 26 injuries.</w:t>
      </w:r>
    </w:p>
    <w:p w14:paraId="4B4D08B0" w14:textId="77777777" w:rsidR="00A906C2" w:rsidRPr="00570E28" w:rsidRDefault="00A906C2" w:rsidP="00A906C2">
      <w:pPr>
        <w:pStyle w:val="Normal11"/>
        <w:spacing w:before="120" w:beforeAutospacing="0" w:after="0" w:afterAutospacing="0"/>
        <w:ind w:firstLine="720"/>
        <w:jc w:val="both"/>
        <w:rPr>
          <w:spacing w:val="-2"/>
        </w:rPr>
      </w:pPr>
      <w:r w:rsidRPr="00570E28">
        <w:rPr>
          <w:rStyle w:val="normalchar"/>
          <w:rFonts w:ascii="Times New Roman" w:hAnsi="Times New Roman"/>
          <w:b/>
          <w:sz w:val="28"/>
          <w:szCs w:val="28"/>
        </w:rPr>
        <w:t xml:space="preserve">6. </w:t>
      </w:r>
      <w:r w:rsidRPr="00570E28">
        <w:rPr>
          <w:rFonts w:ascii="Times New Roman" w:hAnsi="Times New Roman" w:cs="Times New Roman"/>
          <w:b/>
          <w:spacing w:val="-2"/>
          <w:sz w:val="28"/>
          <w:szCs w:val="28"/>
        </w:rPr>
        <w:t>Damage caused by natural disasters</w:t>
      </w:r>
      <w:r w:rsidRPr="00570E28">
        <w:rPr>
          <w:rStyle w:val="FootnoteReference"/>
          <w:rFonts w:ascii="Times New Roman" w:eastAsia="Calibri" w:hAnsi="Times New Roman"/>
          <w:b/>
          <w:bCs/>
          <w:iCs/>
          <w:sz w:val="28"/>
          <w:szCs w:val="28"/>
        </w:rPr>
        <w:footnoteReference w:id="40"/>
      </w:r>
      <w:r w:rsidRPr="00570E28">
        <w:rPr>
          <w:rFonts w:ascii="Times New Roman" w:hAnsi="Times New Roman" w:cs="Times New Roman"/>
          <w:b/>
          <w:spacing w:val="-2"/>
          <w:sz w:val="28"/>
          <w:szCs w:val="28"/>
        </w:rPr>
        <w:t xml:space="preserve">, environmental pollution, fires and explosions had a significant impact on people’s lives in several localities. </w:t>
      </w:r>
    </w:p>
    <w:p w14:paraId="65531AA8" w14:textId="71C87900" w:rsidR="00A906C2" w:rsidRPr="00570E28" w:rsidRDefault="00A906C2" w:rsidP="00A906C2">
      <w:pPr>
        <w:pStyle w:val="Normal11"/>
        <w:spacing w:before="0" w:beforeAutospacing="0" w:after="120" w:afterAutospacing="0" w:line="264" w:lineRule="auto"/>
        <w:ind w:firstLine="720"/>
        <w:jc w:val="both"/>
        <w:rPr>
          <w:rFonts w:ascii="Times New Roman" w:hAnsi="Times New Roman" w:cs="Times New Roman"/>
          <w:sz w:val="28"/>
          <w:szCs w:val="28"/>
        </w:rPr>
      </w:pPr>
      <w:r w:rsidRPr="00570E28">
        <w:rPr>
          <w:rFonts w:ascii="Times New Roman" w:hAnsi="Times New Roman" w:cs="Times New Roman"/>
          <w:sz w:val="28"/>
          <w:szCs w:val="28"/>
        </w:rPr>
        <w:t xml:space="preserve">In </w:t>
      </w:r>
      <w:r w:rsidR="00364FAC">
        <w:rPr>
          <w:rFonts w:ascii="Times New Roman" w:hAnsi="Times New Roman" w:cs="Times New Roman"/>
          <w:sz w:val="28"/>
          <w:szCs w:val="28"/>
        </w:rPr>
        <w:t xml:space="preserve">the </w:t>
      </w:r>
      <w:r w:rsidRPr="00570E28">
        <w:rPr>
          <w:rFonts w:ascii="Times New Roman" w:hAnsi="Times New Roman" w:cs="Times New Roman"/>
          <w:sz w:val="28"/>
          <w:szCs w:val="28"/>
        </w:rPr>
        <w:t>Q1 2026, natural disasters caused 1 death and 10 injuries; damaged more than 2.4 thousand hectares of rice and other crops; destroyed, swept away, or damaged</w:t>
      </w:r>
      <w:r w:rsidRPr="00570E28">
        <w:t xml:space="preserve"> </w:t>
      </w:r>
      <w:r w:rsidRPr="00570E28">
        <w:rPr>
          <w:rFonts w:ascii="Times New Roman" w:hAnsi="Times New Roman" w:cs="Times New Roman"/>
          <w:sz w:val="28"/>
          <w:szCs w:val="28"/>
        </w:rPr>
        <w:t>446 houses. Total property losses caused by natural disasters in</w:t>
      </w:r>
      <w:r w:rsidR="00364FAC">
        <w:rPr>
          <w:rFonts w:ascii="Times New Roman" w:hAnsi="Times New Roman" w:cs="Times New Roman"/>
          <w:sz w:val="28"/>
          <w:szCs w:val="28"/>
        </w:rPr>
        <w:t xml:space="preserve"> the</w:t>
      </w:r>
      <w:r w:rsidRPr="00570E28">
        <w:rPr>
          <w:rFonts w:ascii="Times New Roman" w:hAnsi="Times New Roman" w:cs="Times New Roman"/>
          <w:sz w:val="28"/>
          <w:szCs w:val="28"/>
        </w:rPr>
        <w:t xml:space="preserve"> Q1 2026 were estimated at 159.7 billion VND, increased by 76.2% compared to the same period in 2025.</w:t>
      </w:r>
    </w:p>
    <w:p w14:paraId="40328D40" w14:textId="405A73D0" w:rsidR="00A906C2" w:rsidRPr="00570E28" w:rsidRDefault="00A906C2" w:rsidP="00A906C2">
      <w:pPr>
        <w:spacing w:after="120" w:line="240" w:lineRule="auto"/>
        <w:ind w:firstLine="720"/>
        <w:jc w:val="both"/>
        <w:rPr>
          <w:rFonts w:ascii="Times New Roman" w:eastAsia="Calibri" w:hAnsi="Times New Roman" w:cs="Times New Roman"/>
          <w:color w:val="000000" w:themeColor="text1"/>
          <w:spacing w:val="4"/>
          <w:sz w:val="28"/>
          <w:szCs w:val="28"/>
          <w:lang w:val="en-US"/>
        </w:rPr>
      </w:pPr>
      <w:r w:rsidRPr="00570E28">
        <w:rPr>
          <w:rFonts w:ascii="Times New Roman" w:hAnsi="Times New Roman" w:cs="Times New Roman"/>
          <w:sz w:val="28"/>
          <w:szCs w:val="28"/>
          <w:lang w:val="en-US"/>
        </w:rPr>
        <w:t xml:space="preserve">In </w:t>
      </w:r>
      <w:r w:rsidR="00364FAC">
        <w:rPr>
          <w:rFonts w:ascii="Times New Roman" w:hAnsi="Times New Roman" w:cs="Times New Roman"/>
          <w:sz w:val="28"/>
          <w:szCs w:val="28"/>
          <w:lang w:val="en-US"/>
        </w:rPr>
        <w:t xml:space="preserve">the </w:t>
      </w:r>
      <w:r w:rsidRPr="00570E28">
        <w:rPr>
          <w:rFonts w:ascii="Times New Roman" w:hAnsi="Times New Roman" w:cs="Times New Roman"/>
          <w:sz w:val="28"/>
          <w:szCs w:val="28"/>
          <w:lang w:val="en-US"/>
        </w:rPr>
        <w:t xml:space="preserve">Q1 2026, the functional authorities detected </w:t>
      </w:r>
      <w:r w:rsidRPr="00570E28">
        <w:rPr>
          <w:rFonts w:ascii="Times New Roman" w:eastAsia="Calibri" w:hAnsi="Times New Roman" w:cs="Times New Roman"/>
          <w:sz w:val="28"/>
          <w:szCs w:val="28"/>
          <w:lang w:val="en-US"/>
        </w:rPr>
        <w:t>5,591</w:t>
      </w:r>
      <w:r w:rsidRPr="00570E28">
        <w:rPr>
          <w:rStyle w:val="FootnoteReference"/>
          <w:rFonts w:ascii="Times New Roman" w:eastAsia="Calibri" w:hAnsi="Times New Roman"/>
          <w:spacing w:val="4"/>
          <w:sz w:val="28"/>
          <w:szCs w:val="28"/>
          <w:lang w:val="en-US"/>
        </w:rPr>
        <w:footnoteReference w:id="41"/>
      </w:r>
      <w:r w:rsidRPr="00570E28">
        <w:rPr>
          <w:rFonts w:ascii="Times New Roman" w:eastAsia="Calibri" w:hAnsi="Times New Roman" w:cs="Times New Roman"/>
          <w:sz w:val="28"/>
          <w:szCs w:val="28"/>
          <w:lang w:val="en-US"/>
        </w:rPr>
        <w:t xml:space="preserve"> </w:t>
      </w:r>
      <w:r w:rsidRPr="00570E28">
        <w:rPr>
          <w:rFonts w:ascii="Times New Roman" w:hAnsi="Times New Roman" w:cs="Times New Roman"/>
          <w:sz w:val="28"/>
          <w:szCs w:val="28"/>
          <w:lang w:val="en-US"/>
        </w:rPr>
        <w:t xml:space="preserve">cases of environmental violations, of which, </w:t>
      </w:r>
      <w:r w:rsidRPr="00570E28">
        <w:rPr>
          <w:rFonts w:ascii="Times New Roman" w:eastAsia="Calibri" w:hAnsi="Times New Roman" w:cs="Times New Roman"/>
          <w:sz w:val="28"/>
          <w:szCs w:val="28"/>
          <w:lang w:val="en-US"/>
        </w:rPr>
        <w:t xml:space="preserve">4,832 </w:t>
      </w:r>
      <w:r w:rsidRPr="00570E28">
        <w:rPr>
          <w:rFonts w:ascii="Times New Roman" w:hAnsi="Times New Roman" w:cs="Times New Roman"/>
          <w:sz w:val="28"/>
          <w:szCs w:val="28"/>
          <w:lang w:val="en-US"/>
        </w:rPr>
        <w:t xml:space="preserve">cases were addressed with a total fine of nearly </w:t>
      </w:r>
      <w:r w:rsidRPr="00570E28">
        <w:rPr>
          <w:rFonts w:ascii="Times New Roman" w:eastAsia="Calibri" w:hAnsi="Times New Roman" w:cs="Times New Roman"/>
          <w:sz w:val="28"/>
          <w:szCs w:val="28"/>
          <w:lang w:val="en-US"/>
        </w:rPr>
        <w:t xml:space="preserve">87.6 </w:t>
      </w:r>
      <w:r w:rsidRPr="00570E28">
        <w:rPr>
          <w:rFonts w:ascii="Times New Roman" w:hAnsi="Times New Roman" w:cs="Times New Roman"/>
          <w:sz w:val="28"/>
          <w:szCs w:val="28"/>
          <w:lang w:val="en-US"/>
        </w:rPr>
        <w:t xml:space="preserve">billion VND, recording a year-on-year increase of </w:t>
      </w:r>
      <w:r w:rsidRPr="00570E28">
        <w:rPr>
          <w:rFonts w:ascii="Times New Roman" w:eastAsia="Calibri" w:hAnsi="Times New Roman" w:cs="Times New Roman"/>
          <w:sz w:val="28"/>
          <w:szCs w:val="28"/>
          <w:lang w:val="en-US"/>
        </w:rPr>
        <w:t>24.0</w:t>
      </w:r>
      <w:r w:rsidRPr="00570E28">
        <w:rPr>
          <w:rFonts w:ascii="Times New Roman" w:hAnsi="Times New Roman" w:cs="Times New Roman"/>
          <w:sz w:val="28"/>
          <w:szCs w:val="28"/>
          <w:lang w:val="en-US"/>
        </w:rPr>
        <w:t xml:space="preserve">%. </w:t>
      </w:r>
      <w:r w:rsidRPr="00570E28">
        <w:rPr>
          <w:rFonts w:ascii="Times New Roman" w:eastAsia="Calibri" w:hAnsi="Times New Roman" w:cs="Times New Roman"/>
          <w:sz w:val="28"/>
          <w:szCs w:val="28"/>
          <w:lang w:val="en-US"/>
        </w:rPr>
        <w:t>There were 729 cases of fire and explosion</w:t>
      </w:r>
      <w:r w:rsidRPr="00570E28">
        <w:rPr>
          <w:rStyle w:val="FootnoteReference"/>
          <w:rFonts w:ascii="Times New Roman" w:eastAsia="Calibri" w:hAnsi="Times New Roman"/>
          <w:spacing w:val="4"/>
          <w:sz w:val="28"/>
          <w:szCs w:val="28"/>
          <w:lang w:val="en-US"/>
        </w:rPr>
        <w:footnoteReference w:id="42"/>
      </w:r>
      <w:r w:rsidRPr="00570E28">
        <w:rPr>
          <w:rFonts w:ascii="Times New Roman" w:eastAsia="Calibri" w:hAnsi="Times New Roman" w:cs="Times New Roman"/>
          <w:sz w:val="28"/>
          <w:szCs w:val="28"/>
          <w:lang w:val="en-US"/>
        </w:rPr>
        <w:t xml:space="preserve"> nationwide, causing 26 deaths and 34 </w:t>
      </w:r>
      <w:r w:rsidRPr="00570E28">
        <w:rPr>
          <w:rFonts w:ascii="Times New Roman" w:eastAsia="Calibri" w:hAnsi="Times New Roman" w:cs="Times New Roman"/>
          <w:sz w:val="28"/>
          <w:szCs w:val="28"/>
          <w:lang w:val="en-US"/>
        </w:rPr>
        <w:lastRenderedPageBreak/>
        <w:t>injuries, with an estimated loss of 237.6 billion VND, 4.6 times higher than the same period last year</w:t>
      </w:r>
      <w:r w:rsidRPr="00570E28">
        <w:rPr>
          <w:rFonts w:ascii="Times New Roman" w:eastAsia="Calibri" w:hAnsi="Times New Roman" w:cs="Times New Roman"/>
          <w:color w:val="000000" w:themeColor="text1"/>
          <w:spacing w:val="4"/>
          <w:sz w:val="28"/>
          <w:szCs w:val="28"/>
          <w:lang w:val="en-US"/>
        </w:rPr>
        <w:t>.</w:t>
      </w:r>
    </w:p>
    <w:p w14:paraId="23BF6463" w14:textId="4789E97B" w:rsidR="00097926" w:rsidRPr="00570E28" w:rsidRDefault="00A906C2" w:rsidP="00F045B9">
      <w:pPr>
        <w:pStyle w:val="Normal10"/>
        <w:spacing w:before="120" w:beforeAutospacing="0" w:after="120" w:afterAutospacing="0" w:line="360" w:lineRule="exact"/>
        <w:ind w:right="282" w:firstLine="4253"/>
        <w:jc w:val="center"/>
        <w:rPr>
          <w:rFonts w:ascii="Times New Roman" w:hAnsi="Times New Roman" w:cs="Times New Roman"/>
          <w:i/>
          <w:color w:val="000000" w:themeColor="text1"/>
          <w:sz w:val="28"/>
          <w:szCs w:val="28"/>
        </w:rPr>
      </w:pPr>
      <w:r w:rsidRPr="00570E28">
        <w:rPr>
          <w:rFonts w:ascii="Times New Roman" w:hAnsi="Times New Roman" w:cs="Times New Roman"/>
          <w:b/>
          <w:sz w:val="28"/>
          <w:szCs w:val="28"/>
        </w:rPr>
        <w:t>NATIONAL STATISTICS OFFICE</w:t>
      </w:r>
      <w:r w:rsidRPr="00570E28" w:rsidDel="00A906C2">
        <w:rPr>
          <w:rFonts w:ascii="Times New Roman" w:hAnsi="Times New Roman" w:cs="Times New Roman"/>
          <w:b/>
          <w:bCs/>
          <w:iCs/>
          <w:color w:val="000000" w:themeColor="text1"/>
          <w:sz w:val="28"/>
          <w:szCs w:val="28"/>
        </w:rPr>
        <w:t xml:space="preserve"> </w:t>
      </w:r>
      <w:bookmarkEnd w:id="0"/>
    </w:p>
    <w:sectPr w:rsidR="00097926" w:rsidRPr="00570E28" w:rsidSect="002850E5">
      <w:headerReference w:type="default" r:id="rId8"/>
      <w:footerReference w:type="default" r:id="rId9"/>
      <w:pgSz w:w="11906" w:h="16838" w:code="9"/>
      <w:pgMar w:top="964" w:right="1134" w:bottom="851" w:left="1701" w:header="567" w:footer="55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608D2" w14:textId="77777777" w:rsidR="005C578F" w:rsidRDefault="005C578F" w:rsidP="00140F6C">
      <w:pPr>
        <w:spacing w:after="0" w:line="240" w:lineRule="auto"/>
        <w:rPr>
          <w:rFonts w:cs="Times New Roman"/>
        </w:rPr>
      </w:pPr>
      <w:r>
        <w:rPr>
          <w:rFonts w:cs="Times New Roman"/>
        </w:rPr>
        <w:separator/>
      </w:r>
    </w:p>
  </w:endnote>
  <w:endnote w:type="continuationSeparator" w:id="0">
    <w:p w14:paraId="380F4CDE" w14:textId="77777777" w:rsidR="005C578F" w:rsidRDefault="005C578F"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roman"/>
    <w:notTrueType/>
    <w:pitch w:val="default"/>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881AA" w14:textId="77777777" w:rsidR="002807C7" w:rsidRDefault="002807C7" w:rsidP="006B1758">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5928D" w14:textId="77777777" w:rsidR="005C578F" w:rsidRDefault="005C578F" w:rsidP="00140F6C">
      <w:pPr>
        <w:spacing w:after="0" w:line="240" w:lineRule="auto"/>
        <w:rPr>
          <w:rFonts w:cs="Times New Roman"/>
        </w:rPr>
      </w:pPr>
      <w:r>
        <w:rPr>
          <w:rFonts w:cs="Times New Roman"/>
        </w:rPr>
        <w:separator/>
      </w:r>
    </w:p>
  </w:footnote>
  <w:footnote w:type="continuationSeparator" w:id="0">
    <w:p w14:paraId="1A42E761" w14:textId="77777777" w:rsidR="005C578F" w:rsidRDefault="005C578F" w:rsidP="00140F6C">
      <w:pPr>
        <w:spacing w:after="0" w:line="240" w:lineRule="auto"/>
        <w:rPr>
          <w:rFonts w:cs="Times New Roman"/>
        </w:rPr>
      </w:pPr>
      <w:r>
        <w:rPr>
          <w:rFonts w:cs="Times New Roman"/>
        </w:rPr>
        <w:continuationSeparator/>
      </w:r>
    </w:p>
  </w:footnote>
  <w:footnote w:id="1">
    <w:p w14:paraId="328D164A" w14:textId="6F0E2EF2" w:rsidR="002807C7" w:rsidRPr="00570E28" w:rsidRDefault="002807C7" w:rsidP="00C02868">
      <w:pPr>
        <w:pStyle w:val="FootnoteText"/>
        <w:ind w:left="198" w:hanging="198"/>
        <w:jc w:val="both"/>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w:t>
      </w:r>
      <w:r w:rsidR="007C1B13" w:rsidRPr="00570E28">
        <w:rPr>
          <w:rFonts w:ascii="Times New Roman" w:hAnsi="Times New Roman" w:cs="Times New Roman"/>
          <w:lang w:val="en-US"/>
        </w:rPr>
        <w:t>Press releases and Infographics on the socio-economic situation in the first quarter of 2026 were published on the website of the National Statistics Office</w:t>
      </w:r>
      <w:r w:rsidRPr="00570E28">
        <w:rPr>
          <w:rFonts w:ascii="Times New Roman" w:hAnsi="Times New Roman" w:cs="Times New Roman"/>
          <w:color w:val="000000" w:themeColor="text1"/>
          <w:lang w:val="en-US"/>
        </w:rPr>
        <w:t xml:space="preserve"> </w:t>
      </w:r>
      <w:r w:rsidRPr="00570E28">
        <w:rPr>
          <w:rFonts w:ascii="Times New Roman" w:hAnsi="Times New Roman" w:cs="Times New Roman"/>
          <w:lang w:val="en-US"/>
        </w:rPr>
        <w:t>(</w:t>
      </w:r>
      <w:hyperlink r:id="rId1" w:history="1">
        <w:r w:rsidRPr="00570E28">
          <w:rPr>
            <w:rStyle w:val="Hyperlink"/>
            <w:rFonts w:ascii="Times New Roman" w:hAnsi="Times New Roman" w:cs="Times New Roman"/>
            <w:lang w:val="en-US"/>
          </w:rPr>
          <w:t>https://www.nso.gov.vn)</w:t>
        </w:r>
      </w:hyperlink>
      <w:r w:rsidRPr="00570E28">
        <w:rPr>
          <w:rFonts w:ascii="Times New Roman" w:hAnsi="Times New Roman" w:cs="Times New Roman"/>
          <w:lang w:val="en-US"/>
        </w:rPr>
        <w:t>.</w:t>
      </w:r>
    </w:p>
  </w:footnote>
  <w:footnote w:id="2">
    <w:p w14:paraId="77A92A31" w14:textId="77777777" w:rsidR="007C1B13" w:rsidRPr="00570E28" w:rsidRDefault="007C1B13" w:rsidP="007C1B13">
      <w:pPr>
        <w:pStyle w:val="FootnoteText"/>
        <w:spacing w:after="40"/>
        <w:ind w:left="142" w:hanging="142"/>
        <w:jc w:val="both"/>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w:t>
      </w:r>
      <w:r w:rsidRPr="00570E28">
        <w:rPr>
          <w:rFonts w:ascii="Times New Roman" w:hAnsi="Times New Roman" w:cs="Times New Roman"/>
          <w:spacing w:val="-8"/>
          <w:lang w:val="en-US"/>
        </w:rPr>
        <w:t>IMF (Jan 2026), “World Economic Outlook Update:</w:t>
      </w:r>
      <w:r w:rsidRPr="00570E28">
        <w:rPr>
          <w:rFonts w:ascii="Times New Roman" w:hAnsi="Times New Roman" w:cs="Times New Roman"/>
          <w:lang w:val="en-US"/>
        </w:rPr>
        <w:t xml:space="preserve"> </w:t>
      </w:r>
      <w:r w:rsidRPr="00570E28">
        <w:rPr>
          <w:rFonts w:ascii="Times New Roman" w:hAnsi="Times New Roman" w:cs="Times New Roman"/>
          <w:spacing w:val="-8"/>
          <w:lang w:val="en-US"/>
        </w:rPr>
        <w:t xml:space="preserve">Global Economy: Steady amid Divergent Forces”, </w:t>
      </w:r>
      <w:r w:rsidRPr="00570E28">
        <w:rPr>
          <w:rStyle w:val="Hyperlink"/>
          <w:rFonts w:ascii="Times New Roman" w:hAnsi="Times New Roman" w:cs="Times New Roman"/>
          <w:spacing w:val="-8"/>
          <w:lang w:val="en-US"/>
        </w:rPr>
        <w:t>https://www.imf.org/en/publications/weo/issues/2026/01/19/world-economic-outlook-update-january-2026</w:t>
      </w:r>
      <w:r w:rsidRPr="00570E28">
        <w:rPr>
          <w:rFonts w:ascii="Times New Roman" w:hAnsi="Times New Roman" w:cs="Times New Roman"/>
          <w:spacing w:val="-8"/>
          <w:lang w:val="en-US"/>
        </w:rPr>
        <w:t>, accessed 26 Mar 2026.</w:t>
      </w:r>
    </w:p>
  </w:footnote>
  <w:footnote w:id="3">
    <w:p w14:paraId="2FC4A3D2" w14:textId="77777777" w:rsidR="007C1B13" w:rsidRPr="00570E28" w:rsidRDefault="007C1B13" w:rsidP="007C1B13">
      <w:pPr>
        <w:pStyle w:val="FootnoteText"/>
        <w:spacing w:after="40"/>
        <w:ind w:left="142" w:hanging="142"/>
        <w:jc w:val="both"/>
        <w:rPr>
          <w:rFonts w:ascii="Times New Roman" w:hAnsi="Times New Roman" w:cs="Times New Roman"/>
          <w:spacing w:val="-10"/>
          <w:lang w:val="en-US"/>
        </w:rPr>
      </w:pPr>
      <w:r w:rsidRPr="00570E28">
        <w:rPr>
          <w:rStyle w:val="FootnoteReference"/>
          <w:rFonts w:ascii="Times New Roman" w:eastAsiaTheme="majorEastAsia" w:hAnsi="Times New Roman"/>
          <w:lang w:val="en-US"/>
        </w:rPr>
        <w:footnoteRef/>
      </w:r>
      <w:r w:rsidRPr="00570E28">
        <w:rPr>
          <w:rFonts w:ascii="Times New Roman" w:hAnsi="Times New Roman" w:cs="Times New Roman"/>
          <w:lang w:val="en-US"/>
        </w:rPr>
        <w:t xml:space="preserve"> </w:t>
      </w:r>
      <w:r w:rsidRPr="00570E28">
        <w:rPr>
          <w:rFonts w:ascii="Times New Roman" w:hAnsi="Times New Roman" w:cs="Times New Roman"/>
          <w:spacing w:val="-10"/>
          <w:lang w:val="en-US"/>
        </w:rPr>
        <w:t>UN (</w:t>
      </w:r>
      <w:r w:rsidRPr="00570E28">
        <w:rPr>
          <w:rFonts w:ascii="Times New Roman" w:hAnsi="Times New Roman" w:cs="Times New Roman"/>
          <w:spacing w:val="-8"/>
          <w:lang w:val="en-US"/>
        </w:rPr>
        <w:t xml:space="preserve">Jan </w:t>
      </w:r>
      <w:r w:rsidRPr="00570E28">
        <w:rPr>
          <w:rFonts w:ascii="Times New Roman" w:hAnsi="Times New Roman" w:cs="Times New Roman"/>
          <w:spacing w:val="-10"/>
          <w:lang w:val="en-US"/>
        </w:rPr>
        <w:t xml:space="preserve">2026), “World Economic Situation and Prospects 2026”, </w:t>
      </w:r>
      <w:hyperlink r:id="rId2" w:history="1">
        <w:r w:rsidRPr="00570E28">
          <w:rPr>
            <w:rStyle w:val="Hyperlink"/>
            <w:rFonts w:ascii="Times New Roman" w:hAnsi="Times New Roman" w:cs="Times New Roman"/>
            <w:lang w:val="en-US"/>
          </w:rPr>
          <w:t>https://www.un.org/development/desa/dpad/publication/world-economic-situation-and-prospects-2025/</w:t>
        </w:r>
      </w:hyperlink>
      <w:r w:rsidRPr="00570E28">
        <w:rPr>
          <w:rFonts w:ascii="Times New Roman" w:hAnsi="Times New Roman" w:cs="Times New Roman"/>
          <w:lang w:val="en-US"/>
        </w:rPr>
        <w:t>, accessed 26 Mar 2026.</w:t>
      </w:r>
    </w:p>
  </w:footnote>
  <w:footnote w:id="4">
    <w:p w14:paraId="25CD793F" w14:textId="77777777" w:rsidR="007C1B13" w:rsidRPr="00570E28" w:rsidRDefault="007C1B13" w:rsidP="007C1B13">
      <w:pPr>
        <w:pStyle w:val="FootnoteText"/>
        <w:spacing w:after="40"/>
        <w:ind w:left="142" w:hanging="142"/>
        <w:rPr>
          <w:rFonts w:ascii="Times New Roman" w:hAnsi="Times New Roman" w:cs="Times New Roman"/>
          <w:lang w:val="en-US"/>
        </w:rPr>
      </w:pPr>
      <w:r w:rsidRPr="00570E28">
        <w:rPr>
          <w:rStyle w:val="FootnoteReference"/>
          <w:rFonts w:ascii="Times New Roman" w:eastAsiaTheme="majorEastAsia" w:hAnsi="Times New Roman"/>
          <w:lang w:val="en-US"/>
        </w:rPr>
        <w:footnoteRef/>
      </w:r>
      <w:r w:rsidRPr="00570E28">
        <w:rPr>
          <w:rFonts w:ascii="Times New Roman" w:hAnsi="Times New Roman" w:cs="Times New Roman"/>
          <w:lang w:val="en-US"/>
        </w:rPr>
        <w:t xml:space="preserve"> WB, tháng 01/2026, “Triển vọng kinh tế toàn cầu tháng 01/2026”, </w:t>
      </w:r>
      <w:hyperlink r:id="rId3" w:history="1">
        <w:r w:rsidRPr="00570E28">
          <w:rPr>
            <w:rStyle w:val="Hyperlink"/>
            <w:rFonts w:ascii="Times New Roman" w:hAnsi="Times New Roman" w:cs="Times New Roman"/>
            <w:lang w:val="en-US"/>
          </w:rPr>
          <w:t>https://www.worldbank.org/en/publication/global-economic-prospects</w:t>
        </w:r>
      </w:hyperlink>
      <w:r w:rsidRPr="00570E28">
        <w:rPr>
          <w:rFonts w:ascii="Times New Roman" w:hAnsi="Times New Roman" w:cs="Times New Roman"/>
          <w:lang w:val="en-US"/>
        </w:rPr>
        <w:t>, accessed 26 Mar 2026.</w:t>
      </w:r>
    </w:p>
  </w:footnote>
  <w:footnote w:id="5">
    <w:p w14:paraId="56B12413" w14:textId="348172C0" w:rsidR="007C1B13" w:rsidRPr="00570E28" w:rsidRDefault="007C1B13" w:rsidP="007C1B13">
      <w:pPr>
        <w:pStyle w:val="FootnoteText"/>
        <w:spacing w:after="40"/>
        <w:ind w:left="142" w:hanging="142"/>
        <w:jc w:val="both"/>
        <w:rPr>
          <w:rFonts w:ascii="Times New Roman" w:hAnsi="Times New Roman" w:cs="Times New Roman"/>
          <w:spacing w:val="-8"/>
          <w:lang w:val="en-US"/>
        </w:rPr>
      </w:pPr>
      <w:r w:rsidRPr="00570E28">
        <w:rPr>
          <w:rStyle w:val="FootnoteReference"/>
          <w:rFonts w:ascii="Times New Roman" w:eastAsiaTheme="majorEastAsia" w:hAnsi="Times New Roman"/>
          <w:lang w:val="en-US"/>
        </w:rPr>
        <w:footnoteRef/>
      </w:r>
      <w:r w:rsidRPr="00570E28">
        <w:rPr>
          <w:rFonts w:ascii="Times New Roman" w:hAnsi="Times New Roman" w:cs="Times New Roman"/>
          <w:lang w:val="en-US"/>
        </w:rPr>
        <w:t xml:space="preserve"> </w:t>
      </w:r>
      <w:r w:rsidRPr="00570E28">
        <w:rPr>
          <w:rFonts w:ascii="Times New Roman" w:hAnsi="Times New Roman" w:cs="Times New Roman"/>
          <w:spacing w:val="-8"/>
          <w:lang w:val="en-US"/>
        </w:rPr>
        <w:t>OECD (Mar 2026), “</w:t>
      </w:r>
      <w:r w:rsidRPr="00570E28">
        <w:rPr>
          <w:rFonts w:ascii="Times New Roman" w:hAnsi="Times New Roman" w:cs="Times New Roman"/>
          <w:spacing w:val="2"/>
          <w:lang w:val="en-US"/>
        </w:rPr>
        <w:t>OECD Economic Outlook, Interim Report March 2026 Testing Resilience</w:t>
      </w:r>
      <w:r w:rsidRPr="00570E28">
        <w:rPr>
          <w:rFonts w:ascii="Times New Roman" w:hAnsi="Times New Roman" w:cs="Times New Roman"/>
          <w:spacing w:val="-8"/>
          <w:lang w:val="en-US"/>
        </w:rPr>
        <w:t xml:space="preserve">”, </w:t>
      </w:r>
      <w:r w:rsidRPr="00570E28">
        <w:rPr>
          <w:rStyle w:val="Hyperlink"/>
          <w:rFonts w:ascii="Times New Roman" w:hAnsi="Times New Roman" w:cs="Times New Roman"/>
          <w:spacing w:val="-8"/>
          <w:lang w:val="en-US"/>
        </w:rPr>
        <w:t>https://www.oecd.org/en/publications/oecd-economic-outlook-interim-report-march-2026_d4623013-en.html</w:t>
      </w:r>
      <w:r w:rsidRPr="00570E28">
        <w:rPr>
          <w:rFonts w:ascii="Times New Roman" w:hAnsi="Times New Roman" w:cs="Times New Roman"/>
          <w:spacing w:val="-8"/>
          <w:lang w:val="en-US"/>
        </w:rPr>
        <w:t>, accessed</w:t>
      </w:r>
      <w:r w:rsidRPr="00570E28">
        <w:rPr>
          <w:rFonts w:ascii="Times New Roman" w:hAnsi="Times New Roman" w:cs="Times New Roman"/>
          <w:lang w:val="en-US"/>
        </w:rPr>
        <w:t xml:space="preserve"> 27 Mar 2026.</w:t>
      </w:r>
    </w:p>
  </w:footnote>
  <w:footnote w:id="6">
    <w:p w14:paraId="64C1E3F6" w14:textId="651C0458" w:rsidR="007C1B13" w:rsidRPr="00570E28" w:rsidRDefault="007C1B13" w:rsidP="007C1B13">
      <w:pPr>
        <w:pStyle w:val="FootnoteText"/>
        <w:spacing w:after="40"/>
        <w:ind w:left="142" w:hanging="142"/>
        <w:jc w:val="both"/>
        <w:rPr>
          <w:rFonts w:ascii="Times New Roman" w:hAnsi="Times New Roman" w:cs="Times New Roman"/>
          <w:spacing w:val="-8"/>
          <w:lang w:val="en-US"/>
        </w:rPr>
      </w:pPr>
      <w:r w:rsidRPr="00570E28">
        <w:rPr>
          <w:rStyle w:val="FootnoteReference"/>
          <w:rFonts w:ascii="Times New Roman" w:eastAsiaTheme="majorEastAsia" w:hAnsi="Times New Roman"/>
          <w:lang w:val="en-US"/>
        </w:rPr>
        <w:footnoteRef/>
      </w:r>
      <w:r w:rsidRPr="00570E28">
        <w:rPr>
          <w:rFonts w:ascii="Times New Roman" w:hAnsi="Times New Roman" w:cs="Times New Roman"/>
          <w:lang w:val="en-US"/>
        </w:rPr>
        <w:t xml:space="preserve"> </w:t>
      </w:r>
      <w:r w:rsidRPr="00570E28">
        <w:rPr>
          <w:rFonts w:ascii="Times New Roman" w:hAnsi="Times New Roman" w:cs="Times New Roman"/>
          <w:spacing w:val="-8"/>
          <w:lang w:val="en-US"/>
        </w:rPr>
        <w:t>FR (Mar 2026), “Global Economic Outlook - March 2026: Growth Continues Despite Geopolitical Shocks”,</w:t>
      </w:r>
      <w:r w:rsidRPr="00570E28">
        <w:rPr>
          <w:rFonts w:ascii="Times New Roman" w:hAnsi="Times New Roman" w:cs="Times New Roman"/>
          <w:lang w:val="en-US"/>
        </w:rPr>
        <w:t xml:space="preserve"> </w:t>
      </w:r>
      <w:hyperlink r:id="rId4" w:history="1">
        <w:r w:rsidRPr="00570E28">
          <w:rPr>
            <w:rStyle w:val="Hyperlink"/>
            <w:rFonts w:ascii="Times New Roman" w:hAnsi="Times New Roman" w:cs="Times New Roman"/>
            <w:lang w:val="en-US"/>
          </w:rPr>
          <w:t>https://www.fitchratings.com/research/sovereigns/global-economic-outlook-march-2026-11-03-202</w:t>
        </w:r>
      </w:hyperlink>
      <w:r w:rsidRPr="00570E28">
        <w:rPr>
          <w:rStyle w:val="Hyperlink"/>
          <w:rFonts w:ascii="Times New Roman" w:hAnsi="Times New Roman" w:cs="Times New Roman"/>
          <w:lang w:val="en-US"/>
        </w:rPr>
        <w:t>6</w:t>
      </w:r>
      <w:r w:rsidRPr="00570E28">
        <w:rPr>
          <w:rFonts w:ascii="Times New Roman" w:hAnsi="Times New Roman" w:cs="Times New Roman"/>
          <w:lang w:val="en-US"/>
        </w:rPr>
        <w:t>, accessed 26 Mar 2026.</w:t>
      </w:r>
    </w:p>
  </w:footnote>
  <w:footnote w:id="7">
    <w:p w14:paraId="2A4C6EB9" w14:textId="77777777" w:rsidR="007C1B13" w:rsidRPr="00570E28" w:rsidRDefault="007C1B13" w:rsidP="007C1B13">
      <w:pPr>
        <w:pStyle w:val="FootnoteText"/>
        <w:spacing w:after="40"/>
        <w:ind w:left="142" w:hanging="142"/>
        <w:jc w:val="both"/>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AMRO (Jan 2026), “Quarterly Update of the ASEAN+3 Regional Economic Outlook (AREO)”, </w:t>
      </w:r>
      <w:hyperlink r:id="rId5" w:history="1">
        <w:r w:rsidRPr="00570E28">
          <w:rPr>
            <w:rStyle w:val="Hyperlink"/>
            <w:rFonts w:ascii="Times New Roman" w:hAnsi="Times New Roman" w:cs="Times New Roman"/>
            <w:lang w:val="en-US"/>
          </w:rPr>
          <w:t>https://amro-</w:t>
        </w:r>
      </w:hyperlink>
      <w:r w:rsidRPr="00570E28">
        <w:rPr>
          <w:rStyle w:val="Hyperlink"/>
          <w:rFonts w:ascii="Times New Roman" w:hAnsi="Times New Roman" w:cs="Times New Roman"/>
          <w:lang w:val="en-US"/>
        </w:rPr>
        <w:t xml:space="preserve"> asia.org/asean3-regional-economic-outlook-areo/</w:t>
      </w:r>
      <w:r w:rsidRPr="00570E28">
        <w:rPr>
          <w:rFonts w:ascii="Times New Roman" w:hAnsi="Times New Roman" w:cs="Times New Roman"/>
          <w:lang w:val="en-US"/>
        </w:rPr>
        <w:t>, accessed 26 Mar 2026.</w:t>
      </w:r>
    </w:p>
  </w:footnote>
  <w:footnote w:id="8">
    <w:p w14:paraId="514084BD" w14:textId="77777777" w:rsidR="007C1B13" w:rsidRPr="00570E28" w:rsidRDefault="007C1B13" w:rsidP="007C1B13">
      <w:pPr>
        <w:spacing w:after="40" w:line="240" w:lineRule="auto"/>
        <w:ind w:left="142" w:hanging="142"/>
        <w:jc w:val="both"/>
        <w:rPr>
          <w:rFonts w:ascii="Times New Roman" w:hAnsi="Times New Roman" w:cs="Times New Roman"/>
          <w:spacing w:val="-4"/>
          <w:sz w:val="20"/>
          <w:szCs w:val="20"/>
          <w:lang w:val="en-US"/>
        </w:rPr>
      </w:pPr>
      <w:r w:rsidRPr="00570E28">
        <w:rPr>
          <w:rStyle w:val="FootnoteReference"/>
          <w:rFonts w:ascii="Times New Roman" w:hAnsi="Times New Roman"/>
          <w:sz w:val="20"/>
          <w:szCs w:val="20"/>
          <w:lang w:val="en-US"/>
        </w:rPr>
        <w:footnoteRef/>
      </w:r>
      <w:r w:rsidRPr="00570E28">
        <w:rPr>
          <w:rFonts w:ascii="Times New Roman" w:hAnsi="Times New Roman" w:cs="Times New Roman"/>
          <w:sz w:val="20"/>
          <w:szCs w:val="20"/>
          <w:lang w:val="en-US"/>
        </w:rPr>
        <w:t xml:space="preserve"> WB, UN, and AMRO forecasted Viet Nam’s 2026 growth at 6.3%, 6.0%, and 7.6%, respectively.</w:t>
      </w:r>
    </w:p>
  </w:footnote>
  <w:footnote w:id="9">
    <w:p w14:paraId="0F7D6DAE" w14:textId="77777777" w:rsidR="00F52035" w:rsidRPr="00570E28" w:rsidRDefault="00F52035" w:rsidP="00F52035">
      <w:pPr>
        <w:pStyle w:val="FootnoteText"/>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From Q1 2026, GDP is calculated at constant 2020 prices.</w:t>
      </w:r>
    </w:p>
  </w:footnote>
  <w:footnote w:id="10">
    <w:p w14:paraId="01767ECC" w14:textId="77777777" w:rsidR="00F52035" w:rsidRPr="00570E28" w:rsidRDefault="00F52035" w:rsidP="00F52035">
      <w:pPr>
        <w:pStyle w:val="FootnoteText"/>
        <w:ind w:left="198" w:hanging="198"/>
        <w:jc w:val="both"/>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The corresponding structure for the same period in 2025 was 11.50%, 36.50%, 43.40%, and 8.60%, respectively</w:t>
      </w:r>
    </w:p>
  </w:footnote>
  <w:footnote w:id="11">
    <w:p w14:paraId="4F112F3C" w14:textId="77777777" w:rsidR="002B413A" w:rsidRPr="00570E28" w:rsidRDefault="002B413A" w:rsidP="002B413A">
      <w:pPr>
        <w:pStyle w:val="FootnoteText"/>
        <w:spacing w:before="60"/>
        <w:ind w:left="198" w:hanging="198"/>
        <w:jc w:val="both"/>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w:t>
      </w:r>
      <w:r w:rsidRPr="00570E28">
        <w:rPr>
          <w:lang w:val="en-US"/>
        </w:rPr>
        <w:t xml:space="preserve"> </w:t>
      </w:r>
      <w:r w:rsidRPr="00570E28">
        <w:rPr>
          <w:rFonts w:ascii="Times New Roman" w:hAnsi="Times New Roman" w:cs="Times New Roman"/>
          <w:lang w:val="en-US"/>
        </w:rPr>
        <w:t>Scattered trees saw a decrease as localities adjusted their forestry plans, prioritizing the restoration of forest areas affected by storms at the end of 2025.</w:t>
      </w:r>
    </w:p>
  </w:footnote>
  <w:footnote w:id="12">
    <w:p w14:paraId="614DE790" w14:textId="77777777" w:rsidR="002B413A" w:rsidRPr="00570E28" w:rsidRDefault="002B413A" w:rsidP="002B413A">
      <w:pPr>
        <w:pStyle w:val="FootnoteText"/>
        <w:spacing w:before="60"/>
        <w:ind w:left="198" w:hanging="198"/>
        <w:jc w:val="both"/>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The figures released by Ministry of Agriculture and Environment as of March 15, 2025.</w:t>
      </w:r>
    </w:p>
  </w:footnote>
  <w:footnote w:id="13">
    <w:p w14:paraId="2CD63C71" w14:textId="28DBD0A0" w:rsidR="002807C7" w:rsidRPr="00570E28" w:rsidRDefault="002807C7" w:rsidP="00CF0D7E">
      <w:pPr>
        <w:pStyle w:val="FootnoteText"/>
        <w:spacing w:after="40"/>
        <w:ind w:left="198" w:hanging="198"/>
        <w:jc w:val="both"/>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w:t>
      </w:r>
      <w:r w:rsidR="00D86A11" w:rsidRPr="00570E28">
        <w:rPr>
          <w:rFonts w:ascii="Times New Roman" w:hAnsi="Times New Roman" w:cs="Times New Roman"/>
          <w:lang w:val="en-US"/>
        </w:rPr>
        <w:t>The IIP in the first quarter during the period 2020 to 2026 compared with the same period last year were: 5,6%; 5,7%; 6,8%; -2,6%; 5,9%; 8,3%; 9,0% respectively</w:t>
      </w:r>
      <w:r w:rsidRPr="00570E28">
        <w:rPr>
          <w:rFonts w:ascii="Times New Roman" w:hAnsi="Times New Roman" w:cs="Times New Roman"/>
          <w:lang w:val="en-US"/>
        </w:rPr>
        <w:t>.</w:t>
      </w:r>
    </w:p>
  </w:footnote>
  <w:footnote w:id="14">
    <w:p w14:paraId="32AE3C77" w14:textId="65F569A2" w:rsidR="004A28D8" w:rsidRPr="00570E28" w:rsidRDefault="004A28D8" w:rsidP="004A28D8">
      <w:pPr>
        <w:pStyle w:val="FootnoteText"/>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w:t>
      </w:r>
      <w:r w:rsidR="0086573F" w:rsidRPr="00570E28">
        <w:rPr>
          <w:rFonts w:ascii="Times New Roman" w:hAnsi="Times New Roman" w:cs="Times New Roman"/>
          <w:lang w:val="en-US"/>
        </w:rPr>
        <w:t>The number of working days in March was 7 days more than in the previous month.</w:t>
      </w:r>
    </w:p>
  </w:footnote>
  <w:footnote w:id="15">
    <w:p w14:paraId="61503216" w14:textId="77777777" w:rsidR="00901821" w:rsidRPr="00570E28" w:rsidRDefault="00901821" w:rsidP="00901821">
      <w:pPr>
        <w:pStyle w:val="FootnoteText"/>
        <w:spacing w:after="40"/>
        <w:ind w:left="198" w:hanging="198"/>
        <w:jc w:val="both"/>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Of which, the additional registered capital of active enterprises </w:t>
      </w:r>
      <w:r w:rsidRPr="00570E28">
        <w:rPr>
          <w:rFonts w:ascii="Times New Roman" w:hAnsi="Times New Roman" w:cs="Times New Roman"/>
          <w:spacing w:val="-2"/>
          <w:lang w:val="en-US"/>
        </w:rPr>
        <w:t>in the first quarter of 2026 reached over 777.4 trillion VND (</w:t>
      </w:r>
      <w:r w:rsidRPr="00570E28">
        <w:rPr>
          <w:rFonts w:ascii="Times New Roman" w:hAnsi="Times New Roman" w:cs="Times New Roman"/>
          <w:lang w:val="en-US"/>
        </w:rPr>
        <w:t>a -year-on-year</w:t>
      </w:r>
      <w:r w:rsidRPr="00570E28">
        <w:rPr>
          <w:rFonts w:ascii="Times New Roman" w:hAnsi="Times New Roman" w:cs="Times New Roman"/>
          <w:spacing w:val="-2"/>
          <w:lang w:val="en-US"/>
        </w:rPr>
        <w:t xml:space="preserve"> decrease of 24.5%).</w:t>
      </w:r>
    </w:p>
  </w:footnote>
  <w:footnote w:id="16">
    <w:p w14:paraId="5C9E4F4E" w14:textId="77777777" w:rsidR="00901821" w:rsidRPr="00570E28" w:rsidRDefault="00901821" w:rsidP="00901821">
      <w:pPr>
        <w:pStyle w:val="FootnoteText"/>
        <w:spacing w:after="40"/>
        <w:ind w:left="198" w:hanging="198"/>
        <w:jc w:val="both"/>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Corresponding index for Q4/2025: 35.2% of </w:t>
      </w:r>
      <w:r w:rsidRPr="00570E28">
        <w:rPr>
          <w:rFonts w:ascii="Times New Roman" w:hAnsi="Times New Roman" w:cs="Times New Roman"/>
          <w:spacing w:val="-2"/>
          <w:lang w:val="en-US"/>
        </w:rPr>
        <w:t xml:space="preserve">enterprises </w:t>
      </w:r>
      <w:r w:rsidRPr="00570E28">
        <w:rPr>
          <w:rFonts w:ascii="Times New Roman" w:hAnsi="Times New Roman" w:cs="Times New Roman"/>
          <w:lang w:val="en-US"/>
        </w:rPr>
        <w:t xml:space="preserve">assessed better than the Q3/2025; 43.9% of </w:t>
      </w:r>
      <w:r w:rsidRPr="00570E28">
        <w:rPr>
          <w:rFonts w:ascii="Times New Roman" w:hAnsi="Times New Roman" w:cs="Times New Roman"/>
          <w:spacing w:val="-2"/>
          <w:lang w:val="en-US"/>
        </w:rPr>
        <w:t>enterprises</w:t>
      </w:r>
      <w:r w:rsidRPr="00570E28">
        <w:rPr>
          <w:rFonts w:ascii="Times New Roman" w:hAnsi="Times New Roman" w:cs="Times New Roman"/>
          <w:lang w:val="en-US"/>
        </w:rPr>
        <w:t xml:space="preserve"> said that the production and business situation was stable, and 20.9% of enterprises faced difficulties.</w:t>
      </w:r>
    </w:p>
  </w:footnote>
  <w:footnote w:id="17">
    <w:p w14:paraId="662B31F8" w14:textId="77777777" w:rsidR="005A6D9D" w:rsidRPr="00570E28" w:rsidRDefault="005A6D9D" w:rsidP="005A6D9D">
      <w:pPr>
        <w:pStyle w:val="FootnoteText"/>
        <w:tabs>
          <w:tab w:val="right" w:pos="8845"/>
        </w:tabs>
        <w:spacing w:after="40"/>
        <w:ind w:left="198" w:hanging="198"/>
        <w:jc w:val="both"/>
        <w:rPr>
          <w:rFonts w:ascii="Times New Roman" w:hAnsi="Times New Roman" w:cs="Times New Roman"/>
          <w:spacing w:val="-2"/>
          <w:lang w:val="en-US"/>
        </w:rPr>
      </w:pPr>
      <w:r w:rsidRPr="00570E28">
        <w:rPr>
          <w:rStyle w:val="FootnoteReference"/>
          <w:rFonts w:ascii="Times New Roman" w:hAnsi="Times New Roman"/>
          <w:spacing w:val="-2"/>
          <w:lang w:val="en-US"/>
        </w:rPr>
        <w:footnoteRef/>
      </w:r>
      <w:r w:rsidRPr="00570E28">
        <w:rPr>
          <w:rFonts w:ascii="Times New Roman" w:hAnsi="Times New Roman" w:cs="Times New Roman"/>
          <w:spacing w:val="-2"/>
          <w:lang w:val="en-US"/>
        </w:rPr>
        <w:t>Corresponding index of the Q4/2025: 36.8% of enterprises assessed production volume in the Q4/2025 increased compared to the Q3/2025; 41.9% of enterprises said it was stable, and 21.3% of enterprises assessed that production volume decreased.</w:t>
      </w:r>
    </w:p>
  </w:footnote>
  <w:footnote w:id="18">
    <w:p w14:paraId="66DAD0BA" w14:textId="77777777" w:rsidR="005A6D9D" w:rsidRPr="00570E28" w:rsidRDefault="005A6D9D" w:rsidP="005A6D9D">
      <w:pPr>
        <w:pStyle w:val="FootnoteText"/>
        <w:spacing w:after="40"/>
        <w:ind w:left="198" w:hanging="198"/>
        <w:jc w:val="both"/>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Corresponding index of the Q4/2025: 33.8% of enterprises had more orders in the</w:t>
      </w:r>
      <w:r w:rsidRPr="00570E28" w:rsidDel="00B9558C">
        <w:rPr>
          <w:rFonts w:ascii="Times New Roman" w:hAnsi="Times New Roman" w:cs="Times New Roman"/>
          <w:lang w:val="en-US"/>
        </w:rPr>
        <w:t xml:space="preserve"> </w:t>
      </w:r>
      <w:r w:rsidRPr="00570E28">
        <w:rPr>
          <w:rFonts w:ascii="Times New Roman" w:hAnsi="Times New Roman" w:cs="Times New Roman"/>
          <w:lang w:val="en-US"/>
        </w:rPr>
        <w:t>Q4/2025 than in the Q3/2025; 45.5% of enterprises had stable orders, and 20.7% of enterprises had fewer orders.</w:t>
      </w:r>
    </w:p>
  </w:footnote>
  <w:footnote w:id="19">
    <w:p w14:paraId="61D10402" w14:textId="77777777" w:rsidR="00DE4803" w:rsidRPr="00570E28" w:rsidRDefault="00DE4803" w:rsidP="00DE4803">
      <w:pPr>
        <w:pStyle w:val="FootnoteText"/>
        <w:ind w:left="198" w:hanging="198"/>
        <w:jc w:val="both"/>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Including: newly registered capital, adjusting registered capital, and capital contribution and purchasing shares by foreign investors.</w:t>
      </w:r>
    </w:p>
  </w:footnote>
  <w:footnote w:id="20">
    <w:p w14:paraId="2A93B8EA" w14:textId="4A7BE004" w:rsidR="00DE4803" w:rsidRPr="00570E28" w:rsidRDefault="00DE4803" w:rsidP="00DE4803">
      <w:pPr>
        <w:pStyle w:val="FootnoteText"/>
        <w:spacing w:after="40"/>
        <w:ind w:left="198" w:hanging="198"/>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According to the report of the Foreign Investment Agency, Ministry of Finance, received on April </w:t>
      </w:r>
      <w:r w:rsidR="008E33F6" w:rsidRPr="00570E28">
        <w:rPr>
          <w:rFonts w:ascii="Times New Roman" w:hAnsi="Times New Roman" w:cs="Times New Roman"/>
          <w:lang w:val="en-US"/>
        </w:rPr>
        <w:t>2</w:t>
      </w:r>
      <w:r w:rsidR="008E33F6" w:rsidRPr="00570E28">
        <w:rPr>
          <w:rFonts w:ascii="Times New Roman" w:hAnsi="Times New Roman" w:cs="Times New Roman"/>
          <w:vertAlign w:val="superscript"/>
          <w:lang w:val="en-US"/>
        </w:rPr>
        <w:t>nd</w:t>
      </w:r>
      <w:r w:rsidR="008E33F6" w:rsidRPr="00570E28">
        <w:rPr>
          <w:rFonts w:ascii="Times New Roman" w:hAnsi="Times New Roman" w:cs="Times New Roman"/>
          <w:lang w:val="en-US"/>
        </w:rPr>
        <w:t>,</w:t>
      </w:r>
      <w:r w:rsidRPr="00570E28">
        <w:rPr>
          <w:rFonts w:ascii="Times New Roman" w:hAnsi="Times New Roman" w:cs="Times New Roman"/>
          <w:lang w:val="en-US"/>
        </w:rPr>
        <w:t xml:space="preserve"> 2026.</w:t>
      </w:r>
    </w:p>
  </w:footnote>
  <w:footnote w:id="21">
    <w:p w14:paraId="1F9F9A4A" w14:textId="77777777" w:rsidR="00E22CCE" w:rsidRPr="00570E28" w:rsidRDefault="00E22CCE" w:rsidP="00E22CCE">
      <w:pPr>
        <w:spacing w:after="40" w:line="240" w:lineRule="auto"/>
        <w:ind w:left="198" w:hanging="198"/>
        <w:jc w:val="both"/>
        <w:rPr>
          <w:rFonts w:ascii="Times New Roman" w:hAnsi="Times New Roman" w:cs="Times New Roman"/>
          <w:sz w:val="20"/>
          <w:szCs w:val="20"/>
          <w:lang w:val="en-US"/>
        </w:rPr>
      </w:pPr>
      <w:r w:rsidRPr="00570E28">
        <w:rPr>
          <w:rStyle w:val="FootnoteReference"/>
          <w:rFonts w:ascii="Times New Roman" w:hAnsi="Times New Roman"/>
          <w:sz w:val="20"/>
          <w:szCs w:val="20"/>
          <w:lang w:val="en-US"/>
        </w:rPr>
        <w:footnoteRef/>
      </w:r>
      <w:r w:rsidRPr="00570E28">
        <w:rPr>
          <w:rFonts w:ascii="Times New Roman" w:hAnsi="Times New Roman"/>
          <w:sz w:val="20"/>
          <w:lang w:val="en-US"/>
        </w:rPr>
        <w:t xml:space="preserve"> Data received from the State Budget Department - Ministry of Finance on March 31</w:t>
      </w:r>
      <w:r w:rsidRPr="00570E28">
        <w:rPr>
          <w:rFonts w:ascii="Times New Roman" w:hAnsi="Times New Roman"/>
          <w:sz w:val="20"/>
          <w:vertAlign w:val="superscript"/>
          <w:lang w:val="en-US"/>
        </w:rPr>
        <w:t>st</w:t>
      </w:r>
      <w:r w:rsidRPr="00570E28">
        <w:rPr>
          <w:rFonts w:ascii="Times New Roman" w:hAnsi="Times New Roman"/>
          <w:sz w:val="20"/>
          <w:lang w:val="en-US"/>
        </w:rPr>
        <w:t>, 2026.</w:t>
      </w:r>
    </w:p>
  </w:footnote>
  <w:footnote w:id="22">
    <w:p w14:paraId="48EEC01B" w14:textId="77777777" w:rsidR="00E22CCE" w:rsidRPr="00570E28" w:rsidRDefault="00E22CCE" w:rsidP="00E22CCE">
      <w:pPr>
        <w:pStyle w:val="FootnoteText"/>
        <w:spacing w:after="40"/>
        <w:ind w:left="198" w:hanging="198"/>
        <w:jc w:val="both"/>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lang w:val="en-US"/>
        </w:rPr>
        <w:t xml:space="preserve"> During the Q1 2026, oversight of tax registration, declaration, payment, and refunds was significantly strengthened. Authorities stepped up tax collection and anti-evasion measures within the e-commerce sector, while ensuring the timely remittance of emerging revenues into the State budget. Simultaneously, tax, fee, and charge exemption and reduction policies continued to be implemented to alleviate hardships for businesses and citizens, supporting the recovery and socio-economic development. </w:t>
      </w:r>
    </w:p>
  </w:footnote>
  <w:footnote w:id="23">
    <w:p w14:paraId="0A4CB7A2" w14:textId="77777777" w:rsidR="00E22CCE" w:rsidRPr="00570E28" w:rsidRDefault="00E22CCE" w:rsidP="00E22CCE">
      <w:pPr>
        <w:pStyle w:val="FootnoteText"/>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lang w:val="en-US"/>
        </w:rPr>
        <w:t xml:space="preserve"> Brent crude oil prices were hovering around 107 USD per barrel, while WTI crude was at approximately 101 USD per barrel.</w:t>
      </w:r>
    </w:p>
  </w:footnote>
  <w:footnote w:id="24">
    <w:p w14:paraId="34E3993A" w14:textId="77777777" w:rsidR="00A906C2" w:rsidRPr="00570E28" w:rsidRDefault="00A906C2" w:rsidP="00A906C2">
      <w:pPr>
        <w:pStyle w:val="FootnoteText"/>
        <w:ind w:left="142" w:hanging="142"/>
        <w:jc w:val="both"/>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The value of export turnover was calculated at F.O.B price and import turnover was calculated at C.I.F price (including transportation and insurance costs of imported goods).</w:t>
      </w:r>
    </w:p>
  </w:footnote>
  <w:footnote w:id="25">
    <w:p w14:paraId="1A7A0730" w14:textId="77777777" w:rsidR="00A906C2" w:rsidRPr="00570E28" w:rsidRDefault="00A906C2" w:rsidP="00A906C2">
      <w:pPr>
        <w:pStyle w:val="FootnoteText"/>
        <w:spacing w:before="20" w:after="20"/>
        <w:jc w:val="both"/>
        <w:rPr>
          <w:rFonts w:asciiTheme="minorHAnsi" w:eastAsiaTheme="minorHAnsi" w:hAnsiTheme="minorHAnsi" w:cstheme="minorBidi"/>
          <w:bCs/>
          <w:lang w:val="en-US"/>
        </w:rPr>
      </w:pPr>
      <w:r w:rsidRPr="00570E28">
        <w:rPr>
          <w:rStyle w:val="FootnoteReference"/>
          <w:lang w:val="en-US"/>
        </w:rPr>
        <w:footnoteRef/>
      </w:r>
      <w:r w:rsidRPr="00570E28">
        <w:rPr>
          <w:lang w:val="en-US"/>
        </w:rPr>
        <w:t xml:space="preserve"> </w:t>
      </w:r>
      <w:r w:rsidRPr="00570E28">
        <w:rPr>
          <w:rFonts w:ascii="Times New Roman" w:hAnsi="Times New Roman" w:cs="Times New Roman"/>
          <w:lang w:val="en-US"/>
        </w:rPr>
        <w:t>Total import and export turnover of goods in the first quarter of 2025 reached 202.89 billion USD, a year-on-year increase of 13.8%, of which export reached 103.23 billion USD, an expansion of 11.0%; import gained 99.66 billion USD, a surge of 17.0%.</w:t>
      </w:r>
    </w:p>
  </w:footnote>
  <w:footnote w:id="26">
    <w:p w14:paraId="567269FE" w14:textId="77777777" w:rsidR="00A906C2" w:rsidRPr="00570E28" w:rsidRDefault="00A906C2" w:rsidP="00A906C2">
      <w:pPr>
        <w:pStyle w:val="FootnoteText"/>
        <w:rPr>
          <w:lang w:val="en-US"/>
        </w:rPr>
      </w:pPr>
      <w:r w:rsidRPr="00570E28">
        <w:rPr>
          <w:rFonts w:ascii="Times New Roman" w:hAnsi="Times New Roman"/>
          <w:spacing w:val="-2"/>
          <w:lang w:val="en-US"/>
        </w:rPr>
        <w:footnoteRef/>
      </w:r>
      <w:r w:rsidRPr="00570E28">
        <w:rPr>
          <w:rFonts w:ascii="Times New Roman" w:hAnsi="Times New Roman" w:cs="Times New Roman"/>
          <w:spacing w:val="-2"/>
          <w:lang w:val="en-US"/>
        </w:rPr>
        <w:t xml:space="preserve"> The year-on-year increase in CPI in March was 2.41%; 3.35%; 3.97%; 3.13%; 4.65% in 2022; 2023; 2024; 2025; and 2026, respectively</w:t>
      </w:r>
      <w:r w:rsidRPr="00570E28">
        <w:rPr>
          <w:lang w:val="en-US"/>
        </w:rPr>
        <w:t>.</w:t>
      </w:r>
    </w:p>
  </w:footnote>
  <w:footnote w:id="27">
    <w:p w14:paraId="7E591FE5" w14:textId="77777777" w:rsidR="00A906C2" w:rsidRPr="00570E28" w:rsidRDefault="00A906C2" w:rsidP="00A906C2">
      <w:pPr>
        <w:pStyle w:val="FootnoteText"/>
        <w:jc w:val="both"/>
        <w:rPr>
          <w:lang w:val="en-US"/>
        </w:rPr>
      </w:pPr>
      <w:r w:rsidRPr="00570E28">
        <w:rPr>
          <w:rStyle w:val="FootnoteReference"/>
          <w:lang w:val="en-US"/>
        </w:rPr>
        <w:footnoteRef/>
      </w:r>
      <w:r w:rsidRPr="00570E28">
        <w:rPr>
          <w:lang w:val="en-US"/>
        </w:rPr>
        <w:t xml:space="preserve"> </w:t>
      </w:r>
      <w:r w:rsidRPr="00570E28">
        <w:rPr>
          <w:rFonts w:ascii="Times New Roman" w:hAnsi="Times New Roman" w:cs="Times New Roman"/>
          <w:lang w:val="en-US"/>
        </w:rPr>
        <w:t>The CPI after excluding the prices of fresh food, foodstuff, energy, and State-managed goods, which include healthcare and education services</w:t>
      </w:r>
      <w:r w:rsidRPr="00570E28">
        <w:rPr>
          <w:lang w:val="en-US"/>
        </w:rPr>
        <w:t xml:space="preserve">.  </w:t>
      </w:r>
    </w:p>
  </w:footnote>
  <w:footnote w:id="28">
    <w:p w14:paraId="3C29803D" w14:textId="77777777" w:rsidR="00A906C2" w:rsidRPr="00570E28" w:rsidRDefault="00A906C2" w:rsidP="00A906C2">
      <w:pPr>
        <w:pStyle w:val="FootnoteText"/>
        <w:rPr>
          <w:rFonts w:ascii="Times New Roman" w:hAnsi="Times New Roman" w:cs="Times New Roman"/>
          <w:lang w:val="en-US"/>
        </w:rPr>
      </w:pPr>
      <w:r w:rsidRPr="00570E28">
        <w:rPr>
          <w:rFonts w:ascii="Times New Roman" w:hAnsi="Times New Roman"/>
          <w:lang w:val="en-US"/>
        </w:rPr>
        <w:footnoteRef/>
      </w:r>
      <w:r w:rsidRPr="00570E28">
        <w:rPr>
          <w:rFonts w:ascii="Times New Roman" w:hAnsi="Times New Roman" w:cs="Times New Roman"/>
          <w:lang w:val="en-US"/>
        </w:rPr>
        <w:t xml:space="preserve"> Merchandise export price index compared to merchandise import price index</w:t>
      </w:r>
    </w:p>
  </w:footnote>
  <w:footnote w:id="29">
    <w:p w14:paraId="1F297B4E" w14:textId="77777777" w:rsidR="00A906C2" w:rsidRPr="00570E28" w:rsidRDefault="00A906C2" w:rsidP="00A906C2">
      <w:pPr>
        <w:pStyle w:val="FootnoteText"/>
        <w:rPr>
          <w:lang w:val="en-US"/>
        </w:rPr>
      </w:pPr>
      <w:r w:rsidRPr="00570E28">
        <w:rPr>
          <w:rStyle w:val="FootnoteReference"/>
          <w:lang w:val="en-US"/>
        </w:rPr>
        <w:footnoteRef/>
      </w:r>
      <w:r w:rsidRPr="00570E28">
        <w:rPr>
          <w:lang w:val="en-US"/>
        </w:rPr>
        <w:t xml:space="preserve"> </w:t>
      </w:r>
      <w:r w:rsidRPr="00570E28">
        <w:rPr>
          <w:rFonts w:ascii="Times New Roman" w:hAnsi="Times New Roman" w:cs="Times New Roman"/>
          <w:shd w:val="clear" w:color="auto" w:fill="FFFFFF"/>
          <w:lang w:val="en-US"/>
        </w:rPr>
        <w:t>Underemployed persons at working age consist of employed persons who want to work overtime; are willing to work overtime; and actually work less than 35 hours per week.</w:t>
      </w:r>
    </w:p>
  </w:footnote>
  <w:footnote w:id="30">
    <w:p w14:paraId="156C1C55" w14:textId="77777777" w:rsidR="00A906C2" w:rsidRPr="00570E28" w:rsidRDefault="00A906C2" w:rsidP="00A906C2">
      <w:pPr>
        <w:pStyle w:val="FootnoteText"/>
        <w:rPr>
          <w:lang w:val="en-US"/>
        </w:rPr>
      </w:pPr>
      <w:r w:rsidRPr="00570E28">
        <w:rPr>
          <w:rStyle w:val="FootnoteReference"/>
          <w:lang w:val="en-US"/>
        </w:rPr>
        <w:footnoteRef/>
      </w:r>
      <w:r w:rsidRPr="00570E28">
        <w:rPr>
          <w:lang w:val="en-US"/>
        </w:rPr>
        <w:t xml:space="preserve"> </w:t>
      </w:r>
      <w:r w:rsidRPr="00570E28">
        <w:rPr>
          <w:rFonts w:ascii="Times New Roman" w:hAnsi="Times New Roman" w:cs="Times New Roman"/>
          <w:lang w:val="en-US"/>
        </w:rPr>
        <w:t>Unemployed persons are persons aged 15 and over, who simultaneously meet three criteria during the reference period: currently without work, seeking work and available for work. The unemployment rate expresses the percentage of unemployed persons in the labour force.</w:t>
      </w:r>
    </w:p>
  </w:footnote>
  <w:footnote w:id="31">
    <w:p w14:paraId="6F8796CF" w14:textId="77777777" w:rsidR="00A906C2" w:rsidRPr="00570E28" w:rsidRDefault="00A906C2" w:rsidP="00A906C2">
      <w:pPr>
        <w:pStyle w:val="FootnoteText"/>
        <w:rPr>
          <w:rFonts w:ascii="Times New Roman" w:hAnsi="Times New Roman" w:cs="Times New Roman"/>
          <w:lang w:val="en-US"/>
        </w:rPr>
      </w:pPr>
      <w:r w:rsidRPr="00570E28">
        <w:rPr>
          <w:rStyle w:val="FootnoteReference"/>
          <w:lang w:val="en-US"/>
        </w:rPr>
        <w:footnoteRef/>
      </w:r>
      <w:r w:rsidRPr="00570E28">
        <w:rPr>
          <w:lang w:val="en-US"/>
        </w:rPr>
        <w:t xml:space="preserve"> </w:t>
      </w:r>
      <w:r w:rsidRPr="00570E28">
        <w:rPr>
          <w:rFonts w:ascii="Times New Roman" w:hAnsi="Times New Roman" w:cs="Times New Roman"/>
          <w:lang w:val="en-US"/>
        </w:rPr>
        <w:t>The urban unemployment rates at working age in the first quarter for the 2022-2026 period were 2.88%, 2.66%, 2.64%, 2.38%, and 2.46%, respectively.</w:t>
      </w:r>
    </w:p>
  </w:footnote>
  <w:footnote w:id="32">
    <w:p w14:paraId="3FB16A4D" w14:textId="77777777" w:rsidR="00A906C2" w:rsidRPr="00570E28" w:rsidRDefault="00A906C2" w:rsidP="00A906C2">
      <w:pPr>
        <w:pStyle w:val="FootnoteText"/>
        <w:rPr>
          <w:lang w:val="en-US"/>
        </w:rPr>
      </w:pPr>
      <w:r w:rsidRPr="00570E28">
        <w:rPr>
          <w:rStyle w:val="FootnoteReference"/>
          <w:lang w:val="en-US"/>
        </w:rPr>
        <w:footnoteRef/>
      </w:r>
      <w:r w:rsidRPr="00570E28">
        <w:rPr>
          <w:lang w:val="en-US"/>
        </w:rPr>
        <w:t xml:space="preserve"> </w:t>
      </w:r>
      <w:r w:rsidRPr="00570E28">
        <w:rPr>
          <w:rFonts w:ascii="Times New Roman" w:hAnsi="Times New Roman" w:cs="Times New Roman"/>
          <w:lang w:val="en-US"/>
        </w:rPr>
        <w:t>The labour with unmet need for employment (also known as underutilized labour) includes the unemployed, the underemployed, and a group outside the labour force who are available for work but not seeking, or seeking but not currently available to start immediately. The labour underutilization rate is the ratio of the labour force with unmet need for employment to the total labour force that is in need of working in the economy.</w:t>
      </w:r>
    </w:p>
  </w:footnote>
  <w:footnote w:id="33">
    <w:p w14:paraId="1447E36B" w14:textId="77777777" w:rsidR="00A906C2" w:rsidRPr="00570E28" w:rsidRDefault="00A906C2" w:rsidP="00A906C2">
      <w:pPr>
        <w:pStyle w:val="FootnoteText"/>
        <w:rPr>
          <w:lang w:val="en-US"/>
        </w:rPr>
      </w:pPr>
      <w:r w:rsidRPr="00570E28">
        <w:rPr>
          <w:rStyle w:val="FootnoteReference"/>
          <w:lang w:val="en-US"/>
        </w:rPr>
        <w:footnoteRef/>
      </w:r>
      <w:r w:rsidRPr="00570E28">
        <w:rPr>
          <w:lang w:val="en-US"/>
        </w:rPr>
        <w:t xml:space="preserve"> </w:t>
      </w:r>
      <w:r w:rsidRPr="00570E28">
        <w:rPr>
          <w:rFonts w:ascii="Times New Roman" w:hAnsi="Times New Roman" w:cs="Times New Roman"/>
          <w:lang w:val="en-US"/>
        </w:rPr>
        <w:t>According to summary reports from localities, from the beginning of the year to date</w:t>
      </w:r>
    </w:p>
  </w:footnote>
  <w:footnote w:id="34">
    <w:p w14:paraId="24EC3260" w14:textId="77777777" w:rsidR="00A906C2" w:rsidRPr="00570E28" w:rsidRDefault="00A906C2" w:rsidP="00A906C2">
      <w:pPr>
        <w:pStyle w:val="FootnoteText"/>
        <w:rPr>
          <w:lang w:val="en-US"/>
        </w:rPr>
      </w:pPr>
      <w:r w:rsidRPr="00570E28">
        <w:rPr>
          <w:rStyle w:val="FootnoteReference"/>
          <w:lang w:val="en-US"/>
        </w:rPr>
        <w:footnoteRef/>
      </w:r>
      <w:r w:rsidRPr="00570E28">
        <w:rPr>
          <w:lang w:val="en-US"/>
        </w:rPr>
        <w:t xml:space="preserve"> </w:t>
      </w:r>
      <w:r w:rsidRPr="00570E28">
        <w:rPr>
          <w:rFonts w:ascii="Times New Roman" w:hAnsi="Times New Roman" w:cs="Times New Roman"/>
          <w:lang w:val="en-US"/>
        </w:rPr>
        <w:t>According to Notice No. 36/TB-VPCP dated January 20</w:t>
      </w:r>
      <w:r w:rsidRPr="00570E28">
        <w:rPr>
          <w:rFonts w:ascii="Times New Roman" w:hAnsi="Times New Roman" w:cs="Times New Roman"/>
          <w:vertAlign w:val="superscript"/>
          <w:lang w:val="en-US"/>
        </w:rPr>
        <w:t>th</w:t>
      </w:r>
      <w:r w:rsidRPr="00570E28">
        <w:rPr>
          <w:rFonts w:ascii="Times New Roman" w:hAnsi="Times New Roman" w:cs="Times New Roman"/>
          <w:lang w:val="en-US"/>
        </w:rPr>
        <w:t>, 2026, issued by the Government Office.</w:t>
      </w:r>
    </w:p>
  </w:footnote>
  <w:footnote w:id="35">
    <w:p w14:paraId="145550B0" w14:textId="77777777" w:rsidR="00A906C2" w:rsidRPr="00570E28" w:rsidRDefault="00A906C2" w:rsidP="00A906C2">
      <w:pPr>
        <w:pStyle w:val="FootnoteText"/>
        <w:rPr>
          <w:rFonts w:ascii="Times New Roman" w:hAnsi="Times New Roman" w:cs="Times New Roman"/>
          <w:lang w:val="en-US"/>
        </w:rPr>
      </w:pPr>
      <w:r w:rsidRPr="00570E28">
        <w:rPr>
          <w:rStyle w:val="FootnoteReference"/>
          <w:lang w:val="en-US"/>
        </w:rPr>
        <w:footnoteRef/>
      </w:r>
      <w:r w:rsidRPr="00570E28">
        <w:rPr>
          <w:lang w:val="en-US"/>
        </w:rPr>
        <w:t xml:space="preserve"> </w:t>
      </w:r>
      <w:r w:rsidRPr="00570E28">
        <w:rPr>
          <w:rFonts w:ascii="Times New Roman" w:hAnsi="Times New Roman" w:cs="Times New Roman"/>
          <w:lang w:val="en-US"/>
        </w:rPr>
        <w:t>https://laodong.vn/thoi-su/229-truong-pho-thong-noi-tru-lien-cap-cac-xa-bien-gioi-da-duoc-khoi-cong-1671354.ldo</w:t>
      </w:r>
    </w:p>
  </w:footnote>
  <w:footnote w:id="36">
    <w:p w14:paraId="2805322D" w14:textId="77777777" w:rsidR="00A906C2" w:rsidRPr="00570E28" w:rsidRDefault="00A906C2" w:rsidP="00A906C2">
      <w:pPr>
        <w:pStyle w:val="FootnoteText"/>
        <w:spacing w:after="40"/>
        <w:ind w:left="198" w:hanging="198"/>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Two additional deaths were recorded in February 2026.</w:t>
      </w:r>
    </w:p>
  </w:footnote>
  <w:footnote w:id="37">
    <w:p w14:paraId="6A62B1B3" w14:textId="77777777" w:rsidR="00A906C2" w:rsidRPr="00570E28" w:rsidRDefault="00A906C2" w:rsidP="00A906C2">
      <w:pPr>
        <w:pStyle w:val="FootnoteText"/>
        <w:spacing w:after="40"/>
        <w:ind w:left="198" w:hanging="198"/>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One additional death was recorded in February 2026.</w:t>
      </w:r>
    </w:p>
  </w:footnote>
  <w:footnote w:id="38">
    <w:p w14:paraId="6748198F" w14:textId="77777777" w:rsidR="00A906C2" w:rsidRPr="00570E28" w:rsidRDefault="00A906C2" w:rsidP="00A906C2">
      <w:pPr>
        <w:pStyle w:val="FootnoteText"/>
        <w:ind w:left="198" w:hanging="198"/>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https://baochinhphu.vn/cong-dien-cua-thu-tuong-chinh-phu-ve-chan-chinh-cong-tac-kiem-soat-giet-mo-gia-suc-tang-cuong-ky-luat-ky-cuong-trong-thuc-thi-cong-vu-102260331011609845.htm</w:t>
      </w:r>
    </w:p>
  </w:footnote>
  <w:footnote w:id="39">
    <w:p w14:paraId="5409749D" w14:textId="77777777" w:rsidR="00A906C2" w:rsidRPr="00570E28" w:rsidRDefault="00A906C2" w:rsidP="00A906C2">
      <w:pPr>
        <w:pStyle w:val="FootnoteText"/>
        <w:spacing w:after="40"/>
        <w:ind w:left="198" w:hanging="198"/>
        <w:jc w:val="both"/>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According to a quick report from the Office of the Ministry of Public Security and the Viet Nam Maritime and Waterways Administration (Ministry of Construction) on March 29</w:t>
      </w:r>
      <w:r w:rsidRPr="00570E28">
        <w:rPr>
          <w:rFonts w:ascii="Times New Roman" w:hAnsi="Times New Roman" w:cs="Times New Roman"/>
          <w:vertAlign w:val="superscript"/>
          <w:lang w:val="en-US"/>
        </w:rPr>
        <w:t>th</w:t>
      </w:r>
      <w:r w:rsidRPr="00570E28">
        <w:rPr>
          <w:rFonts w:ascii="Times New Roman" w:hAnsi="Times New Roman" w:cs="Times New Roman"/>
          <w:lang w:val="en-US"/>
        </w:rPr>
        <w:t>, 2026.</w:t>
      </w:r>
    </w:p>
  </w:footnote>
  <w:footnote w:id="40">
    <w:p w14:paraId="09CB99EF" w14:textId="77777777" w:rsidR="00A906C2" w:rsidRPr="00570E28" w:rsidRDefault="00A906C2" w:rsidP="00A906C2">
      <w:pPr>
        <w:pStyle w:val="FootnoteText"/>
        <w:spacing w:after="40"/>
        <w:ind w:left="198" w:hanging="198"/>
        <w:jc w:val="both"/>
        <w:rPr>
          <w:rFonts w:ascii="Times New Roman" w:hAnsi="Times New Roman" w:cs="Times New Roman"/>
          <w:spacing w:val="-2"/>
          <w:lang w:val="en-US"/>
        </w:rPr>
      </w:pPr>
      <w:r w:rsidRPr="00570E28">
        <w:rPr>
          <w:rStyle w:val="FootnoteReference"/>
          <w:rFonts w:ascii="Times New Roman" w:hAnsi="Times New Roman"/>
          <w:spacing w:val="-2"/>
          <w:lang w:val="en-US"/>
        </w:rPr>
        <w:footnoteRef/>
      </w:r>
      <w:r w:rsidRPr="00570E28">
        <w:rPr>
          <w:rFonts w:ascii="Times New Roman" w:hAnsi="Times New Roman" w:cs="Times New Roman"/>
          <w:spacing w:val="-2"/>
          <w:lang w:val="en-US"/>
        </w:rPr>
        <w:t xml:space="preserve"> According to reports compiled by provincial and centrally-governed cities Statistics Offices, reporting period from 26</w:t>
      </w:r>
      <w:r w:rsidRPr="00570E28">
        <w:rPr>
          <w:rFonts w:ascii="Times New Roman" w:hAnsi="Times New Roman" w:cs="Times New Roman"/>
          <w:spacing w:val="-2"/>
          <w:vertAlign w:val="superscript"/>
          <w:lang w:val="en-US"/>
        </w:rPr>
        <w:t>th</w:t>
      </w:r>
      <w:r w:rsidRPr="00570E28">
        <w:rPr>
          <w:rFonts w:ascii="Times New Roman" w:hAnsi="Times New Roman" w:cs="Times New Roman"/>
          <w:spacing w:val="-2"/>
          <w:lang w:val="en-US"/>
        </w:rPr>
        <w:t xml:space="preserve"> February to 25</w:t>
      </w:r>
      <w:r w:rsidRPr="00570E28">
        <w:rPr>
          <w:rFonts w:ascii="Times New Roman" w:hAnsi="Times New Roman" w:cs="Times New Roman"/>
          <w:spacing w:val="-2"/>
          <w:vertAlign w:val="superscript"/>
          <w:lang w:val="en-US"/>
        </w:rPr>
        <w:t>th</w:t>
      </w:r>
      <w:r w:rsidRPr="00570E28">
        <w:rPr>
          <w:rFonts w:ascii="Times New Roman" w:hAnsi="Times New Roman" w:cs="Times New Roman"/>
          <w:spacing w:val="-2"/>
          <w:lang w:val="en-US"/>
        </w:rPr>
        <w:t xml:space="preserve"> March 2026.</w:t>
      </w:r>
    </w:p>
  </w:footnote>
  <w:footnote w:id="41">
    <w:p w14:paraId="62DD12B4" w14:textId="77777777" w:rsidR="00A906C2" w:rsidRPr="00570E28" w:rsidRDefault="00A906C2" w:rsidP="00A906C2">
      <w:pPr>
        <w:pStyle w:val="FootnoteText"/>
        <w:spacing w:after="40"/>
        <w:ind w:left="198" w:hanging="198"/>
        <w:jc w:val="both"/>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According to data compiled by Provincial and centrally-governed cities Statistics Offices from the reports of Provincial Departments of Agriculture and Environment and Provincial Police Departments.</w:t>
      </w:r>
    </w:p>
  </w:footnote>
  <w:footnote w:id="42">
    <w:p w14:paraId="56237C06" w14:textId="77777777" w:rsidR="00A906C2" w:rsidRPr="00570E28" w:rsidRDefault="00A906C2" w:rsidP="00A906C2">
      <w:pPr>
        <w:pStyle w:val="FootnoteText"/>
        <w:spacing w:after="40"/>
        <w:ind w:left="198" w:hanging="198"/>
        <w:rPr>
          <w:rFonts w:ascii="Times New Roman" w:hAnsi="Times New Roman" w:cs="Times New Roman"/>
          <w:lang w:val="en-US"/>
        </w:rPr>
      </w:pPr>
      <w:r w:rsidRPr="00570E28">
        <w:rPr>
          <w:rStyle w:val="FootnoteReference"/>
          <w:rFonts w:ascii="Times New Roman" w:hAnsi="Times New Roman"/>
          <w:lang w:val="en-US"/>
        </w:rPr>
        <w:footnoteRef/>
      </w:r>
      <w:r w:rsidRPr="00570E28">
        <w:rPr>
          <w:rFonts w:ascii="Times New Roman" w:hAnsi="Times New Roman" w:cs="Times New Roman"/>
          <w:lang w:val="en-US"/>
        </w:rPr>
        <w:t xml:space="preserve"> According to a quick report from the Ministry of Public Security dated March 23</w:t>
      </w:r>
      <w:r w:rsidRPr="00570E28">
        <w:rPr>
          <w:rFonts w:ascii="Times New Roman" w:hAnsi="Times New Roman" w:cs="Times New Roman"/>
          <w:vertAlign w:val="superscript"/>
          <w:lang w:val="en-US"/>
        </w:rPr>
        <w:t>rd</w:t>
      </w:r>
      <w:r w:rsidRPr="00570E28">
        <w:rPr>
          <w:rFonts w:ascii="Times New Roman" w:hAnsi="Times New Roman" w:cs="Times New Roman"/>
          <w:lang w:val="en-US"/>
        </w:rPr>
        <w:t>,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1EC1B" w14:textId="156A29B4" w:rsidR="002807C7" w:rsidRPr="00464862" w:rsidRDefault="002807C7"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8E33F6">
      <w:rPr>
        <w:rStyle w:val="PageNumber"/>
        <w:rFonts w:ascii="Times New Roman" w:hAnsi="Times New Roman"/>
        <w:noProof/>
        <w:sz w:val="24"/>
        <w:szCs w:val="24"/>
      </w:rPr>
      <w:t>20</w:t>
    </w:r>
    <w:r w:rsidRPr="00464862">
      <w:rPr>
        <w:rStyle w:val="PageNumber"/>
        <w:rFonts w:ascii="Times New Roman" w:hAnsi="Times New Roman"/>
        <w:sz w:val="24"/>
        <w:szCs w:val="24"/>
      </w:rPr>
      <w:fldChar w:fldCharType="end"/>
    </w:r>
  </w:p>
  <w:p w14:paraId="114B8122" w14:textId="77777777" w:rsidR="002807C7" w:rsidRDefault="002807C7">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2E75460"/>
    <w:multiLevelType w:val="hybridMultilevel"/>
    <w:tmpl w:val="0B04F692"/>
    <w:lvl w:ilvl="0" w:tplc="D74298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7"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8"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0"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15:restartNumberingAfterBreak="0">
    <w:nsid w:val="4FA00355"/>
    <w:multiLevelType w:val="hybridMultilevel"/>
    <w:tmpl w:val="FE26A424"/>
    <w:lvl w:ilvl="0" w:tplc="ECBC690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3"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5"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6"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8"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2"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3"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41421424">
    <w:abstractNumId w:val="12"/>
  </w:num>
  <w:num w:numId="2" w16cid:durableId="184632351">
    <w:abstractNumId w:val="20"/>
  </w:num>
  <w:num w:numId="3" w16cid:durableId="1322734345">
    <w:abstractNumId w:val="16"/>
  </w:num>
  <w:num w:numId="4" w16cid:durableId="1479690273">
    <w:abstractNumId w:val="3"/>
  </w:num>
  <w:num w:numId="5" w16cid:durableId="1935741735">
    <w:abstractNumId w:val="21"/>
  </w:num>
  <w:num w:numId="6" w16cid:durableId="2137867201">
    <w:abstractNumId w:val="15"/>
  </w:num>
  <w:num w:numId="7" w16cid:durableId="988632877">
    <w:abstractNumId w:val="18"/>
  </w:num>
  <w:num w:numId="8" w16cid:durableId="1940991462">
    <w:abstractNumId w:val="7"/>
  </w:num>
  <w:num w:numId="9" w16cid:durableId="1988320305">
    <w:abstractNumId w:val="14"/>
  </w:num>
  <w:num w:numId="10" w16cid:durableId="29111499">
    <w:abstractNumId w:val="17"/>
  </w:num>
  <w:num w:numId="11" w16cid:durableId="2119521579">
    <w:abstractNumId w:val="6"/>
  </w:num>
  <w:num w:numId="12" w16cid:durableId="1634213413">
    <w:abstractNumId w:val="19"/>
  </w:num>
  <w:num w:numId="13" w16cid:durableId="874274891">
    <w:abstractNumId w:val="13"/>
  </w:num>
  <w:num w:numId="14" w16cid:durableId="179439246">
    <w:abstractNumId w:val="0"/>
  </w:num>
  <w:num w:numId="15" w16cid:durableId="394352269">
    <w:abstractNumId w:val="1"/>
  </w:num>
  <w:num w:numId="16" w16cid:durableId="1133982694">
    <w:abstractNumId w:val="4"/>
  </w:num>
  <w:num w:numId="17" w16cid:durableId="1350370826">
    <w:abstractNumId w:val="22"/>
  </w:num>
  <w:num w:numId="18" w16cid:durableId="434908803">
    <w:abstractNumId w:val="23"/>
  </w:num>
  <w:num w:numId="19" w16cid:durableId="910193203">
    <w:abstractNumId w:val="8"/>
  </w:num>
  <w:num w:numId="20" w16cid:durableId="1872181340">
    <w:abstractNumId w:val="10"/>
  </w:num>
  <w:num w:numId="21" w16cid:durableId="1232160145">
    <w:abstractNumId w:val="9"/>
  </w:num>
  <w:num w:numId="22" w16cid:durableId="1590502822">
    <w:abstractNumId w:val="5"/>
  </w:num>
  <w:num w:numId="23" w16cid:durableId="1454985645">
    <w:abstractNumId w:val="2"/>
  </w:num>
  <w:num w:numId="24" w16cid:durableId="1696812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defaultTabStop w:val="720"/>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4C"/>
    <w:rsid w:val="00002626"/>
    <w:rsid w:val="0000550B"/>
    <w:rsid w:val="00005AE0"/>
    <w:rsid w:val="00005E0C"/>
    <w:rsid w:val="0000637E"/>
    <w:rsid w:val="00007290"/>
    <w:rsid w:val="000072FC"/>
    <w:rsid w:val="000076AF"/>
    <w:rsid w:val="000079ED"/>
    <w:rsid w:val="000104CA"/>
    <w:rsid w:val="0001081E"/>
    <w:rsid w:val="00010F94"/>
    <w:rsid w:val="0001209D"/>
    <w:rsid w:val="00012302"/>
    <w:rsid w:val="00012D5D"/>
    <w:rsid w:val="00014131"/>
    <w:rsid w:val="0001431E"/>
    <w:rsid w:val="000150DF"/>
    <w:rsid w:val="000205E1"/>
    <w:rsid w:val="0002230C"/>
    <w:rsid w:val="00023730"/>
    <w:rsid w:val="0002377A"/>
    <w:rsid w:val="00024928"/>
    <w:rsid w:val="000273E6"/>
    <w:rsid w:val="000313AD"/>
    <w:rsid w:val="00033536"/>
    <w:rsid w:val="00033ACE"/>
    <w:rsid w:val="00033F17"/>
    <w:rsid w:val="00034D85"/>
    <w:rsid w:val="00034F2D"/>
    <w:rsid w:val="000350ED"/>
    <w:rsid w:val="00036172"/>
    <w:rsid w:val="000376EB"/>
    <w:rsid w:val="00037EBF"/>
    <w:rsid w:val="00040201"/>
    <w:rsid w:val="00040ACF"/>
    <w:rsid w:val="00040D5E"/>
    <w:rsid w:val="00044564"/>
    <w:rsid w:val="0005026A"/>
    <w:rsid w:val="00050A78"/>
    <w:rsid w:val="00050D24"/>
    <w:rsid w:val="00051CE8"/>
    <w:rsid w:val="000522EB"/>
    <w:rsid w:val="0005236F"/>
    <w:rsid w:val="00053265"/>
    <w:rsid w:val="00053528"/>
    <w:rsid w:val="000538B3"/>
    <w:rsid w:val="00054F03"/>
    <w:rsid w:val="0005564F"/>
    <w:rsid w:val="0005584C"/>
    <w:rsid w:val="000563F2"/>
    <w:rsid w:val="00056B62"/>
    <w:rsid w:val="00060D9D"/>
    <w:rsid w:val="00060DA1"/>
    <w:rsid w:val="00060E5E"/>
    <w:rsid w:val="00061C5E"/>
    <w:rsid w:val="00061E98"/>
    <w:rsid w:val="000632D1"/>
    <w:rsid w:val="00063FD9"/>
    <w:rsid w:val="00066342"/>
    <w:rsid w:val="000678B2"/>
    <w:rsid w:val="00067E46"/>
    <w:rsid w:val="00070AB9"/>
    <w:rsid w:val="00071B33"/>
    <w:rsid w:val="00071ED2"/>
    <w:rsid w:val="0007315B"/>
    <w:rsid w:val="0007337D"/>
    <w:rsid w:val="0007374E"/>
    <w:rsid w:val="00073A43"/>
    <w:rsid w:val="00074BD1"/>
    <w:rsid w:val="00074F91"/>
    <w:rsid w:val="00075AD2"/>
    <w:rsid w:val="00075B39"/>
    <w:rsid w:val="00075D36"/>
    <w:rsid w:val="00076044"/>
    <w:rsid w:val="00076A0D"/>
    <w:rsid w:val="00077440"/>
    <w:rsid w:val="00077FBC"/>
    <w:rsid w:val="000829FF"/>
    <w:rsid w:val="000832C3"/>
    <w:rsid w:val="000842F6"/>
    <w:rsid w:val="00084521"/>
    <w:rsid w:val="00090301"/>
    <w:rsid w:val="00091B4A"/>
    <w:rsid w:val="0009272E"/>
    <w:rsid w:val="00092D7F"/>
    <w:rsid w:val="00093258"/>
    <w:rsid w:val="00093B2F"/>
    <w:rsid w:val="00095D3B"/>
    <w:rsid w:val="0009696D"/>
    <w:rsid w:val="000976AE"/>
    <w:rsid w:val="00097926"/>
    <w:rsid w:val="000A089F"/>
    <w:rsid w:val="000A0C71"/>
    <w:rsid w:val="000A1588"/>
    <w:rsid w:val="000A19BF"/>
    <w:rsid w:val="000A1DE1"/>
    <w:rsid w:val="000A2028"/>
    <w:rsid w:val="000A4BFE"/>
    <w:rsid w:val="000A50F3"/>
    <w:rsid w:val="000A59CE"/>
    <w:rsid w:val="000A5FFB"/>
    <w:rsid w:val="000A7907"/>
    <w:rsid w:val="000A79C2"/>
    <w:rsid w:val="000B173B"/>
    <w:rsid w:val="000B2A22"/>
    <w:rsid w:val="000B33F6"/>
    <w:rsid w:val="000B514C"/>
    <w:rsid w:val="000B61CC"/>
    <w:rsid w:val="000B7B53"/>
    <w:rsid w:val="000C016B"/>
    <w:rsid w:val="000C19C2"/>
    <w:rsid w:val="000C1AFC"/>
    <w:rsid w:val="000C1C54"/>
    <w:rsid w:val="000C3A72"/>
    <w:rsid w:val="000C41F7"/>
    <w:rsid w:val="000C4E1B"/>
    <w:rsid w:val="000C5E1D"/>
    <w:rsid w:val="000D27C6"/>
    <w:rsid w:val="000D28E2"/>
    <w:rsid w:val="000D2ED4"/>
    <w:rsid w:val="000D3A28"/>
    <w:rsid w:val="000D48EC"/>
    <w:rsid w:val="000D592B"/>
    <w:rsid w:val="000D7358"/>
    <w:rsid w:val="000D74CC"/>
    <w:rsid w:val="000E1208"/>
    <w:rsid w:val="000E142E"/>
    <w:rsid w:val="000E1825"/>
    <w:rsid w:val="000E23CE"/>
    <w:rsid w:val="000E2CF1"/>
    <w:rsid w:val="000E3272"/>
    <w:rsid w:val="000E35F7"/>
    <w:rsid w:val="000E382A"/>
    <w:rsid w:val="000E48AC"/>
    <w:rsid w:val="000E509D"/>
    <w:rsid w:val="000E5844"/>
    <w:rsid w:val="000E6764"/>
    <w:rsid w:val="000E6F85"/>
    <w:rsid w:val="000E703D"/>
    <w:rsid w:val="000E735C"/>
    <w:rsid w:val="000E74CF"/>
    <w:rsid w:val="000E760C"/>
    <w:rsid w:val="000E7D36"/>
    <w:rsid w:val="000F090D"/>
    <w:rsid w:val="000F0A1C"/>
    <w:rsid w:val="000F0A38"/>
    <w:rsid w:val="000F1187"/>
    <w:rsid w:val="000F2094"/>
    <w:rsid w:val="000F27A0"/>
    <w:rsid w:val="000F2892"/>
    <w:rsid w:val="000F29A3"/>
    <w:rsid w:val="000F29C4"/>
    <w:rsid w:val="000F2D3B"/>
    <w:rsid w:val="000F3A9C"/>
    <w:rsid w:val="000F46C4"/>
    <w:rsid w:val="000F655B"/>
    <w:rsid w:val="000F65F7"/>
    <w:rsid w:val="000F6D48"/>
    <w:rsid w:val="000F6FF6"/>
    <w:rsid w:val="000F7545"/>
    <w:rsid w:val="000F775A"/>
    <w:rsid w:val="0010001A"/>
    <w:rsid w:val="001023CE"/>
    <w:rsid w:val="001032C3"/>
    <w:rsid w:val="001039EE"/>
    <w:rsid w:val="00103C01"/>
    <w:rsid w:val="00103CD9"/>
    <w:rsid w:val="00104246"/>
    <w:rsid w:val="00106B2D"/>
    <w:rsid w:val="00107863"/>
    <w:rsid w:val="00107FB1"/>
    <w:rsid w:val="001105C0"/>
    <w:rsid w:val="00110D27"/>
    <w:rsid w:val="0011124C"/>
    <w:rsid w:val="001113E2"/>
    <w:rsid w:val="0011141A"/>
    <w:rsid w:val="00111BD7"/>
    <w:rsid w:val="00113FA6"/>
    <w:rsid w:val="001168A8"/>
    <w:rsid w:val="00116ABF"/>
    <w:rsid w:val="00116D01"/>
    <w:rsid w:val="0012075E"/>
    <w:rsid w:val="00120BA6"/>
    <w:rsid w:val="00120BB0"/>
    <w:rsid w:val="001213E3"/>
    <w:rsid w:val="00121AB4"/>
    <w:rsid w:val="00127194"/>
    <w:rsid w:val="00130155"/>
    <w:rsid w:val="00130195"/>
    <w:rsid w:val="0013094D"/>
    <w:rsid w:val="00131D2B"/>
    <w:rsid w:val="001343D3"/>
    <w:rsid w:val="00134B4A"/>
    <w:rsid w:val="001378E0"/>
    <w:rsid w:val="00137C9A"/>
    <w:rsid w:val="0014036D"/>
    <w:rsid w:val="00140B38"/>
    <w:rsid w:val="00140E07"/>
    <w:rsid w:val="00140F6C"/>
    <w:rsid w:val="001412EC"/>
    <w:rsid w:val="00141B87"/>
    <w:rsid w:val="001425FD"/>
    <w:rsid w:val="00142BE0"/>
    <w:rsid w:val="00142DA8"/>
    <w:rsid w:val="001430E1"/>
    <w:rsid w:val="00144144"/>
    <w:rsid w:val="0014459C"/>
    <w:rsid w:val="00144A29"/>
    <w:rsid w:val="00145054"/>
    <w:rsid w:val="00150B92"/>
    <w:rsid w:val="001518AA"/>
    <w:rsid w:val="00151E23"/>
    <w:rsid w:val="001525F8"/>
    <w:rsid w:val="00152F6B"/>
    <w:rsid w:val="001538FC"/>
    <w:rsid w:val="0015399F"/>
    <w:rsid w:val="00153B49"/>
    <w:rsid w:val="00154D42"/>
    <w:rsid w:val="00155330"/>
    <w:rsid w:val="001602EC"/>
    <w:rsid w:val="00160712"/>
    <w:rsid w:val="001608BD"/>
    <w:rsid w:val="001614AF"/>
    <w:rsid w:val="001615F9"/>
    <w:rsid w:val="00162B6E"/>
    <w:rsid w:val="00164EC6"/>
    <w:rsid w:val="0016501B"/>
    <w:rsid w:val="001651D1"/>
    <w:rsid w:val="00166B58"/>
    <w:rsid w:val="00166DDB"/>
    <w:rsid w:val="00170081"/>
    <w:rsid w:val="00170BCE"/>
    <w:rsid w:val="00172979"/>
    <w:rsid w:val="00174075"/>
    <w:rsid w:val="001745F2"/>
    <w:rsid w:val="00174BC9"/>
    <w:rsid w:val="001772E0"/>
    <w:rsid w:val="00180553"/>
    <w:rsid w:val="00183934"/>
    <w:rsid w:val="00183A90"/>
    <w:rsid w:val="00183C10"/>
    <w:rsid w:val="001850B3"/>
    <w:rsid w:val="00185E3C"/>
    <w:rsid w:val="0018650F"/>
    <w:rsid w:val="00186DFF"/>
    <w:rsid w:val="00187133"/>
    <w:rsid w:val="00191876"/>
    <w:rsid w:val="00191953"/>
    <w:rsid w:val="001919F1"/>
    <w:rsid w:val="00191D87"/>
    <w:rsid w:val="00193457"/>
    <w:rsid w:val="0019386E"/>
    <w:rsid w:val="00194D71"/>
    <w:rsid w:val="001950AD"/>
    <w:rsid w:val="001968F8"/>
    <w:rsid w:val="001A0220"/>
    <w:rsid w:val="001A0A8F"/>
    <w:rsid w:val="001A1F70"/>
    <w:rsid w:val="001A26D2"/>
    <w:rsid w:val="001A2C20"/>
    <w:rsid w:val="001A51B7"/>
    <w:rsid w:val="001A53A1"/>
    <w:rsid w:val="001A68A9"/>
    <w:rsid w:val="001A719F"/>
    <w:rsid w:val="001B02AB"/>
    <w:rsid w:val="001B09F2"/>
    <w:rsid w:val="001B3962"/>
    <w:rsid w:val="001B6FE4"/>
    <w:rsid w:val="001C06C8"/>
    <w:rsid w:val="001C09CE"/>
    <w:rsid w:val="001C1087"/>
    <w:rsid w:val="001C216B"/>
    <w:rsid w:val="001C243B"/>
    <w:rsid w:val="001C2B9A"/>
    <w:rsid w:val="001C3C0F"/>
    <w:rsid w:val="001C5B2B"/>
    <w:rsid w:val="001C6A86"/>
    <w:rsid w:val="001C6EC2"/>
    <w:rsid w:val="001C7904"/>
    <w:rsid w:val="001D02A5"/>
    <w:rsid w:val="001D0EA8"/>
    <w:rsid w:val="001D14BE"/>
    <w:rsid w:val="001D1B1E"/>
    <w:rsid w:val="001D2307"/>
    <w:rsid w:val="001D2840"/>
    <w:rsid w:val="001D45A7"/>
    <w:rsid w:val="001D599B"/>
    <w:rsid w:val="001D6F9B"/>
    <w:rsid w:val="001E0066"/>
    <w:rsid w:val="001E1534"/>
    <w:rsid w:val="001E191A"/>
    <w:rsid w:val="001E1C5F"/>
    <w:rsid w:val="001E22AF"/>
    <w:rsid w:val="001E31E5"/>
    <w:rsid w:val="001E3339"/>
    <w:rsid w:val="001E4D83"/>
    <w:rsid w:val="001E5422"/>
    <w:rsid w:val="001E544B"/>
    <w:rsid w:val="001E55EC"/>
    <w:rsid w:val="001E68FB"/>
    <w:rsid w:val="001F032E"/>
    <w:rsid w:val="001F1910"/>
    <w:rsid w:val="001F4B3F"/>
    <w:rsid w:val="001F638F"/>
    <w:rsid w:val="001F74FF"/>
    <w:rsid w:val="002028A1"/>
    <w:rsid w:val="002028AC"/>
    <w:rsid w:val="00202DC8"/>
    <w:rsid w:val="002030A7"/>
    <w:rsid w:val="002032BA"/>
    <w:rsid w:val="0020358C"/>
    <w:rsid w:val="00203D6D"/>
    <w:rsid w:val="00204518"/>
    <w:rsid w:val="002045F4"/>
    <w:rsid w:val="002050D7"/>
    <w:rsid w:val="00205EBD"/>
    <w:rsid w:val="002062C3"/>
    <w:rsid w:val="0020670B"/>
    <w:rsid w:val="002069AC"/>
    <w:rsid w:val="00206BAC"/>
    <w:rsid w:val="00207A9A"/>
    <w:rsid w:val="0021194F"/>
    <w:rsid w:val="00211AE6"/>
    <w:rsid w:val="002124FC"/>
    <w:rsid w:val="00212A13"/>
    <w:rsid w:val="00214345"/>
    <w:rsid w:val="002145A4"/>
    <w:rsid w:val="00216237"/>
    <w:rsid w:val="00216F64"/>
    <w:rsid w:val="0022074F"/>
    <w:rsid w:val="0022078F"/>
    <w:rsid w:val="00220919"/>
    <w:rsid w:val="00220ED7"/>
    <w:rsid w:val="00223B69"/>
    <w:rsid w:val="002248E3"/>
    <w:rsid w:val="00224D01"/>
    <w:rsid w:val="00224F2F"/>
    <w:rsid w:val="002252DC"/>
    <w:rsid w:val="0022589D"/>
    <w:rsid w:val="002262E0"/>
    <w:rsid w:val="002267D6"/>
    <w:rsid w:val="00226E92"/>
    <w:rsid w:val="0022774A"/>
    <w:rsid w:val="00227769"/>
    <w:rsid w:val="00232376"/>
    <w:rsid w:val="002329E7"/>
    <w:rsid w:val="00232B1F"/>
    <w:rsid w:val="00233DC8"/>
    <w:rsid w:val="00233DED"/>
    <w:rsid w:val="002344E5"/>
    <w:rsid w:val="00234CEB"/>
    <w:rsid w:val="00234E46"/>
    <w:rsid w:val="00235CFB"/>
    <w:rsid w:val="00236D06"/>
    <w:rsid w:val="00237683"/>
    <w:rsid w:val="00237769"/>
    <w:rsid w:val="002378B0"/>
    <w:rsid w:val="002402AA"/>
    <w:rsid w:val="002406A9"/>
    <w:rsid w:val="00240E4B"/>
    <w:rsid w:val="00241A89"/>
    <w:rsid w:val="00241CFF"/>
    <w:rsid w:val="002422ED"/>
    <w:rsid w:val="002430E6"/>
    <w:rsid w:val="00243A47"/>
    <w:rsid w:val="002456CF"/>
    <w:rsid w:val="002459BB"/>
    <w:rsid w:val="00246AD1"/>
    <w:rsid w:val="00246D94"/>
    <w:rsid w:val="00247504"/>
    <w:rsid w:val="00247F17"/>
    <w:rsid w:val="0025091F"/>
    <w:rsid w:val="00250AD3"/>
    <w:rsid w:val="00252D93"/>
    <w:rsid w:val="00253A8E"/>
    <w:rsid w:val="0025403A"/>
    <w:rsid w:val="00254FD8"/>
    <w:rsid w:val="00255187"/>
    <w:rsid w:val="00255B5B"/>
    <w:rsid w:val="0025628E"/>
    <w:rsid w:val="0025668B"/>
    <w:rsid w:val="00256D83"/>
    <w:rsid w:val="002577CA"/>
    <w:rsid w:val="002603EC"/>
    <w:rsid w:val="00260518"/>
    <w:rsid w:val="0026137E"/>
    <w:rsid w:val="00263303"/>
    <w:rsid w:val="002633DB"/>
    <w:rsid w:val="00263487"/>
    <w:rsid w:val="00264609"/>
    <w:rsid w:val="00267A45"/>
    <w:rsid w:val="00270C15"/>
    <w:rsid w:val="0027174C"/>
    <w:rsid w:val="00273515"/>
    <w:rsid w:val="002736DB"/>
    <w:rsid w:val="00273771"/>
    <w:rsid w:val="002747EE"/>
    <w:rsid w:val="00274BB8"/>
    <w:rsid w:val="00275DED"/>
    <w:rsid w:val="00277A16"/>
    <w:rsid w:val="00277DAB"/>
    <w:rsid w:val="002807C7"/>
    <w:rsid w:val="00280E4B"/>
    <w:rsid w:val="002813C4"/>
    <w:rsid w:val="00282017"/>
    <w:rsid w:val="002845EE"/>
    <w:rsid w:val="002850E5"/>
    <w:rsid w:val="002852AA"/>
    <w:rsid w:val="0028604A"/>
    <w:rsid w:val="00286420"/>
    <w:rsid w:val="002868CD"/>
    <w:rsid w:val="00286F0D"/>
    <w:rsid w:val="002877C3"/>
    <w:rsid w:val="00292003"/>
    <w:rsid w:val="00293AA2"/>
    <w:rsid w:val="002944F9"/>
    <w:rsid w:val="00294C32"/>
    <w:rsid w:val="00294E99"/>
    <w:rsid w:val="00296388"/>
    <w:rsid w:val="00296EF7"/>
    <w:rsid w:val="0029761B"/>
    <w:rsid w:val="00297837"/>
    <w:rsid w:val="00297912"/>
    <w:rsid w:val="002A0CED"/>
    <w:rsid w:val="002A1233"/>
    <w:rsid w:val="002A19A5"/>
    <w:rsid w:val="002A1B42"/>
    <w:rsid w:val="002A2332"/>
    <w:rsid w:val="002A2A91"/>
    <w:rsid w:val="002A2CE9"/>
    <w:rsid w:val="002A3EEB"/>
    <w:rsid w:val="002A41DD"/>
    <w:rsid w:val="002A4335"/>
    <w:rsid w:val="002A4466"/>
    <w:rsid w:val="002A4B27"/>
    <w:rsid w:val="002A5175"/>
    <w:rsid w:val="002A5706"/>
    <w:rsid w:val="002A5855"/>
    <w:rsid w:val="002A5A90"/>
    <w:rsid w:val="002A60AC"/>
    <w:rsid w:val="002A6EE4"/>
    <w:rsid w:val="002B0DB7"/>
    <w:rsid w:val="002B19CA"/>
    <w:rsid w:val="002B1FED"/>
    <w:rsid w:val="002B21D7"/>
    <w:rsid w:val="002B2B7C"/>
    <w:rsid w:val="002B3609"/>
    <w:rsid w:val="002B413A"/>
    <w:rsid w:val="002B4673"/>
    <w:rsid w:val="002B46B3"/>
    <w:rsid w:val="002B4DDB"/>
    <w:rsid w:val="002B4F83"/>
    <w:rsid w:val="002B50D6"/>
    <w:rsid w:val="002B71A0"/>
    <w:rsid w:val="002B7477"/>
    <w:rsid w:val="002C30BD"/>
    <w:rsid w:val="002C3155"/>
    <w:rsid w:val="002C3DF8"/>
    <w:rsid w:val="002C419A"/>
    <w:rsid w:val="002C42AE"/>
    <w:rsid w:val="002C4CA1"/>
    <w:rsid w:val="002C501E"/>
    <w:rsid w:val="002C5898"/>
    <w:rsid w:val="002C666B"/>
    <w:rsid w:val="002C6688"/>
    <w:rsid w:val="002D08B5"/>
    <w:rsid w:val="002D0A16"/>
    <w:rsid w:val="002D0E70"/>
    <w:rsid w:val="002D1F22"/>
    <w:rsid w:val="002D37A8"/>
    <w:rsid w:val="002D4B66"/>
    <w:rsid w:val="002D504D"/>
    <w:rsid w:val="002D5153"/>
    <w:rsid w:val="002D533D"/>
    <w:rsid w:val="002D7BE5"/>
    <w:rsid w:val="002E20C9"/>
    <w:rsid w:val="002E2175"/>
    <w:rsid w:val="002E2F81"/>
    <w:rsid w:val="002E45A4"/>
    <w:rsid w:val="002E48A6"/>
    <w:rsid w:val="002E5381"/>
    <w:rsid w:val="002E5B74"/>
    <w:rsid w:val="002E5C45"/>
    <w:rsid w:val="002E6195"/>
    <w:rsid w:val="002E6D32"/>
    <w:rsid w:val="002E718B"/>
    <w:rsid w:val="002E752D"/>
    <w:rsid w:val="002E7799"/>
    <w:rsid w:val="002F1496"/>
    <w:rsid w:val="002F1C71"/>
    <w:rsid w:val="002F1DF2"/>
    <w:rsid w:val="002F20B9"/>
    <w:rsid w:val="002F2E88"/>
    <w:rsid w:val="002F3218"/>
    <w:rsid w:val="002F71EF"/>
    <w:rsid w:val="002F72C9"/>
    <w:rsid w:val="00300297"/>
    <w:rsid w:val="00300469"/>
    <w:rsid w:val="00301147"/>
    <w:rsid w:val="00301177"/>
    <w:rsid w:val="00302530"/>
    <w:rsid w:val="00303782"/>
    <w:rsid w:val="00303F1B"/>
    <w:rsid w:val="0030543B"/>
    <w:rsid w:val="00306B92"/>
    <w:rsid w:val="00307FA5"/>
    <w:rsid w:val="003114DC"/>
    <w:rsid w:val="003124EC"/>
    <w:rsid w:val="00312DAD"/>
    <w:rsid w:val="00312FC1"/>
    <w:rsid w:val="0031346C"/>
    <w:rsid w:val="00313CF7"/>
    <w:rsid w:val="00313FA0"/>
    <w:rsid w:val="00315386"/>
    <w:rsid w:val="003159B7"/>
    <w:rsid w:val="00315C2D"/>
    <w:rsid w:val="00317105"/>
    <w:rsid w:val="00320F0F"/>
    <w:rsid w:val="00321481"/>
    <w:rsid w:val="00321EDE"/>
    <w:rsid w:val="00323779"/>
    <w:rsid w:val="00325643"/>
    <w:rsid w:val="003259A2"/>
    <w:rsid w:val="003271B9"/>
    <w:rsid w:val="003273C3"/>
    <w:rsid w:val="00327535"/>
    <w:rsid w:val="00327C75"/>
    <w:rsid w:val="0033007C"/>
    <w:rsid w:val="00330373"/>
    <w:rsid w:val="00330A5F"/>
    <w:rsid w:val="00330EC3"/>
    <w:rsid w:val="003310DD"/>
    <w:rsid w:val="00331F74"/>
    <w:rsid w:val="00332170"/>
    <w:rsid w:val="00332523"/>
    <w:rsid w:val="00332B08"/>
    <w:rsid w:val="00333188"/>
    <w:rsid w:val="003331CF"/>
    <w:rsid w:val="0033360E"/>
    <w:rsid w:val="003343AA"/>
    <w:rsid w:val="003349C9"/>
    <w:rsid w:val="00334CD3"/>
    <w:rsid w:val="003354DC"/>
    <w:rsid w:val="0033565D"/>
    <w:rsid w:val="00335D7A"/>
    <w:rsid w:val="003360E9"/>
    <w:rsid w:val="003372AE"/>
    <w:rsid w:val="003377B4"/>
    <w:rsid w:val="00340450"/>
    <w:rsid w:val="00340941"/>
    <w:rsid w:val="00341DF6"/>
    <w:rsid w:val="00344836"/>
    <w:rsid w:val="003448D5"/>
    <w:rsid w:val="00345F52"/>
    <w:rsid w:val="00347624"/>
    <w:rsid w:val="0035052A"/>
    <w:rsid w:val="00351BC5"/>
    <w:rsid w:val="003529B3"/>
    <w:rsid w:val="00352E2F"/>
    <w:rsid w:val="00353124"/>
    <w:rsid w:val="003538F6"/>
    <w:rsid w:val="003552B0"/>
    <w:rsid w:val="00356693"/>
    <w:rsid w:val="00357ACC"/>
    <w:rsid w:val="00357E6A"/>
    <w:rsid w:val="00360D9A"/>
    <w:rsid w:val="00361F1B"/>
    <w:rsid w:val="00362AD6"/>
    <w:rsid w:val="00363077"/>
    <w:rsid w:val="00363201"/>
    <w:rsid w:val="00364B0C"/>
    <w:rsid w:val="00364FAC"/>
    <w:rsid w:val="003655C2"/>
    <w:rsid w:val="00366D46"/>
    <w:rsid w:val="003673E4"/>
    <w:rsid w:val="00367790"/>
    <w:rsid w:val="00370026"/>
    <w:rsid w:val="00370621"/>
    <w:rsid w:val="0037070A"/>
    <w:rsid w:val="00370980"/>
    <w:rsid w:val="003717E3"/>
    <w:rsid w:val="00372098"/>
    <w:rsid w:val="00372565"/>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BA8"/>
    <w:rsid w:val="00391BF6"/>
    <w:rsid w:val="00391E3A"/>
    <w:rsid w:val="003923E9"/>
    <w:rsid w:val="0039281C"/>
    <w:rsid w:val="003936D4"/>
    <w:rsid w:val="00393D23"/>
    <w:rsid w:val="00393E5A"/>
    <w:rsid w:val="0039793D"/>
    <w:rsid w:val="00397A54"/>
    <w:rsid w:val="00397AAE"/>
    <w:rsid w:val="003A062B"/>
    <w:rsid w:val="003A0E8D"/>
    <w:rsid w:val="003A184C"/>
    <w:rsid w:val="003A271D"/>
    <w:rsid w:val="003A297B"/>
    <w:rsid w:val="003A3947"/>
    <w:rsid w:val="003A41CB"/>
    <w:rsid w:val="003A457F"/>
    <w:rsid w:val="003A6675"/>
    <w:rsid w:val="003A6948"/>
    <w:rsid w:val="003A6B62"/>
    <w:rsid w:val="003A6F56"/>
    <w:rsid w:val="003A7335"/>
    <w:rsid w:val="003B1631"/>
    <w:rsid w:val="003B1A1A"/>
    <w:rsid w:val="003B3F84"/>
    <w:rsid w:val="003B5B87"/>
    <w:rsid w:val="003B60B9"/>
    <w:rsid w:val="003B6968"/>
    <w:rsid w:val="003B73B8"/>
    <w:rsid w:val="003C028C"/>
    <w:rsid w:val="003C1136"/>
    <w:rsid w:val="003C11AE"/>
    <w:rsid w:val="003C1325"/>
    <w:rsid w:val="003C22F6"/>
    <w:rsid w:val="003C2C12"/>
    <w:rsid w:val="003C2ECF"/>
    <w:rsid w:val="003C4279"/>
    <w:rsid w:val="003C5407"/>
    <w:rsid w:val="003C55B8"/>
    <w:rsid w:val="003C5909"/>
    <w:rsid w:val="003C6199"/>
    <w:rsid w:val="003C6F35"/>
    <w:rsid w:val="003D050E"/>
    <w:rsid w:val="003D21A2"/>
    <w:rsid w:val="003D2349"/>
    <w:rsid w:val="003D2E54"/>
    <w:rsid w:val="003D381C"/>
    <w:rsid w:val="003D49B5"/>
    <w:rsid w:val="003D50BB"/>
    <w:rsid w:val="003D7A6E"/>
    <w:rsid w:val="003D7E35"/>
    <w:rsid w:val="003E09AF"/>
    <w:rsid w:val="003E11CA"/>
    <w:rsid w:val="003E132E"/>
    <w:rsid w:val="003E4D52"/>
    <w:rsid w:val="003E4D75"/>
    <w:rsid w:val="003E4FEA"/>
    <w:rsid w:val="003E52F2"/>
    <w:rsid w:val="003E58C5"/>
    <w:rsid w:val="003E5CE7"/>
    <w:rsid w:val="003E6B3E"/>
    <w:rsid w:val="003F4A3F"/>
    <w:rsid w:val="003F4F87"/>
    <w:rsid w:val="003F53F9"/>
    <w:rsid w:val="003F63C2"/>
    <w:rsid w:val="004001B0"/>
    <w:rsid w:val="00400F16"/>
    <w:rsid w:val="00401492"/>
    <w:rsid w:val="0040229B"/>
    <w:rsid w:val="0040242E"/>
    <w:rsid w:val="00402EDE"/>
    <w:rsid w:val="00403267"/>
    <w:rsid w:val="00406BFC"/>
    <w:rsid w:val="00406E64"/>
    <w:rsid w:val="00406F4B"/>
    <w:rsid w:val="00410381"/>
    <w:rsid w:val="004115BC"/>
    <w:rsid w:val="00411690"/>
    <w:rsid w:val="004122C7"/>
    <w:rsid w:val="00412A8F"/>
    <w:rsid w:val="00416519"/>
    <w:rsid w:val="00417B11"/>
    <w:rsid w:val="00420112"/>
    <w:rsid w:val="00422C9A"/>
    <w:rsid w:val="004234BC"/>
    <w:rsid w:val="0042459C"/>
    <w:rsid w:val="00424A87"/>
    <w:rsid w:val="00426213"/>
    <w:rsid w:val="004263DF"/>
    <w:rsid w:val="004269C9"/>
    <w:rsid w:val="00426B31"/>
    <w:rsid w:val="00427702"/>
    <w:rsid w:val="004301BB"/>
    <w:rsid w:val="0043069F"/>
    <w:rsid w:val="00430976"/>
    <w:rsid w:val="00432CB4"/>
    <w:rsid w:val="0043458B"/>
    <w:rsid w:val="0043609A"/>
    <w:rsid w:val="004371D1"/>
    <w:rsid w:val="0043770D"/>
    <w:rsid w:val="004379DE"/>
    <w:rsid w:val="00437DEC"/>
    <w:rsid w:val="00437E71"/>
    <w:rsid w:val="004418BA"/>
    <w:rsid w:val="00441AF5"/>
    <w:rsid w:val="0044232C"/>
    <w:rsid w:val="00442702"/>
    <w:rsid w:val="00442FDE"/>
    <w:rsid w:val="004436C8"/>
    <w:rsid w:val="00445864"/>
    <w:rsid w:val="00445F65"/>
    <w:rsid w:val="00446E3A"/>
    <w:rsid w:val="00450A4A"/>
    <w:rsid w:val="00450E36"/>
    <w:rsid w:val="0045140F"/>
    <w:rsid w:val="0045217F"/>
    <w:rsid w:val="00453B0D"/>
    <w:rsid w:val="004540DB"/>
    <w:rsid w:val="004544C8"/>
    <w:rsid w:val="00454832"/>
    <w:rsid w:val="00455893"/>
    <w:rsid w:val="00455A8D"/>
    <w:rsid w:val="00455FF4"/>
    <w:rsid w:val="00456DAE"/>
    <w:rsid w:val="00457056"/>
    <w:rsid w:val="00457345"/>
    <w:rsid w:val="0045761B"/>
    <w:rsid w:val="00457DF5"/>
    <w:rsid w:val="004613E2"/>
    <w:rsid w:val="0046349F"/>
    <w:rsid w:val="00463982"/>
    <w:rsid w:val="00464828"/>
    <w:rsid w:val="00464862"/>
    <w:rsid w:val="00464F98"/>
    <w:rsid w:val="0046587D"/>
    <w:rsid w:val="00465A0F"/>
    <w:rsid w:val="00465CF4"/>
    <w:rsid w:val="00466ACA"/>
    <w:rsid w:val="00467751"/>
    <w:rsid w:val="00470E6F"/>
    <w:rsid w:val="00471061"/>
    <w:rsid w:val="004712E0"/>
    <w:rsid w:val="00471C76"/>
    <w:rsid w:val="00473292"/>
    <w:rsid w:val="0047333E"/>
    <w:rsid w:val="00474CFF"/>
    <w:rsid w:val="004753A2"/>
    <w:rsid w:val="004754B8"/>
    <w:rsid w:val="00475D94"/>
    <w:rsid w:val="00476C70"/>
    <w:rsid w:val="00476FB5"/>
    <w:rsid w:val="00481C3F"/>
    <w:rsid w:val="00482205"/>
    <w:rsid w:val="00482599"/>
    <w:rsid w:val="00482E4D"/>
    <w:rsid w:val="0048323B"/>
    <w:rsid w:val="004844D2"/>
    <w:rsid w:val="004845F6"/>
    <w:rsid w:val="004846C1"/>
    <w:rsid w:val="00485466"/>
    <w:rsid w:val="00485752"/>
    <w:rsid w:val="0048670C"/>
    <w:rsid w:val="00486A75"/>
    <w:rsid w:val="00490568"/>
    <w:rsid w:val="00490C73"/>
    <w:rsid w:val="00491642"/>
    <w:rsid w:val="004924E8"/>
    <w:rsid w:val="00495EAD"/>
    <w:rsid w:val="00496453"/>
    <w:rsid w:val="00496795"/>
    <w:rsid w:val="00496E85"/>
    <w:rsid w:val="00497C67"/>
    <w:rsid w:val="004A28D8"/>
    <w:rsid w:val="004A3B5D"/>
    <w:rsid w:val="004A3D11"/>
    <w:rsid w:val="004A5473"/>
    <w:rsid w:val="004A55A6"/>
    <w:rsid w:val="004A58D7"/>
    <w:rsid w:val="004A6EDF"/>
    <w:rsid w:val="004A777D"/>
    <w:rsid w:val="004A7D52"/>
    <w:rsid w:val="004B0853"/>
    <w:rsid w:val="004B0F0D"/>
    <w:rsid w:val="004B1EAF"/>
    <w:rsid w:val="004B2B0F"/>
    <w:rsid w:val="004B3490"/>
    <w:rsid w:val="004B3A84"/>
    <w:rsid w:val="004B495B"/>
    <w:rsid w:val="004B4E41"/>
    <w:rsid w:val="004B5D43"/>
    <w:rsid w:val="004B662A"/>
    <w:rsid w:val="004B7345"/>
    <w:rsid w:val="004B75ED"/>
    <w:rsid w:val="004B7FE3"/>
    <w:rsid w:val="004C0B3B"/>
    <w:rsid w:val="004C1076"/>
    <w:rsid w:val="004C1199"/>
    <w:rsid w:val="004C2BA1"/>
    <w:rsid w:val="004C2C36"/>
    <w:rsid w:val="004C2CFF"/>
    <w:rsid w:val="004C3C4B"/>
    <w:rsid w:val="004C44E0"/>
    <w:rsid w:val="004C50A2"/>
    <w:rsid w:val="004C5684"/>
    <w:rsid w:val="004C6372"/>
    <w:rsid w:val="004C678F"/>
    <w:rsid w:val="004C7697"/>
    <w:rsid w:val="004D07A5"/>
    <w:rsid w:val="004D10AF"/>
    <w:rsid w:val="004D1EA5"/>
    <w:rsid w:val="004D28C5"/>
    <w:rsid w:val="004D2FBF"/>
    <w:rsid w:val="004D3346"/>
    <w:rsid w:val="004D3DCB"/>
    <w:rsid w:val="004D4076"/>
    <w:rsid w:val="004D40C4"/>
    <w:rsid w:val="004D418E"/>
    <w:rsid w:val="004D5300"/>
    <w:rsid w:val="004D71A3"/>
    <w:rsid w:val="004D7252"/>
    <w:rsid w:val="004E0412"/>
    <w:rsid w:val="004E1ABA"/>
    <w:rsid w:val="004E2405"/>
    <w:rsid w:val="004E2963"/>
    <w:rsid w:val="004E30C7"/>
    <w:rsid w:val="004E3221"/>
    <w:rsid w:val="004E3E8C"/>
    <w:rsid w:val="004E4BDB"/>
    <w:rsid w:val="004E4E64"/>
    <w:rsid w:val="004E4F2D"/>
    <w:rsid w:val="004E59DA"/>
    <w:rsid w:val="004E61AB"/>
    <w:rsid w:val="004E6905"/>
    <w:rsid w:val="004E75C9"/>
    <w:rsid w:val="004E79D8"/>
    <w:rsid w:val="004F023B"/>
    <w:rsid w:val="004F0CC7"/>
    <w:rsid w:val="004F243E"/>
    <w:rsid w:val="004F2CEA"/>
    <w:rsid w:val="004F46B1"/>
    <w:rsid w:val="004F50E6"/>
    <w:rsid w:val="004F5E09"/>
    <w:rsid w:val="004F7350"/>
    <w:rsid w:val="004F7B40"/>
    <w:rsid w:val="0050019F"/>
    <w:rsid w:val="0050194C"/>
    <w:rsid w:val="00501DB8"/>
    <w:rsid w:val="0050248A"/>
    <w:rsid w:val="00502EBF"/>
    <w:rsid w:val="005040FE"/>
    <w:rsid w:val="0050633F"/>
    <w:rsid w:val="00506367"/>
    <w:rsid w:val="0050760A"/>
    <w:rsid w:val="005079A4"/>
    <w:rsid w:val="00510430"/>
    <w:rsid w:val="00510851"/>
    <w:rsid w:val="00511CD2"/>
    <w:rsid w:val="005139D6"/>
    <w:rsid w:val="00514379"/>
    <w:rsid w:val="00515F27"/>
    <w:rsid w:val="005172EF"/>
    <w:rsid w:val="005174A2"/>
    <w:rsid w:val="00517DEA"/>
    <w:rsid w:val="005200E1"/>
    <w:rsid w:val="005204DB"/>
    <w:rsid w:val="00520665"/>
    <w:rsid w:val="00521404"/>
    <w:rsid w:val="00521621"/>
    <w:rsid w:val="0052283A"/>
    <w:rsid w:val="005238CC"/>
    <w:rsid w:val="005242B0"/>
    <w:rsid w:val="00524384"/>
    <w:rsid w:val="00525285"/>
    <w:rsid w:val="005257A4"/>
    <w:rsid w:val="005258EE"/>
    <w:rsid w:val="00527154"/>
    <w:rsid w:val="005271A6"/>
    <w:rsid w:val="00527635"/>
    <w:rsid w:val="00527DF5"/>
    <w:rsid w:val="00527F6A"/>
    <w:rsid w:val="0053020D"/>
    <w:rsid w:val="00530497"/>
    <w:rsid w:val="00531018"/>
    <w:rsid w:val="00531918"/>
    <w:rsid w:val="00531D07"/>
    <w:rsid w:val="00532E07"/>
    <w:rsid w:val="005330B1"/>
    <w:rsid w:val="005333C9"/>
    <w:rsid w:val="005334AD"/>
    <w:rsid w:val="005334DE"/>
    <w:rsid w:val="00534BDB"/>
    <w:rsid w:val="00536AC3"/>
    <w:rsid w:val="0053766B"/>
    <w:rsid w:val="00541797"/>
    <w:rsid w:val="00541F90"/>
    <w:rsid w:val="00542DF0"/>
    <w:rsid w:val="00543B52"/>
    <w:rsid w:val="00545238"/>
    <w:rsid w:val="00545A79"/>
    <w:rsid w:val="00545DE6"/>
    <w:rsid w:val="00545E9E"/>
    <w:rsid w:val="005465BF"/>
    <w:rsid w:val="00546C12"/>
    <w:rsid w:val="00546F06"/>
    <w:rsid w:val="0054734B"/>
    <w:rsid w:val="00550EF1"/>
    <w:rsid w:val="005525D8"/>
    <w:rsid w:val="0055356E"/>
    <w:rsid w:val="00553950"/>
    <w:rsid w:val="00555AB6"/>
    <w:rsid w:val="00555F9A"/>
    <w:rsid w:val="00556F3B"/>
    <w:rsid w:val="0055715A"/>
    <w:rsid w:val="00557AD3"/>
    <w:rsid w:val="005605B3"/>
    <w:rsid w:val="00562420"/>
    <w:rsid w:val="00562B9A"/>
    <w:rsid w:val="00563489"/>
    <w:rsid w:val="00563A3E"/>
    <w:rsid w:val="00563D1D"/>
    <w:rsid w:val="0056412D"/>
    <w:rsid w:val="00565C33"/>
    <w:rsid w:val="00565D10"/>
    <w:rsid w:val="005660E5"/>
    <w:rsid w:val="00567534"/>
    <w:rsid w:val="005679DD"/>
    <w:rsid w:val="00570522"/>
    <w:rsid w:val="00570B35"/>
    <w:rsid w:val="00570E28"/>
    <w:rsid w:val="00571AD7"/>
    <w:rsid w:val="00571CD4"/>
    <w:rsid w:val="005739A5"/>
    <w:rsid w:val="00574113"/>
    <w:rsid w:val="00574475"/>
    <w:rsid w:val="00574D3B"/>
    <w:rsid w:val="00575098"/>
    <w:rsid w:val="00575D80"/>
    <w:rsid w:val="00575D99"/>
    <w:rsid w:val="00575EC4"/>
    <w:rsid w:val="00576739"/>
    <w:rsid w:val="0057730E"/>
    <w:rsid w:val="00577D5F"/>
    <w:rsid w:val="00580E19"/>
    <w:rsid w:val="0058125E"/>
    <w:rsid w:val="00583C0E"/>
    <w:rsid w:val="00583D32"/>
    <w:rsid w:val="0058414F"/>
    <w:rsid w:val="00585C12"/>
    <w:rsid w:val="0058611C"/>
    <w:rsid w:val="00587411"/>
    <w:rsid w:val="0058764F"/>
    <w:rsid w:val="005878AA"/>
    <w:rsid w:val="00587B1F"/>
    <w:rsid w:val="00587D11"/>
    <w:rsid w:val="0059026E"/>
    <w:rsid w:val="00590671"/>
    <w:rsid w:val="00591719"/>
    <w:rsid w:val="00592536"/>
    <w:rsid w:val="00593D48"/>
    <w:rsid w:val="005971B9"/>
    <w:rsid w:val="005978F2"/>
    <w:rsid w:val="00597E4D"/>
    <w:rsid w:val="005A0A34"/>
    <w:rsid w:val="005A262A"/>
    <w:rsid w:val="005A3829"/>
    <w:rsid w:val="005A38D9"/>
    <w:rsid w:val="005A4E46"/>
    <w:rsid w:val="005A6387"/>
    <w:rsid w:val="005A6D9D"/>
    <w:rsid w:val="005A708B"/>
    <w:rsid w:val="005A79FB"/>
    <w:rsid w:val="005A7CAD"/>
    <w:rsid w:val="005A7FF0"/>
    <w:rsid w:val="005B11FA"/>
    <w:rsid w:val="005B23C7"/>
    <w:rsid w:val="005B246E"/>
    <w:rsid w:val="005B24B5"/>
    <w:rsid w:val="005B4899"/>
    <w:rsid w:val="005B4A69"/>
    <w:rsid w:val="005B609E"/>
    <w:rsid w:val="005B641F"/>
    <w:rsid w:val="005B6655"/>
    <w:rsid w:val="005B6DD9"/>
    <w:rsid w:val="005B7235"/>
    <w:rsid w:val="005B7846"/>
    <w:rsid w:val="005B7943"/>
    <w:rsid w:val="005C0A9F"/>
    <w:rsid w:val="005C1B35"/>
    <w:rsid w:val="005C1EA0"/>
    <w:rsid w:val="005C2F8B"/>
    <w:rsid w:val="005C3B73"/>
    <w:rsid w:val="005C578F"/>
    <w:rsid w:val="005C5CD6"/>
    <w:rsid w:val="005D0E49"/>
    <w:rsid w:val="005D19E6"/>
    <w:rsid w:val="005D224D"/>
    <w:rsid w:val="005D2267"/>
    <w:rsid w:val="005D3E4F"/>
    <w:rsid w:val="005D4338"/>
    <w:rsid w:val="005D501C"/>
    <w:rsid w:val="005D5AD6"/>
    <w:rsid w:val="005D5EAA"/>
    <w:rsid w:val="005D60EA"/>
    <w:rsid w:val="005D6653"/>
    <w:rsid w:val="005D68EA"/>
    <w:rsid w:val="005D6B29"/>
    <w:rsid w:val="005D7270"/>
    <w:rsid w:val="005D743D"/>
    <w:rsid w:val="005E0865"/>
    <w:rsid w:val="005E1B8F"/>
    <w:rsid w:val="005E1FA8"/>
    <w:rsid w:val="005E32EB"/>
    <w:rsid w:val="005E3B28"/>
    <w:rsid w:val="005E4294"/>
    <w:rsid w:val="005E45D4"/>
    <w:rsid w:val="005E538A"/>
    <w:rsid w:val="005E6FBE"/>
    <w:rsid w:val="005F0883"/>
    <w:rsid w:val="005F3780"/>
    <w:rsid w:val="005F3CF7"/>
    <w:rsid w:val="005F46AF"/>
    <w:rsid w:val="005F4733"/>
    <w:rsid w:val="005F4778"/>
    <w:rsid w:val="005F5AD9"/>
    <w:rsid w:val="00600AD5"/>
    <w:rsid w:val="006015D4"/>
    <w:rsid w:val="00604206"/>
    <w:rsid w:val="00604944"/>
    <w:rsid w:val="00607FD9"/>
    <w:rsid w:val="00610805"/>
    <w:rsid w:val="00610880"/>
    <w:rsid w:val="00612121"/>
    <w:rsid w:val="00612477"/>
    <w:rsid w:val="006141B1"/>
    <w:rsid w:val="0061498B"/>
    <w:rsid w:val="006150B6"/>
    <w:rsid w:val="00615E21"/>
    <w:rsid w:val="00616E9F"/>
    <w:rsid w:val="00617078"/>
    <w:rsid w:val="00620F4F"/>
    <w:rsid w:val="00621483"/>
    <w:rsid w:val="006215A1"/>
    <w:rsid w:val="0062238E"/>
    <w:rsid w:val="0062258A"/>
    <w:rsid w:val="0062288F"/>
    <w:rsid w:val="00622C85"/>
    <w:rsid w:val="00623549"/>
    <w:rsid w:val="00624E91"/>
    <w:rsid w:val="00625841"/>
    <w:rsid w:val="00625B4F"/>
    <w:rsid w:val="00626409"/>
    <w:rsid w:val="00627BDE"/>
    <w:rsid w:val="00631E25"/>
    <w:rsid w:val="00632206"/>
    <w:rsid w:val="00632378"/>
    <w:rsid w:val="00632631"/>
    <w:rsid w:val="006333A8"/>
    <w:rsid w:val="006334F2"/>
    <w:rsid w:val="00634283"/>
    <w:rsid w:val="00634CDA"/>
    <w:rsid w:val="00634FF8"/>
    <w:rsid w:val="006353F5"/>
    <w:rsid w:val="00635853"/>
    <w:rsid w:val="00637786"/>
    <w:rsid w:val="006425B0"/>
    <w:rsid w:val="00642684"/>
    <w:rsid w:val="00642696"/>
    <w:rsid w:val="00642B2B"/>
    <w:rsid w:val="00643BC1"/>
    <w:rsid w:val="006441D5"/>
    <w:rsid w:val="006442C3"/>
    <w:rsid w:val="00644384"/>
    <w:rsid w:val="006444AF"/>
    <w:rsid w:val="00645D91"/>
    <w:rsid w:val="00646643"/>
    <w:rsid w:val="00646CE7"/>
    <w:rsid w:val="00647301"/>
    <w:rsid w:val="00650583"/>
    <w:rsid w:val="00650782"/>
    <w:rsid w:val="00650D80"/>
    <w:rsid w:val="006512CF"/>
    <w:rsid w:val="00651431"/>
    <w:rsid w:val="00652E90"/>
    <w:rsid w:val="00653C11"/>
    <w:rsid w:val="00654691"/>
    <w:rsid w:val="00654A98"/>
    <w:rsid w:val="00654D76"/>
    <w:rsid w:val="006568D7"/>
    <w:rsid w:val="00661386"/>
    <w:rsid w:val="00661F5E"/>
    <w:rsid w:val="00662CD1"/>
    <w:rsid w:val="006637ED"/>
    <w:rsid w:val="006645A9"/>
    <w:rsid w:val="0066574A"/>
    <w:rsid w:val="00665BBA"/>
    <w:rsid w:val="006670FB"/>
    <w:rsid w:val="00667764"/>
    <w:rsid w:val="006708BC"/>
    <w:rsid w:val="00670BC6"/>
    <w:rsid w:val="00670C13"/>
    <w:rsid w:val="00671016"/>
    <w:rsid w:val="00671304"/>
    <w:rsid w:val="00671AA7"/>
    <w:rsid w:val="00672A48"/>
    <w:rsid w:val="00673B33"/>
    <w:rsid w:val="00673DC9"/>
    <w:rsid w:val="00674EF7"/>
    <w:rsid w:val="00675255"/>
    <w:rsid w:val="00675EF5"/>
    <w:rsid w:val="00676031"/>
    <w:rsid w:val="006767AC"/>
    <w:rsid w:val="006775A1"/>
    <w:rsid w:val="00677714"/>
    <w:rsid w:val="00677E72"/>
    <w:rsid w:val="006802F1"/>
    <w:rsid w:val="00680317"/>
    <w:rsid w:val="00680838"/>
    <w:rsid w:val="00680DD1"/>
    <w:rsid w:val="00681CB7"/>
    <w:rsid w:val="0068200F"/>
    <w:rsid w:val="0068257A"/>
    <w:rsid w:val="00683E39"/>
    <w:rsid w:val="00683F03"/>
    <w:rsid w:val="00685025"/>
    <w:rsid w:val="00685798"/>
    <w:rsid w:val="006859B0"/>
    <w:rsid w:val="00686A99"/>
    <w:rsid w:val="00690043"/>
    <w:rsid w:val="00690CB6"/>
    <w:rsid w:val="0069101D"/>
    <w:rsid w:val="00691F20"/>
    <w:rsid w:val="00691FC7"/>
    <w:rsid w:val="00692155"/>
    <w:rsid w:val="006923B0"/>
    <w:rsid w:val="006935C9"/>
    <w:rsid w:val="0069754C"/>
    <w:rsid w:val="00697962"/>
    <w:rsid w:val="006A1D39"/>
    <w:rsid w:val="006A2342"/>
    <w:rsid w:val="006A3555"/>
    <w:rsid w:val="006A38CB"/>
    <w:rsid w:val="006A50C0"/>
    <w:rsid w:val="006A62FC"/>
    <w:rsid w:val="006B0E96"/>
    <w:rsid w:val="006B1758"/>
    <w:rsid w:val="006B2B1E"/>
    <w:rsid w:val="006B3162"/>
    <w:rsid w:val="006B3FCE"/>
    <w:rsid w:val="006B4A4C"/>
    <w:rsid w:val="006B52B5"/>
    <w:rsid w:val="006B5A5D"/>
    <w:rsid w:val="006B6BA4"/>
    <w:rsid w:val="006C030C"/>
    <w:rsid w:val="006C10CA"/>
    <w:rsid w:val="006C167B"/>
    <w:rsid w:val="006C21AD"/>
    <w:rsid w:val="006C2BF7"/>
    <w:rsid w:val="006C3F5F"/>
    <w:rsid w:val="006C42AB"/>
    <w:rsid w:val="006C42BC"/>
    <w:rsid w:val="006C6E3C"/>
    <w:rsid w:val="006D0927"/>
    <w:rsid w:val="006D1B29"/>
    <w:rsid w:val="006D1C28"/>
    <w:rsid w:val="006D20E9"/>
    <w:rsid w:val="006D3736"/>
    <w:rsid w:val="006D4843"/>
    <w:rsid w:val="006D588C"/>
    <w:rsid w:val="006D7F54"/>
    <w:rsid w:val="006E0ACA"/>
    <w:rsid w:val="006E2F2C"/>
    <w:rsid w:val="006E378F"/>
    <w:rsid w:val="006E4D41"/>
    <w:rsid w:val="006E57A7"/>
    <w:rsid w:val="006E5850"/>
    <w:rsid w:val="006E586F"/>
    <w:rsid w:val="006E6327"/>
    <w:rsid w:val="006E744E"/>
    <w:rsid w:val="006E7D38"/>
    <w:rsid w:val="006E7DC3"/>
    <w:rsid w:val="006F05BF"/>
    <w:rsid w:val="006F0E4C"/>
    <w:rsid w:val="006F1003"/>
    <w:rsid w:val="006F2DD5"/>
    <w:rsid w:val="006F4445"/>
    <w:rsid w:val="006F5FAD"/>
    <w:rsid w:val="006F6553"/>
    <w:rsid w:val="006F6F4C"/>
    <w:rsid w:val="00700976"/>
    <w:rsid w:val="007025AA"/>
    <w:rsid w:val="00702C74"/>
    <w:rsid w:val="007036E5"/>
    <w:rsid w:val="007036F9"/>
    <w:rsid w:val="007039AF"/>
    <w:rsid w:val="0070463F"/>
    <w:rsid w:val="0070550A"/>
    <w:rsid w:val="00710633"/>
    <w:rsid w:val="00710750"/>
    <w:rsid w:val="00710834"/>
    <w:rsid w:val="0071166C"/>
    <w:rsid w:val="0071219D"/>
    <w:rsid w:val="00712A42"/>
    <w:rsid w:val="00712CDD"/>
    <w:rsid w:val="00712DA4"/>
    <w:rsid w:val="00714197"/>
    <w:rsid w:val="0071599B"/>
    <w:rsid w:val="007171C9"/>
    <w:rsid w:val="00720D87"/>
    <w:rsid w:val="0072148F"/>
    <w:rsid w:val="00721C78"/>
    <w:rsid w:val="00724996"/>
    <w:rsid w:val="00724A1D"/>
    <w:rsid w:val="00724B23"/>
    <w:rsid w:val="007266CC"/>
    <w:rsid w:val="0072678B"/>
    <w:rsid w:val="00726CA0"/>
    <w:rsid w:val="00726F7F"/>
    <w:rsid w:val="007303FC"/>
    <w:rsid w:val="00730C23"/>
    <w:rsid w:val="00730EB4"/>
    <w:rsid w:val="00732C43"/>
    <w:rsid w:val="007339F7"/>
    <w:rsid w:val="00733BCF"/>
    <w:rsid w:val="00735025"/>
    <w:rsid w:val="00735F33"/>
    <w:rsid w:val="00736D12"/>
    <w:rsid w:val="007373BF"/>
    <w:rsid w:val="00742D8F"/>
    <w:rsid w:val="007433CC"/>
    <w:rsid w:val="00744207"/>
    <w:rsid w:val="0074450C"/>
    <w:rsid w:val="00744AAB"/>
    <w:rsid w:val="0074721B"/>
    <w:rsid w:val="00747614"/>
    <w:rsid w:val="00750A13"/>
    <w:rsid w:val="00750D99"/>
    <w:rsid w:val="00751971"/>
    <w:rsid w:val="00752314"/>
    <w:rsid w:val="007529AD"/>
    <w:rsid w:val="007534BE"/>
    <w:rsid w:val="00753DAC"/>
    <w:rsid w:val="00754BEF"/>
    <w:rsid w:val="00754C15"/>
    <w:rsid w:val="0075599F"/>
    <w:rsid w:val="00755A5F"/>
    <w:rsid w:val="00755C76"/>
    <w:rsid w:val="00755DAB"/>
    <w:rsid w:val="007566D1"/>
    <w:rsid w:val="00756D3F"/>
    <w:rsid w:val="00756FED"/>
    <w:rsid w:val="0075731C"/>
    <w:rsid w:val="0075734F"/>
    <w:rsid w:val="00757D5C"/>
    <w:rsid w:val="00760E91"/>
    <w:rsid w:val="007616FE"/>
    <w:rsid w:val="00762133"/>
    <w:rsid w:val="0076304F"/>
    <w:rsid w:val="00763066"/>
    <w:rsid w:val="00764163"/>
    <w:rsid w:val="00764CF9"/>
    <w:rsid w:val="00765D6A"/>
    <w:rsid w:val="007662E5"/>
    <w:rsid w:val="00766773"/>
    <w:rsid w:val="007672A3"/>
    <w:rsid w:val="007673E0"/>
    <w:rsid w:val="00767400"/>
    <w:rsid w:val="00767D94"/>
    <w:rsid w:val="00770547"/>
    <w:rsid w:val="00771E50"/>
    <w:rsid w:val="00772374"/>
    <w:rsid w:val="00773AD0"/>
    <w:rsid w:val="00774EB9"/>
    <w:rsid w:val="00776811"/>
    <w:rsid w:val="007773CB"/>
    <w:rsid w:val="0078019F"/>
    <w:rsid w:val="00780FF0"/>
    <w:rsid w:val="00781AB5"/>
    <w:rsid w:val="00781DA4"/>
    <w:rsid w:val="00782084"/>
    <w:rsid w:val="007834DA"/>
    <w:rsid w:val="0078360C"/>
    <w:rsid w:val="00785201"/>
    <w:rsid w:val="0078531A"/>
    <w:rsid w:val="00786755"/>
    <w:rsid w:val="00787600"/>
    <w:rsid w:val="00791870"/>
    <w:rsid w:val="00791EFE"/>
    <w:rsid w:val="00791FF1"/>
    <w:rsid w:val="00792287"/>
    <w:rsid w:val="00793A1C"/>
    <w:rsid w:val="00794242"/>
    <w:rsid w:val="00794F5B"/>
    <w:rsid w:val="007951AE"/>
    <w:rsid w:val="00795264"/>
    <w:rsid w:val="007957B1"/>
    <w:rsid w:val="00795B76"/>
    <w:rsid w:val="00797071"/>
    <w:rsid w:val="007A01BB"/>
    <w:rsid w:val="007A0EB4"/>
    <w:rsid w:val="007A1443"/>
    <w:rsid w:val="007A300F"/>
    <w:rsid w:val="007A3579"/>
    <w:rsid w:val="007A3718"/>
    <w:rsid w:val="007A3D78"/>
    <w:rsid w:val="007A4371"/>
    <w:rsid w:val="007A4625"/>
    <w:rsid w:val="007A4D7F"/>
    <w:rsid w:val="007A50F0"/>
    <w:rsid w:val="007A5FB1"/>
    <w:rsid w:val="007A6BF0"/>
    <w:rsid w:val="007B00C6"/>
    <w:rsid w:val="007B09B4"/>
    <w:rsid w:val="007B229F"/>
    <w:rsid w:val="007B3A8F"/>
    <w:rsid w:val="007B42B9"/>
    <w:rsid w:val="007B4B9D"/>
    <w:rsid w:val="007B595F"/>
    <w:rsid w:val="007C0DF3"/>
    <w:rsid w:val="007C12F6"/>
    <w:rsid w:val="007C1B13"/>
    <w:rsid w:val="007C1C54"/>
    <w:rsid w:val="007C2AE7"/>
    <w:rsid w:val="007C2D80"/>
    <w:rsid w:val="007C3F13"/>
    <w:rsid w:val="007C433C"/>
    <w:rsid w:val="007C4773"/>
    <w:rsid w:val="007C6D55"/>
    <w:rsid w:val="007C6F63"/>
    <w:rsid w:val="007C78CA"/>
    <w:rsid w:val="007D09F8"/>
    <w:rsid w:val="007D144D"/>
    <w:rsid w:val="007D1DA8"/>
    <w:rsid w:val="007D22AE"/>
    <w:rsid w:val="007D27C5"/>
    <w:rsid w:val="007D2AE8"/>
    <w:rsid w:val="007D3569"/>
    <w:rsid w:val="007D3AFD"/>
    <w:rsid w:val="007D52A5"/>
    <w:rsid w:val="007D7987"/>
    <w:rsid w:val="007E1357"/>
    <w:rsid w:val="007E28D4"/>
    <w:rsid w:val="007E3099"/>
    <w:rsid w:val="007E319E"/>
    <w:rsid w:val="007F13A9"/>
    <w:rsid w:val="007F1DD3"/>
    <w:rsid w:val="007F2480"/>
    <w:rsid w:val="007F3BDC"/>
    <w:rsid w:val="007F3F3B"/>
    <w:rsid w:val="007F3F47"/>
    <w:rsid w:val="007F41E4"/>
    <w:rsid w:val="007F4B2A"/>
    <w:rsid w:val="007F4E95"/>
    <w:rsid w:val="007F4F9E"/>
    <w:rsid w:val="007F66D7"/>
    <w:rsid w:val="007F6811"/>
    <w:rsid w:val="007F744E"/>
    <w:rsid w:val="007F756D"/>
    <w:rsid w:val="007F7ED8"/>
    <w:rsid w:val="008001BB"/>
    <w:rsid w:val="008014FE"/>
    <w:rsid w:val="00801862"/>
    <w:rsid w:val="00801A68"/>
    <w:rsid w:val="00801EEE"/>
    <w:rsid w:val="0080253F"/>
    <w:rsid w:val="008025A8"/>
    <w:rsid w:val="0080272C"/>
    <w:rsid w:val="00802B6E"/>
    <w:rsid w:val="0080388D"/>
    <w:rsid w:val="008038D4"/>
    <w:rsid w:val="00803A1B"/>
    <w:rsid w:val="00803B61"/>
    <w:rsid w:val="008040BD"/>
    <w:rsid w:val="008057B7"/>
    <w:rsid w:val="008059D6"/>
    <w:rsid w:val="00805B4D"/>
    <w:rsid w:val="00806FA6"/>
    <w:rsid w:val="00807A57"/>
    <w:rsid w:val="00807DCE"/>
    <w:rsid w:val="00810113"/>
    <w:rsid w:val="0081073E"/>
    <w:rsid w:val="00810CEB"/>
    <w:rsid w:val="00811263"/>
    <w:rsid w:val="008118BD"/>
    <w:rsid w:val="00811E90"/>
    <w:rsid w:val="0081389D"/>
    <w:rsid w:val="00814DBF"/>
    <w:rsid w:val="008156E9"/>
    <w:rsid w:val="0081616E"/>
    <w:rsid w:val="008163C4"/>
    <w:rsid w:val="0081700E"/>
    <w:rsid w:val="0081752A"/>
    <w:rsid w:val="00820494"/>
    <w:rsid w:val="00820DF5"/>
    <w:rsid w:val="0082166E"/>
    <w:rsid w:val="008221E0"/>
    <w:rsid w:val="0082299E"/>
    <w:rsid w:val="0082329E"/>
    <w:rsid w:val="0082368B"/>
    <w:rsid w:val="008237A0"/>
    <w:rsid w:val="00823946"/>
    <w:rsid w:val="008240F3"/>
    <w:rsid w:val="00824B1A"/>
    <w:rsid w:val="00824DC9"/>
    <w:rsid w:val="00825AAC"/>
    <w:rsid w:val="00826690"/>
    <w:rsid w:val="00826A3D"/>
    <w:rsid w:val="00826C4F"/>
    <w:rsid w:val="00826D47"/>
    <w:rsid w:val="00830068"/>
    <w:rsid w:val="00830B82"/>
    <w:rsid w:val="00830BA4"/>
    <w:rsid w:val="00831EB3"/>
    <w:rsid w:val="0083270B"/>
    <w:rsid w:val="00832A4A"/>
    <w:rsid w:val="00832DCA"/>
    <w:rsid w:val="00832EC3"/>
    <w:rsid w:val="00833CF8"/>
    <w:rsid w:val="00833D3B"/>
    <w:rsid w:val="00833ECC"/>
    <w:rsid w:val="00834D68"/>
    <w:rsid w:val="00835D6D"/>
    <w:rsid w:val="008363F4"/>
    <w:rsid w:val="0083656D"/>
    <w:rsid w:val="00836A6C"/>
    <w:rsid w:val="00837831"/>
    <w:rsid w:val="00840503"/>
    <w:rsid w:val="0084068A"/>
    <w:rsid w:val="008417A6"/>
    <w:rsid w:val="00843F12"/>
    <w:rsid w:val="00843FF0"/>
    <w:rsid w:val="008443AC"/>
    <w:rsid w:val="00844A76"/>
    <w:rsid w:val="00844CDC"/>
    <w:rsid w:val="00846C2A"/>
    <w:rsid w:val="008479D2"/>
    <w:rsid w:val="00847FCE"/>
    <w:rsid w:val="00850077"/>
    <w:rsid w:val="00850124"/>
    <w:rsid w:val="00851429"/>
    <w:rsid w:val="0085167E"/>
    <w:rsid w:val="00854849"/>
    <w:rsid w:val="0085556B"/>
    <w:rsid w:val="00856D2E"/>
    <w:rsid w:val="00856FFA"/>
    <w:rsid w:val="00860F39"/>
    <w:rsid w:val="0086152D"/>
    <w:rsid w:val="008619A5"/>
    <w:rsid w:val="00863537"/>
    <w:rsid w:val="00864242"/>
    <w:rsid w:val="008643C1"/>
    <w:rsid w:val="0086462F"/>
    <w:rsid w:val="00864A1C"/>
    <w:rsid w:val="0086505A"/>
    <w:rsid w:val="0086573F"/>
    <w:rsid w:val="0086609E"/>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2FCA"/>
    <w:rsid w:val="00883B8B"/>
    <w:rsid w:val="008845AE"/>
    <w:rsid w:val="0088469A"/>
    <w:rsid w:val="00884A53"/>
    <w:rsid w:val="00884F7B"/>
    <w:rsid w:val="00885041"/>
    <w:rsid w:val="00885544"/>
    <w:rsid w:val="00887E45"/>
    <w:rsid w:val="00890590"/>
    <w:rsid w:val="008913DC"/>
    <w:rsid w:val="008929E1"/>
    <w:rsid w:val="0089385F"/>
    <w:rsid w:val="00895E0A"/>
    <w:rsid w:val="0089615A"/>
    <w:rsid w:val="008963C6"/>
    <w:rsid w:val="008964F0"/>
    <w:rsid w:val="008966C4"/>
    <w:rsid w:val="008967B7"/>
    <w:rsid w:val="0089690A"/>
    <w:rsid w:val="0089764B"/>
    <w:rsid w:val="008A0545"/>
    <w:rsid w:val="008A0A05"/>
    <w:rsid w:val="008A1380"/>
    <w:rsid w:val="008A18EA"/>
    <w:rsid w:val="008A2835"/>
    <w:rsid w:val="008A30AF"/>
    <w:rsid w:val="008A3305"/>
    <w:rsid w:val="008A3C0B"/>
    <w:rsid w:val="008A6928"/>
    <w:rsid w:val="008A6A00"/>
    <w:rsid w:val="008A6C08"/>
    <w:rsid w:val="008A7AEA"/>
    <w:rsid w:val="008B065E"/>
    <w:rsid w:val="008B07FE"/>
    <w:rsid w:val="008B1ABA"/>
    <w:rsid w:val="008B1D2F"/>
    <w:rsid w:val="008B2AAE"/>
    <w:rsid w:val="008B4062"/>
    <w:rsid w:val="008B4A92"/>
    <w:rsid w:val="008B4AA3"/>
    <w:rsid w:val="008B7987"/>
    <w:rsid w:val="008B7CBA"/>
    <w:rsid w:val="008C1BCA"/>
    <w:rsid w:val="008C1E97"/>
    <w:rsid w:val="008C2297"/>
    <w:rsid w:val="008C253F"/>
    <w:rsid w:val="008C286B"/>
    <w:rsid w:val="008C3011"/>
    <w:rsid w:val="008C34AB"/>
    <w:rsid w:val="008C38F9"/>
    <w:rsid w:val="008C47CA"/>
    <w:rsid w:val="008C540D"/>
    <w:rsid w:val="008C55AE"/>
    <w:rsid w:val="008C57F6"/>
    <w:rsid w:val="008C5EA0"/>
    <w:rsid w:val="008C60FA"/>
    <w:rsid w:val="008C71BB"/>
    <w:rsid w:val="008C7DDE"/>
    <w:rsid w:val="008C7E18"/>
    <w:rsid w:val="008D0DC9"/>
    <w:rsid w:val="008D28B6"/>
    <w:rsid w:val="008D33EB"/>
    <w:rsid w:val="008D351B"/>
    <w:rsid w:val="008D3D31"/>
    <w:rsid w:val="008D3DD1"/>
    <w:rsid w:val="008D3E7A"/>
    <w:rsid w:val="008D4B96"/>
    <w:rsid w:val="008D4B9E"/>
    <w:rsid w:val="008D4F7B"/>
    <w:rsid w:val="008D4F94"/>
    <w:rsid w:val="008D65CE"/>
    <w:rsid w:val="008D6B75"/>
    <w:rsid w:val="008E0393"/>
    <w:rsid w:val="008E0F4D"/>
    <w:rsid w:val="008E22E3"/>
    <w:rsid w:val="008E25D6"/>
    <w:rsid w:val="008E33F6"/>
    <w:rsid w:val="008E5021"/>
    <w:rsid w:val="008E5B0F"/>
    <w:rsid w:val="008E5E48"/>
    <w:rsid w:val="008E63AD"/>
    <w:rsid w:val="008E756A"/>
    <w:rsid w:val="008E7781"/>
    <w:rsid w:val="008F0EC2"/>
    <w:rsid w:val="008F1F13"/>
    <w:rsid w:val="008F22EC"/>
    <w:rsid w:val="008F262E"/>
    <w:rsid w:val="008F28DB"/>
    <w:rsid w:val="008F36B2"/>
    <w:rsid w:val="008F4428"/>
    <w:rsid w:val="008F698A"/>
    <w:rsid w:val="008F74EE"/>
    <w:rsid w:val="008F7B69"/>
    <w:rsid w:val="00900430"/>
    <w:rsid w:val="00900543"/>
    <w:rsid w:val="0090098E"/>
    <w:rsid w:val="00901821"/>
    <w:rsid w:val="0090253A"/>
    <w:rsid w:val="009034B4"/>
    <w:rsid w:val="00904018"/>
    <w:rsid w:val="00905044"/>
    <w:rsid w:val="0090588D"/>
    <w:rsid w:val="00905B26"/>
    <w:rsid w:val="00906B80"/>
    <w:rsid w:val="00906BCB"/>
    <w:rsid w:val="00907F8A"/>
    <w:rsid w:val="0091106F"/>
    <w:rsid w:val="00912B3F"/>
    <w:rsid w:val="00913266"/>
    <w:rsid w:val="009138BF"/>
    <w:rsid w:val="00913972"/>
    <w:rsid w:val="0091472C"/>
    <w:rsid w:val="00914CEC"/>
    <w:rsid w:val="00914DE8"/>
    <w:rsid w:val="00915920"/>
    <w:rsid w:val="00915A6A"/>
    <w:rsid w:val="00915D10"/>
    <w:rsid w:val="0091740A"/>
    <w:rsid w:val="00921727"/>
    <w:rsid w:val="00921E62"/>
    <w:rsid w:val="00922BCF"/>
    <w:rsid w:val="009237F5"/>
    <w:rsid w:val="00923BFE"/>
    <w:rsid w:val="00923D64"/>
    <w:rsid w:val="009244AF"/>
    <w:rsid w:val="00924CFD"/>
    <w:rsid w:val="009258C2"/>
    <w:rsid w:val="00925B20"/>
    <w:rsid w:val="00925C30"/>
    <w:rsid w:val="0092666E"/>
    <w:rsid w:val="00926C65"/>
    <w:rsid w:val="009276E1"/>
    <w:rsid w:val="00927787"/>
    <w:rsid w:val="0092794E"/>
    <w:rsid w:val="00930619"/>
    <w:rsid w:val="009306D9"/>
    <w:rsid w:val="00930D5B"/>
    <w:rsid w:val="00930E42"/>
    <w:rsid w:val="0093175A"/>
    <w:rsid w:val="00932BBE"/>
    <w:rsid w:val="0093326C"/>
    <w:rsid w:val="009335C2"/>
    <w:rsid w:val="009336A7"/>
    <w:rsid w:val="00933E8C"/>
    <w:rsid w:val="00934E95"/>
    <w:rsid w:val="00936819"/>
    <w:rsid w:val="00936DEE"/>
    <w:rsid w:val="0094026B"/>
    <w:rsid w:val="00941112"/>
    <w:rsid w:val="00941753"/>
    <w:rsid w:val="00942996"/>
    <w:rsid w:val="0094309D"/>
    <w:rsid w:val="0094314B"/>
    <w:rsid w:val="0094383D"/>
    <w:rsid w:val="00943B28"/>
    <w:rsid w:val="00943D1D"/>
    <w:rsid w:val="0094559D"/>
    <w:rsid w:val="009455A4"/>
    <w:rsid w:val="00951FFE"/>
    <w:rsid w:val="009525F7"/>
    <w:rsid w:val="00953DF7"/>
    <w:rsid w:val="00954580"/>
    <w:rsid w:val="00954DE6"/>
    <w:rsid w:val="0095555A"/>
    <w:rsid w:val="0095590D"/>
    <w:rsid w:val="00955DCA"/>
    <w:rsid w:val="00956848"/>
    <w:rsid w:val="009572BD"/>
    <w:rsid w:val="009601FD"/>
    <w:rsid w:val="00960D6D"/>
    <w:rsid w:val="00960E83"/>
    <w:rsid w:val="0096213A"/>
    <w:rsid w:val="009622EA"/>
    <w:rsid w:val="009626E4"/>
    <w:rsid w:val="00962AB2"/>
    <w:rsid w:val="00962D33"/>
    <w:rsid w:val="009630CC"/>
    <w:rsid w:val="009632E7"/>
    <w:rsid w:val="0096372C"/>
    <w:rsid w:val="009638B7"/>
    <w:rsid w:val="00963D81"/>
    <w:rsid w:val="00964064"/>
    <w:rsid w:val="009644D5"/>
    <w:rsid w:val="009656F9"/>
    <w:rsid w:val="00965F68"/>
    <w:rsid w:val="0097152A"/>
    <w:rsid w:val="00971660"/>
    <w:rsid w:val="0097167A"/>
    <w:rsid w:val="00971884"/>
    <w:rsid w:val="00971894"/>
    <w:rsid w:val="0097201D"/>
    <w:rsid w:val="0097388A"/>
    <w:rsid w:val="00974D6B"/>
    <w:rsid w:val="00976563"/>
    <w:rsid w:val="00976890"/>
    <w:rsid w:val="00976D60"/>
    <w:rsid w:val="009771C3"/>
    <w:rsid w:val="009771E2"/>
    <w:rsid w:val="00977820"/>
    <w:rsid w:val="00977CFE"/>
    <w:rsid w:val="00977EC2"/>
    <w:rsid w:val="00980BFD"/>
    <w:rsid w:val="00981B36"/>
    <w:rsid w:val="00982124"/>
    <w:rsid w:val="00982911"/>
    <w:rsid w:val="00982A98"/>
    <w:rsid w:val="00982B12"/>
    <w:rsid w:val="00983AC7"/>
    <w:rsid w:val="00983BDC"/>
    <w:rsid w:val="00983CA4"/>
    <w:rsid w:val="009845FB"/>
    <w:rsid w:val="0098504F"/>
    <w:rsid w:val="009854C1"/>
    <w:rsid w:val="00986AA2"/>
    <w:rsid w:val="00986B3B"/>
    <w:rsid w:val="00987AA7"/>
    <w:rsid w:val="00991050"/>
    <w:rsid w:val="009910CB"/>
    <w:rsid w:val="00991E22"/>
    <w:rsid w:val="00991EB3"/>
    <w:rsid w:val="009925D7"/>
    <w:rsid w:val="00995214"/>
    <w:rsid w:val="00995644"/>
    <w:rsid w:val="009957EA"/>
    <w:rsid w:val="0099586E"/>
    <w:rsid w:val="00995956"/>
    <w:rsid w:val="009A02E3"/>
    <w:rsid w:val="009A0385"/>
    <w:rsid w:val="009A0432"/>
    <w:rsid w:val="009A2104"/>
    <w:rsid w:val="009A4D85"/>
    <w:rsid w:val="009A5AF0"/>
    <w:rsid w:val="009A7676"/>
    <w:rsid w:val="009B0220"/>
    <w:rsid w:val="009B04B7"/>
    <w:rsid w:val="009B1A0B"/>
    <w:rsid w:val="009B2E06"/>
    <w:rsid w:val="009B321C"/>
    <w:rsid w:val="009B3D73"/>
    <w:rsid w:val="009B5066"/>
    <w:rsid w:val="009B5631"/>
    <w:rsid w:val="009B6CC2"/>
    <w:rsid w:val="009B6F24"/>
    <w:rsid w:val="009B73C1"/>
    <w:rsid w:val="009B79CF"/>
    <w:rsid w:val="009C0B5D"/>
    <w:rsid w:val="009C1899"/>
    <w:rsid w:val="009C1CDB"/>
    <w:rsid w:val="009C222E"/>
    <w:rsid w:val="009C2E1F"/>
    <w:rsid w:val="009C2E77"/>
    <w:rsid w:val="009C2FF0"/>
    <w:rsid w:val="009C36D2"/>
    <w:rsid w:val="009C42AE"/>
    <w:rsid w:val="009C4984"/>
    <w:rsid w:val="009C7A32"/>
    <w:rsid w:val="009D0F4E"/>
    <w:rsid w:val="009D3A32"/>
    <w:rsid w:val="009D402B"/>
    <w:rsid w:val="009D4054"/>
    <w:rsid w:val="009D4EAC"/>
    <w:rsid w:val="009D524D"/>
    <w:rsid w:val="009D649B"/>
    <w:rsid w:val="009D6A59"/>
    <w:rsid w:val="009D6C39"/>
    <w:rsid w:val="009D72B4"/>
    <w:rsid w:val="009D750E"/>
    <w:rsid w:val="009E0156"/>
    <w:rsid w:val="009E0B67"/>
    <w:rsid w:val="009E25D6"/>
    <w:rsid w:val="009E2C9D"/>
    <w:rsid w:val="009E3CC1"/>
    <w:rsid w:val="009E4470"/>
    <w:rsid w:val="009E4DEF"/>
    <w:rsid w:val="009E58B2"/>
    <w:rsid w:val="009E7230"/>
    <w:rsid w:val="009E7532"/>
    <w:rsid w:val="009E7C81"/>
    <w:rsid w:val="009F0A31"/>
    <w:rsid w:val="009F1CE7"/>
    <w:rsid w:val="009F22E5"/>
    <w:rsid w:val="009F26B1"/>
    <w:rsid w:val="009F3071"/>
    <w:rsid w:val="009F326B"/>
    <w:rsid w:val="009F45A4"/>
    <w:rsid w:val="009F47FF"/>
    <w:rsid w:val="009F4CB8"/>
    <w:rsid w:val="009F4FE1"/>
    <w:rsid w:val="009F5410"/>
    <w:rsid w:val="009F686F"/>
    <w:rsid w:val="009F6FC1"/>
    <w:rsid w:val="00A00C58"/>
    <w:rsid w:val="00A01098"/>
    <w:rsid w:val="00A02041"/>
    <w:rsid w:val="00A02A5E"/>
    <w:rsid w:val="00A02C79"/>
    <w:rsid w:val="00A02E42"/>
    <w:rsid w:val="00A02F73"/>
    <w:rsid w:val="00A03912"/>
    <w:rsid w:val="00A042B0"/>
    <w:rsid w:val="00A04F23"/>
    <w:rsid w:val="00A05A3D"/>
    <w:rsid w:val="00A0636E"/>
    <w:rsid w:val="00A063B4"/>
    <w:rsid w:val="00A06E58"/>
    <w:rsid w:val="00A0716E"/>
    <w:rsid w:val="00A11978"/>
    <w:rsid w:val="00A128DE"/>
    <w:rsid w:val="00A13209"/>
    <w:rsid w:val="00A13B57"/>
    <w:rsid w:val="00A13E43"/>
    <w:rsid w:val="00A150D1"/>
    <w:rsid w:val="00A15F8A"/>
    <w:rsid w:val="00A164FD"/>
    <w:rsid w:val="00A1671A"/>
    <w:rsid w:val="00A1751F"/>
    <w:rsid w:val="00A2027E"/>
    <w:rsid w:val="00A21AB0"/>
    <w:rsid w:val="00A21C66"/>
    <w:rsid w:val="00A239C3"/>
    <w:rsid w:val="00A23A23"/>
    <w:rsid w:val="00A23B28"/>
    <w:rsid w:val="00A23B30"/>
    <w:rsid w:val="00A240D4"/>
    <w:rsid w:val="00A24D42"/>
    <w:rsid w:val="00A256E7"/>
    <w:rsid w:val="00A2625C"/>
    <w:rsid w:val="00A27B5C"/>
    <w:rsid w:val="00A31DB2"/>
    <w:rsid w:val="00A33BCD"/>
    <w:rsid w:val="00A341C7"/>
    <w:rsid w:val="00A34A99"/>
    <w:rsid w:val="00A36864"/>
    <w:rsid w:val="00A36F7D"/>
    <w:rsid w:val="00A37119"/>
    <w:rsid w:val="00A3788A"/>
    <w:rsid w:val="00A40119"/>
    <w:rsid w:val="00A41188"/>
    <w:rsid w:val="00A421D2"/>
    <w:rsid w:val="00A4221E"/>
    <w:rsid w:val="00A42283"/>
    <w:rsid w:val="00A4355A"/>
    <w:rsid w:val="00A44184"/>
    <w:rsid w:val="00A44DEC"/>
    <w:rsid w:val="00A44FBC"/>
    <w:rsid w:val="00A50426"/>
    <w:rsid w:val="00A511AE"/>
    <w:rsid w:val="00A52503"/>
    <w:rsid w:val="00A52ECD"/>
    <w:rsid w:val="00A548AF"/>
    <w:rsid w:val="00A56B3B"/>
    <w:rsid w:val="00A575CD"/>
    <w:rsid w:val="00A57FD0"/>
    <w:rsid w:val="00A627BC"/>
    <w:rsid w:val="00A62F7B"/>
    <w:rsid w:val="00A636F8"/>
    <w:rsid w:val="00A6375E"/>
    <w:rsid w:val="00A63D01"/>
    <w:rsid w:val="00A64DB3"/>
    <w:rsid w:val="00A6545C"/>
    <w:rsid w:val="00A6574D"/>
    <w:rsid w:val="00A65E52"/>
    <w:rsid w:val="00A66435"/>
    <w:rsid w:val="00A66679"/>
    <w:rsid w:val="00A6679E"/>
    <w:rsid w:val="00A72A0B"/>
    <w:rsid w:val="00A741C8"/>
    <w:rsid w:val="00A74978"/>
    <w:rsid w:val="00A754D4"/>
    <w:rsid w:val="00A7625D"/>
    <w:rsid w:val="00A8223A"/>
    <w:rsid w:val="00A82372"/>
    <w:rsid w:val="00A8373A"/>
    <w:rsid w:val="00A85177"/>
    <w:rsid w:val="00A85424"/>
    <w:rsid w:val="00A86E04"/>
    <w:rsid w:val="00A906C2"/>
    <w:rsid w:val="00A913DD"/>
    <w:rsid w:val="00A9207E"/>
    <w:rsid w:val="00A92E1E"/>
    <w:rsid w:val="00A93CF8"/>
    <w:rsid w:val="00A95473"/>
    <w:rsid w:val="00A962A7"/>
    <w:rsid w:val="00A97449"/>
    <w:rsid w:val="00AA0394"/>
    <w:rsid w:val="00AA1E2B"/>
    <w:rsid w:val="00AA39C8"/>
    <w:rsid w:val="00AA5AD0"/>
    <w:rsid w:val="00AA5F9E"/>
    <w:rsid w:val="00AA6DB1"/>
    <w:rsid w:val="00AA7EA1"/>
    <w:rsid w:val="00AB07FD"/>
    <w:rsid w:val="00AB15D2"/>
    <w:rsid w:val="00AB2BAD"/>
    <w:rsid w:val="00AB4130"/>
    <w:rsid w:val="00AB5E8D"/>
    <w:rsid w:val="00AB5F8F"/>
    <w:rsid w:val="00AB6CDF"/>
    <w:rsid w:val="00AB766E"/>
    <w:rsid w:val="00AC0616"/>
    <w:rsid w:val="00AC2167"/>
    <w:rsid w:val="00AC250C"/>
    <w:rsid w:val="00AC37B2"/>
    <w:rsid w:val="00AC5E75"/>
    <w:rsid w:val="00AC6634"/>
    <w:rsid w:val="00AC70F2"/>
    <w:rsid w:val="00AC7190"/>
    <w:rsid w:val="00AC7BF7"/>
    <w:rsid w:val="00AD015E"/>
    <w:rsid w:val="00AD0996"/>
    <w:rsid w:val="00AD0D1C"/>
    <w:rsid w:val="00AD1B18"/>
    <w:rsid w:val="00AD1E7A"/>
    <w:rsid w:val="00AD1ED2"/>
    <w:rsid w:val="00AD21C7"/>
    <w:rsid w:val="00AD2DFC"/>
    <w:rsid w:val="00AD2EEC"/>
    <w:rsid w:val="00AD2F55"/>
    <w:rsid w:val="00AD3B37"/>
    <w:rsid w:val="00AD3FE1"/>
    <w:rsid w:val="00AD57FF"/>
    <w:rsid w:val="00AD76F3"/>
    <w:rsid w:val="00AD78BD"/>
    <w:rsid w:val="00AE0D21"/>
    <w:rsid w:val="00AE19CA"/>
    <w:rsid w:val="00AE2736"/>
    <w:rsid w:val="00AE363A"/>
    <w:rsid w:val="00AE3C36"/>
    <w:rsid w:val="00AE5406"/>
    <w:rsid w:val="00AE5531"/>
    <w:rsid w:val="00AE5D13"/>
    <w:rsid w:val="00AE60E4"/>
    <w:rsid w:val="00AE645E"/>
    <w:rsid w:val="00AF034B"/>
    <w:rsid w:val="00AF0410"/>
    <w:rsid w:val="00AF0D2A"/>
    <w:rsid w:val="00AF1B86"/>
    <w:rsid w:val="00AF289B"/>
    <w:rsid w:val="00AF2F99"/>
    <w:rsid w:val="00AF3E7F"/>
    <w:rsid w:val="00AF3FBD"/>
    <w:rsid w:val="00AF4FC1"/>
    <w:rsid w:val="00AF716C"/>
    <w:rsid w:val="00AF7A25"/>
    <w:rsid w:val="00AF7EAB"/>
    <w:rsid w:val="00B00998"/>
    <w:rsid w:val="00B00BBF"/>
    <w:rsid w:val="00B0398C"/>
    <w:rsid w:val="00B03DDC"/>
    <w:rsid w:val="00B0451C"/>
    <w:rsid w:val="00B04A5E"/>
    <w:rsid w:val="00B10267"/>
    <w:rsid w:val="00B10BD6"/>
    <w:rsid w:val="00B10C54"/>
    <w:rsid w:val="00B11778"/>
    <w:rsid w:val="00B117AD"/>
    <w:rsid w:val="00B11A7F"/>
    <w:rsid w:val="00B11E5C"/>
    <w:rsid w:val="00B1333B"/>
    <w:rsid w:val="00B135BE"/>
    <w:rsid w:val="00B1418D"/>
    <w:rsid w:val="00B15D2F"/>
    <w:rsid w:val="00B16396"/>
    <w:rsid w:val="00B1779D"/>
    <w:rsid w:val="00B17ECE"/>
    <w:rsid w:val="00B20141"/>
    <w:rsid w:val="00B20378"/>
    <w:rsid w:val="00B207A4"/>
    <w:rsid w:val="00B2146A"/>
    <w:rsid w:val="00B2164C"/>
    <w:rsid w:val="00B21F8C"/>
    <w:rsid w:val="00B228DE"/>
    <w:rsid w:val="00B22A70"/>
    <w:rsid w:val="00B23AA2"/>
    <w:rsid w:val="00B23D64"/>
    <w:rsid w:val="00B244DD"/>
    <w:rsid w:val="00B24B48"/>
    <w:rsid w:val="00B25F59"/>
    <w:rsid w:val="00B269D7"/>
    <w:rsid w:val="00B27E06"/>
    <w:rsid w:val="00B30DCB"/>
    <w:rsid w:val="00B315C7"/>
    <w:rsid w:val="00B347F7"/>
    <w:rsid w:val="00B351D1"/>
    <w:rsid w:val="00B35E71"/>
    <w:rsid w:val="00B362E7"/>
    <w:rsid w:val="00B36B28"/>
    <w:rsid w:val="00B37113"/>
    <w:rsid w:val="00B37F20"/>
    <w:rsid w:val="00B4388C"/>
    <w:rsid w:val="00B43BE5"/>
    <w:rsid w:val="00B454DC"/>
    <w:rsid w:val="00B45880"/>
    <w:rsid w:val="00B4669C"/>
    <w:rsid w:val="00B46889"/>
    <w:rsid w:val="00B50557"/>
    <w:rsid w:val="00B50C81"/>
    <w:rsid w:val="00B5233A"/>
    <w:rsid w:val="00B528AA"/>
    <w:rsid w:val="00B52FA9"/>
    <w:rsid w:val="00B53429"/>
    <w:rsid w:val="00B53A75"/>
    <w:rsid w:val="00B5410D"/>
    <w:rsid w:val="00B54309"/>
    <w:rsid w:val="00B5671A"/>
    <w:rsid w:val="00B5743F"/>
    <w:rsid w:val="00B62040"/>
    <w:rsid w:val="00B62E5E"/>
    <w:rsid w:val="00B6505D"/>
    <w:rsid w:val="00B658E5"/>
    <w:rsid w:val="00B65978"/>
    <w:rsid w:val="00B66B49"/>
    <w:rsid w:val="00B67503"/>
    <w:rsid w:val="00B7071F"/>
    <w:rsid w:val="00B710D0"/>
    <w:rsid w:val="00B71476"/>
    <w:rsid w:val="00B71F4F"/>
    <w:rsid w:val="00B72B83"/>
    <w:rsid w:val="00B72BA3"/>
    <w:rsid w:val="00B73F36"/>
    <w:rsid w:val="00B7489F"/>
    <w:rsid w:val="00B74B81"/>
    <w:rsid w:val="00B76015"/>
    <w:rsid w:val="00B80B45"/>
    <w:rsid w:val="00B81632"/>
    <w:rsid w:val="00B82087"/>
    <w:rsid w:val="00B8225E"/>
    <w:rsid w:val="00B830C7"/>
    <w:rsid w:val="00B8460D"/>
    <w:rsid w:val="00B84A87"/>
    <w:rsid w:val="00B85206"/>
    <w:rsid w:val="00B85EE6"/>
    <w:rsid w:val="00B87C9D"/>
    <w:rsid w:val="00B9073C"/>
    <w:rsid w:val="00B91333"/>
    <w:rsid w:val="00B917C4"/>
    <w:rsid w:val="00B92FA5"/>
    <w:rsid w:val="00B9315C"/>
    <w:rsid w:val="00B96C1D"/>
    <w:rsid w:val="00B96E42"/>
    <w:rsid w:val="00B96EAF"/>
    <w:rsid w:val="00B97941"/>
    <w:rsid w:val="00B979B2"/>
    <w:rsid w:val="00B97A97"/>
    <w:rsid w:val="00B97FE2"/>
    <w:rsid w:val="00BA0E57"/>
    <w:rsid w:val="00BA4017"/>
    <w:rsid w:val="00BA434E"/>
    <w:rsid w:val="00BA619B"/>
    <w:rsid w:val="00BA79B1"/>
    <w:rsid w:val="00BB148D"/>
    <w:rsid w:val="00BB2EA7"/>
    <w:rsid w:val="00BB3C10"/>
    <w:rsid w:val="00BB3C6C"/>
    <w:rsid w:val="00BB4065"/>
    <w:rsid w:val="00BB407F"/>
    <w:rsid w:val="00BB4B11"/>
    <w:rsid w:val="00BB67D7"/>
    <w:rsid w:val="00BB7166"/>
    <w:rsid w:val="00BB71AC"/>
    <w:rsid w:val="00BB743C"/>
    <w:rsid w:val="00BB7F61"/>
    <w:rsid w:val="00BC10DE"/>
    <w:rsid w:val="00BC14E5"/>
    <w:rsid w:val="00BC2098"/>
    <w:rsid w:val="00BC20E0"/>
    <w:rsid w:val="00BC3045"/>
    <w:rsid w:val="00BC4981"/>
    <w:rsid w:val="00BC4B5F"/>
    <w:rsid w:val="00BC51D5"/>
    <w:rsid w:val="00BC5438"/>
    <w:rsid w:val="00BC5982"/>
    <w:rsid w:val="00BC672C"/>
    <w:rsid w:val="00BC6BA0"/>
    <w:rsid w:val="00BC70AB"/>
    <w:rsid w:val="00BC71FD"/>
    <w:rsid w:val="00BD0386"/>
    <w:rsid w:val="00BD09BB"/>
    <w:rsid w:val="00BD0AE5"/>
    <w:rsid w:val="00BD3BC2"/>
    <w:rsid w:val="00BD56C7"/>
    <w:rsid w:val="00BD586F"/>
    <w:rsid w:val="00BD5CF0"/>
    <w:rsid w:val="00BD6651"/>
    <w:rsid w:val="00BD7DF1"/>
    <w:rsid w:val="00BE0067"/>
    <w:rsid w:val="00BE0608"/>
    <w:rsid w:val="00BE0E5A"/>
    <w:rsid w:val="00BE2280"/>
    <w:rsid w:val="00BE408D"/>
    <w:rsid w:val="00BE785B"/>
    <w:rsid w:val="00BF01B1"/>
    <w:rsid w:val="00BF08BE"/>
    <w:rsid w:val="00BF119B"/>
    <w:rsid w:val="00BF138D"/>
    <w:rsid w:val="00BF197F"/>
    <w:rsid w:val="00BF1B76"/>
    <w:rsid w:val="00BF2336"/>
    <w:rsid w:val="00BF4140"/>
    <w:rsid w:val="00BF423E"/>
    <w:rsid w:val="00BF4ED0"/>
    <w:rsid w:val="00BF4F43"/>
    <w:rsid w:val="00BF6353"/>
    <w:rsid w:val="00BF689F"/>
    <w:rsid w:val="00BF68D6"/>
    <w:rsid w:val="00C00101"/>
    <w:rsid w:val="00C007E5"/>
    <w:rsid w:val="00C00E05"/>
    <w:rsid w:val="00C013FB"/>
    <w:rsid w:val="00C02868"/>
    <w:rsid w:val="00C041F4"/>
    <w:rsid w:val="00C0469C"/>
    <w:rsid w:val="00C05013"/>
    <w:rsid w:val="00C05110"/>
    <w:rsid w:val="00C0794E"/>
    <w:rsid w:val="00C07B24"/>
    <w:rsid w:val="00C07B8A"/>
    <w:rsid w:val="00C11564"/>
    <w:rsid w:val="00C12DE5"/>
    <w:rsid w:val="00C12F06"/>
    <w:rsid w:val="00C1409E"/>
    <w:rsid w:val="00C14767"/>
    <w:rsid w:val="00C163CD"/>
    <w:rsid w:val="00C16721"/>
    <w:rsid w:val="00C1673C"/>
    <w:rsid w:val="00C16A84"/>
    <w:rsid w:val="00C17057"/>
    <w:rsid w:val="00C176B6"/>
    <w:rsid w:val="00C20AC2"/>
    <w:rsid w:val="00C219C7"/>
    <w:rsid w:val="00C2239B"/>
    <w:rsid w:val="00C22D3A"/>
    <w:rsid w:val="00C23740"/>
    <w:rsid w:val="00C241C5"/>
    <w:rsid w:val="00C26166"/>
    <w:rsid w:val="00C26690"/>
    <w:rsid w:val="00C27641"/>
    <w:rsid w:val="00C27CE9"/>
    <w:rsid w:val="00C304E0"/>
    <w:rsid w:val="00C308D5"/>
    <w:rsid w:val="00C30E50"/>
    <w:rsid w:val="00C31372"/>
    <w:rsid w:val="00C31F07"/>
    <w:rsid w:val="00C321FC"/>
    <w:rsid w:val="00C32221"/>
    <w:rsid w:val="00C32AA2"/>
    <w:rsid w:val="00C34939"/>
    <w:rsid w:val="00C35B79"/>
    <w:rsid w:val="00C36D37"/>
    <w:rsid w:val="00C40577"/>
    <w:rsid w:val="00C4060A"/>
    <w:rsid w:val="00C40EAD"/>
    <w:rsid w:val="00C40F07"/>
    <w:rsid w:val="00C43A91"/>
    <w:rsid w:val="00C444DF"/>
    <w:rsid w:val="00C44E0D"/>
    <w:rsid w:val="00C4537D"/>
    <w:rsid w:val="00C4594F"/>
    <w:rsid w:val="00C46863"/>
    <w:rsid w:val="00C46C29"/>
    <w:rsid w:val="00C47117"/>
    <w:rsid w:val="00C47326"/>
    <w:rsid w:val="00C473CE"/>
    <w:rsid w:val="00C47465"/>
    <w:rsid w:val="00C47714"/>
    <w:rsid w:val="00C47C23"/>
    <w:rsid w:val="00C50119"/>
    <w:rsid w:val="00C50660"/>
    <w:rsid w:val="00C513E8"/>
    <w:rsid w:val="00C51492"/>
    <w:rsid w:val="00C51627"/>
    <w:rsid w:val="00C520A6"/>
    <w:rsid w:val="00C52747"/>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6E84"/>
    <w:rsid w:val="00C6725A"/>
    <w:rsid w:val="00C70303"/>
    <w:rsid w:val="00C709A5"/>
    <w:rsid w:val="00C712D9"/>
    <w:rsid w:val="00C72825"/>
    <w:rsid w:val="00C7479A"/>
    <w:rsid w:val="00C74A39"/>
    <w:rsid w:val="00C75CCE"/>
    <w:rsid w:val="00C76139"/>
    <w:rsid w:val="00C77E95"/>
    <w:rsid w:val="00C80835"/>
    <w:rsid w:val="00C815B2"/>
    <w:rsid w:val="00C81D0B"/>
    <w:rsid w:val="00C81DC4"/>
    <w:rsid w:val="00C8232F"/>
    <w:rsid w:val="00C846D0"/>
    <w:rsid w:val="00C85D72"/>
    <w:rsid w:val="00C86C30"/>
    <w:rsid w:val="00C86E0C"/>
    <w:rsid w:val="00C86F1F"/>
    <w:rsid w:val="00C87093"/>
    <w:rsid w:val="00C87B94"/>
    <w:rsid w:val="00C909CB"/>
    <w:rsid w:val="00C91151"/>
    <w:rsid w:val="00C913DB"/>
    <w:rsid w:val="00C91481"/>
    <w:rsid w:val="00C92264"/>
    <w:rsid w:val="00C9286F"/>
    <w:rsid w:val="00C936C0"/>
    <w:rsid w:val="00C93EFD"/>
    <w:rsid w:val="00C94BAB"/>
    <w:rsid w:val="00C95B73"/>
    <w:rsid w:val="00C9632E"/>
    <w:rsid w:val="00C96DEE"/>
    <w:rsid w:val="00C9727A"/>
    <w:rsid w:val="00CA0D34"/>
    <w:rsid w:val="00CA1699"/>
    <w:rsid w:val="00CA3107"/>
    <w:rsid w:val="00CA3586"/>
    <w:rsid w:val="00CA513C"/>
    <w:rsid w:val="00CA59D0"/>
    <w:rsid w:val="00CA6A0D"/>
    <w:rsid w:val="00CA7132"/>
    <w:rsid w:val="00CA74BF"/>
    <w:rsid w:val="00CA76EB"/>
    <w:rsid w:val="00CB0A0F"/>
    <w:rsid w:val="00CB12AD"/>
    <w:rsid w:val="00CB18F1"/>
    <w:rsid w:val="00CB3BF8"/>
    <w:rsid w:val="00CB4184"/>
    <w:rsid w:val="00CB4A70"/>
    <w:rsid w:val="00CB552F"/>
    <w:rsid w:val="00CB5ED1"/>
    <w:rsid w:val="00CB5FC8"/>
    <w:rsid w:val="00CB697E"/>
    <w:rsid w:val="00CB7D66"/>
    <w:rsid w:val="00CC0B76"/>
    <w:rsid w:val="00CC0FEC"/>
    <w:rsid w:val="00CC1492"/>
    <w:rsid w:val="00CC1C35"/>
    <w:rsid w:val="00CC1D1A"/>
    <w:rsid w:val="00CC35CD"/>
    <w:rsid w:val="00CC429F"/>
    <w:rsid w:val="00CC500F"/>
    <w:rsid w:val="00CC66F1"/>
    <w:rsid w:val="00CC6F25"/>
    <w:rsid w:val="00CC7A6C"/>
    <w:rsid w:val="00CD0990"/>
    <w:rsid w:val="00CD425F"/>
    <w:rsid w:val="00CD482B"/>
    <w:rsid w:val="00CD650B"/>
    <w:rsid w:val="00CD763C"/>
    <w:rsid w:val="00CD7901"/>
    <w:rsid w:val="00CE01D5"/>
    <w:rsid w:val="00CE3C6E"/>
    <w:rsid w:val="00CE5915"/>
    <w:rsid w:val="00CE69CA"/>
    <w:rsid w:val="00CE7AE2"/>
    <w:rsid w:val="00CE7E51"/>
    <w:rsid w:val="00CF0D7E"/>
    <w:rsid w:val="00CF0FE8"/>
    <w:rsid w:val="00CF158C"/>
    <w:rsid w:val="00CF20F4"/>
    <w:rsid w:val="00CF2F79"/>
    <w:rsid w:val="00CF4778"/>
    <w:rsid w:val="00CF4DD3"/>
    <w:rsid w:val="00CF5E12"/>
    <w:rsid w:val="00CF6708"/>
    <w:rsid w:val="00CF6D0F"/>
    <w:rsid w:val="00CF7C19"/>
    <w:rsid w:val="00CF7D47"/>
    <w:rsid w:val="00D0008A"/>
    <w:rsid w:val="00D0041C"/>
    <w:rsid w:val="00D005DF"/>
    <w:rsid w:val="00D0104D"/>
    <w:rsid w:val="00D01238"/>
    <w:rsid w:val="00D01563"/>
    <w:rsid w:val="00D01E43"/>
    <w:rsid w:val="00D0245E"/>
    <w:rsid w:val="00D04C90"/>
    <w:rsid w:val="00D05B7E"/>
    <w:rsid w:val="00D06B6F"/>
    <w:rsid w:val="00D07C4B"/>
    <w:rsid w:val="00D1117B"/>
    <w:rsid w:val="00D1141E"/>
    <w:rsid w:val="00D11743"/>
    <w:rsid w:val="00D13754"/>
    <w:rsid w:val="00D13F66"/>
    <w:rsid w:val="00D1429E"/>
    <w:rsid w:val="00D145F6"/>
    <w:rsid w:val="00D14E61"/>
    <w:rsid w:val="00D16BBD"/>
    <w:rsid w:val="00D173F0"/>
    <w:rsid w:val="00D23375"/>
    <w:rsid w:val="00D23C45"/>
    <w:rsid w:val="00D24764"/>
    <w:rsid w:val="00D24B34"/>
    <w:rsid w:val="00D25385"/>
    <w:rsid w:val="00D2573C"/>
    <w:rsid w:val="00D25764"/>
    <w:rsid w:val="00D25F07"/>
    <w:rsid w:val="00D26100"/>
    <w:rsid w:val="00D26B80"/>
    <w:rsid w:val="00D27F80"/>
    <w:rsid w:val="00D31481"/>
    <w:rsid w:val="00D320CF"/>
    <w:rsid w:val="00D3286C"/>
    <w:rsid w:val="00D33311"/>
    <w:rsid w:val="00D34BC9"/>
    <w:rsid w:val="00D34EC7"/>
    <w:rsid w:val="00D3533F"/>
    <w:rsid w:val="00D36799"/>
    <w:rsid w:val="00D37DE2"/>
    <w:rsid w:val="00D40D78"/>
    <w:rsid w:val="00D41733"/>
    <w:rsid w:val="00D41A0D"/>
    <w:rsid w:val="00D41E4C"/>
    <w:rsid w:val="00D42924"/>
    <w:rsid w:val="00D42CBF"/>
    <w:rsid w:val="00D43AC8"/>
    <w:rsid w:val="00D44260"/>
    <w:rsid w:val="00D4510E"/>
    <w:rsid w:val="00D47900"/>
    <w:rsid w:val="00D47F06"/>
    <w:rsid w:val="00D505A5"/>
    <w:rsid w:val="00D50AC3"/>
    <w:rsid w:val="00D50C3E"/>
    <w:rsid w:val="00D51D0C"/>
    <w:rsid w:val="00D52AB9"/>
    <w:rsid w:val="00D541CE"/>
    <w:rsid w:val="00D54C61"/>
    <w:rsid w:val="00D55D29"/>
    <w:rsid w:val="00D56783"/>
    <w:rsid w:val="00D572E1"/>
    <w:rsid w:val="00D5746B"/>
    <w:rsid w:val="00D57975"/>
    <w:rsid w:val="00D57DDB"/>
    <w:rsid w:val="00D600BF"/>
    <w:rsid w:val="00D6016A"/>
    <w:rsid w:val="00D61FF0"/>
    <w:rsid w:val="00D63245"/>
    <w:rsid w:val="00D64211"/>
    <w:rsid w:val="00D6421C"/>
    <w:rsid w:val="00D646C0"/>
    <w:rsid w:val="00D650F5"/>
    <w:rsid w:val="00D673C1"/>
    <w:rsid w:val="00D675EC"/>
    <w:rsid w:val="00D70F83"/>
    <w:rsid w:val="00D71817"/>
    <w:rsid w:val="00D720AB"/>
    <w:rsid w:val="00D72B0E"/>
    <w:rsid w:val="00D75EF7"/>
    <w:rsid w:val="00D77105"/>
    <w:rsid w:val="00D809B5"/>
    <w:rsid w:val="00D819A9"/>
    <w:rsid w:val="00D819E7"/>
    <w:rsid w:val="00D81C20"/>
    <w:rsid w:val="00D824C0"/>
    <w:rsid w:val="00D82700"/>
    <w:rsid w:val="00D82A9F"/>
    <w:rsid w:val="00D83BCA"/>
    <w:rsid w:val="00D83BD7"/>
    <w:rsid w:val="00D83D19"/>
    <w:rsid w:val="00D84837"/>
    <w:rsid w:val="00D85221"/>
    <w:rsid w:val="00D8622D"/>
    <w:rsid w:val="00D86A11"/>
    <w:rsid w:val="00D905BA"/>
    <w:rsid w:val="00D90B00"/>
    <w:rsid w:val="00D919CC"/>
    <w:rsid w:val="00D91A1F"/>
    <w:rsid w:val="00D938C8"/>
    <w:rsid w:val="00D94BE9"/>
    <w:rsid w:val="00D94DE4"/>
    <w:rsid w:val="00D95064"/>
    <w:rsid w:val="00DA03A4"/>
    <w:rsid w:val="00DA0731"/>
    <w:rsid w:val="00DA1640"/>
    <w:rsid w:val="00DA2059"/>
    <w:rsid w:val="00DA3688"/>
    <w:rsid w:val="00DA4444"/>
    <w:rsid w:val="00DA4E9B"/>
    <w:rsid w:val="00DA566D"/>
    <w:rsid w:val="00DA57A7"/>
    <w:rsid w:val="00DA5A4C"/>
    <w:rsid w:val="00DA68CF"/>
    <w:rsid w:val="00DA7717"/>
    <w:rsid w:val="00DA7CC0"/>
    <w:rsid w:val="00DB08D3"/>
    <w:rsid w:val="00DB157F"/>
    <w:rsid w:val="00DB4E2F"/>
    <w:rsid w:val="00DC0CA9"/>
    <w:rsid w:val="00DC1BFE"/>
    <w:rsid w:val="00DC475A"/>
    <w:rsid w:val="00DC515F"/>
    <w:rsid w:val="00DC5189"/>
    <w:rsid w:val="00DC5483"/>
    <w:rsid w:val="00DC753A"/>
    <w:rsid w:val="00DC772C"/>
    <w:rsid w:val="00DD0A79"/>
    <w:rsid w:val="00DD0BF6"/>
    <w:rsid w:val="00DD187C"/>
    <w:rsid w:val="00DD2CA0"/>
    <w:rsid w:val="00DD3031"/>
    <w:rsid w:val="00DD3877"/>
    <w:rsid w:val="00DD4DEE"/>
    <w:rsid w:val="00DD50D4"/>
    <w:rsid w:val="00DD5D6D"/>
    <w:rsid w:val="00DD6281"/>
    <w:rsid w:val="00DD7902"/>
    <w:rsid w:val="00DD7A2E"/>
    <w:rsid w:val="00DD7B86"/>
    <w:rsid w:val="00DE0E6E"/>
    <w:rsid w:val="00DE0F65"/>
    <w:rsid w:val="00DE0FAA"/>
    <w:rsid w:val="00DE1804"/>
    <w:rsid w:val="00DE1AFF"/>
    <w:rsid w:val="00DE1BBE"/>
    <w:rsid w:val="00DE2030"/>
    <w:rsid w:val="00DE2717"/>
    <w:rsid w:val="00DE29CD"/>
    <w:rsid w:val="00DE3D5F"/>
    <w:rsid w:val="00DE3F1D"/>
    <w:rsid w:val="00DE453F"/>
    <w:rsid w:val="00DE4803"/>
    <w:rsid w:val="00DE589B"/>
    <w:rsid w:val="00DE61D0"/>
    <w:rsid w:val="00DF0CD1"/>
    <w:rsid w:val="00DF13A6"/>
    <w:rsid w:val="00DF2618"/>
    <w:rsid w:val="00DF2FA6"/>
    <w:rsid w:val="00DF4455"/>
    <w:rsid w:val="00DF449C"/>
    <w:rsid w:val="00DF6C92"/>
    <w:rsid w:val="00DF7733"/>
    <w:rsid w:val="00E005BB"/>
    <w:rsid w:val="00E01855"/>
    <w:rsid w:val="00E0194E"/>
    <w:rsid w:val="00E01F5F"/>
    <w:rsid w:val="00E031DE"/>
    <w:rsid w:val="00E03B88"/>
    <w:rsid w:val="00E03E50"/>
    <w:rsid w:val="00E05840"/>
    <w:rsid w:val="00E0650A"/>
    <w:rsid w:val="00E06EAB"/>
    <w:rsid w:val="00E06F80"/>
    <w:rsid w:val="00E0732F"/>
    <w:rsid w:val="00E07359"/>
    <w:rsid w:val="00E1188C"/>
    <w:rsid w:val="00E11E59"/>
    <w:rsid w:val="00E1285B"/>
    <w:rsid w:val="00E12CFD"/>
    <w:rsid w:val="00E151E6"/>
    <w:rsid w:val="00E156AD"/>
    <w:rsid w:val="00E16E90"/>
    <w:rsid w:val="00E17165"/>
    <w:rsid w:val="00E174D1"/>
    <w:rsid w:val="00E174F2"/>
    <w:rsid w:val="00E17916"/>
    <w:rsid w:val="00E206CD"/>
    <w:rsid w:val="00E20758"/>
    <w:rsid w:val="00E21843"/>
    <w:rsid w:val="00E21A7E"/>
    <w:rsid w:val="00E2278D"/>
    <w:rsid w:val="00E22CCE"/>
    <w:rsid w:val="00E26394"/>
    <w:rsid w:val="00E264B3"/>
    <w:rsid w:val="00E269F8"/>
    <w:rsid w:val="00E26B91"/>
    <w:rsid w:val="00E27D7E"/>
    <w:rsid w:val="00E3088C"/>
    <w:rsid w:val="00E32B63"/>
    <w:rsid w:val="00E33A4C"/>
    <w:rsid w:val="00E33AFE"/>
    <w:rsid w:val="00E3450A"/>
    <w:rsid w:val="00E35C71"/>
    <w:rsid w:val="00E3737A"/>
    <w:rsid w:val="00E4085C"/>
    <w:rsid w:val="00E40D0C"/>
    <w:rsid w:val="00E426FF"/>
    <w:rsid w:val="00E43001"/>
    <w:rsid w:val="00E4326C"/>
    <w:rsid w:val="00E437A2"/>
    <w:rsid w:val="00E4426D"/>
    <w:rsid w:val="00E456B8"/>
    <w:rsid w:val="00E45DAC"/>
    <w:rsid w:val="00E47E31"/>
    <w:rsid w:val="00E50F73"/>
    <w:rsid w:val="00E5277C"/>
    <w:rsid w:val="00E529E7"/>
    <w:rsid w:val="00E52A00"/>
    <w:rsid w:val="00E53127"/>
    <w:rsid w:val="00E54E55"/>
    <w:rsid w:val="00E54E63"/>
    <w:rsid w:val="00E5535A"/>
    <w:rsid w:val="00E5579E"/>
    <w:rsid w:val="00E564E5"/>
    <w:rsid w:val="00E5668B"/>
    <w:rsid w:val="00E56CD7"/>
    <w:rsid w:val="00E5779A"/>
    <w:rsid w:val="00E57897"/>
    <w:rsid w:val="00E614FC"/>
    <w:rsid w:val="00E61A87"/>
    <w:rsid w:val="00E61E7F"/>
    <w:rsid w:val="00E623D5"/>
    <w:rsid w:val="00E63CAB"/>
    <w:rsid w:val="00E6459D"/>
    <w:rsid w:val="00E6544E"/>
    <w:rsid w:val="00E65C20"/>
    <w:rsid w:val="00E66471"/>
    <w:rsid w:val="00E66E90"/>
    <w:rsid w:val="00E67DCE"/>
    <w:rsid w:val="00E70D3C"/>
    <w:rsid w:val="00E714EE"/>
    <w:rsid w:val="00E71F0D"/>
    <w:rsid w:val="00E73CE5"/>
    <w:rsid w:val="00E73EA2"/>
    <w:rsid w:val="00E754B3"/>
    <w:rsid w:val="00E77C74"/>
    <w:rsid w:val="00E806CA"/>
    <w:rsid w:val="00E80B0D"/>
    <w:rsid w:val="00E8112D"/>
    <w:rsid w:val="00E818A7"/>
    <w:rsid w:val="00E81C30"/>
    <w:rsid w:val="00E82EFD"/>
    <w:rsid w:val="00E83CFB"/>
    <w:rsid w:val="00E841CC"/>
    <w:rsid w:val="00E85B32"/>
    <w:rsid w:val="00E860C2"/>
    <w:rsid w:val="00E86F0F"/>
    <w:rsid w:val="00E86F41"/>
    <w:rsid w:val="00E87089"/>
    <w:rsid w:val="00E879A5"/>
    <w:rsid w:val="00E91865"/>
    <w:rsid w:val="00E91B79"/>
    <w:rsid w:val="00E91C74"/>
    <w:rsid w:val="00E92E45"/>
    <w:rsid w:val="00E92F6D"/>
    <w:rsid w:val="00E95AEC"/>
    <w:rsid w:val="00E95E48"/>
    <w:rsid w:val="00E967C1"/>
    <w:rsid w:val="00E96946"/>
    <w:rsid w:val="00E96BAA"/>
    <w:rsid w:val="00E96F49"/>
    <w:rsid w:val="00E970F6"/>
    <w:rsid w:val="00E97343"/>
    <w:rsid w:val="00E97DE0"/>
    <w:rsid w:val="00EA00D0"/>
    <w:rsid w:val="00EA03B6"/>
    <w:rsid w:val="00EA0DB7"/>
    <w:rsid w:val="00EA0E42"/>
    <w:rsid w:val="00EA1276"/>
    <w:rsid w:val="00EA18E2"/>
    <w:rsid w:val="00EA235C"/>
    <w:rsid w:val="00EA656D"/>
    <w:rsid w:val="00EA6583"/>
    <w:rsid w:val="00EA6789"/>
    <w:rsid w:val="00EA6C1F"/>
    <w:rsid w:val="00EB129D"/>
    <w:rsid w:val="00EB1910"/>
    <w:rsid w:val="00EB1B5C"/>
    <w:rsid w:val="00EB4694"/>
    <w:rsid w:val="00EB4960"/>
    <w:rsid w:val="00EB7896"/>
    <w:rsid w:val="00EC0342"/>
    <w:rsid w:val="00EC0C10"/>
    <w:rsid w:val="00EC103D"/>
    <w:rsid w:val="00EC1415"/>
    <w:rsid w:val="00EC1C96"/>
    <w:rsid w:val="00EC3A4F"/>
    <w:rsid w:val="00EC4449"/>
    <w:rsid w:val="00EC526D"/>
    <w:rsid w:val="00EC54DF"/>
    <w:rsid w:val="00EC5C50"/>
    <w:rsid w:val="00EC6F2B"/>
    <w:rsid w:val="00EC7A78"/>
    <w:rsid w:val="00EC7D6B"/>
    <w:rsid w:val="00ED00B3"/>
    <w:rsid w:val="00ED2F59"/>
    <w:rsid w:val="00ED3320"/>
    <w:rsid w:val="00ED463D"/>
    <w:rsid w:val="00ED74B5"/>
    <w:rsid w:val="00ED7B4C"/>
    <w:rsid w:val="00EE0158"/>
    <w:rsid w:val="00EE1230"/>
    <w:rsid w:val="00EE1BF9"/>
    <w:rsid w:val="00EE1C46"/>
    <w:rsid w:val="00EE2876"/>
    <w:rsid w:val="00EE510D"/>
    <w:rsid w:val="00EE5A93"/>
    <w:rsid w:val="00EE6AD5"/>
    <w:rsid w:val="00EE6C8D"/>
    <w:rsid w:val="00EE70FA"/>
    <w:rsid w:val="00EE7F0C"/>
    <w:rsid w:val="00EF0081"/>
    <w:rsid w:val="00EF02A5"/>
    <w:rsid w:val="00EF054D"/>
    <w:rsid w:val="00EF0B27"/>
    <w:rsid w:val="00EF1946"/>
    <w:rsid w:val="00EF2D7B"/>
    <w:rsid w:val="00EF3553"/>
    <w:rsid w:val="00EF408A"/>
    <w:rsid w:val="00EF40C9"/>
    <w:rsid w:val="00EF4D4D"/>
    <w:rsid w:val="00EF4FA2"/>
    <w:rsid w:val="00EF581E"/>
    <w:rsid w:val="00EF5CD1"/>
    <w:rsid w:val="00EF5F7D"/>
    <w:rsid w:val="00EF6BA3"/>
    <w:rsid w:val="00EF72A7"/>
    <w:rsid w:val="00F0002D"/>
    <w:rsid w:val="00F00055"/>
    <w:rsid w:val="00F00619"/>
    <w:rsid w:val="00F022C6"/>
    <w:rsid w:val="00F03BC2"/>
    <w:rsid w:val="00F045B9"/>
    <w:rsid w:val="00F047C9"/>
    <w:rsid w:val="00F0566E"/>
    <w:rsid w:val="00F05EBF"/>
    <w:rsid w:val="00F05F43"/>
    <w:rsid w:val="00F06494"/>
    <w:rsid w:val="00F07115"/>
    <w:rsid w:val="00F07769"/>
    <w:rsid w:val="00F07D5D"/>
    <w:rsid w:val="00F115F3"/>
    <w:rsid w:val="00F125AC"/>
    <w:rsid w:val="00F136AC"/>
    <w:rsid w:val="00F140A6"/>
    <w:rsid w:val="00F14494"/>
    <w:rsid w:val="00F14DD9"/>
    <w:rsid w:val="00F15000"/>
    <w:rsid w:val="00F15564"/>
    <w:rsid w:val="00F15582"/>
    <w:rsid w:val="00F169DF"/>
    <w:rsid w:val="00F16CD4"/>
    <w:rsid w:val="00F17609"/>
    <w:rsid w:val="00F17B7A"/>
    <w:rsid w:val="00F21D8A"/>
    <w:rsid w:val="00F25CE7"/>
    <w:rsid w:val="00F26326"/>
    <w:rsid w:val="00F2639B"/>
    <w:rsid w:val="00F27893"/>
    <w:rsid w:val="00F30AB4"/>
    <w:rsid w:val="00F3155E"/>
    <w:rsid w:val="00F32206"/>
    <w:rsid w:val="00F327EA"/>
    <w:rsid w:val="00F32B6E"/>
    <w:rsid w:val="00F33FC1"/>
    <w:rsid w:val="00F3430A"/>
    <w:rsid w:val="00F35AC4"/>
    <w:rsid w:val="00F35BD0"/>
    <w:rsid w:val="00F360B3"/>
    <w:rsid w:val="00F368DB"/>
    <w:rsid w:val="00F40690"/>
    <w:rsid w:val="00F44269"/>
    <w:rsid w:val="00F44324"/>
    <w:rsid w:val="00F451C1"/>
    <w:rsid w:val="00F462A7"/>
    <w:rsid w:val="00F4661E"/>
    <w:rsid w:val="00F46E89"/>
    <w:rsid w:val="00F46FCC"/>
    <w:rsid w:val="00F5070A"/>
    <w:rsid w:val="00F509EE"/>
    <w:rsid w:val="00F50B1D"/>
    <w:rsid w:val="00F50E3D"/>
    <w:rsid w:val="00F512B3"/>
    <w:rsid w:val="00F51354"/>
    <w:rsid w:val="00F515C5"/>
    <w:rsid w:val="00F518EF"/>
    <w:rsid w:val="00F51C1F"/>
    <w:rsid w:val="00F52035"/>
    <w:rsid w:val="00F52E4A"/>
    <w:rsid w:val="00F52EA2"/>
    <w:rsid w:val="00F5363F"/>
    <w:rsid w:val="00F53677"/>
    <w:rsid w:val="00F53B41"/>
    <w:rsid w:val="00F543A5"/>
    <w:rsid w:val="00F55450"/>
    <w:rsid w:val="00F56165"/>
    <w:rsid w:val="00F561A1"/>
    <w:rsid w:val="00F568ED"/>
    <w:rsid w:val="00F57D5C"/>
    <w:rsid w:val="00F57F0E"/>
    <w:rsid w:val="00F61A75"/>
    <w:rsid w:val="00F61EE1"/>
    <w:rsid w:val="00F620D7"/>
    <w:rsid w:val="00F62172"/>
    <w:rsid w:val="00F64BDD"/>
    <w:rsid w:val="00F666BF"/>
    <w:rsid w:val="00F66FB8"/>
    <w:rsid w:val="00F676B6"/>
    <w:rsid w:val="00F705F8"/>
    <w:rsid w:val="00F734CC"/>
    <w:rsid w:val="00F73885"/>
    <w:rsid w:val="00F745F9"/>
    <w:rsid w:val="00F76179"/>
    <w:rsid w:val="00F76AB9"/>
    <w:rsid w:val="00F82437"/>
    <w:rsid w:val="00F84398"/>
    <w:rsid w:val="00F84E39"/>
    <w:rsid w:val="00F84FCD"/>
    <w:rsid w:val="00F85844"/>
    <w:rsid w:val="00F87498"/>
    <w:rsid w:val="00F87675"/>
    <w:rsid w:val="00F877BF"/>
    <w:rsid w:val="00F878E8"/>
    <w:rsid w:val="00F9002B"/>
    <w:rsid w:val="00F9015F"/>
    <w:rsid w:val="00F9024F"/>
    <w:rsid w:val="00F918B4"/>
    <w:rsid w:val="00F91D05"/>
    <w:rsid w:val="00F92D7A"/>
    <w:rsid w:val="00F95920"/>
    <w:rsid w:val="00F969A2"/>
    <w:rsid w:val="00F96A2C"/>
    <w:rsid w:val="00FA1162"/>
    <w:rsid w:val="00FA1DD0"/>
    <w:rsid w:val="00FA2F86"/>
    <w:rsid w:val="00FA5D69"/>
    <w:rsid w:val="00FA7DF6"/>
    <w:rsid w:val="00FB0E04"/>
    <w:rsid w:val="00FB1713"/>
    <w:rsid w:val="00FB1D18"/>
    <w:rsid w:val="00FB39F4"/>
    <w:rsid w:val="00FB50BD"/>
    <w:rsid w:val="00FB53E0"/>
    <w:rsid w:val="00FB5587"/>
    <w:rsid w:val="00FB6389"/>
    <w:rsid w:val="00FB6906"/>
    <w:rsid w:val="00FB6A9B"/>
    <w:rsid w:val="00FC0D54"/>
    <w:rsid w:val="00FC127C"/>
    <w:rsid w:val="00FC2134"/>
    <w:rsid w:val="00FC2C82"/>
    <w:rsid w:val="00FC2CB6"/>
    <w:rsid w:val="00FC4288"/>
    <w:rsid w:val="00FC48D2"/>
    <w:rsid w:val="00FC4B94"/>
    <w:rsid w:val="00FC4FB1"/>
    <w:rsid w:val="00FC5EF2"/>
    <w:rsid w:val="00FC5F0A"/>
    <w:rsid w:val="00FC61B7"/>
    <w:rsid w:val="00FC73DB"/>
    <w:rsid w:val="00FC7E33"/>
    <w:rsid w:val="00FD1438"/>
    <w:rsid w:val="00FD3C3D"/>
    <w:rsid w:val="00FD40E1"/>
    <w:rsid w:val="00FD5777"/>
    <w:rsid w:val="00FD5E21"/>
    <w:rsid w:val="00FD6745"/>
    <w:rsid w:val="00FD76AE"/>
    <w:rsid w:val="00FD76DD"/>
    <w:rsid w:val="00FD7E60"/>
    <w:rsid w:val="00FE05DE"/>
    <w:rsid w:val="00FE4BC2"/>
    <w:rsid w:val="00FE4BC6"/>
    <w:rsid w:val="00FE5D04"/>
    <w:rsid w:val="00FE63B0"/>
    <w:rsid w:val="00FE6426"/>
    <w:rsid w:val="00FE6567"/>
    <w:rsid w:val="00FF04F4"/>
    <w:rsid w:val="00FF128C"/>
    <w:rsid w:val="00FF3095"/>
    <w:rsid w:val="00FF41B3"/>
    <w:rsid w:val="00FF4EC4"/>
    <w:rsid w:val="00FF6B98"/>
    <w:rsid w:val="00FF6C25"/>
    <w:rsid w:val="00FF705E"/>
    <w:rsid w:val="00FF70B0"/>
    <w:rsid w:val="00FF7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7869DE"/>
  <w15:docId w15:val="{549A39AE-66B6-4EE8-93B5-2D77AB59E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2A7"/>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987"/>
    <w:rPr>
      <w:color w:val="0000FF"/>
      <w:u w:val="single"/>
    </w:rPr>
  </w:style>
  <w:style w:type="paragraph" w:customStyle="1" w:styleId="list00203">
    <w:name w:val="list_00203"/>
    <w:basedOn w:val="Normal"/>
    <w:rsid w:val="001E22AF"/>
    <w:pPr>
      <w:spacing w:before="100" w:beforeAutospacing="1" w:after="100" w:afterAutospacing="1" w:line="240" w:lineRule="auto"/>
    </w:pPr>
    <w:rPr>
      <w:rFonts w:ascii="Times New Roman" w:hAnsi="Times New Roman" w:cs="Times New Roman"/>
      <w:sz w:val="24"/>
      <w:szCs w:val="24"/>
      <w:lang w:val="en-US"/>
    </w:rPr>
  </w:style>
  <w:style w:type="paragraph" w:customStyle="1" w:styleId="colorblack">
    <w:name w:val="colorblack"/>
    <w:basedOn w:val="Normal"/>
    <w:rsid w:val="00357E6A"/>
    <w:pPr>
      <w:spacing w:before="100" w:beforeAutospacing="1" w:after="100" w:afterAutospacing="1" w:line="240" w:lineRule="auto"/>
    </w:pPr>
    <w:rPr>
      <w:rFonts w:ascii="Times New Roman" w:hAnsi="Times New Roman" w:cs="Times New Roman"/>
      <w:sz w:val="24"/>
      <w:szCs w:val="24"/>
      <w:lang w:val="en-US"/>
    </w:rPr>
  </w:style>
  <w:style w:type="character" w:styleId="CommentReference">
    <w:name w:val="annotation reference"/>
    <w:basedOn w:val="DefaultParagraphFont"/>
    <w:uiPriority w:val="99"/>
    <w:semiHidden/>
    <w:unhideWhenUsed/>
    <w:rsid w:val="00856D2E"/>
    <w:rPr>
      <w:sz w:val="16"/>
      <w:szCs w:val="16"/>
    </w:rPr>
  </w:style>
  <w:style w:type="paragraph" w:styleId="CommentText">
    <w:name w:val="annotation text"/>
    <w:basedOn w:val="Normal"/>
    <w:link w:val="CommentTextChar"/>
    <w:uiPriority w:val="99"/>
    <w:unhideWhenUsed/>
    <w:rsid w:val="00856D2E"/>
    <w:pPr>
      <w:spacing w:after="160" w:line="240" w:lineRule="auto"/>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856D2E"/>
    <w:rPr>
      <w:rFonts w:asciiTheme="minorHAnsi" w:eastAsiaTheme="minorHAnsi" w:hAnsiTheme="minorHAnsi" w:cstheme="minorBidi"/>
      <w:sz w:val="20"/>
      <w:szCs w:val="20"/>
    </w:rPr>
  </w:style>
  <w:style w:type="character" w:customStyle="1" w:styleId="fontstyle01">
    <w:name w:val="fontstyle01"/>
    <w:rsid w:val="007A300F"/>
    <w:rPr>
      <w:rFonts w:ascii="Times New Roman" w:hAnsi="Times New Roman"/>
      <w:color w:val="000000"/>
      <w:sz w:val="28"/>
    </w:rPr>
  </w:style>
  <w:style w:type="paragraph" w:customStyle="1" w:styleId="Normal11">
    <w:name w:val="Normal11"/>
    <w:basedOn w:val="Normal"/>
    <w:uiPriority w:val="99"/>
    <w:rsid w:val="003E52F2"/>
    <w:pPr>
      <w:spacing w:before="100" w:beforeAutospacing="1" w:after="100" w:afterAutospacing="1" w:line="240" w:lineRule="auto"/>
    </w:pPr>
    <w:rPr>
      <w:sz w:val="24"/>
      <w:szCs w:val="24"/>
      <w:lang w:val="en-US"/>
    </w:rPr>
  </w:style>
  <w:style w:type="paragraph" w:styleId="CommentSubject">
    <w:name w:val="annotation subject"/>
    <w:basedOn w:val="CommentText"/>
    <w:next w:val="CommentText"/>
    <w:link w:val="CommentSubjectChar"/>
    <w:uiPriority w:val="99"/>
    <w:semiHidden/>
    <w:unhideWhenUsed/>
    <w:rsid w:val="009925D7"/>
    <w:pPr>
      <w:spacing w:after="200"/>
    </w:pPr>
    <w:rPr>
      <w:rFonts w:ascii="Calibri" w:eastAsia="Times New Roman" w:hAnsi="Calibri" w:cs="Calibri"/>
      <w:b/>
      <w:bCs/>
      <w:lang w:val="en-GB"/>
    </w:rPr>
  </w:style>
  <w:style w:type="character" w:customStyle="1" w:styleId="CommentSubjectChar">
    <w:name w:val="Comment Subject Char"/>
    <w:basedOn w:val="CommentTextChar"/>
    <w:link w:val="CommentSubject"/>
    <w:uiPriority w:val="99"/>
    <w:semiHidden/>
    <w:rsid w:val="009925D7"/>
    <w:rPr>
      <w:rFonts w:asciiTheme="minorHAnsi" w:eastAsiaTheme="minorHAnsi" w:hAnsiTheme="minorHAnsi" w:cstheme="minorBid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881133082">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worldbank.org/en/publication/global-economic-prospects" TargetMode="External"/><Relationship Id="rId2" Type="http://schemas.openxmlformats.org/officeDocument/2006/relationships/hyperlink" Target="https://www.un.org/development/desa/dpad/publication/world-economic-situation-and-prospects-2025/" TargetMode="External"/><Relationship Id="rId1" Type="http://schemas.openxmlformats.org/officeDocument/2006/relationships/hyperlink" Target="https://www.nso.gov.vn)" TargetMode="External"/><Relationship Id="rId5" Type="http://schemas.openxmlformats.org/officeDocument/2006/relationships/hyperlink" Target="https://amro-" TargetMode="External"/><Relationship Id="rId4" Type="http://schemas.openxmlformats.org/officeDocument/2006/relationships/hyperlink" Target="https://www.fitchratings.com/research/sovereigns/global-economic-outlook-march-2026-11-03-2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46808-CA69-4862-8353-16AEF1278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7712</Words>
  <Characters>43959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51568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Author</cp:lastModifiedBy>
  <cp:revision>2</cp:revision>
  <cp:lastPrinted>2025-04-05T10:03:00Z</cp:lastPrinted>
  <dcterms:created xsi:type="dcterms:W3CDTF">2026-04-15T10:23:00Z</dcterms:created>
  <dcterms:modified xsi:type="dcterms:W3CDTF">2026-04-15T10:23:00Z</dcterms:modified>
</cp:coreProperties>
</file>