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Override PartName="/word/charts/colors5.xml" ContentType="application/vnd.ms-office.chartcolorstyle+xml"/>
  <Override PartName="/word/charts/style5.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94" w:type="dxa"/>
        <w:jc w:val="center"/>
        <w:tblLayout w:type="fixed"/>
        <w:tblLook w:val="0000" w:firstRow="0" w:lastRow="0" w:firstColumn="0" w:lastColumn="0" w:noHBand="0" w:noVBand="0"/>
      </w:tblPr>
      <w:tblGrid>
        <w:gridCol w:w="4112"/>
        <w:gridCol w:w="5782"/>
      </w:tblGrid>
      <w:tr w:rsidR="00AE05A0" w:rsidRPr="00AF3ED2" w14:paraId="49AD3D46" w14:textId="77777777" w:rsidTr="00F4122B">
        <w:trPr>
          <w:trHeight w:val="1276"/>
          <w:jc w:val="center"/>
        </w:trPr>
        <w:tc>
          <w:tcPr>
            <w:tcW w:w="4112" w:type="dxa"/>
          </w:tcPr>
          <w:p w14:paraId="18096528" w14:textId="62D2B5F1" w:rsidR="00AE05A0" w:rsidRPr="00AF3ED2" w:rsidRDefault="00D72784" w:rsidP="00AE05A0">
            <w:pPr>
              <w:jc w:val="center"/>
              <w:rPr>
                <w:spacing w:val="-6"/>
                <w:sz w:val="26"/>
                <w:szCs w:val="26"/>
              </w:rPr>
            </w:pPr>
            <w:bookmarkStart w:id="0" w:name="_GoBack"/>
            <w:bookmarkEnd w:id="0"/>
            <w:r w:rsidRPr="00AF3ED2">
              <w:rPr>
                <w:spacing w:val="-6"/>
                <w:sz w:val="26"/>
                <w:szCs w:val="26"/>
              </w:rPr>
              <w:t>MINISTRY OF FINANCE</w:t>
            </w:r>
          </w:p>
          <w:p w14:paraId="3B7A7BA9" w14:textId="1CC465D0" w:rsidR="00AE05A0" w:rsidRPr="00AF3ED2" w:rsidRDefault="00D72784" w:rsidP="00AE05A0">
            <w:pPr>
              <w:jc w:val="center"/>
              <w:rPr>
                <w:b/>
                <w:bCs/>
                <w:spacing w:val="-6"/>
                <w:sz w:val="26"/>
                <w:szCs w:val="26"/>
              </w:rPr>
            </w:pPr>
            <w:r w:rsidRPr="00AF3ED2">
              <w:rPr>
                <w:b/>
                <w:bCs/>
                <w:spacing w:val="-6"/>
                <w:sz w:val="26"/>
                <w:szCs w:val="26"/>
              </w:rPr>
              <w:t>NATIONAL STATISTICS OFFICE</w:t>
            </w:r>
          </w:p>
          <w:p w14:paraId="64E6CAD9" w14:textId="77777777" w:rsidR="00AE05A0" w:rsidRPr="00AF3ED2" w:rsidRDefault="00AE05A0" w:rsidP="00AE05A0">
            <w:pPr>
              <w:spacing w:line="144" w:lineRule="auto"/>
              <w:jc w:val="center"/>
              <w:rPr>
                <w:bCs/>
                <w:spacing w:val="-6"/>
                <w:vertAlign w:val="superscript"/>
              </w:rPr>
            </w:pPr>
            <w:r w:rsidRPr="00AF3ED2">
              <w:rPr>
                <w:bCs/>
                <w:spacing w:val="-6"/>
                <w:sz w:val="26"/>
                <w:szCs w:val="26"/>
                <w:vertAlign w:val="superscript"/>
              </w:rPr>
              <w:t>________________</w:t>
            </w:r>
          </w:p>
          <w:p w14:paraId="0500D97A" w14:textId="17E8AAA3" w:rsidR="00AE05A0" w:rsidRPr="00AF3ED2" w:rsidRDefault="00A5110E" w:rsidP="00A5110E">
            <w:pPr>
              <w:spacing w:before="240" w:line="252" w:lineRule="auto"/>
              <w:jc w:val="center"/>
            </w:pPr>
            <w:r w:rsidRPr="00AF3ED2">
              <w:rPr>
                <w:sz w:val="24"/>
                <w:szCs w:val="24"/>
              </w:rPr>
              <w:t>N</w:t>
            </w:r>
            <w:r w:rsidRPr="00AF3ED2">
              <w:rPr>
                <w:sz w:val="24"/>
                <w:szCs w:val="24"/>
                <w:vertAlign w:val="superscript"/>
              </w:rPr>
              <w:t>o</w:t>
            </w:r>
            <w:r w:rsidRPr="00AF3ED2">
              <w:rPr>
                <w:sz w:val="24"/>
                <w:szCs w:val="24"/>
              </w:rPr>
              <w:t>: 163/BC-CTK</w:t>
            </w:r>
          </w:p>
        </w:tc>
        <w:tc>
          <w:tcPr>
            <w:tcW w:w="5782" w:type="dxa"/>
          </w:tcPr>
          <w:p w14:paraId="0CA3CD5A" w14:textId="4BEC62AA" w:rsidR="00AE05A0" w:rsidRPr="00AF3ED2" w:rsidRDefault="00D72784" w:rsidP="00AE05A0">
            <w:pPr>
              <w:jc w:val="center"/>
              <w:rPr>
                <w:b/>
                <w:bCs/>
                <w:sz w:val="26"/>
                <w:szCs w:val="26"/>
              </w:rPr>
            </w:pPr>
            <w:r w:rsidRPr="00AF3ED2">
              <w:rPr>
                <w:b/>
                <w:bCs/>
                <w:sz w:val="26"/>
                <w:szCs w:val="24"/>
              </w:rPr>
              <w:t>SOCIALIST REPUBLIC OF VIET NAM</w:t>
            </w:r>
          </w:p>
          <w:p w14:paraId="0309B9BC" w14:textId="1F69BD26" w:rsidR="00AE05A0" w:rsidRPr="00AF3ED2" w:rsidRDefault="00D72784" w:rsidP="00AE05A0">
            <w:pPr>
              <w:jc w:val="center"/>
              <w:rPr>
                <w:b/>
                <w:bCs/>
                <w:szCs w:val="24"/>
              </w:rPr>
            </w:pPr>
            <w:r w:rsidRPr="00AF3ED2">
              <w:rPr>
                <w:b/>
                <w:bCs/>
                <w:sz w:val="26"/>
                <w:szCs w:val="24"/>
              </w:rPr>
              <w:t>Independence-Freedom-Happiness</w:t>
            </w:r>
          </w:p>
          <w:p w14:paraId="27271214" w14:textId="77777777" w:rsidR="00AE05A0" w:rsidRPr="00AF3ED2" w:rsidRDefault="00AE05A0" w:rsidP="00AE05A0">
            <w:pPr>
              <w:spacing w:line="144" w:lineRule="auto"/>
              <w:jc w:val="center"/>
              <w:rPr>
                <w:bCs/>
                <w:szCs w:val="24"/>
                <w:vertAlign w:val="superscript"/>
              </w:rPr>
            </w:pPr>
            <w:r w:rsidRPr="00AF3ED2">
              <w:rPr>
                <w:bCs/>
                <w:szCs w:val="24"/>
                <w:vertAlign w:val="superscript"/>
              </w:rPr>
              <w:t>______________________________________</w:t>
            </w:r>
          </w:p>
          <w:p w14:paraId="20ED4643" w14:textId="5BF68AFE" w:rsidR="00AE05A0" w:rsidRPr="00AF3ED2" w:rsidRDefault="00D72784" w:rsidP="00A5110E">
            <w:pPr>
              <w:spacing w:before="240" w:line="252" w:lineRule="auto"/>
              <w:ind w:hanging="2"/>
              <w:jc w:val="center"/>
              <w:rPr>
                <w:b/>
                <w:bCs/>
                <w:i/>
                <w:iCs/>
              </w:rPr>
            </w:pPr>
            <w:r w:rsidRPr="00AF3ED2">
              <w:rPr>
                <w:i/>
                <w:iCs/>
              </w:rPr>
              <w:t>Ha Noi</w:t>
            </w:r>
            <w:r w:rsidR="00AE05A0" w:rsidRPr="00AF3ED2">
              <w:rPr>
                <w:i/>
                <w:iCs/>
              </w:rPr>
              <w:t xml:space="preserve">, </w:t>
            </w:r>
            <w:r w:rsidR="00A5110E" w:rsidRPr="00AF3ED2">
              <w:rPr>
                <w:i/>
                <w:iCs/>
              </w:rPr>
              <w:t>3</w:t>
            </w:r>
            <w:r w:rsidR="00A5110E" w:rsidRPr="00AF3ED2">
              <w:rPr>
                <w:i/>
                <w:iCs/>
                <w:vertAlign w:val="superscript"/>
              </w:rPr>
              <w:t>rd</w:t>
            </w:r>
            <w:r w:rsidR="00A5110E" w:rsidRPr="00AF3ED2">
              <w:rPr>
                <w:i/>
                <w:iCs/>
              </w:rPr>
              <w:t xml:space="preserve"> </w:t>
            </w:r>
            <w:r w:rsidR="001E3704" w:rsidRPr="00AF3ED2">
              <w:rPr>
                <w:i/>
                <w:iCs/>
              </w:rPr>
              <w:t>Ma</w:t>
            </w:r>
            <w:r w:rsidR="00A5110E" w:rsidRPr="00AF3ED2">
              <w:rPr>
                <w:i/>
                <w:iCs/>
              </w:rPr>
              <w:t>y</w:t>
            </w:r>
            <w:r w:rsidR="00FF4D02" w:rsidRPr="00AF3ED2">
              <w:rPr>
                <w:i/>
                <w:iCs/>
              </w:rPr>
              <w:t xml:space="preserve"> 2026</w:t>
            </w:r>
          </w:p>
        </w:tc>
      </w:tr>
    </w:tbl>
    <w:p w14:paraId="68E81A84" w14:textId="77777777" w:rsidR="002A7012" w:rsidRPr="00AF3ED2" w:rsidRDefault="002A7012" w:rsidP="002A7012">
      <w:pPr>
        <w:jc w:val="center"/>
        <w:rPr>
          <w:b/>
          <w:bCs/>
          <w:sz w:val="24"/>
          <w:szCs w:val="48"/>
        </w:rPr>
      </w:pPr>
    </w:p>
    <w:p w14:paraId="2B4E257A" w14:textId="45894189" w:rsidR="002A7012" w:rsidRPr="00AF3ED2" w:rsidRDefault="00D72784" w:rsidP="002A7012">
      <w:pPr>
        <w:jc w:val="center"/>
        <w:rPr>
          <w:b/>
          <w:bCs/>
          <w:sz w:val="40"/>
          <w:szCs w:val="40"/>
        </w:rPr>
      </w:pPr>
      <w:r w:rsidRPr="00AF3ED2">
        <w:rPr>
          <w:b/>
          <w:bCs/>
          <w:sz w:val="40"/>
          <w:szCs w:val="40"/>
        </w:rPr>
        <w:t>REPORT</w:t>
      </w:r>
    </w:p>
    <w:p w14:paraId="6AE35A12" w14:textId="1EF880FA" w:rsidR="00064B43" w:rsidRPr="00AF3ED2" w:rsidRDefault="00064B43" w:rsidP="00064B43">
      <w:pPr>
        <w:jc w:val="center"/>
        <w:rPr>
          <w:b/>
          <w:bCs/>
          <w:sz w:val="34"/>
          <w:szCs w:val="34"/>
        </w:rPr>
      </w:pPr>
      <w:r w:rsidRPr="00AF3ED2">
        <w:rPr>
          <w:b/>
          <w:bCs/>
          <w:sz w:val="34"/>
          <w:szCs w:val="34"/>
        </w:rPr>
        <w:t xml:space="preserve">SOCIO-ECONOMIC </w:t>
      </w:r>
      <w:r w:rsidR="00F4122B" w:rsidRPr="00AF3ED2">
        <w:rPr>
          <w:b/>
          <w:bCs/>
          <w:sz w:val="34"/>
          <w:szCs w:val="34"/>
        </w:rPr>
        <w:t>PERFORMANCE</w:t>
      </w:r>
      <w:r w:rsidRPr="00AF3ED2">
        <w:rPr>
          <w:b/>
          <w:bCs/>
          <w:sz w:val="34"/>
          <w:szCs w:val="34"/>
        </w:rPr>
        <w:t xml:space="preserve"> </w:t>
      </w:r>
    </w:p>
    <w:p w14:paraId="700085E5" w14:textId="397BFB1C" w:rsidR="002A7012" w:rsidRPr="00AF3ED2" w:rsidRDefault="00064B43" w:rsidP="00064B43">
      <w:pPr>
        <w:jc w:val="center"/>
        <w:rPr>
          <w:b/>
          <w:bCs/>
          <w:sz w:val="34"/>
          <w:szCs w:val="34"/>
        </w:rPr>
      </w:pPr>
      <w:r w:rsidRPr="00AF3ED2">
        <w:rPr>
          <w:b/>
          <w:bCs/>
          <w:sz w:val="34"/>
          <w:szCs w:val="34"/>
        </w:rPr>
        <w:t xml:space="preserve">IN </w:t>
      </w:r>
      <w:r w:rsidR="00A5110E" w:rsidRPr="00AF3ED2">
        <w:rPr>
          <w:b/>
          <w:bCs/>
          <w:sz w:val="34"/>
          <w:szCs w:val="34"/>
        </w:rPr>
        <w:t xml:space="preserve">APRIL </w:t>
      </w:r>
      <w:r w:rsidR="001E3704" w:rsidRPr="00AF3ED2">
        <w:rPr>
          <w:b/>
          <w:bCs/>
          <w:sz w:val="34"/>
          <w:szCs w:val="34"/>
        </w:rPr>
        <w:t xml:space="preserve">AND </w:t>
      </w:r>
      <w:r w:rsidR="00A5110E" w:rsidRPr="00AF3ED2">
        <w:rPr>
          <w:b/>
          <w:bCs/>
          <w:sz w:val="34"/>
          <w:szCs w:val="34"/>
        </w:rPr>
        <w:t xml:space="preserve">FOUR </w:t>
      </w:r>
      <w:r w:rsidR="001E3704" w:rsidRPr="00AF3ED2">
        <w:rPr>
          <w:b/>
          <w:bCs/>
          <w:sz w:val="34"/>
          <w:szCs w:val="34"/>
        </w:rPr>
        <w:t>MONTH</w:t>
      </w:r>
      <w:r w:rsidR="000600DD" w:rsidRPr="00AF3ED2">
        <w:rPr>
          <w:b/>
          <w:bCs/>
          <w:sz w:val="34"/>
          <w:szCs w:val="34"/>
        </w:rPr>
        <w:t>S</w:t>
      </w:r>
      <w:r w:rsidR="001E3704" w:rsidRPr="00AF3ED2">
        <w:rPr>
          <w:b/>
          <w:bCs/>
          <w:sz w:val="34"/>
          <w:szCs w:val="34"/>
        </w:rPr>
        <w:t xml:space="preserve"> </w:t>
      </w:r>
      <w:r w:rsidR="00F4122B" w:rsidRPr="00AF3ED2">
        <w:rPr>
          <w:b/>
          <w:bCs/>
          <w:sz w:val="34"/>
          <w:szCs w:val="34"/>
        </w:rPr>
        <w:t xml:space="preserve">OF </w:t>
      </w:r>
      <w:r w:rsidR="00FF4D02" w:rsidRPr="00AF3ED2">
        <w:rPr>
          <w:b/>
          <w:bCs/>
          <w:sz w:val="34"/>
          <w:szCs w:val="34"/>
        </w:rPr>
        <w:t>2026</w:t>
      </w:r>
    </w:p>
    <w:p w14:paraId="5F1D9475" w14:textId="77777777" w:rsidR="002A7012" w:rsidRPr="00AF3ED2" w:rsidRDefault="002A7012" w:rsidP="002A7012">
      <w:pPr>
        <w:spacing w:before="20"/>
        <w:jc w:val="center"/>
        <w:rPr>
          <w:rFonts w:ascii="Arial" w:hAnsi="Arial" w:cs="Arial"/>
          <w:b/>
          <w:bCs/>
          <w:sz w:val="38"/>
          <w:szCs w:val="52"/>
        </w:rPr>
      </w:pPr>
      <w:r w:rsidRPr="00AF3ED2">
        <w:rPr>
          <w:rFonts w:ascii="Arial" w:hAnsi="Arial" w:cs="Arial"/>
          <w:b/>
          <w:bCs/>
          <w:noProof/>
          <w:sz w:val="50"/>
          <w:szCs w:val="52"/>
        </w:rPr>
        <mc:AlternateContent>
          <mc:Choice Requires="wps">
            <w:drawing>
              <wp:anchor distT="0" distB="0" distL="114300" distR="114300" simplePos="0" relativeHeight="251664384" behindDoc="0" locked="0" layoutInCell="1" allowOverlap="1" wp14:anchorId="2107B36E" wp14:editId="3F7B5A07">
                <wp:simplePos x="0" y="0"/>
                <wp:positionH relativeFrom="column">
                  <wp:posOffset>2136140</wp:posOffset>
                </wp:positionH>
                <wp:positionV relativeFrom="paragraph">
                  <wp:posOffset>26035</wp:posOffset>
                </wp:positionV>
                <wp:extent cx="1412875" cy="0"/>
                <wp:effectExtent l="10160" t="6985" r="5715"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AF00FC"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Pa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szybzB+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A5t5PaHgIAADsEAAAOAAAAAAAAAAAAAAAAAC4CAABkcnMvZTJvRG9jLnhtbFBLAQIt&#10;ABQABgAIAAAAIQDeLF5J3AAAAAcBAAAPAAAAAAAAAAAAAAAAAHgEAABkcnMvZG93bnJldi54bWxQ&#10;SwUGAAAAAAQABADzAAAAgQUAAAAA&#10;"/>
            </w:pict>
          </mc:Fallback>
        </mc:AlternateContent>
      </w:r>
    </w:p>
    <w:p w14:paraId="6A74CD06" w14:textId="68574C21" w:rsidR="006D3AD1" w:rsidRPr="00AF3ED2" w:rsidRDefault="000F73DD" w:rsidP="00A5110E">
      <w:pPr>
        <w:pStyle w:val="ListParagraph"/>
        <w:numPr>
          <w:ilvl w:val="0"/>
          <w:numId w:val="6"/>
        </w:numPr>
        <w:spacing w:after="120" w:line="264" w:lineRule="auto"/>
        <w:jc w:val="both"/>
        <w:rPr>
          <w:b/>
        </w:rPr>
      </w:pPr>
      <w:r w:rsidRPr="00AF3ED2">
        <w:rPr>
          <w:b/>
        </w:rPr>
        <w:t xml:space="preserve">Agriculture, forestry, and </w:t>
      </w:r>
      <w:r w:rsidR="00AA18C1" w:rsidRPr="00AF3ED2">
        <w:rPr>
          <w:b/>
        </w:rPr>
        <w:t>fishing</w:t>
      </w:r>
    </w:p>
    <w:p w14:paraId="645D3F6E" w14:textId="576536CA" w:rsidR="00A5110E" w:rsidRPr="00AF3ED2" w:rsidRDefault="00A5110E" w:rsidP="008A1F39">
      <w:pPr>
        <w:spacing w:after="120" w:line="259" w:lineRule="auto"/>
        <w:ind w:firstLine="720"/>
        <w:jc w:val="both"/>
        <w:rPr>
          <w:i/>
          <w:iCs/>
          <w:color w:val="000000" w:themeColor="text1"/>
          <w:spacing w:val="2"/>
        </w:rPr>
      </w:pPr>
      <w:r w:rsidRPr="00AF3ED2">
        <w:rPr>
          <w:i/>
          <w:iCs/>
          <w:color w:val="000000" w:themeColor="text1"/>
          <w:spacing w:val="2"/>
        </w:rPr>
        <w:t>Agricultural production in April primarily focused on tending winter-sprin</w:t>
      </w:r>
      <w:r w:rsidR="001150D8" w:rsidRPr="00AF3ED2">
        <w:rPr>
          <w:i/>
          <w:iCs/>
          <w:color w:val="000000" w:themeColor="text1"/>
          <w:spacing w:val="2"/>
        </w:rPr>
        <w:t>g crops in</w:t>
      </w:r>
      <w:r w:rsidR="0095732F">
        <w:rPr>
          <w:i/>
          <w:iCs/>
          <w:color w:val="000000" w:themeColor="text1"/>
          <w:spacing w:val="2"/>
        </w:rPr>
        <w:t xml:space="preserve"> the</w:t>
      </w:r>
      <w:r w:rsidR="001150D8" w:rsidRPr="00AF3ED2">
        <w:rPr>
          <w:i/>
          <w:iCs/>
          <w:color w:val="000000" w:themeColor="text1"/>
          <w:spacing w:val="2"/>
        </w:rPr>
        <w:t xml:space="preserve"> northern localities; </w:t>
      </w:r>
      <w:r w:rsidRPr="00AF3ED2">
        <w:rPr>
          <w:i/>
          <w:iCs/>
          <w:color w:val="000000" w:themeColor="text1"/>
          <w:spacing w:val="2"/>
        </w:rPr>
        <w:t xml:space="preserve">harvesting winter-spring crops and cultivating autumn rice in the Mekong River Delta. Pig and poultry farming witnessed a stable growth with numbers </w:t>
      </w:r>
      <w:r w:rsidR="009150A2" w:rsidRPr="00AF3ED2">
        <w:rPr>
          <w:i/>
          <w:iCs/>
          <w:color w:val="000000" w:themeColor="text1"/>
          <w:spacing w:val="2"/>
        </w:rPr>
        <w:t>of large</w:t>
      </w:r>
      <w:r w:rsidRPr="00AF3ED2">
        <w:rPr>
          <w:i/>
          <w:iCs/>
          <w:color w:val="000000" w:themeColor="text1"/>
          <w:spacing w:val="2"/>
        </w:rPr>
        <w:t>-scale farming models</w:t>
      </w:r>
      <w:r w:rsidR="008A1F39" w:rsidRPr="00AF3ED2">
        <w:rPr>
          <w:i/>
          <w:iCs/>
          <w:color w:val="000000" w:themeColor="text1"/>
          <w:spacing w:val="2"/>
        </w:rPr>
        <w:t xml:space="preserve"> applying biosecurity </w:t>
      </w:r>
      <w:r w:rsidR="0095732F">
        <w:rPr>
          <w:i/>
          <w:iCs/>
          <w:color w:val="000000" w:themeColor="text1"/>
          <w:spacing w:val="2"/>
        </w:rPr>
        <w:t>solutions</w:t>
      </w:r>
      <w:r w:rsidR="008A1F39" w:rsidRPr="00AF3ED2">
        <w:rPr>
          <w:i/>
          <w:iCs/>
          <w:color w:val="000000" w:themeColor="text1"/>
          <w:spacing w:val="2"/>
        </w:rPr>
        <w:t xml:space="preserve">. Wood </w:t>
      </w:r>
      <w:r w:rsidRPr="00AF3ED2">
        <w:rPr>
          <w:i/>
          <w:iCs/>
          <w:color w:val="000000" w:themeColor="text1"/>
          <w:spacing w:val="2"/>
        </w:rPr>
        <w:t xml:space="preserve">harvesting was intensified, forest fire prevention and protection were </w:t>
      </w:r>
      <w:r w:rsidR="008A1F39" w:rsidRPr="00AF3ED2">
        <w:rPr>
          <w:i/>
          <w:iCs/>
          <w:color w:val="000000" w:themeColor="text1"/>
          <w:spacing w:val="2"/>
        </w:rPr>
        <w:t xml:space="preserve">being paid </w:t>
      </w:r>
      <w:r w:rsidRPr="00AF3ED2">
        <w:rPr>
          <w:i/>
          <w:iCs/>
          <w:color w:val="000000" w:themeColor="text1"/>
          <w:spacing w:val="2"/>
        </w:rPr>
        <w:t>attention a</w:t>
      </w:r>
      <w:r w:rsidR="008A1F39" w:rsidRPr="00AF3ED2">
        <w:rPr>
          <w:i/>
          <w:iCs/>
          <w:color w:val="000000" w:themeColor="text1"/>
          <w:spacing w:val="2"/>
        </w:rPr>
        <w:t>nd implemented comprehensively. A</w:t>
      </w:r>
      <w:r w:rsidRPr="00AF3ED2">
        <w:rPr>
          <w:i/>
          <w:iCs/>
          <w:color w:val="000000" w:themeColor="text1"/>
          <w:spacing w:val="2"/>
        </w:rPr>
        <w:t xml:space="preserve">quaculture </w:t>
      </w:r>
      <w:r w:rsidR="008A1F39" w:rsidRPr="00AF3ED2">
        <w:rPr>
          <w:i/>
          <w:iCs/>
          <w:color w:val="000000" w:themeColor="text1"/>
          <w:spacing w:val="2"/>
        </w:rPr>
        <w:t>showed a</w:t>
      </w:r>
      <w:r w:rsidR="0095732F">
        <w:rPr>
          <w:i/>
          <w:iCs/>
          <w:color w:val="000000" w:themeColor="text1"/>
          <w:spacing w:val="2"/>
        </w:rPr>
        <w:t xml:space="preserve"> growing</w:t>
      </w:r>
      <w:r w:rsidR="008A1F39" w:rsidRPr="00AF3ED2">
        <w:rPr>
          <w:i/>
          <w:iCs/>
          <w:color w:val="000000" w:themeColor="text1"/>
          <w:spacing w:val="2"/>
        </w:rPr>
        <w:t xml:space="preserve"> tendency </w:t>
      </w:r>
      <w:r w:rsidRPr="00AF3ED2">
        <w:rPr>
          <w:i/>
          <w:iCs/>
          <w:color w:val="000000" w:themeColor="text1"/>
          <w:spacing w:val="2"/>
        </w:rPr>
        <w:t xml:space="preserve">thanks to favorable weather conditions. Marine </w:t>
      </w:r>
      <w:r w:rsidR="008A1F39" w:rsidRPr="00AF3ED2">
        <w:rPr>
          <w:i/>
          <w:iCs/>
          <w:color w:val="000000" w:themeColor="text1"/>
          <w:spacing w:val="2"/>
        </w:rPr>
        <w:t xml:space="preserve">capture </w:t>
      </w:r>
      <w:r w:rsidRPr="00AF3ED2">
        <w:rPr>
          <w:i/>
          <w:iCs/>
          <w:color w:val="000000" w:themeColor="text1"/>
          <w:spacing w:val="2"/>
        </w:rPr>
        <w:t xml:space="preserve">saw a slight increase as </w:t>
      </w:r>
      <w:r w:rsidR="008A1F39" w:rsidRPr="00AF3ED2">
        <w:rPr>
          <w:i/>
          <w:iCs/>
          <w:color w:val="000000" w:themeColor="text1"/>
          <w:spacing w:val="2"/>
        </w:rPr>
        <w:t xml:space="preserve">it </w:t>
      </w:r>
      <w:r w:rsidRPr="00AF3ED2">
        <w:rPr>
          <w:i/>
          <w:iCs/>
          <w:color w:val="000000" w:themeColor="text1"/>
          <w:spacing w:val="2"/>
        </w:rPr>
        <w:t xml:space="preserve">was the start of the southern fishing season </w:t>
      </w:r>
      <w:r w:rsidR="009150A2" w:rsidRPr="00AF3ED2">
        <w:rPr>
          <w:i/>
          <w:iCs/>
          <w:color w:val="000000" w:themeColor="text1"/>
          <w:spacing w:val="2"/>
        </w:rPr>
        <w:t>and a</w:t>
      </w:r>
      <w:r w:rsidR="008A1F39" w:rsidRPr="00AF3ED2">
        <w:rPr>
          <w:i/>
          <w:iCs/>
          <w:color w:val="000000" w:themeColor="text1"/>
          <w:spacing w:val="2"/>
        </w:rPr>
        <w:t xml:space="preserve"> </w:t>
      </w:r>
      <w:r w:rsidR="001150D8" w:rsidRPr="00AF3ED2">
        <w:rPr>
          <w:i/>
          <w:iCs/>
          <w:color w:val="000000" w:themeColor="text1"/>
          <w:spacing w:val="2"/>
        </w:rPr>
        <w:t>plummet</w:t>
      </w:r>
      <w:r w:rsidR="008A1F39" w:rsidRPr="00AF3ED2">
        <w:rPr>
          <w:i/>
          <w:iCs/>
          <w:color w:val="000000" w:themeColor="text1"/>
          <w:spacing w:val="2"/>
        </w:rPr>
        <w:t xml:space="preserve"> of </w:t>
      </w:r>
      <w:r w:rsidRPr="00AF3ED2">
        <w:rPr>
          <w:i/>
          <w:iCs/>
          <w:color w:val="000000" w:themeColor="text1"/>
          <w:spacing w:val="2"/>
        </w:rPr>
        <w:t>oil prices</w:t>
      </w:r>
      <w:r w:rsidR="008A1F39" w:rsidRPr="00AF3ED2">
        <w:rPr>
          <w:i/>
          <w:iCs/>
          <w:color w:val="000000" w:themeColor="text1"/>
          <w:spacing w:val="2"/>
        </w:rPr>
        <w:t>,</w:t>
      </w:r>
      <w:r w:rsidRPr="00AF3ED2">
        <w:rPr>
          <w:i/>
          <w:iCs/>
          <w:color w:val="000000" w:themeColor="text1"/>
          <w:spacing w:val="2"/>
        </w:rPr>
        <w:t xml:space="preserve"> compar</w:t>
      </w:r>
      <w:r w:rsidR="008A1F39" w:rsidRPr="00AF3ED2">
        <w:rPr>
          <w:i/>
          <w:iCs/>
          <w:color w:val="000000" w:themeColor="text1"/>
          <w:spacing w:val="2"/>
        </w:rPr>
        <w:t xml:space="preserve">ing </w:t>
      </w:r>
      <w:r w:rsidRPr="00AF3ED2">
        <w:rPr>
          <w:i/>
          <w:iCs/>
          <w:color w:val="000000" w:themeColor="text1"/>
          <w:spacing w:val="2"/>
        </w:rPr>
        <w:t xml:space="preserve">to the previous month, encouraging fishermen to continue </w:t>
      </w:r>
      <w:r w:rsidR="001150D8" w:rsidRPr="00AF3ED2">
        <w:rPr>
          <w:i/>
          <w:iCs/>
          <w:color w:val="000000" w:themeColor="text1"/>
          <w:spacing w:val="2"/>
        </w:rPr>
        <w:t>marine capture</w:t>
      </w:r>
      <w:r w:rsidRPr="00AF3ED2">
        <w:rPr>
          <w:i/>
          <w:iCs/>
          <w:color w:val="000000" w:themeColor="text1"/>
          <w:spacing w:val="2"/>
        </w:rPr>
        <w:t>.</w:t>
      </w:r>
    </w:p>
    <w:p w14:paraId="3C26D678" w14:textId="77777777" w:rsidR="000F73DD" w:rsidRPr="00AF3ED2" w:rsidRDefault="000F73DD" w:rsidP="000F73DD">
      <w:pPr>
        <w:tabs>
          <w:tab w:val="left" w:pos="360"/>
          <w:tab w:val="left" w:pos="1134"/>
        </w:tabs>
        <w:spacing w:after="120" w:line="264" w:lineRule="auto"/>
        <w:ind w:firstLine="720"/>
        <w:jc w:val="both"/>
        <w:rPr>
          <w:b/>
          <w:bCs/>
          <w:i/>
          <w:iCs/>
        </w:rPr>
      </w:pPr>
      <w:r w:rsidRPr="00AF3ED2">
        <w:rPr>
          <w:b/>
          <w:bCs/>
          <w:i/>
          <w:iCs/>
        </w:rPr>
        <w:t xml:space="preserve">a) Agriculture </w:t>
      </w:r>
    </w:p>
    <w:p w14:paraId="186B085A" w14:textId="2BD945DA" w:rsidR="002974D9" w:rsidRPr="00B34693" w:rsidRDefault="002974D9" w:rsidP="00064B43">
      <w:pPr>
        <w:pStyle w:val="FootnoteText"/>
        <w:spacing w:after="120" w:line="264" w:lineRule="auto"/>
        <w:ind w:firstLine="720"/>
        <w:jc w:val="both"/>
        <w:rPr>
          <w:i/>
          <w:sz w:val="28"/>
          <w:szCs w:val="28"/>
          <w:lang w:val="en-US"/>
        </w:rPr>
      </w:pPr>
      <w:r w:rsidRPr="00B34693">
        <w:rPr>
          <w:i/>
          <w:sz w:val="28"/>
          <w:szCs w:val="28"/>
          <w:lang w:val="en-US"/>
        </w:rPr>
        <w:t>Spring rice</w:t>
      </w:r>
    </w:p>
    <w:p w14:paraId="5CA5D438" w14:textId="09D8E03E" w:rsidR="0067761E" w:rsidRPr="00AF3ED2" w:rsidRDefault="00614730" w:rsidP="00064B43">
      <w:pPr>
        <w:pStyle w:val="FootnoteText"/>
        <w:spacing w:after="120" w:line="264" w:lineRule="auto"/>
        <w:ind w:firstLine="720"/>
        <w:jc w:val="both"/>
        <w:rPr>
          <w:sz w:val="28"/>
          <w:szCs w:val="28"/>
          <w:lang w:val="en-US"/>
        </w:rPr>
      </w:pPr>
      <w:r w:rsidRPr="00AF3ED2">
        <w:rPr>
          <w:sz w:val="28"/>
          <w:szCs w:val="28"/>
          <w:lang w:val="en-US"/>
        </w:rPr>
        <w:t xml:space="preserve">As of </w:t>
      </w:r>
      <w:r w:rsidR="002974D9" w:rsidRPr="00AF3ED2">
        <w:rPr>
          <w:sz w:val="28"/>
          <w:szCs w:val="28"/>
          <w:lang w:val="en-US"/>
        </w:rPr>
        <w:t xml:space="preserve">April </w:t>
      </w:r>
      <w:r w:rsidRPr="00AF3ED2">
        <w:rPr>
          <w:sz w:val="28"/>
          <w:szCs w:val="28"/>
          <w:lang w:val="en-US"/>
        </w:rPr>
        <w:t>20</w:t>
      </w:r>
      <w:r w:rsidR="00CF3002" w:rsidRPr="00AF3ED2">
        <w:rPr>
          <w:sz w:val="28"/>
          <w:szCs w:val="28"/>
          <w:vertAlign w:val="superscript"/>
          <w:lang w:val="en-US"/>
        </w:rPr>
        <w:t>th</w:t>
      </w:r>
      <w:r w:rsidRPr="00AF3ED2">
        <w:rPr>
          <w:sz w:val="28"/>
          <w:szCs w:val="28"/>
          <w:lang w:val="en-US"/>
        </w:rPr>
        <w:t xml:space="preserve">, 2026, </w:t>
      </w:r>
      <w:r w:rsidR="001150D8" w:rsidRPr="00AF3ED2">
        <w:rPr>
          <w:sz w:val="28"/>
          <w:szCs w:val="28"/>
          <w:lang w:val="en-US"/>
        </w:rPr>
        <w:t xml:space="preserve">the national planted area of </w:t>
      </w:r>
      <w:r w:rsidR="00CF3002" w:rsidRPr="00AF3ED2">
        <w:rPr>
          <w:sz w:val="28"/>
          <w:szCs w:val="28"/>
          <w:lang w:val="en-US"/>
        </w:rPr>
        <w:t>spring rice reached 2,</w:t>
      </w:r>
      <w:r w:rsidR="002974D9" w:rsidRPr="00AF3ED2">
        <w:rPr>
          <w:sz w:val="28"/>
          <w:szCs w:val="28"/>
          <w:lang w:val="en-US"/>
        </w:rPr>
        <w:t>932</w:t>
      </w:r>
      <w:r w:rsidR="00CF3002" w:rsidRPr="00AF3ED2">
        <w:rPr>
          <w:sz w:val="28"/>
          <w:szCs w:val="28"/>
          <w:lang w:val="en-US"/>
        </w:rPr>
        <w:t>.</w:t>
      </w:r>
      <w:r w:rsidR="002974D9" w:rsidRPr="00AF3ED2">
        <w:rPr>
          <w:sz w:val="28"/>
          <w:szCs w:val="28"/>
          <w:lang w:val="en-US"/>
        </w:rPr>
        <w:t>9</w:t>
      </w:r>
      <w:r w:rsidR="00CF3002" w:rsidRPr="00AF3ED2">
        <w:rPr>
          <w:sz w:val="28"/>
          <w:szCs w:val="28"/>
          <w:lang w:val="en-US"/>
        </w:rPr>
        <w:t xml:space="preserve"> thousand hectares, a year-on-year decrease of </w:t>
      </w:r>
      <w:r w:rsidR="002974D9" w:rsidRPr="00AF3ED2">
        <w:rPr>
          <w:sz w:val="28"/>
          <w:szCs w:val="28"/>
          <w:lang w:val="en-US"/>
        </w:rPr>
        <w:t>36</w:t>
      </w:r>
      <w:r w:rsidR="00CF3002" w:rsidRPr="00AF3ED2">
        <w:rPr>
          <w:sz w:val="28"/>
          <w:szCs w:val="28"/>
          <w:lang w:val="en-US"/>
        </w:rPr>
        <w:t>.</w:t>
      </w:r>
      <w:r w:rsidR="002974D9" w:rsidRPr="00AF3ED2">
        <w:rPr>
          <w:sz w:val="28"/>
          <w:szCs w:val="28"/>
          <w:lang w:val="en-US"/>
        </w:rPr>
        <w:t>8</w:t>
      </w:r>
      <w:r w:rsidR="00CF3002" w:rsidRPr="00AF3ED2">
        <w:rPr>
          <w:sz w:val="28"/>
          <w:szCs w:val="28"/>
          <w:lang w:val="en-US"/>
        </w:rPr>
        <w:t xml:space="preserve"> thousand hectares. Of which, </w:t>
      </w:r>
      <w:r w:rsidR="0095732F">
        <w:rPr>
          <w:sz w:val="28"/>
          <w:szCs w:val="28"/>
          <w:lang w:val="en-US"/>
        </w:rPr>
        <w:t xml:space="preserve">the </w:t>
      </w:r>
      <w:r w:rsidR="00CF3002" w:rsidRPr="00AF3ED2">
        <w:rPr>
          <w:sz w:val="28"/>
          <w:szCs w:val="28"/>
          <w:lang w:val="en-US"/>
        </w:rPr>
        <w:t xml:space="preserve">Northern localities reached </w:t>
      </w:r>
      <w:r w:rsidR="002974D9" w:rsidRPr="00AF3ED2">
        <w:rPr>
          <w:sz w:val="28"/>
          <w:szCs w:val="28"/>
          <w:lang w:val="en-US"/>
        </w:rPr>
        <w:t>1,037</w:t>
      </w:r>
      <w:r w:rsidR="00CF3002" w:rsidRPr="00AF3ED2">
        <w:rPr>
          <w:sz w:val="28"/>
          <w:szCs w:val="28"/>
          <w:lang w:val="en-US"/>
        </w:rPr>
        <w:t>.</w:t>
      </w:r>
      <w:r w:rsidR="002974D9" w:rsidRPr="00AF3ED2">
        <w:rPr>
          <w:sz w:val="28"/>
          <w:szCs w:val="28"/>
          <w:lang w:val="en-US"/>
        </w:rPr>
        <w:t>5</w:t>
      </w:r>
      <w:r w:rsidR="00CF3002" w:rsidRPr="00AF3ED2">
        <w:rPr>
          <w:sz w:val="28"/>
          <w:szCs w:val="28"/>
          <w:lang w:val="en-US"/>
        </w:rPr>
        <w:t xml:space="preserve"> thousand hectares, falling by </w:t>
      </w:r>
      <w:r w:rsidR="002974D9" w:rsidRPr="00AF3ED2">
        <w:rPr>
          <w:sz w:val="28"/>
          <w:szCs w:val="28"/>
          <w:lang w:val="en-US"/>
        </w:rPr>
        <w:t>12</w:t>
      </w:r>
      <w:r w:rsidR="00CF3002" w:rsidRPr="00AF3ED2">
        <w:rPr>
          <w:sz w:val="28"/>
          <w:szCs w:val="28"/>
          <w:lang w:val="en-US"/>
        </w:rPr>
        <w:t>.</w:t>
      </w:r>
      <w:r w:rsidR="002974D9" w:rsidRPr="00AF3ED2">
        <w:rPr>
          <w:sz w:val="28"/>
          <w:szCs w:val="28"/>
          <w:lang w:val="en-US"/>
        </w:rPr>
        <w:t>9</w:t>
      </w:r>
      <w:r w:rsidR="006C6902" w:rsidRPr="00AF3ED2">
        <w:rPr>
          <w:sz w:val="28"/>
          <w:szCs w:val="28"/>
          <w:lang w:val="en-US"/>
        </w:rPr>
        <w:t xml:space="preserve"> </w:t>
      </w:r>
      <w:r w:rsidR="00CF3002" w:rsidRPr="00AF3ED2">
        <w:rPr>
          <w:sz w:val="28"/>
          <w:szCs w:val="28"/>
          <w:lang w:val="en-US"/>
        </w:rPr>
        <w:t xml:space="preserve">thousand hectares; </w:t>
      </w:r>
      <w:r w:rsidR="0095732F">
        <w:rPr>
          <w:sz w:val="28"/>
          <w:szCs w:val="28"/>
          <w:lang w:val="en-US"/>
        </w:rPr>
        <w:t xml:space="preserve">the </w:t>
      </w:r>
      <w:r w:rsidR="00CF3002" w:rsidRPr="00AF3ED2">
        <w:rPr>
          <w:sz w:val="28"/>
          <w:szCs w:val="28"/>
          <w:lang w:val="en-US"/>
        </w:rPr>
        <w:t>Southern localities reached 1,8</w:t>
      </w:r>
      <w:r w:rsidR="002974D9" w:rsidRPr="00AF3ED2">
        <w:rPr>
          <w:sz w:val="28"/>
          <w:szCs w:val="28"/>
          <w:lang w:val="en-US"/>
        </w:rPr>
        <w:t>95</w:t>
      </w:r>
      <w:r w:rsidR="00CF3002" w:rsidRPr="00AF3ED2">
        <w:rPr>
          <w:sz w:val="28"/>
          <w:szCs w:val="28"/>
          <w:lang w:val="en-US"/>
        </w:rPr>
        <w:t>.</w:t>
      </w:r>
      <w:r w:rsidR="002974D9" w:rsidRPr="00AF3ED2">
        <w:rPr>
          <w:sz w:val="28"/>
          <w:szCs w:val="28"/>
          <w:lang w:val="en-US"/>
        </w:rPr>
        <w:t>4</w:t>
      </w:r>
      <w:r w:rsidR="00CF3002" w:rsidRPr="00AF3ED2">
        <w:rPr>
          <w:sz w:val="28"/>
          <w:szCs w:val="28"/>
          <w:lang w:val="en-US"/>
        </w:rPr>
        <w:t xml:space="preserve"> thousand hectares, decreasing by</w:t>
      </w:r>
      <w:r w:rsidR="002974D9" w:rsidRPr="00AF3ED2">
        <w:rPr>
          <w:sz w:val="28"/>
          <w:szCs w:val="28"/>
          <w:lang w:val="en-US"/>
        </w:rPr>
        <w:t xml:space="preserve"> 2</w:t>
      </w:r>
      <w:r w:rsidR="00CF3002" w:rsidRPr="00AF3ED2">
        <w:rPr>
          <w:sz w:val="28"/>
          <w:szCs w:val="28"/>
          <w:lang w:val="en-US"/>
        </w:rPr>
        <w:t>3.9 thousand hectares</w:t>
      </w:r>
      <w:r w:rsidR="0067761E" w:rsidRPr="00AF3ED2">
        <w:rPr>
          <w:sz w:val="28"/>
          <w:szCs w:val="28"/>
          <w:lang w:val="en-US"/>
        </w:rPr>
        <w:t xml:space="preserve">. The </w:t>
      </w:r>
      <w:r w:rsidR="00FC36C1">
        <w:rPr>
          <w:sz w:val="28"/>
          <w:szCs w:val="28"/>
          <w:lang w:val="en-US"/>
        </w:rPr>
        <w:t xml:space="preserve">planted </w:t>
      </w:r>
      <w:r w:rsidR="0067761E" w:rsidRPr="00AF3ED2">
        <w:rPr>
          <w:sz w:val="28"/>
          <w:szCs w:val="28"/>
          <w:lang w:val="en-US"/>
        </w:rPr>
        <w:t xml:space="preserve">area of spring rice </w:t>
      </w:r>
      <w:r w:rsidR="00F2448E" w:rsidRPr="00AF3ED2">
        <w:rPr>
          <w:sz w:val="28"/>
          <w:szCs w:val="28"/>
          <w:lang w:val="en-US"/>
        </w:rPr>
        <w:t xml:space="preserve">experienced a </w:t>
      </w:r>
      <w:r w:rsidR="0067761E" w:rsidRPr="00AF3ED2">
        <w:rPr>
          <w:sz w:val="28"/>
          <w:szCs w:val="28"/>
          <w:lang w:val="en-US"/>
        </w:rPr>
        <w:t>decrease</w:t>
      </w:r>
      <w:r w:rsidR="00F2448E" w:rsidRPr="00AF3ED2">
        <w:rPr>
          <w:sz w:val="28"/>
          <w:szCs w:val="28"/>
          <w:lang w:val="en-US"/>
        </w:rPr>
        <w:t xml:space="preserve"> </w:t>
      </w:r>
      <w:r w:rsidR="0067761E" w:rsidRPr="00AF3ED2">
        <w:rPr>
          <w:sz w:val="28"/>
          <w:szCs w:val="28"/>
          <w:lang w:val="en-US"/>
        </w:rPr>
        <w:t>due to lo</w:t>
      </w:r>
      <w:r w:rsidR="001150D8" w:rsidRPr="00AF3ED2">
        <w:rPr>
          <w:sz w:val="28"/>
          <w:szCs w:val="28"/>
          <w:lang w:val="en-US"/>
        </w:rPr>
        <w:t xml:space="preserve">calities converting inefficient </w:t>
      </w:r>
      <w:r w:rsidR="0067761E" w:rsidRPr="00AF3ED2">
        <w:rPr>
          <w:sz w:val="28"/>
          <w:szCs w:val="28"/>
          <w:lang w:val="en-US"/>
        </w:rPr>
        <w:t xml:space="preserve">rice-land to cultivating annual crops, perennial crops, aquaculture for higher economic efficiency, </w:t>
      </w:r>
      <w:r w:rsidR="00F2448E" w:rsidRPr="00AF3ED2">
        <w:rPr>
          <w:sz w:val="28"/>
          <w:szCs w:val="28"/>
          <w:lang w:val="en-US"/>
        </w:rPr>
        <w:t xml:space="preserve">and for </w:t>
      </w:r>
      <w:r w:rsidR="0067761E" w:rsidRPr="00AF3ED2">
        <w:rPr>
          <w:sz w:val="28"/>
          <w:szCs w:val="28"/>
          <w:lang w:val="en-US"/>
        </w:rPr>
        <w:t>the construction of public works and industrial zones in the area</w:t>
      </w:r>
      <w:r w:rsidR="0067761E" w:rsidRPr="00AF3ED2">
        <w:rPr>
          <w:rStyle w:val="FootnoteReference"/>
          <w:bCs/>
          <w:iCs/>
          <w:color w:val="000000" w:themeColor="text1"/>
          <w:lang w:val="en-US"/>
        </w:rPr>
        <w:footnoteReference w:id="1"/>
      </w:r>
      <w:r w:rsidR="0067761E" w:rsidRPr="00AF3ED2">
        <w:rPr>
          <w:sz w:val="28"/>
          <w:szCs w:val="28"/>
          <w:lang w:val="en-US"/>
        </w:rPr>
        <w:t>.</w:t>
      </w:r>
    </w:p>
    <w:p w14:paraId="756DA264" w14:textId="715904B2" w:rsidR="0067761E" w:rsidRPr="00AF3ED2" w:rsidRDefault="0067761E" w:rsidP="00064B43">
      <w:pPr>
        <w:pStyle w:val="FootnoteText"/>
        <w:spacing w:after="120" w:line="264" w:lineRule="auto"/>
        <w:ind w:firstLine="720"/>
        <w:jc w:val="both"/>
        <w:rPr>
          <w:sz w:val="28"/>
          <w:szCs w:val="28"/>
          <w:lang w:val="en-US"/>
        </w:rPr>
      </w:pPr>
      <w:r w:rsidRPr="00AF3ED2">
        <w:rPr>
          <w:sz w:val="28"/>
          <w:szCs w:val="28"/>
          <w:lang w:val="en-US"/>
        </w:rPr>
        <w:t xml:space="preserve">So far, </w:t>
      </w:r>
      <w:r w:rsidR="0095732F">
        <w:rPr>
          <w:sz w:val="28"/>
          <w:szCs w:val="28"/>
          <w:lang w:val="en-US"/>
        </w:rPr>
        <w:t xml:space="preserve">the </w:t>
      </w:r>
      <w:r w:rsidRPr="00AF3ED2">
        <w:rPr>
          <w:sz w:val="28"/>
          <w:szCs w:val="28"/>
          <w:lang w:val="en-US"/>
        </w:rPr>
        <w:t>Northern localities completed cultivation, the spring rice was growing and developing well. Early spring rice entered the flowering and milk-</w:t>
      </w:r>
      <w:r w:rsidRPr="00AF3ED2">
        <w:rPr>
          <w:sz w:val="28"/>
          <w:szCs w:val="28"/>
          <w:lang w:val="en-US"/>
        </w:rPr>
        <w:lastRenderedPageBreak/>
        <w:t xml:space="preserve">ripening stages, while late rice </w:t>
      </w:r>
      <w:r w:rsidR="009E23FA" w:rsidRPr="00AF3ED2">
        <w:rPr>
          <w:sz w:val="28"/>
          <w:szCs w:val="28"/>
          <w:lang w:val="en-US"/>
        </w:rPr>
        <w:t xml:space="preserve">was </w:t>
      </w:r>
      <w:r w:rsidRPr="00AF3ED2">
        <w:rPr>
          <w:sz w:val="28"/>
          <w:szCs w:val="28"/>
          <w:lang w:val="en-US"/>
        </w:rPr>
        <w:t xml:space="preserve">tillering vigorously and entering the heading stage. Localities </w:t>
      </w:r>
      <w:r w:rsidR="00F2448E" w:rsidRPr="00AF3ED2">
        <w:rPr>
          <w:sz w:val="28"/>
          <w:szCs w:val="28"/>
          <w:lang w:val="en-US"/>
        </w:rPr>
        <w:t xml:space="preserve">were recommended </w:t>
      </w:r>
      <w:r w:rsidR="009E23FA" w:rsidRPr="00AF3ED2">
        <w:rPr>
          <w:sz w:val="28"/>
          <w:szCs w:val="28"/>
          <w:lang w:val="en-US"/>
        </w:rPr>
        <w:t xml:space="preserve">to </w:t>
      </w:r>
      <w:r w:rsidRPr="00AF3ED2">
        <w:rPr>
          <w:sz w:val="28"/>
          <w:szCs w:val="28"/>
          <w:lang w:val="en-US"/>
        </w:rPr>
        <w:t xml:space="preserve">provide timely irrigation and proactively control pests and diseases to ensure favorable growth and development of the rice </w:t>
      </w:r>
      <w:r w:rsidR="00F2448E" w:rsidRPr="00AF3ED2">
        <w:rPr>
          <w:sz w:val="28"/>
          <w:szCs w:val="28"/>
          <w:lang w:val="en-US"/>
        </w:rPr>
        <w:t xml:space="preserve">for </w:t>
      </w:r>
      <w:r w:rsidRPr="00AF3ED2">
        <w:rPr>
          <w:sz w:val="28"/>
          <w:szCs w:val="28"/>
          <w:lang w:val="en-US"/>
        </w:rPr>
        <w:t>the next stage.</w:t>
      </w:r>
    </w:p>
    <w:p w14:paraId="79198A87" w14:textId="44D04F13" w:rsidR="00AD03B5" w:rsidRPr="00AF3ED2" w:rsidRDefault="0095732F" w:rsidP="00064B43">
      <w:pPr>
        <w:pStyle w:val="FootnoteText"/>
        <w:spacing w:after="120" w:line="264" w:lineRule="auto"/>
        <w:ind w:firstLine="720"/>
        <w:jc w:val="both"/>
        <w:rPr>
          <w:sz w:val="28"/>
          <w:szCs w:val="28"/>
          <w:lang w:val="en-US"/>
        </w:rPr>
      </w:pPr>
      <w:r>
        <w:rPr>
          <w:sz w:val="28"/>
          <w:szCs w:val="28"/>
          <w:lang w:val="en-US"/>
        </w:rPr>
        <w:t xml:space="preserve">The </w:t>
      </w:r>
      <w:r w:rsidR="00AD03B5" w:rsidRPr="00AF3ED2">
        <w:rPr>
          <w:sz w:val="28"/>
          <w:szCs w:val="28"/>
          <w:lang w:val="en-US"/>
        </w:rPr>
        <w:t xml:space="preserve">Southern localities harvested 1,486.0 thousand hectares of spring rice, accounting for 78.4% of the cultivation area, equal to 92.2% of the same period last year. Of which, the Mekong River Delta harvested 1,119.9 thousand hectares, accounting for 90.3% of the cultivation area, equal to 90.7% of the same period last year, mainly due to adjusting the crop </w:t>
      </w:r>
      <w:r w:rsidR="001150D8" w:rsidRPr="00AF3ED2">
        <w:rPr>
          <w:sz w:val="28"/>
          <w:szCs w:val="28"/>
          <w:lang w:val="en-US"/>
        </w:rPr>
        <w:t>calendar</w:t>
      </w:r>
      <w:r w:rsidR="00AD03B5" w:rsidRPr="00AF3ED2">
        <w:rPr>
          <w:sz w:val="28"/>
          <w:szCs w:val="28"/>
          <w:lang w:val="en-US"/>
        </w:rPr>
        <w:t xml:space="preserve"> to be later</w:t>
      </w:r>
      <w:r>
        <w:rPr>
          <w:sz w:val="28"/>
          <w:szCs w:val="28"/>
          <w:lang w:val="en-US"/>
        </w:rPr>
        <w:t xml:space="preserve"> of the localities</w:t>
      </w:r>
      <w:r w:rsidR="00AD03B5" w:rsidRPr="00AF3ED2">
        <w:rPr>
          <w:sz w:val="28"/>
          <w:szCs w:val="28"/>
          <w:lang w:val="en-US"/>
        </w:rPr>
        <w:t xml:space="preserve"> in order to proactively manage water resources for crops.</w:t>
      </w:r>
    </w:p>
    <w:p w14:paraId="45D1B58F" w14:textId="73104ED1" w:rsidR="00AD03B5" w:rsidRPr="00AF3ED2" w:rsidRDefault="00AD03B5" w:rsidP="00064B43">
      <w:pPr>
        <w:pStyle w:val="FootnoteText"/>
        <w:spacing w:after="120" w:line="264" w:lineRule="auto"/>
        <w:ind w:firstLine="720"/>
        <w:jc w:val="both"/>
        <w:rPr>
          <w:i/>
          <w:sz w:val="28"/>
          <w:szCs w:val="28"/>
          <w:lang w:val="en-US"/>
        </w:rPr>
      </w:pPr>
      <w:r w:rsidRPr="00AF3ED2">
        <w:rPr>
          <w:i/>
          <w:sz w:val="28"/>
          <w:szCs w:val="28"/>
          <w:lang w:val="en-US"/>
        </w:rPr>
        <w:t>Autumn rice</w:t>
      </w:r>
    </w:p>
    <w:p w14:paraId="1DFBCD4E" w14:textId="419BB76B" w:rsidR="00AD03B5" w:rsidRPr="00AF3ED2" w:rsidRDefault="00AD03B5" w:rsidP="00064B43">
      <w:pPr>
        <w:pStyle w:val="FootnoteText"/>
        <w:spacing w:after="120" w:line="264" w:lineRule="auto"/>
        <w:ind w:firstLine="720"/>
        <w:jc w:val="both"/>
        <w:rPr>
          <w:sz w:val="28"/>
          <w:szCs w:val="28"/>
          <w:lang w:val="en-US"/>
        </w:rPr>
      </w:pPr>
      <w:r w:rsidRPr="00AF3ED2">
        <w:rPr>
          <w:sz w:val="28"/>
          <w:szCs w:val="28"/>
          <w:lang w:val="en-US"/>
        </w:rPr>
        <w:t xml:space="preserve">Post-harvest of the spring rice, </w:t>
      </w:r>
      <w:r w:rsidR="0095732F">
        <w:rPr>
          <w:sz w:val="28"/>
          <w:szCs w:val="28"/>
          <w:lang w:val="en-US"/>
        </w:rPr>
        <w:t xml:space="preserve">the </w:t>
      </w:r>
      <w:r w:rsidRPr="00AF3ED2">
        <w:rPr>
          <w:sz w:val="28"/>
          <w:szCs w:val="28"/>
          <w:lang w:val="en-US"/>
        </w:rPr>
        <w:t xml:space="preserve">Southern localities </w:t>
      </w:r>
      <w:r w:rsidR="009477E0" w:rsidRPr="00AF3ED2">
        <w:rPr>
          <w:sz w:val="28"/>
          <w:szCs w:val="28"/>
          <w:lang w:val="en-US"/>
        </w:rPr>
        <w:t xml:space="preserve">conducted </w:t>
      </w:r>
      <w:r w:rsidRPr="00AF3ED2">
        <w:rPr>
          <w:sz w:val="28"/>
          <w:szCs w:val="28"/>
          <w:lang w:val="en-US"/>
        </w:rPr>
        <w:t>field cleaning, plowing, and tilling the land for</w:t>
      </w:r>
      <w:r w:rsidR="009477E0" w:rsidRPr="00AF3ED2">
        <w:rPr>
          <w:sz w:val="28"/>
          <w:szCs w:val="28"/>
          <w:lang w:val="en-US"/>
        </w:rPr>
        <w:t xml:space="preserve"> cultivation </w:t>
      </w:r>
      <w:r w:rsidRPr="00AF3ED2">
        <w:rPr>
          <w:sz w:val="28"/>
          <w:szCs w:val="28"/>
          <w:lang w:val="en-US"/>
        </w:rPr>
        <w:t xml:space="preserve">summer-autumn crop. </w:t>
      </w:r>
      <w:r w:rsidR="009477E0" w:rsidRPr="00AF3ED2">
        <w:rPr>
          <w:sz w:val="28"/>
          <w:szCs w:val="28"/>
          <w:lang w:val="en-US"/>
        </w:rPr>
        <w:t xml:space="preserve">As of </w:t>
      </w:r>
      <w:r w:rsidRPr="00AF3ED2">
        <w:rPr>
          <w:sz w:val="28"/>
          <w:szCs w:val="28"/>
          <w:lang w:val="en-US"/>
        </w:rPr>
        <w:t>April 20</w:t>
      </w:r>
      <w:r w:rsidR="00B6191E" w:rsidRPr="0095732F">
        <w:rPr>
          <w:sz w:val="28"/>
          <w:szCs w:val="28"/>
          <w:vertAlign w:val="superscript"/>
          <w:lang w:val="en-US"/>
        </w:rPr>
        <w:t>th</w:t>
      </w:r>
      <w:r w:rsidR="00B6191E">
        <w:rPr>
          <w:sz w:val="28"/>
          <w:szCs w:val="28"/>
          <w:lang w:val="en-US"/>
        </w:rPr>
        <w:t>,</w:t>
      </w:r>
      <w:r w:rsidRPr="00AF3ED2">
        <w:rPr>
          <w:sz w:val="28"/>
          <w:szCs w:val="28"/>
          <w:lang w:val="en-US"/>
        </w:rPr>
        <w:t xml:space="preserve"> 2026, </w:t>
      </w:r>
      <w:r w:rsidR="0095732F">
        <w:rPr>
          <w:sz w:val="28"/>
          <w:szCs w:val="28"/>
          <w:lang w:val="en-US"/>
        </w:rPr>
        <w:t xml:space="preserve">the </w:t>
      </w:r>
      <w:r w:rsidR="001150D8" w:rsidRPr="00AF3ED2">
        <w:rPr>
          <w:sz w:val="28"/>
          <w:szCs w:val="28"/>
          <w:lang w:val="en-US"/>
        </w:rPr>
        <w:t>Southern</w:t>
      </w:r>
      <w:r w:rsidR="009477E0" w:rsidRPr="00AF3ED2">
        <w:rPr>
          <w:sz w:val="28"/>
          <w:szCs w:val="28"/>
          <w:lang w:val="en-US"/>
        </w:rPr>
        <w:t xml:space="preserve"> localities </w:t>
      </w:r>
      <w:r w:rsidRPr="00AF3ED2">
        <w:rPr>
          <w:sz w:val="28"/>
          <w:szCs w:val="28"/>
          <w:lang w:val="en-US"/>
        </w:rPr>
        <w:t xml:space="preserve">sown 355.5 thousand hectares of autumn rice, </w:t>
      </w:r>
      <w:r w:rsidR="009477E0" w:rsidRPr="00AF3ED2">
        <w:rPr>
          <w:sz w:val="28"/>
          <w:szCs w:val="28"/>
          <w:lang w:val="en-US"/>
        </w:rPr>
        <w:t xml:space="preserve">equal </w:t>
      </w:r>
      <w:r w:rsidRPr="00AF3ED2">
        <w:rPr>
          <w:sz w:val="28"/>
          <w:szCs w:val="28"/>
          <w:lang w:val="en-US"/>
        </w:rPr>
        <w:t>to 50.9%</w:t>
      </w:r>
      <w:r w:rsidR="009477E0" w:rsidRPr="00AF3ED2">
        <w:rPr>
          <w:sz w:val="28"/>
          <w:szCs w:val="28"/>
          <w:lang w:val="en-US"/>
        </w:rPr>
        <w:t xml:space="preserve">, comparing to </w:t>
      </w:r>
      <w:r w:rsidRPr="00AF3ED2">
        <w:rPr>
          <w:sz w:val="28"/>
          <w:szCs w:val="28"/>
          <w:lang w:val="en-US"/>
        </w:rPr>
        <w:t xml:space="preserve">the same period last year, of which the Mekong </w:t>
      </w:r>
      <w:r w:rsidR="009477E0" w:rsidRPr="00AF3ED2">
        <w:rPr>
          <w:sz w:val="28"/>
          <w:szCs w:val="28"/>
          <w:lang w:val="en-US"/>
        </w:rPr>
        <w:t xml:space="preserve">River </w:t>
      </w:r>
      <w:r w:rsidRPr="00AF3ED2">
        <w:rPr>
          <w:sz w:val="28"/>
          <w:szCs w:val="28"/>
          <w:lang w:val="en-US"/>
        </w:rPr>
        <w:t>Delta</w:t>
      </w:r>
      <w:r w:rsidR="009477E0" w:rsidRPr="00AF3ED2">
        <w:rPr>
          <w:sz w:val="28"/>
          <w:szCs w:val="28"/>
          <w:lang w:val="en-US"/>
        </w:rPr>
        <w:t xml:space="preserve"> made up </w:t>
      </w:r>
      <w:r w:rsidRPr="00AF3ED2">
        <w:rPr>
          <w:sz w:val="28"/>
          <w:szCs w:val="28"/>
          <w:lang w:val="en-US"/>
        </w:rPr>
        <w:t xml:space="preserve">272.3 thousand hectares, </w:t>
      </w:r>
      <w:r w:rsidR="009477E0" w:rsidRPr="00AF3ED2">
        <w:rPr>
          <w:sz w:val="28"/>
          <w:szCs w:val="28"/>
          <w:lang w:val="en-US"/>
        </w:rPr>
        <w:t xml:space="preserve">equal to </w:t>
      </w:r>
      <w:r w:rsidRPr="00AF3ED2">
        <w:rPr>
          <w:sz w:val="28"/>
          <w:szCs w:val="28"/>
          <w:lang w:val="en-US"/>
        </w:rPr>
        <w:t xml:space="preserve">44.2%. The progress of autumn </w:t>
      </w:r>
      <w:r w:rsidR="00F21CCE">
        <w:rPr>
          <w:sz w:val="28"/>
          <w:szCs w:val="28"/>
          <w:lang w:val="en-US"/>
        </w:rPr>
        <w:t xml:space="preserve">rice </w:t>
      </w:r>
      <w:r w:rsidR="00F21CCE" w:rsidRPr="00AF3ED2">
        <w:rPr>
          <w:sz w:val="28"/>
          <w:szCs w:val="28"/>
          <w:lang w:val="en-US"/>
        </w:rPr>
        <w:t>cultivati</w:t>
      </w:r>
      <w:r w:rsidR="00F21CCE">
        <w:rPr>
          <w:sz w:val="28"/>
          <w:szCs w:val="28"/>
          <w:lang w:val="en-US"/>
        </w:rPr>
        <w:t>on</w:t>
      </w:r>
      <w:r w:rsidR="00F21CCE" w:rsidRPr="00AF3ED2">
        <w:rPr>
          <w:sz w:val="28"/>
          <w:szCs w:val="28"/>
          <w:lang w:val="en-US"/>
        </w:rPr>
        <w:t xml:space="preserve"> </w:t>
      </w:r>
      <w:r w:rsidR="006322CB">
        <w:rPr>
          <w:sz w:val="28"/>
          <w:szCs w:val="28"/>
          <w:lang w:val="en-US"/>
        </w:rPr>
        <w:t>wa</w:t>
      </w:r>
      <w:r w:rsidR="006322CB" w:rsidRPr="006322CB">
        <w:rPr>
          <w:sz w:val="28"/>
          <w:szCs w:val="28"/>
          <w:lang w:val="en-US"/>
        </w:rPr>
        <w:t>s slower than the same period last year</w:t>
      </w:r>
      <w:r w:rsidRPr="00AF3ED2">
        <w:rPr>
          <w:sz w:val="28"/>
          <w:szCs w:val="28"/>
          <w:lang w:val="en-US"/>
        </w:rPr>
        <w:t xml:space="preserve">, mainly due to the prolonged harvest period </w:t>
      </w:r>
      <w:r w:rsidR="00BD757F">
        <w:rPr>
          <w:sz w:val="28"/>
          <w:szCs w:val="28"/>
          <w:lang w:val="en-US"/>
        </w:rPr>
        <w:t xml:space="preserve">of the spring rice </w:t>
      </w:r>
      <w:r w:rsidRPr="00AF3ED2">
        <w:rPr>
          <w:sz w:val="28"/>
          <w:szCs w:val="28"/>
          <w:lang w:val="en-US"/>
        </w:rPr>
        <w:t xml:space="preserve">affecting the </w:t>
      </w:r>
      <w:r w:rsidR="009477E0" w:rsidRPr="00AF3ED2">
        <w:rPr>
          <w:sz w:val="28"/>
          <w:szCs w:val="28"/>
          <w:lang w:val="en-US"/>
        </w:rPr>
        <w:t xml:space="preserve">crop calendars. </w:t>
      </w:r>
      <w:r w:rsidRPr="00AF3ED2">
        <w:rPr>
          <w:sz w:val="28"/>
          <w:szCs w:val="28"/>
          <w:lang w:val="en-US"/>
        </w:rPr>
        <w:t xml:space="preserve">In addition, localized heatwaves in </w:t>
      </w:r>
      <w:r w:rsidR="009477E0" w:rsidRPr="00AF3ED2">
        <w:rPr>
          <w:sz w:val="28"/>
          <w:szCs w:val="28"/>
          <w:lang w:val="en-US"/>
        </w:rPr>
        <w:t xml:space="preserve">several </w:t>
      </w:r>
      <w:r w:rsidRPr="00AF3ED2">
        <w:rPr>
          <w:sz w:val="28"/>
          <w:szCs w:val="28"/>
          <w:lang w:val="en-US"/>
        </w:rPr>
        <w:t xml:space="preserve">localities, along with the late rainy season due to the impact of El </w:t>
      </w:r>
      <w:r w:rsidR="009477E0" w:rsidRPr="00AF3ED2">
        <w:rPr>
          <w:sz w:val="28"/>
          <w:szCs w:val="28"/>
          <w:lang w:val="en-US"/>
        </w:rPr>
        <w:t xml:space="preserve">Nino caused </w:t>
      </w:r>
      <w:r w:rsidRPr="00AF3ED2">
        <w:rPr>
          <w:sz w:val="28"/>
          <w:szCs w:val="28"/>
          <w:lang w:val="en-US"/>
        </w:rPr>
        <w:t>further slowed down the</w:t>
      </w:r>
      <w:r w:rsidR="009477E0" w:rsidRPr="00AF3ED2">
        <w:rPr>
          <w:sz w:val="28"/>
          <w:szCs w:val="28"/>
          <w:lang w:val="en-US"/>
        </w:rPr>
        <w:t xml:space="preserve"> cultivating </w:t>
      </w:r>
      <w:r w:rsidRPr="00AF3ED2">
        <w:rPr>
          <w:sz w:val="28"/>
          <w:szCs w:val="28"/>
          <w:lang w:val="en-US"/>
        </w:rPr>
        <w:t xml:space="preserve">progress. Some localities </w:t>
      </w:r>
      <w:r w:rsidR="009477E0" w:rsidRPr="00AF3ED2">
        <w:rPr>
          <w:sz w:val="28"/>
          <w:szCs w:val="28"/>
          <w:lang w:val="en-US"/>
        </w:rPr>
        <w:t xml:space="preserve">showed a year-on-year </w:t>
      </w:r>
      <w:r w:rsidRPr="00AF3ED2">
        <w:rPr>
          <w:sz w:val="28"/>
          <w:szCs w:val="28"/>
          <w:lang w:val="en-US"/>
        </w:rPr>
        <w:t xml:space="preserve">slower </w:t>
      </w:r>
      <w:r w:rsidR="009477E0" w:rsidRPr="00AF3ED2">
        <w:rPr>
          <w:sz w:val="28"/>
          <w:szCs w:val="28"/>
          <w:lang w:val="en-US"/>
        </w:rPr>
        <w:t xml:space="preserve">cultivating </w:t>
      </w:r>
      <w:r w:rsidRPr="00AF3ED2">
        <w:rPr>
          <w:sz w:val="28"/>
          <w:szCs w:val="28"/>
          <w:lang w:val="en-US"/>
        </w:rPr>
        <w:t>progress</w:t>
      </w:r>
      <w:r w:rsidR="00C10F4B">
        <w:rPr>
          <w:sz w:val="28"/>
          <w:szCs w:val="28"/>
          <w:lang w:val="en-US"/>
        </w:rPr>
        <w:t>,</w:t>
      </w:r>
      <w:r w:rsidR="009477E0" w:rsidRPr="00AF3ED2">
        <w:rPr>
          <w:sz w:val="28"/>
          <w:szCs w:val="28"/>
          <w:lang w:val="en-US"/>
        </w:rPr>
        <w:t xml:space="preserve"> including</w:t>
      </w:r>
      <w:r w:rsidRPr="00AF3ED2">
        <w:rPr>
          <w:sz w:val="28"/>
          <w:szCs w:val="28"/>
          <w:lang w:val="en-US"/>
        </w:rPr>
        <w:t xml:space="preserve"> An Giang </w:t>
      </w:r>
      <w:r w:rsidR="00C10F4B">
        <w:rPr>
          <w:sz w:val="28"/>
          <w:szCs w:val="28"/>
          <w:lang w:val="en-US"/>
        </w:rPr>
        <w:t xml:space="preserve">reached </w:t>
      </w:r>
      <w:r w:rsidRPr="00AF3ED2">
        <w:rPr>
          <w:sz w:val="28"/>
          <w:szCs w:val="28"/>
          <w:lang w:val="en-US"/>
        </w:rPr>
        <w:t xml:space="preserve">74.4 thousand hectares, </w:t>
      </w:r>
      <w:r w:rsidR="00BF45B9" w:rsidRPr="00AF3ED2">
        <w:rPr>
          <w:sz w:val="28"/>
          <w:szCs w:val="28"/>
          <w:lang w:val="en-US"/>
        </w:rPr>
        <w:t xml:space="preserve">equal </w:t>
      </w:r>
      <w:r w:rsidRPr="00AF3ED2">
        <w:rPr>
          <w:sz w:val="28"/>
          <w:szCs w:val="28"/>
          <w:lang w:val="en-US"/>
        </w:rPr>
        <w:t xml:space="preserve">to 26.9%; Can Tho </w:t>
      </w:r>
      <w:r w:rsidR="00C10F4B">
        <w:rPr>
          <w:sz w:val="28"/>
          <w:szCs w:val="28"/>
          <w:lang w:val="en-US"/>
        </w:rPr>
        <w:t xml:space="preserve">reached </w:t>
      </w:r>
      <w:r w:rsidRPr="00AF3ED2">
        <w:rPr>
          <w:sz w:val="28"/>
          <w:szCs w:val="28"/>
          <w:lang w:val="en-US"/>
        </w:rPr>
        <w:t xml:space="preserve">84.9 thousand hectares, </w:t>
      </w:r>
      <w:r w:rsidR="00BF45B9" w:rsidRPr="00AF3ED2">
        <w:rPr>
          <w:sz w:val="28"/>
          <w:szCs w:val="28"/>
          <w:lang w:val="en-US"/>
        </w:rPr>
        <w:t xml:space="preserve">equal </w:t>
      </w:r>
      <w:r w:rsidRPr="00AF3ED2">
        <w:rPr>
          <w:sz w:val="28"/>
          <w:szCs w:val="28"/>
          <w:lang w:val="en-US"/>
        </w:rPr>
        <w:t>to 57.4%</w:t>
      </w:r>
      <w:r w:rsidR="00C10F4B">
        <w:rPr>
          <w:sz w:val="28"/>
          <w:szCs w:val="28"/>
          <w:lang w:val="en-US"/>
        </w:rPr>
        <w:t>;</w:t>
      </w:r>
      <w:r w:rsidRPr="00AF3ED2">
        <w:rPr>
          <w:sz w:val="28"/>
          <w:szCs w:val="28"/>
          <w:lang w:val="en-US"/>
        </w:rPr>
        <w:t xml:space="preserve"> Dong Thap </w:t>
      </w:r>
      <w:r w:rsidR="00C10F4B">
        <w:rPr>
          <w:sz w:val="28"/>
          <w:szCs w:val="28"/>
          <w:lang w:val="en-US"/>
        </w:rPr>
        <w:t xml:space="preserve">reached </w:t>
      </w:r>
      <w:r w:rsidRPr="00AF3ED2">
        <w:rPr>
          <w:sz w:val="28"/>
          <w:szCs w:val="28"/>
          <w:lang w:val="en-US"/>
        </w:rPr>
        <w:t xml:space="preserve">93.8 thousand hectares, </w:t>
      </w:r>
      <w:r w:rsidR="00BF45B9" w:rsidRPr="00AF3ED2">
        <w:rPr>
          <w:sz w:val="28"/>
          <w:szCs w:val="28"/>
          <w:lang w:val="en-US"/>
        </w:rPr>
        <w:t>equal to 55.4%.</w:t>
      </w:r>
      <w:r w:rsidR="00F2448E" w:rsidRPr="00AF3ED2">
        <w:rPr>
          <w:sz w:val="28"/>
          <w:szCs w:val="28"/>
          <w:lang w:val="en-US"/>
        </w:rPr>
        <w:t xml:space="preserve"> </w:t>
      </w:r>
      <w:r w:rsidRPr="00AF3ED2">
        <w:rPr>
          <w:sz w:val="28"/>
          <w:szCs w:val="28"/>
          <w:lang w:val="en-US"/>
        </w:rPr>
        <w:t xml:space="preserve">Given the unfavorable weather conditions, localities proactively </w:t>
      </w:r>
      <w:r w:rsidR="00BF45B9" w:rsidRPr="00AF3ED2">
        <w:rPr>
          <w:sz w:val="28"/>
          <w:szCs w:val="28"/>
          <w:lang w:val="en-US"/>
        </w:rPr>
        <w:t xml:space="preserve">cultivated </w:t>
      </w:r>
      <w:r w:rsidRPr="00AF3ED2">
        <w:rPr>
          <w:sz w:val="28"/>
          <w:szCs w:val="28"/>
          <w:lang w:val="en-US"/>
        </w:rPr>
        <w:t xml:space="preserve">according to the </w:t>
      </w:r>
      <w:r w:rsidR="00BF45B9" w:rsidRPr="00AF3ED2">
        <w:rPr>
          <w:sz w:val="28"/>
          <w:szCs w:val="28"/>
          <w:lang w:val="en-US"/>
        </w:rPr>
        <w:t xml:space="preserve">crop </w:t>
      </w:r>
      <w:r w:rsidR="001150D8" w:rsidRPr="00AF3ED2">
        <w:rPr>
          <w:sz w:val="28"/>
          <w:szCs w:val="28"/>
          <w:lang w:val="en-US"/>
        </w:rPr>
        <w:t>calendars</w:t>
      </w:r>
      <w:r w:rsidRPr="00AF3ED2">
        <w:rPr>
          <w:sz w:val="28"/>
          <w:szCs w:val="28"/>
          <w:lang w:val="en-US"/>
        </w:rPr>
        <w:t xml:space="preserve">, adhering to the recommendations of the agricultural </w:t>
      </w:r>
      <w:r w:rsidR="009D25D7">
        <w:rPr>
          <w:sz w:val="28"/>
          <w:szCs w:val="28"/>
          <w:lang w:val="en-US"/>
        </w:rPr>
        <w:t>agency</w:t>
      </w:r>
      <w:r w:rsidR="009D25D7" w:rsidRPr="00AF3ED2">
        <w:rPr>
          <w:sz w:val="28"/>
          <w:szCs w:val="28"/>
          <w:lang w:val="en-US"/>
        </w:rPr>
        <w:t xml:space="preserve"> </w:t>
      </w:r>
      <w:r w:rsidRPr="00AF3ED2">
        <w:rPr>
          <w:sz w:val="28"/>
          <w:szCs w:val="28"/>
          <w:lang w:val="en-US"/>
        </w:rPr>
        <w:t>to minimi</w:t>
      </w:r>
      <w:r w:rsidR="00BF45B9" w:rsidRPr="00AF3ED2">
        <w:rPr>
          <w:sz w:val="28"/>
          <w:szCs w:val="28"/>
          <w:lang w:val="en-US"/>
        </w:rPr>
        <w:t>ze pest and disease risks,</w:t>
      </w:r>
      <w:r w:rsidRPr="00AF3ED2">
        <w:rPr>
          <w:sz w:val="28"/>
          <w:szCs w:val="28"/>
          <w:lang w:val="en-US"/>
        </w:rPr>
        <w:t xml:space="preserve"> prioritiz</w:t>
      </w:r>
      <w:r w:rsidR="00BF45B9" w:rsidRPr="00AF3ED2">
        <w:rPr>
          <w:sz w:val="28"/>
          <w:szCs w:val="28"/>
          <w:lang w:val="en-US"/>
        </w:rPr>
        <w:t xml:space="preserve">ing </w:t>
      </w:r>
      <w:r w:rsidRPr="00AF3ED2">
        <w:rPr>
          <w:sz w:val="28"/>
          <w:szCs w:val="28"/>
          <w:lang w:val="en-US"/>
        </w:rPr>
        <w:t xml:space="preserve">the use of high-quality, disease-resistant rice and applied advanced farming methods, using pesticides </w:t>
      </w:r>
      <w:r w:rsidR="001150D8" w:rsidRPr="00AF3ED2">
        <w:rPr>
          <w:sz w:val="28"/>
          <w:szCs w:val="28"/>
          <w:lang w:val="en-US"/>
        </w:rPr>
        <w:t>following</w:t>
      </w:r>
      <w:r w:rsidR="00037DF3" w:rsidRPr="00AF3ED2">
        <w:rPr>
          <w:sz w:val="28"/>
          <w:szCs w:val="28"/>
          <w:lang w:val="en-US"/>
        </w:rPr>
        <w:t xml:space="preserve"> </w:t>
      </w:r>
      <w:r w:rsidR="001150D8" w:rsidRPr="00AF3ED2">
        <w:rPr>
          <w:sz w:val="28"/>
          <w:szCs w:val="28"/>
          <w:lang w:val="en-US"/>
        </w:rPr>
        <w:t>instruction</w:t>
      </w:r>
      <w:r w:rsidR="00037DF3" w:rsidRPr="00AF3ED2">
        <w:rPr>
          <w:sz w:val="28"/>
          <w:szCs w:val="28"/>
          <w:lang w:val="en-US"/>
        </w:rPr>
        <w:t xml:space="preserve"> </w:t>
      </w:r>
      <w:r w:rsidRPr="00AF3ED2">
        <w:rPr>
          <w:sz w:val="28"/>
          <w:szCs w:val="28"/>
          <w:lang w:val="en-US"/>
        </w:rPr>
        <w:t xml:space="preserve">to improve productivity and efficiency </w:t>
      </w:r>
      <w:r w:rsidR="003F00C4" w:rsidRPr="00AF3ED2">
        <w:rPr>
          <w:sz w:val="28"/>
          <w:szCs w:val="28"/>
          <w:lang w:val="en-US"/>
        </w:rPr>
        <w:t>of t</w:t>
      </w:r>
      <w:r w:rsidRPr="00AF3ED2">
        <w:rPr>
          <w:sz w:val="28"/>
          <w:szCs w:val="28"/>
          <w:lang w:val="en-US"/>
        </w:rPr>
        <w:t>he summer-autumn crop.</w:t>
      </w:r>
    </w:p>
    <w:p w14:paraId="4BCD97C1" w14:textId="77777777" w:rsidR="00037DF3" w:rsidRPr="0013130D" w:rsidRDefault="000A69FD" w:rsidP="00064B43">
      <w:pPr>
        <w:pStyle w:val="FootnoteText"/>
        <w:spacing w:after="120" w:line="264" w:lineRule="auto"/>
        <w:ind w:firstLine="720"/>
        <w:jc w:val="both"/>
        <w:rPr>
          <w:i/>
          <w:sz w:val="28"/>
          <w:szCs w:val="28"/>
          <w:lang w:val="en-US"/>
        </w:rPr>
      </w:pPr>
      <w:r w:rsidRPr="0013130D">
        <w:rPr>
          <w:i/>
          <w:sz w:val="28"/>
          <w:szCs w:val="28"/>
          <w:lang w:val="en-US"/>
        </w:rPr>
        <w:t>Annual crops</w:t>
      </w:r>
    </w:p>
    <w:p w14:paraId="253D0A35" w14:textId="56F388C6" w:rsidR="008E7DE6" w:rsidRPr="00AF3ED2" w:rsidRDefault="000A69FD" w:rsidP="00064B43">
      <w:pPr>
        <w:pStyle w:val="FootnoteText"/>
        <w:spacing w:after="120" w:line="264" w:lineRule="auto"/>
        <w:ind w:firstLine="720"/>
        <w:jc w:val="both"/>
        <w:rPr>
          <w:sz w:val="28"/>
          <w:szCs w:val="28"/>
          <w:lang w:val="en-US"/>
        </w:rPr>
      </w:pPr>
      <w:r w:rsidRPr="00AF3ED2">
        <w:rPr>
          <w:sz w:val="28"/>
          <w:szCs w:val="28"/>
          <w:lang w:val="en-US"/>
        </w:rPr>
        <w:t xml:space="preserve"> </w:t>
      </w:r>
      <w:r w:rsidR="00EB55A3" w:rsidRPr="00AF3ED2">
        <w:rPr>
          <w:sz w:val="28"/>
          <w:szCs w:val="28"/>
          <w:lang w:val="en-US"/>
        </w:rPr>
        <w:t xml:space="preserve">Along with cultivating rice, localities nationwide cultivated other crops. </w:t>
      </w:r>
      <w:r w:rsidR="00037DF3" w:rsidRPr="00AF3ED2">
        <w:rPr>
          <w:sz w:val="28"/>
          <w:szCs w:val="28"/>
          <w:lang w:val="en-US"/>
        </w:rPr>
        <w:t xml:space="preserve">Of which the area </w:t>
      </w:r>
      <w:r w:rsidR="00EB55A3" w:rsidRPr="00AF3ED2">
        <w:rPr>
          <w:sz w:val="28"/>
          <w:szCs w:val="28"/>
          <w:lang w:val="en-US"/>
        </w:rPr>
        <w:t xml:space="preserve">of crops cultivation </w:t>
      </w:r>
      <w:r w:rsidR="00C0222C" w:rsidRPr="00AF3ED2">
        <w:rPr>
          <w:sz w:val="28"/>
          <w:szCs w:val="28"/>
          <w:lang w:val="en-US"/>
        </w:rPr>
        <w:t>including maize, sweet potatoes showed a year-on-year drop due to low economic efficiency.</w:t>
      </w:r>
    </w:p>
    <w:p w14:paraId="3187ECEE" w14:textId="6B875E1F" w:rsidR="007E0C0F" w:rsidRPr="00AF3ED2" w:rsidRDefault="007E0C0F" w:rsidP="007E0C0F">
      <w:pPr>
        <w:pStyle w:val="Normal2"/>
        <w:spacing w:before="60" w:beforeAutospacing="0" w:after="60" w:afterAutospacing="0" w:line="271" w:lineRule="auto"/>
        <w:jc w:val="center"/>
        <w:rPr>
          <w:rFonts w:ascii="Arial" w:hAnsi="Arial" w:cs="Arial"/>
          <w:b/>
        </w:rPr>
      </w:pPr>
      <w:r w:rsidRPr="00AF3ED2">
        <w:rPr>
          <w:rFonts w:ascii="Arial" w:hAnsi="Arial" w:cs="Arial"/>
          <w:b/>
        </w:rPr>
        <w:t xml:space="preserve">Figure 1. </w:t>
      </w:r>
      <w:r w:rsidR="00E012DD">
        <w:rPr>
          <w:rFonts w:ascii="Arial" w:hAnsi="Arial" w:cs="Arial"/>
          <w:b/>
        </w:rPr>
        <w:t>Planted area</w:t>
      </w:r>
      <w:r w:rsidR="00E012DD" w:rsidRPr="00AF3ED2">
        <w:rPr>
          <w:rFonts w:ascii="Arial" w:hAnsi="Arial" w:cs="Arial"/>
          <w:b/>
        </w:rPr>
        <w:t xml:space="preserve"> </w:t>
      </w:r>
      <w:r w:rsidRPr="00AF3ED2">
        <w:rPr>
          <w:rFonts w:ascii="Arial" w:hAnsi="Arial" w:cs="Arial"/>
          <w:b/>
        </w:rPr>
        <w:t xml:space="preserve">of annual </w:t>
      </w:r>
      <w:r w:rsidR="00DE43A7" w:rsidRPr="00AF3ED2">
        <w:rPr>
          <w:rFonts w:ascii="Arial" w:hAnsi="Arial" w:cs="Arial"/>
          <w:b/>
        </w:rPr>
        <w:t xml:space="preserve">crops </w:t>
      </w:r>
      <w:r w:rsidR="00E012DD">
        <w:rPr>
          <w:rFonts w:ascii="Arial" w:hAnsi="Arial" w:cs="Arial"/>
          <w:b/>
        </w:rPr>
        <w:br/>
      </w:r>
      <w:r w:rsidR="00E012DD" w:rsidRPr="00E012DD">
        <w:rPr>
          <w:rFonts w:ascii="Arial" w:hAnsi="Arial" w:cs="Arial"/>
          <w:i/>
        </w:rPr>
        <w:t>(As of April 20</w:t>
      </w:r>
      <w:r w:rsidR="00E012DD" w:rsidRPr="00D57174">
        <w:rPr>
          <w:rFonts w:ascii="Arial" w:hAnsi="Arial" w:cs="Arial"/>
          <w:i/>
          <w:vertAlign w:val="superscript"/>
        </w:rPr>
        <w:t>th</w:t>
      </w:r>
      <w:r w:rsidR="00E012DD" w:rsidRPr="00E012DD">
        <w:rPr>
          <w:rFonts w:ascii="Arial" w:hAnsi="Arial" w:cs="Arial"/>
          <w:i/>
        </w:rPr>
        <w:t>, 2026)</w:t>
      </w:r>
      <w:r w:rsidRPr="00AF3ED2">
        <w:rPr>
          <w:rFonts w:ascii="Arial" w:hAnsi="Arial" w:cs="Arial"/>
          <w:b/>
        </w:rPr>
        <w:t xml:space="preserve"> </w:t>
      </w:r>
    </w:p>
    <w:p w14:paraId="57D2F556" w14:textId="06999DCC" w:rsidR="00C0222C" w:rsidRPr="00AF3ED2" w:rsidRDefault="00025D84" w:rsidP="00025D84">
      <w:pPr>
        <w:pStyle w:val="FootnoteText"/>
        <w:tabs>
          <w:tab w:val="left" w:pos="3750"/>
        </w:tabs>
        <w:spacing w:after="120" w:line="264" w:lineRule="auto"/>
        <w:ind w:firstLine="720"/>
        <w:jc w:val="both"/>
        <w:rPr>
          <w:sz w:val="28"/>
          <w:szCs w:val="28"/>
          <w:lang w:val="en-US"/>
        </w:rPr>
      </w:pPr>
      <w:r w:rsidRPr="00AF3ED2">
        <w:rPr>
          <w:sz w:val="28"/>
          <w:szCs w:val="28"/>
          <w:lang w:val="en-US"/>
        </w:rPr>
        <w:lastRenderedPageBreak/>
        <w:tab/>
      </w:r>
      <w:r w:rsidR="00A56031" w:rsidRPr="00AF3ED2">
        <w:rPr>
          <w:noProof/>
          <w:lang w:val="en-US" w:eastAsia="en-US"/>
        </w:rPr>
        <w:drawing>
          <wp:inline distT="0" distB="0" distL="0" distR="0" wp14:anchorId="3579A6D5" wp14:editId="254296A2">
            <wp:extent cx="5699760" cy="2239519"/>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9760" cy="2239519"/>
                    </a:xfrm>
                    <a:prstGeom prst="rect">
                      <a:avLst/>
                    </a:prstGeom>
                    <a:noFill/>
                    <a:ln>
                      <a:noFill/>
                    </a:ln>
                  </pic:spPr>
                </pic:pic>
              </a:graphicData>
            </a:graphic>
          </wp:inline>
        </w:drawing>
      </w:r>
    </w:p>
    <w:p w14:paraId="33252016" w14:textId="77777777" w:rsidR="00C0222C" w:rsidRPr="00D1163C" w:rsidRDefault="00C0222C" w:rsidP="00064B43">
      <w:pPr>
        <w:pStyle w:val="FootnoteText"/>
        <w:spacing w:after="120" w:line="264" w:lineRule="auto"/>
        <w:ind w:firstLine="720"/>
        <w:jc w:val="both"/>
        <w:rPr>
          <w:i/>
          <w:sz w:val="28"/>
          <w:szCs w:val="28"/>
          <w:lang w:val="en-US"/>
        </w:rPr>
      </w:pPr>
      <w:r w:rsidRPr="00D1163C">
        <w:rPr>
          <w:i/>
          <w:sz w:val="28"/>
          <w:szCs w:val="28"/>
          <w:lang w:val="en-US"/>
        </w:rPr>
        <w:t>Livestock</w:t>
      </w:r>
    </w:p>
    <w:p w14:paraId="3A2156A9" w14:textId="2A033025" w:rsidR="007E0C0F" w:rsidRPr="00AF3ED2" w:rsidRDefault="007E0C0F" w:rsidP="007E0C0F">
      <w:pPr>
        <w:pStyle w:val="FootnoteText"/>
        <w:spacing w:after="120" w:line="264" w:lineRule="auto"/>
        <w:ind w:firstLine="720"/>
        <w:jc w:val="both"/>
        <w:rPr>
          <w:sz w:val="28"/>
          <w:szCs w:val="28"/>
          <w:lang w:val="en-US"/>
        </w:rPr>
      </w:pPr>
      <w:r w:rsidRPr="00AF3ED2">
        <w:rPr>
          <w:sz w:val="28"/>
          <w:szCs w:val="28"/>
          <w:lang w:val="en-US"/>
        </w:rPr>
        <w:t xml:space="preserve">Cattle and buffalo farming witnessed a downtrend due to low economic efficiency, long breeding cycles, and large grazing areas, discouraging farmers </w:t>
      </w:r>
      <w:r w:rsidR="00301D88" w:rsidRPr="00AF3ED2">
        <w:rPr>
          <w:sz w:val="28"/>
          <w:szCs w:val="28"/>
          <w:lang w:val="en-US"/>
        </w:rPr>
        <w:t xml:space="preserve">from </w:t>
      </w:r>
      <w:r w:rsidRPr="00AF3ED2">
        <w:rPr>
          <w:sz w:val="28"/>
          <w:szCs w:val="28"/>
          <w:lang w:val="en-US"/>
        </w:rPr>
        <w:t xml:space="preserve">the </w:t>
      </w:r>
      <w:r w:rsidR="00301D88" w:rsidRPr="00AF3ED2">
        <w:rPr>
          <w:sz w:val="28"/>
          <w:szCs w:val="28"/>
          <w:lang w:val="en-US"/>
        </w:rPr>
        <w:t xml:space="preserve">livestock </w:t>
      </w:r>
      <w:r w:rsidRPr="00AF3ED2">
        <w:rPr>
          <w:sz w:val="28"/>
          <w:szCs w:val="28"/>
          <w:lang w:val="en-US"/>
        </w:rPr>
        <w:t xml:space="preserve">repopulation. Poultry farming </w:t>
      </w:r>
      <w:r w:rsidR="00301D88" w:rsidRPr="00AF3ED2">
        <w:rPr>
          <w:sz w:val="28"/>
          <w:szCs w:val="28"/>
          <w:lang w:val="en-US"/>
        </w:rPr>
        <w:t xml:space="preserve">showed a </w:t>
      </w:r>
      <w:r w:rsidRPr="00AF3ED2">
        <w:rPr>
          <w:sz w:val="28"/>
          <w:szCs w:val="28"/>
          <w:lang w:val="en-US"/>
        </w:rPr>
        <w:t>stab</w:t>
      </w:r>
      <w:r w:rsidR="00301D88" w:rsidRPr="00AF3ED2">
        <w:rPr>
          <w:sz w:val="28"/>
          <w:szCs w:val="28"/>
          <w:lang w:val="en-US"/>
        </w:rPr>
        <w:t xml:space="preserve">ility </w:t>
      </w:r>
      <w:r w:rsidRPr="00AF3ED2">
        <w:rPr>
          <w:sz w:val="28"/>
          <w:szCs w:val="28"/>
          <w:lang w:val="en-US"/>
        </w:rPr>
        <w:t>thanks to short breeding cycles, quick capital turnover, and consistently high selling prices</w:t>
      </w:r>
      <w:r w:rsidR="00301D88" w:rsidRPr="00AF3ED2">
        <w:rPr>
          <w:rFonts w:eastAsiaTheme="minorHAnsi"/>
          <w:color w:val="000000" w:themeColor="text1"/>
          <w:kern w:val="2"/>
          <w:vertAlign w:val="superscript"/>
          <w:lang w:val="en-US"/>
          <w14:ligatures w14:val="standardContextual"/>
        </w:rPr>
        <w:footnoteReference w:id="2"/>
      </w:r>
      <w:r w:rsidR="00F2448E" w:rsidRPr="00AF3ED2">
        <w:rPr>
          <w:sz w:val="28"/>
          <w:szCs w:val="28"/>
          <w:lang w:val="en-US"/>
        </w:rPr>
        <w:t xml:space="preserve">. </w:t>
      </w:r>
      <w:r w:rsidR="00301D88" w:rsidRPr="00AF3ED2">
        <w:rPr>
          <w:sz w:val="28"/>
          <w:szCs w:val="28"/>
          <w:lang w:val="en-US"/>
        </w:rPr>
        <w:t xml:space="preserve">Large-scale, </w:t>
      </w:r>
      <w:r w:rsidRPr="00AF3ED2">
        <w:rPr>
          <w:sz w:val="28"/>
          <w:szCs w:val="28"/>
          <w:lang w:val="en-US"/>
        </w:rPr>
        <w:t xml:space="preserve">concentrated farming facilities expanded production, ensuring supply for the market. Pig farming continued </w:t>
      </w:r>
      <w:r w:rsidR="00301D88" w:rsidRPr="00AF3ED2">
        <w:rPr>
          <w:sz w:val="28"/>
          <w:szCs w:val="28"/>
          <w:lang w:val="en-US"/>
        </w:rPr>
        <w:t xml:space="preserve">its </w:t>
      </w:r>
      <w:r w:rsidRPr="00AF3ED2">
        <w:rPr>
          <w:sz w:val="28"/>
          <w:szCs w:val="28"/>
          <w:lang w:val="en-US"/>
        </w:rPr>
        <w:t>recover</w:t>
      </w:r>
      <w:r w:rsidR="00301D88" w:rsidRPr="00AF3ED2">
        <w:rPr>
          <w:sz w:val="28"/>
          <w:szCs w:val="28"/>
          <w:lang w:val="en-US"/>
        </w:rPr>
        <w:t>y trend</w:t>
      </w:r>
      <w:r w:rsidRPr="00AF3ED2">
        <w:rPr>
          <w:sz w:val="28"/>
          <w:szCs w:val="28"/>
          <w:lang w:val="en-US"/>
        </w:rPr>
        <w:t xml:space="preserve">. Several localities saw </w:t>
      </w:r>
      <w:r w:rsidR="00301D88" w:rsidRPr="00AF3ED2">
        <w:rPr>
          <w:sz w:val="28"/>
          <w:szCs w:val="28"/>
          <w:lang w:val="en-US"/>
        </w:rPr>
        <w:t xml:space="preserve">a </w:t>
      </w:r>
      <w:r w:rsidRPr="00AF3ED2">
        <w:rPr>
          <w:sz w:val="28"/>
          <w:szCs w:val="28"/>
          <w:lang w:val="en-US"/>
        </w:rPr>
        <w:t>significant</w:t>
      </w:r>
      <w:r w:rsidR="00301D88" w:rsidRPr="00AF3ED2">
        <w:rPr>
          <w:sz w:val="28"/>
          <w:szCs w:val="28"/>
          <w:lang w:val="en-US"/>
        </w:rPr>
        <w:t xml:space="preserve"> growth of pig numbers</w:t>
      </w:r>
      <w:r w:rsidRPr="00AF3ED2">
        <w:rPr>
          <w:sz w:val="28"/>
          <w:szCs w:val="28"/>
          <w:lang w:val="en-US"/>
        </w:rPr>
        <w:t xml:space="preserve"> due to the strong development of farm-based breeding models and effective disease control</w:t>
      </w:r>
      <w:r w:rsidR="00301D88" w:rsidRPr="00AF3ED2">
        <w:rPr>
          <w:sz w:val="28"/>
          <w:szCs w:val="28"/>
          <w:lang w:val="en-US"/>
        </w:rPr>
        <w:t xml:space="preserve"> such as </w:t>
      </w:r>
      <w:r w:rsidRPr="00AF3ED2">
        <w:rPr>
          <w:sz w:val="28"/>
          <w:szCs w:val="28"/>
          <w:lang w:val="en-US"/>
        </w:rPr>
        <w:t xml:space="preserve">Gia Lai </w:t>
      </w:r>
      <w:r w:rsidR="00301D88" w:rsidRPr="00AF3ED2">
        <w:rPr>
          <w:sz w:val="28"/>
          <w:szCs w:val="28"/>
          <w:lang w:val="en-US"/>
        </w:rPr>
        <w:t xml:space="preserve">showed a year-on-year </w:t>
      </w:r>
      <w:r w:rsidRPr="00AF3ED2">
        <w:rPr>
          <w:sz w:val="28"/>
          <w:szCs w:val="28"/>
          <w:lang w:val="en-US"/>
        </w:rPr>
        <w:t>increase</w:t>
      </w:r>
      <w:r w:rsidR="00301D88" w:rsidRPr="00AF3ED2">
        <w:rPr>
          <w:sz w:val="28"/>
          <w:szCs w:val="28"/>
          <w:lang w:val="en-US"/>
        </w:rPr>
        <w:t xml:space="preserve"> of 7.4%</w:t>
      </w:r>
      <w:r w:rsidRPr="00AF3ED2">
        <w:rPr>
          <w:sz w:val="28"/>
          <w:szCs w:val="28"/>
          <w:lang w:val="en-US"/>
        </w:rPr>
        <w:t xml:space="preserve">; Lam Dong by </w:t>
      </w:r>
      <w:r w:rsidR="00862F8C" w:rsidRPr="00AF3ED2">
        <w:rPr>
          <w:sz w:val="28"/>
          <w:szCs w:val="28"/>
          <w:lang w:val="en-US"/>
        </w:rPr>
        <w:t>(+</w:t>
      </w:r>
      <w:r w:rsidRPr="00AF3ED2">
        <w:rPr>
          <w:sz w:val="28"/>
          <w:szCs w:val="28"/>
          <w:lang w:val="en-US"/>
        </w:rPr>
        <w:t>7.2%</w:t>
      </w:r>
      <w:r w:rsidR="00862F8C" w:rsidRPr="00AF3ED2">
        <w:rPr>
          <w:sz w:val="28"/>
          <w:szCs w:val="28"/>
          <w:lang w:val="en-US"/>
        </w:rPr>
        <w:t>)</w:t>
      </w:r>
      <w:r w:rsidRPr="00AF3ED2">
        <w:rPr>
          <w:sz w:val="28"/>
          <w:szCs w:val="28"/>
          <w:lang w:val="en-US"/>
        </w:rPr>
        <w:t xml:space="preserve">; Ho Chi Minh City by </w:t>
      </w:r>
      <w:r w:rsidR="00862F8C" w:rsidRPr="00AF3ED2">
        <w:rPr>
          <w:sz w:val="28"/>
          <w:szCs w:val="28"/>
          <w:lang w:val="en-US"/>
        </w:rPr>
        <w:t>(+</w:t>
      </w:r>
      <w:r w:rsidRPr="00AF3ED2">
        <w:rPr>
          <w:sz w:val="28"/>
          <w:szCs w:val="28"/>
          <w:lang w:val="en-US"/>
        </w:rPr>
        <w:t>3.4%</w:t>
      </w:r>
      <w:r w:rsidR="00862F8C" w:rsidRPr="00AF3ED2">
        <w:rPr>
          <w:sz w:val="28"/>
          <w:szCs w:val="28"/>
          <w:lang w:val="en-US"/>
        </w:rPr>
        <w:t xml:space="preserve">); </w:t>
      </w:r>
      <w:r w:rsidRPr="00AF3ED2">
        <w:rPr>
          <w:sz w:val="28"/>
          <w:szCs w:val="28"/>
          <w:lang w:val="en-US"/>
        </w:rPr>
        <w:t xml:space="preserve">Bac Ninh and Phu Tho both by </w:t>
      </w:r>
      <w:r w:rsidR="00862F8C" w:rsidRPr="00AF3ED2">
        <w:rPr>
          <w:sz w:val="28"/>
          <w:szCs w:val="28"/>
          <w:lang w:val="en-US"/>
        </w:rPr>
        <w:t>(+</w:t>
      </w:r>
      <w:r w:rsidRPr="00AF3ED2">
        <w:rPr>
          <w:sz w:val="28"/>
          <w:szCs w:val="28"/>
          <w:lang w:val="en-US"/>
        </w:rPr>
        <w:t>3.2%</w:t>
      </w:r>
      <w:r w:rsidR="00862F8C" w:rsidRPr="00AF3ED2">
        <w:rPr>
          <w:sz w:val="28"/>
          <w:szCs w:val="28"/>
          <w:lang w:val="en-US"/>
        </w:rPr>
        <w:t>)</w:t>
      </w:r>
      <w:r w:rsidRPr="00AF3ED2">
        <w:rPr>
          <w:sz w:val="28"/>
          <w:szCs w:val="28"/>
          <w:lang w:val="en-US"/>
        </w:rPr>
        <w:t xml:space="preserve">; and Lao Cai </w:t>
      </w:r>
      <w:r w:rsidR="00862F8C" w:rsidRPr="00AF3ED2">
        <w:rPr>
          <w:sz w:val="28"/>
          <w:szCs w:val="28"/>
          <w:lang w:val="en-US"/>
        </w:rPr>
        <w:t>(+</w:t>
      </w:r>
      <w:r w:rsidRPr="00AF3ED2">
        <w:rPr>
          <w:sz w:val="28"/>
          <w:szCs w:val="28"/>
          <w:lang w:val="en-US"/>
        </w:rPr>
        <w:t>2.7%</w:t>
      </w:r>
      <w:r w:rsidR="00862F8C" w:rsidRPr="00AF3ED2">
        <w:rPr>
          <w:sz w:val="28"/>
          <w:szCs w:val="28"/>
          <w:lang w:val="en-US"/>
        </w:rPr>
        <w:t>)</w:t>
      </w:r>
      <w:r w:rsidRPr="00AF3ED2">
        <w:rPr>
          <w:sz w:val="28"/>
          <w:szCs w:val="28"/>
          <w:lang w:val="en-US"/>
        </w:rPr>
        <w:t xml:space="preserve">. However, small-scale livestock farming </w:t>
      </w:r>
      <w:r w:rsidR="00862F8C" w:rsidRPr="00AF3ED2">
        <w:rPr>
          <w:sz w:val="28"/>
          <w:szCs w:val="28"/>
          <w:lang w:val="en-US"/>
        </w:rPr>
        <w:t>faced challenges</w:t>
      </w:r>
      <w:r w:rsidRPr="00AF3ED2">
        <w:rPr>
          <w:sz w:val="28"/>
          <w:szCs w:val="28"/>
          <w:lang w:val="en-US"/>
        </w:rPr>
        <w:t xml:space="preserve"> due to high feed and veterinary medicine costs, while the </w:t>
      </w:r>
      <w:r w:rsidR="00862F8C" w:rsidRPr="00AF3ED2">
        <w:rPr>
          <w:sz w:val="28"/>
          <w:szCs w:val="28"/>
          <w:lang w:val="en-US"/>
        </w:rPr>
        <w:t xml:space="preserve">potential </w:t>
      </w:r>
      <w:r w:rsidRPr="00AF3ED2">
        <w:rPr>
          <w:sz w:val="28"/>
          <w:szCs w:val="28"/>
          <w:lang w:val="en-US"/>
        </w:rPr>
        <w:t>risk</w:t>
      </w:r>
      <w:r w:rsidR="00862F8C" w:rsidRPr="00AF3ED2">
        <w:rPr>
          <w:sz w:val="28"/>
          <w:szCs w:val="28"/>
          <w:lang w:val="en-US"/>
        </w:rPr>
        <w:t>s</w:t>
      </w:r>
      <w:r w:rsidRPr="00AF3ED2">
        <w:rPr>
          <w:sz w:val="28"/>
          <w:szCs w:val="28"/>
          <w:lang w:val="en-US"/>
        </w:rPr>
        <w:t xml:space="preserve"> of localized outbreaks of African swine fever </w:t>
      </w:r>
      <w:r w:rsidR="00862F8C" w:rsidRPr="00AF3ED2">
        <w:rPr>
          <w:sz w:val="28"/>
          <w:szCs w:val="28"/>
          <w:lang w:val="en-US"/>
        </w:rPr>
        <w:t xml:space="preserve">still </w:t>
      </w:r>
      <w:r w:rsidRPr="00AF3ED2">
        <w:rPr>
          <w:sz w:val="28"/>
          <w:szCs w:val="28"/>
          <w:lang w:val="en-US"/>
        </w:rPr>
        <w:t>remain</w:t>
      </w:r>
      <w:r w:rsidR="00862F8C" w:rsidRPr="00AF3ED2">
        <w:rPr>
          <w:sz w:val="28"/>
          <w:szCs w:val="28"/>
          <w:lang w:val="en-US"/>
        </w:rPr>
        <w:t>ed</w:t>
      </w:r>
      <w:r w:rsidRPr="00AF3ED2">
        <w:rPr>
          <w:sz w:val="28"/>
          <w:szCs w:val="28"/>
          <w:lang w:val="en-US"/>
        </w:rPr>
        <w:t xml:space="preserve">. Local authorities </w:t>
      </w:r>
      <w:r w:rsidR="00862F8C" w:rsidRPr="00AF3ED2">
        <w:rPr>
          <w:sz w:val="28"/>
          <w:szCs w:val="28"/>
          <w:lang w:val="en-US"/>
        </w:rPr>
        <w:t xml:space="preserve">needed to </w:t>
      </w:r>
      <w:r w:rsidRPr="00AF3ED2">
        <w:rPr>
          <w:sz w:val="28"/>
          <w:szCs w:val="28"/>
          <w:lang w:val="en-US"/>
        </w:rPr>
        <w:t>implement effective disease prevention, control, and management measures.</w:t>
      </w:r>
    </w:p>
    <w:p w14:paraId="215748BF" w14:textId="77777777" w:rsidR="00862F8C" w:rsidRPr="00AF3ED2" w:rsidRDefault="00862F8C" w:rsidP="00862F8C">
      <w:pPr>
        <w:tabs>
          <w:tab w:val="left" w:pos="900"/>
        </w:tabs>
        <w:spacing w:after="40"/>
        <w:jc w:val="center"/>
        <w:rPr>
          <w:rFonts w:ascii="Arial" w:hAnsi="Arial" w:cs="Arial"/>
          <w:b/>
          <w:sz w:val="24"/>
        </w:rPr>
      </w:pPr>
      <w:r w:rsidRPr="00AF3ED2">
        <w:rPr>
          <w:rFonts w:ascii="Arial" w:hAnsi="Arial" w:cs="Arial"/>
          <w:b/>
          <w:sz w:val="24"/>
        </w:rPr>
        <w:t>Figure 2. Year-on-year growth rate of livestock and poultry number</w:t>
      </w:r>
    </w:p>
    <w:p w14:paraId="2C8E9A09" w14:textId="7AA08BB1" w:rsidR="00862F8C" w:rsidRPr="00AF3ED2" w:rsidRDefault="00862F8C" w:rsidP="00862F8C">
      <w:pPr>
        <w:tabs>
          <w:tab w:val="left" w:pos="900"/>
        </w:tabs>
        <w:spacing w:after="40"/>
        <w:jc w:val="center"/>
        <w:rPr>
          <w:rFonts w:ascii="Arial" w:hAnsi="Arial" w:cs="Arial"/>
          <w:b/>
          <w:sz w:val="24"/>
        </w:rPr>
      </w:pPr>
      <w:r w:rsidRPr="00AF3ED2">
        <w:rPr>
          <w:rFonts w:ascii="Arial" w:hAnsi="Arial" w:cs="Arial"/>
          <w:b/>
          <w:sz w:val="24"/>
        </w:rPr>
        <w:t>at the end of April 2026</w:t>
      </w:r>
    </w:p>
    <w:p w14:paraId="5580BBE9" w14:textId="7FBD1DD0" w:rsidR="00862F8C" w:rsidRPr="00AF3ED2" w:rsidRDefault="00025D84" w:rsidP="00025D84">
      <w:pPr>
        <w:pStyle w:val="FootnoteText"/>
        <w:tabs>
          <w:tab w:val="left" w:pos="4320"/>
        </w:tabs>
        <w:spacing w:after="120" w:line="264" w:lineRule="auto"/>
        <w:ind w:firstLine="720"/>
        <w:jc w:val="both"/>
        <w:rPr>
          <w:sz w:val="28"/>
          <w:szCs w:val="28"/>
          <w:lang w:val="en-US"/>
        </w:rPr>
      </w:pPr>
      <w:r w:rsidRPr="00AF3ED2">
        <w:rPr>
          <w:sz w:val="28"/>
          <w:szCs w:val="28"/>
          <w:lang w:val="en-US"/>
        </w:rPr>
        <w:tab/>
      </w:r>
      <w:r w:rsidR="00A56031" w:rsidRPr="00AF3ED2">
        <w:rPr>
          <w:noProof/>
          <w:lang w:val="en-US" w:eastAsia="en-US"/>
        </w:rPr>
        <w:drawing>
          <wp:inline distT="0" distB="0" distL="0" distR="0" wp14:anchorId="10F29AC8" wp14:editId="37FCFE86">
            <wp:extent cx="5699760" cy="1516796"/>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9760" cy="1516796"/>
                    </a:xfrm>
                    <a:prstGeom prst="rect">
                      <a:avLst/>
                    </a:prstGeom>
                    <a:noFill/>
                    <a:ln>
                      <a:noFill/>
                    </a:ln>
                  </pic:spPr>
                </pic:pic>
              </a:graphicData>
            </a:graphic>
          </wp:inline>
        </w:drawing>
      </w:r>
    </w:p>
    <w:p w14:paraId="5917A2AD" w14:textId="575AB5E2" w:rsidR="00862F8C" w:rsidRPr="00AF3ED2" w:rsidRDefault="00862F8C" w:rsidP="00064B43">
      <w:pPr>
        <w:pStyle w:val="FootnoteText"/>
        <w:spacing w:after="120" w:line="264" w:lineRule="auto"/>
        <w:ind w:firstLine="720"/>
        <w:jc w:val="both"/>
        <w:rPr>
          <w:sz w:val="28"/>
          <w:szCs w:val="28"/>
          <w:lang w:val="en-US"/>
        </w:rPr>
      </w:pPr>
      <w:r w:rsidRPr="00AF3ED2">
        <w:rPr>
          <w:sz w:val="28"/>
          <w:szCs w:val="28"/>
          <w:lang w:val="en-US"/>
        </w:rPr>
        <w:lastRenderedPageBreak/>
        <w:t>As of April 23</w:t>
      </w:r>
      <w:r w:rsidRPr="00AF3ED2">
        <w:rPr>
          <w:sz w:val="28"/>
          <w:szCs w:val="28"/>
          <w:vertAlign w:val="superscript"/>
          <w:lang w:val="en-US"/>
        </w:rPr>
        <w:t>rd</w:t>
      </w:r>
      <w:r w:rsidRPr="00AF3ED2">
        <w:rPr>
          <w:sz w:val="28"/>
          <w:szCs w:val="28"/>
          <w:lang w:val="en-US"/>
        </w:rPr>
        <w:t xml:space="preserve">, 2026, the country no longer recorded with the </w:t>
      </w:r>
      <w:r w:rsidR="001A1102" w:rsidRPr="00AF3ED2">
        <w:rPr>
          <w:sz w:val="28"/>
          <w:szCs w:val="28"/>
          <w:lang w:val="en-US"/>
        </w:rPr>
        <w:t xml:space="preserve">swine fever nationwide; avian influenza and lumpy skin disease remained in Quang Ngai; the African swine fever occurred in 21 localities </w:t>
      </w:r>
      <w:r w:rsidRPr="00AF3ED2">
        <w:rPr>
          <w:sz w:val="28"/>
          <w:szCs w:val="28"/>
          <w:lang w:val="en-US"/>
        </w:rPr>
        <w:t>not yet passed the 21-day quarantine period.</w:t>
      </w:r>
    </w:p>
    <w:p w14:paraId="4CE2E7F3" w14:textId="2ED7705E" w:rsidR="00AA65D4" w:rsidRPr="00AF3ED2" w:rsidRDefault="006B2772" w:rsidP="00AA65D4">
      <w:pPr>
        <w:tabs>
          <w:tab w:val="left" w:pos="720"/>
        </w:tabs>
        <w:spacing w:before="40" w:after="40" w:line="252" w:lineRule="auto"/>
        <w:ind w:firstLine="567"/>
        <w:jc w:val="both"/>
        <w:rPr>
          <w:b/>
          <w:bCs/>
          <w:i/>
          <w:iCs/>
        </w:rPr>
      </w:pPr>
      <w:r w:rsidRPr="00AF3ED2">
        <w:rPr>
          <w:b/>
          <w:bCs/>
          <w:i/>
          <w:iCs/>
        </w:rPr>
        <w:t>b) Forestry</w:t>
      </w:r>
    </w:p>
    <w:p w14:paraId="630426B0" w14:textId="3C6DDB8F" w:rsidR="00025D84" w:rsidRPr="00AF3ED2" w:rsidRDefault="00F01716" w:rsidP="00E82EAF">
      <w:pPr>
        <w:spacing w:beforeLines="40" w:before="96" w:afterLines="40" w:after="96" w:line="252" w:lineRule="auto"/>
        <w:ind w:firstLine="567"/>
        <w:jc w:val="both"/>
      </w:pPr>
      <w:r>
        <w:t>A</w:t>
      </w:r>
      <w:r w:rsidR="00E82EAF" w:rsidRPr="00AF3ED2">
        <w:t xml:space="preserve">rea of ​​new </w:t>
      </w:r>
      <w:r>
        <w:t xml:space="preserve">concentrated </w:t>
      </w:r>
      <w:r w:rsidR="00E82EAF" w:rsidRPr="00AF3ED2">
        <w:t xml:space="preserve">planted forest nationwide in </w:t>
      </w:r>
      <w:r w:rsidR="00025D84" w:rsidRPr="00AF3ED2">
        <w:t xml:space="preserve">April </w:t>
      </w:r>
      <w:r w:rsidR="00E82EAF" w:rsidRPr="00AF3ED2">
        <w:t xml:space="preserve">2026 was estimated at </w:t>
      </w:r>
      <w:r w:rsidR="00025D84" w:rsidRPr="00AF3ED2">
        <w:t>32</w:t>
      </w:r>
      <w:r w:rsidR="00E82EAF" w:rsidRPr="00AF3ED2">
        <w:t>.</w:t>
      </w:r>
      <w:r w:rsidR="00025D84" w:rsidRPr="00AF3ED2">
        <w:t>3</w:t>
      </w:r>
      <w:r w:rsidR="00E82EAF" w:rsidRPr="00AF3ED2">
        <w:t xml:space="preserve"> thousand hectares, showing a year-on-year decrease of </w:t>
      </w:r>
      <w:r w:rsidR="00025D84" w:rsidRPr="00AF3ED2">
        <w:t>4</w:t>
      </w:r>
      <w:r w:rsidR="00E82EAF" w:rsidRPr="00AF3ED2">
        <w:t>.</w:t>
      </w:r>
      <w:r w:rsidR="00025D84" w:rsidRPr="00AF3ED2">
        <w:t>2</w:t>
      </w:r>
      <w:r w:rsidR="00E82EAF" w:rsidRPr="00AF3ED2">
        <w:t>%;</w:t>
      </w:r>
      <w:r w:rsidR="00C83CBC" w:rsidRPr="00AF3ED2">
        <w:t xml:space="preserve"> </w:t>
      </w:r>
      <w:r w:rsidR="00E82EAF" w:rsidRPr="00AF3ED2">
        <w:t>the number of scatt</w:t>
      </w:r>
      <w:r w:rsidR="00025D84" w:rsidRPr="00AF3ED2">
        <w:t xml:space="preserve">ered </w:t>
      </w:r>
      <w:r w:rsidR="00EF4945">
        <w:t>trees</w:t>
      </w:r>
      <w:r w:rsidR="00EF4945" w:rsidRPr="00AF3ED2">
        <w:t xml:space="preserve"> </w:t>
      </w:r>
      <w:r w:rsidR="00025D84" w:rsidRPr="00AF3ED2">
        <w:t>planted reached 7.1</w:t>
      </w:r>
      <w:r w:rsidR="00E82EAF" w:rsidRPr="00AF3ED2">
        <w:t xml:space="preserve"> million trees, showing a year-on-year decrease of </w:t>
      </w:r>
      <w:r w:rsidR="00025D84" w:rsidRPr="00AF3ED2">
        <w:t>1</w:t>
      </w:r>
      <w:r w:rsidR="00E82EAF" w:rsidRPr="00AF3ED2">
        <w:t>.8%</w:t>
      </w:r>
      <w:r w:rsidR="00246ACE" w:rsidRPr="00AF3ED2">
        <w:rPr>
          <w:rStyle w:val="FootnoteReference"/>
          <w:color w:val="000000" w:themeColor="text1"/>
          <w:shd w:val="clear" w:color="auto" w:fill="FFFFFF"/>
        </w:rPr>
        <w:footnoteReference w:id="3"/>
      </w:r>
      <w:r>
        <w:t>.</w:t>
      </w:r>
      <w:r w:rsidR="0016102C" w:rsidRPr="00AF3ED2">
        <w:t xml:space="preserve"> </w:t>
      </w:r>
      <w:r>
        <w:t>P</w:t>
      </w:r>
      <w:r w:rsidR="00E82EAF" w:rsidRPr="00AF3ED2">
        <w:t>roduction</w:t>
      </w:r>
      <w:r>
        <w:t xml:space="preserve"> of exploited </w:t>
      </w:r>
      <w:r w:rsidRPr="00AF3ED2">
        <w:t>wood</w:t>
      </w:r>
      <w:r w:rsidR="00E82EAF" w:rsidRPr="00AF3ED2">
        <w:t xml:space="preserve"> was estimated at 1,</w:t>
      </w:r>
      <w:r w:rsidR="00025D84" w:rsidRPr="00AF3ED2">
        <w:t>674</w:t>
      </w:r>
      <w:r w:rsidR="00E82EAF" w:rsidRPr="00AF3ED2">
        <w:t>.</w:t>
      </w:r>
      <w:r w:rsidR="00025D84" w:rsidRPr="00AF3ED2">
        <w:t>8</w:t>
      </w:r>
      <w:r w:rsidR="00E82EAF" w:rsidRPr="00AF3ED2">
        <w:t xml:space="preserve"> thousand m</w:t>
      </w:r>
      <w:r w:rsidR="00E82EAF" w:rsidRPr="00AF3ED2">
        <w:rPr>
          <w:vertAlign w:val="superscript"/>
        </w:rPr>
        <w:t>3</w:t>
      </w:r>
      <w:r w:rsidR="00E82EAF" w:rsidRPr="00AF3ED2">
        <w:t xml:space="preserve">, growing by </w:t>
      </w:r>
      <w:r w:rsidR="00025D84" w:rsidRPr="00AF3ED2">
        <w:t>1</w:t>
      </w:r>
      <w:r w:rsidR="00E82EAF" w:rsidRPr="00AF3ED2">
        <w:t>.</w:t>
      </w:r>
      <w:r w:rsidR="00025D84" w:rsidRPr="00AF3ED2">
        <w:t>5%, t</w:t>
      </w:r>
      <w:r w:rsidR="001F680E" w:rsidRPr="00AF3ED2">
        <w:t xml:space="preserve">hanks to </w:t>
      </w:r>
      <w:r w:rsidR="00025D84" w:rsidRPr="00AF3ED2">
        <w:t xml:space="preserve">dry and favorable weather facilitating people </w:t>
      </w:r>
      <w:r w:rsidR="00246ACE" w:rsidRPr="00AF3ED2">
        <w:t xml:space="preserve">to harvest </w:t>
      </w:r>
      <w:r w:rsidR="00025D84" w:rsidRPr="00AF3ED2">
        <w:t>wood reaching maturity.</w:t>
      </w:r>
    </w:p>
    <w:p w14:paraId="6AD7D15E" w14:textId="001B896B" w:rsidR="00246ACE" w:rsidRPr="00AF3ED2" w:rsidRDefault="00246ACE" w:rsidP="00E82EAF">
      <w:pPr>
        <w:spacing w:beforeLines="40" w:before="96" w:afterLines="40" w:after="96" w:line="252" w:lineRule="auto"/>
        <w:ind w:firstLine="567"/>
        <w:jc w:val="both"/>
      </w:pPr>
      <w:r w:rsidRPr="00AF3ED2">
        <w:t xml:space="preserve">Generally, in four months of 2026, the area of ​​newly planted forests nationwide was estimated at 78.5 thousand hectares, showing </w:t>
      </w:r>
      <w:r w:rsidR="006C6902" w:rsidRPr="00AF3ED2">
        <w:t xml:space="preserve">a </w:t>
      </w:r>
      <w:r w:rsidRPr="00AF3ED2">
        <w:t xml:space="preserve">year-on-year decrease of 1.0%; the number of scattered trees planted reached 27.6 million trees, showing an increase of 0.9%; </w:t>
      </w:r>
      <w:r w:rsidR="00684D30">
        <w:t>the p</w:t>
      </w:r>
      <w:r w:rsidR="00684D30" w:rsidRPr="00684D30">
        <w:t xml:space="preserve">roduction of exploited wood </w:t>
      </w:r>
      <w:r w:rsidRPr="00AF3ED2">
        <w:t xml:space="preserve">reached 6,021.9 thousand </w:t>
      </w:r>
      <w:r w:rsidR="006C6902" w:rsidRPr="00AF3ED2">
        <w:t>m</w:t>
      </w:r>
      <w:r w:rsidR="006C6902" w:rsidRPr="00AF3ED2">
        <w:rPr>
          <w:vertAlign w:val="superscript"/>
        </w:rPr>
        <w:t>3</w:t>
      </w:r>
      <w:r w:rsidRPr="00AF3ED2">
        <w:t>, showing an increase of 2.4%.</w:t>
      </w:r>
    </w:p>
    <w:p w14:paraId="0A7176C2" w14:textId="2F913622" w:rsidR="00A15571" w:rsidRPr="00AF3ED2" w:rsidRDefault="00684D30" w:rsidP="00E82EAF">
      <w:pPr>
        <w:spacing w:beforeLines="40" w:before="96" w:afterLines="40" w:after="96" w:line="252" w:lineRule="auto"/>
        <w:ind w:firstLine="567"/>
        <w:jc w:val="both"/>
      </w:pPr>
      <w:r>
        <w:t>A</w:t>
      </w:r>
      <w:r w:rsidR="00A15571" w:rsidRPr="00AF3ED2">
        <w:t>rea of ​​forest damaged in April</w:t>
      </w:r>
      <w:r w:rsidR="00123AA6" w:rsidRPr="00AF3ED2">
        <w:rPr>
          <w:rStyle w:val="FootnoteReference"/>
          <w:color w:val="000000" w:themeColor="text1"/>
        </w:rPr>
        <w:footnoteReference w:id="4"/>
      </w:r>
      <w:r w:rsidR="00A15571" w:rsidRPr="00AF3ED2">
        <w:t xml:space="preserve"> was </w:t>
      </w:r>
      <w:r w:rsidR="00E73685" w:rsidRPr="00AF3ED2">
        <w:t xml:space="preserve">estimated at </w:t>
      </w:r>
      <w:r w:rsidR="00A15571" w:rsidRPr="00AF3ED2">
        <w:t>79.9 hectares,</w:t>
      </w:r>
      <w:r w:rsidR="00E73685" w:rsidRPr="00AF3ED2">
        <w:t xml:space="preserve"> </w:t>
      </w:r>
      <w:r w:rsidR="009150A2" w:rsidRPr="00AF3ED2">
        <w:t>showing a</w:t>
      </w:r>
      <w:r w:rsidR="00E73685" w:rsidRPr="00AF3ED2">
        <w:t xml:space="preserve"> year-on-year </w:t>
      </w:r>
      <w:r w:rsidR="00A15571" w:rsidRPr="00AF3ED2">
        <w:t xml:space="preserve">decrease of 68.3%, of which: the area of </w:t>
      </w:r>
      <w:r>
        <w:t xml:space="preserve">burned </w:t>
      </w:r>
      <w:r w:rsidR="00A15571" w:rsidRPr="00AF3ED2">
        <w:t>​​forest</w:t>
      </w:r>
      <w:r w:rsidR="00E73685" w:rsidRPr="00AF3ED2">
        <w:t xml:space="preserve"> </w:t>
      </w:r>
      <w:r w:rsidR="00A15571" w:rsidRPr="00AF3ED2">
        <w:t xml:space="preserve">was </w:t>
      </w:r>
      <w:r w:rsidR="00E73685" w:rsidRPr="00AF3ED2">
        <w:t xml:space="preserve">estimated at </w:t>
      </w:r>
      <w:r w:rsidR="00A15571" w:rsidRPr="00AF3ED2">
        <w:t xml:space="preserve">12.8 hectares, a </w:t>
      </w:r>
      <w:r w:rsidR="00E73685" w:rsidRPr="00AF3ED2">
        <w:t xml:space="preserve">falling by </w:t>
      </w:r>
      <w:r w:rsidR="00A15571" w:rsidRPr="00AF3ED2">
        <w:t>73.3%; the area of ​​</w:t>
      </w:r>
      <w:r w:rsidRPr="00684D30">
        <w:t xml:space="preserve"> chopped down </w:t>
      </w:r>
      <w:r w:rsidR="00A15571" w:rsidRPr="00AF3ED2">
        <w:t xml:space="preserve">forest </w:t>
      </w:r>
      <w:r w:rsidR="00E73685" w:rsidRPr="00AF3ED2">
        <w:t xml:space="preserve">reached </w:t>
      </w:r>
      <w:r w:rsidR="00A15571" w:rsidRPr="00AF3ED2">
        <w:t xml:space="preserve">67.1 hectares, </w:t>
      </w:r>
      <w:r w:rsidR="00E73685" w:rsidRPr="00AF3ED2">
        <w:t xml:space="preserve">falling by </w:t>
      </w:r>
      <w:r w:rsidR="00A15571" w:rsidRPr="00AF3ED2">
        <w:t xml:space="preserve">67.1%. </w:t>
      </w:r>
      <w:r w:rsidR="00E73685" w:rsidRPr="00AF3ED2">
        <w:t>Generally</w:t>
      </w:r>
      <w:r w:rsidR="00A15571" w:rsidRPr="00AF3ED2">
        <w:t>, in</w:t>
      </w:r>
      <w:r w:rsidR="00E73685" w:rsidRPr="00AF3ED2">
        <w:t xml:space="preserve"> </w:t>
      </w:r>
      <w:r w:rsidR="00A15571" w:rsidRPr="00AF3ED2">
        <w:t xml:space="preserve">four months of 2026, the area of ​​forest damaged was </w:t>
      </w:r>
      <w:r w:rsidR="00E73685" w:rsidRPr="00AF3ED2">
        <w:t xml:space="preserve">estimated at </w:t>
      </w:r>
      <w:r w:rsidR="00A15571" w:rsidRPr="00AF3ED2">
        <w:t xml:space="preserve">142.0 hectares, </w:t>
      </w:r>
      <w:r w:rsidR="00E73685" w:rsidRPr="00AF3ED2">
        <w:t xml:space="preserve">showing a year-on-year drop </w:t>
      </w:r>
      <w:r w:rsidR="00A15571" w:rsidRPr="00AF3ED2">
        <w:t>of 70.1%, of</w:t>
      </w:r>
      <w:r w:rsidR="00E73685" w:rsidRPr="00AF3ED2">
        <w:t xml:space="preserve"> which</w:t>
      </w:r>
      <w:r w:rsidR="00A15571" w:rsidRPr="00AF3ED2">
        <w:t>​​</w:t>
      </w:r>
      <w:r w:rsidRPr="00684D30">
        <w:t xml:space="preserve"> the area of burned forest </w:t>
      </w:r>
      <w:r w:rsidR="00E73685" w:rsidRPr="00AF3ED2">
        <w:t xml:space="preserve"> reached </w:t>
      </w:r>
      <w:r w:rsidR="00A15571" w:rsidRPr="00AF3ED2">
        <w:t xml:space="preserve">13.7 hectares, </w:t>
      </w:r>
      <w:r w:rsidR="00E73685" w:rsidRPr="00AF3ED2">
        <w:t xml:space="preserve">showing </w:t>
      </w:r>
      <w:r w:rsidR="00A15571" w:rsidRPr="00AF3ED2">
        <w:t>a decrease of 83.3%; ​​</w:t>
      </w:r>
      <w:r w:rsidRPr="00684D30">
        <w:t xml:space="preserve"> the area of  chopped down forest </w:t>
      </w:r>
      <w:r w:rsidR="00E73685" w:rsidRPr="00AF3ED2">
        <w:t xml:space="preserve">was estimated at </w:t>
      </w:r>
      <w:r w:rsidR="00A15571" w:rsidRPr="00AF3ED2">
        <w:t xml:space="preserve">128.3 </w:t>
      </w:r>
      <w:r w:rsidR="001150D8" w:rsidRPr="00AF3ED2">
        <w:t>hectares, showing</w:t>
      </w:r>
      <w:r w:rsidR="00E73685" w:rsidRPr="00AF3ED2">
        <w:t xml:space="preserve"> </w:t>
      </w:r>
      <w:r w:rsidR="00A15571" w:rsidRPr="00AF3ED2">
        <w:t>a decrease of 67.4%.</w:t>
      </w:r>
    </w:p>
    <w:p w14:paraId="0A8483C2" w14:textId="5E1D11C1" w:rsidR="00AA65D4" w:rsidRPr="00AF3ED2" w:rsidRDefault="00C26537" w:rsidP="00AA65D4">
      <w:pPr>
        <w:spacing w:before="40" w:after="40" w:line="252" w:lineRule="auto"/>
        <w:ind w:firstLine="567"/>
        <w:jc w:val="both"/>
        <w:rPr>
          <w:b/>
          <w:i/>
        </w:rPr>
      </w:pPr>
      <w:r w:rsidRPr="00AF3ED2">
        <w:rPr>
          <w:b/>
          <w:i/>
        </w:rPr>
        <w:t>c) Fishing</w:t>
      </w:r>
    </w:p>
    <w:p w14:paraId="0A569939" w14:textId="0177EC72" w:rsidR="00F24280" w:rsidRPr="00AF3ED2" w:rsidRDefault="00E25329" w:rsidP="00C26537">
      <w:pPr>
        <w:spacing w:before="40" w:after="40" w:line="252" w:lineRule="auto"/>
        <w:ind w:firstLine="567"/>
        <w:jc w:val="both"/>
      </w:pPr>
      <w:r w:rsidRPr="00AF3ED2">
        <w:t xml:space="preserve">Capture fisheries and aquaculture production in </w:t>
      </w:r>
      <w:r w:rsidR="00123AA6" w:rsidRPr="00AF3ED2">
        <w:t xml:space="preserve">April </w:t>
      </w:r>
      <w:r w:rsidRPr="00AF3ED2">
        <w:t xml:space="preserve">2026 reached </w:t>
      </w:r>
      <w:r w:rsidR="00123AA6" w:rsidRPr="00AF3ED2">
        <w:t>831</w:t>
      </w:r>
      <w:r w:rsidRPr="00AF3ED2">
        <w:t>.</w:t>
      </w:r>
      <w:r w:rsidR="00123AA6" w:rsidRPr="00AF3ED2">
        <w:t>3</w:t>
      </w:r>
      <w:r w:rsidRPr="00AF3ED2">
        <w:t xml:space="preserve"> thousand t</w:t>
      </w:r>
      <w:r w:rsidR="00123AA6" w:rsidRPr="00AF3ED2">
        <w:t>ons, a year-on-year climb of 2.8</w:t>
      </w:r>
      <w:r w:rsidRPr="00AF3ED2">
        <w:t>%</w:t>
      </w:r>
      <w:r w:rsidR="00123AA6" w:rsidRPr="00AF3ED2">
        <w:t xml:space="preserve">, of which </w:t>
      </w:r>
      <w:r w:rsidR="001F680E" w:rsidRPr="00AF3ED2">
        <w:t>f</w:t>
      </w:r>
      <w:r w:rsidR="00123AA6" w:rsidRPr="00AF3ED2">
        <w:t>ish reached 578.1 thousand tons, rising by 1.8%; shrimp reached 127.0 thousand tons, rising by 7.2%; and other aquatic products reached 126.6 thousand tons, rising by 3.0%.</w:t>
      </w:r>
    </w:p>
    <w:p w14:paraId="35A3BD8D" w14:textId="3A27231B" w:rsidR="00893115" w:rsidRPr="00AF3ED2" w:rsidRDefault="00893115" w:rsidP="00C26537">
      <w:pPr>
        <w:spacing w:before="40" w:after="40" w:line="252" w:lineRule="auto"/>
        <w:ind w:firstLine="567"/>
        <w:jc w:val="both"/>
      </w:pPr>
      <w:r w:rsidRPr="00D57174">
        <w:rPr>
          <w:i/>
        </w:rPr>
        <w:t>Aquaculture production</w:t>
      </w:r>
      <w:r w:rsidRPr="00AF3ED2">
        <w:t xml:space="preserve"> in the month was estimated at 471.6 thousand tons, showing a year-on-year growth of 4.8%, of which fish reached 301.5 thousand tons, growing by 3.3%; shrimp reached 114.8 thousand tons, growing by 8.0%; and other aquatic products reached 55.3 thousand tons, showing an increase of 7.0%.</w:t>
      </w:r>
    </w:p>
    <w:p w14:paraId="380DD5F0" w14:textId="2CE53113" w:rsidR="00893115" w:rsidRPr="00AF3ED2" w:rsidRDefault="00893115" w:rsidP="00C26537">
      <w:pPr>
        <w:spacing w:before="40" w:after="40" w:line="252" w:lineRule="auto"/>
        <w:ind w:firstLine="567"/>
        <w:jc w:val="both"/>
      </w:pPr>
      <w:r w:rsidRPr="00AF3ED2">
        <w:lastRenderedPageBreak/>
        <w:t>Pangasius production in April was estimated at 156.6 thousand tons, showing a year-on-year growth of 3.8%, due to the rising raw pangasius prices and favorable market encouraging farmers to increase pangasius stocking</w:t>
      </w:r>
      <w:r w:rsidRPr="00AF3ED2">
        <w:rPr>
          <w:rStyle w:val="FootnoteReference"/>
          <w:color w:val="000000" w:themeColor="text1"/>
        </w:rPr>
        <w:footnoteReference w:id="5"/>
      </w:r>
      <w:r w:rsidRPr="00AF3ED2">
        <w:t>.</w:t>
      </w:r>
    </w:p>
    <w:p w14:paraId="381F39C4" w14:textId="68F87C41" w:rsidR="009F4B87" w:rsidRPr="00AF3ED2" w:rsidRDefault="009F4B87" w:rsidP="00C26537">
      <w:pPr>
        <w:spacing w:before="40" w:after="40" w:line="252" w:lineRule="auto"/>
        <w:ind w:firstLine="567"/>
        <w:jc w:val="both"/>
      </w:pPr>
      <w:r w:rsidRPr="00AF3ED2">
        <w:t xml:space="preserve">Shrimp production in the month was estimated at 114.8 thousand tons, showing a year-on-year growth of 8.0% due to a rise of raw shrimp prices and domestic demand ahead of the holiday </w:t>
      </w:r>
      <w:r w:rsidR="00490874" w:rsidRPr="00AF3ED2">
        <w:t>occasion</w:t>
      </w:r>
      <w:r w:rsidR="00490874" w:rsidRPr="00AF3ED2">
        <w:rPr>
          <w:rStyle w:val="FootnoteReference"/>
          <w:bCs/>
          <w:color w:val="000000" w:themeColor="text1"/>
        </w:rPr>
        <w:footnoteReference w:id="6"/>
      </w:r>
      <w:r w:rsidRPr="00AF3ED2">
        <w:t xml:space="preserve">. </w:t>
      </w:r>
      <w:r w:rsidR="001150D8" w:rsidRPr="00AF3ED2">
        <w:t>White leg</w:t>
      </w:r>
      <w:r w:rsidRPr="00AF3ED2">
        <w:t xml:space="preserve"> shrimp production was estimated at 84.7 thousand tons, showing a year-on-year rise of 9.0%; tiger shrimp production reached 25.7 thousand tons, rising by 4.9%.</w:t>
      </w:r>
    </w:p>
    <w:p w14:paraId="28D710BB" w14:textId="313431AF" w:rsidR="00B16799" w:rsidRPr="00AF3ED2" w:rsidRDefault="00785A02" w:rsidP="00C26537">
      <w:pPr>
        <w:spacing w:before="40" w:after="40" w:line="252" w:lineRule="auto"/>
        <w:ind w:firstLine="567"/>
        <w:jc w:val="both"/>
      </w:pPr>
      <w:r w:rsidRPr="00D57174">
        <w:rPr>
          <w:i/>
        </w:rPr>
        <w:t>P</w:t>
      </w:r>
      <w:r w:rsidR="00B16799" w:rsidRPr="00D57174">
        <w:rPr>
          <w:i/>
        </w:rPr>
        <w:t>roduction of capture fisheries</w:t>
      </w:r>
      <w:r w:rsidR="00B16799" w:rsidRPr="00AF3ED2">
        <w:t xml:space="preserve"> in April reached 360.1 thousand tons, showing a year-on-year growth of 0.2%, of which fish reached 276.6 thousand tons, rising by 0.3%; shrimp reached 12.2 thousand tons, equal to the same period last year; and other </w:t>
      </w:r>
      <w:r w:rsidR="001F680E" w:rsidRPr="00AF3ED2">
        <w:t>aquatic</w:t>
      </w:r>
      <w:r w:rsidR="00B16799" w:rsidRPr="00AF3ED2">
        <w:t xml:space="preserve"> products reached 71.3 thousand tons, rising by 0.1%. </w:t>
      </w:r>
      <w:r w:rsidR="00CB287D" w:rsidRPr="00AF3ED2">
        <w:t xml:space="preserve">Marine capture </w:t>
      </w:r>
      <w:r w:rsidR="001F680E" w:rsidRPr="00AF3ED2">
        <w:t xml:space="preserve">entered </w:t>
      </w:r>
      <w:r w:rsidR="00B16799" w:rsidRPr="00AF3ED2">
        <w:t>the southern fishing</w:t>
      </w:r>
      <w:r w:rsidR="00CB287D" w:rsidRPr="00AF3ED2">
        <w:t xml:space="preserve"> </w:t>
      </w:r>
      <w:r w:rsidR="001F680E" w:rsidRPr="00AF3ED2">
        <w:t xml:space="preserve">season </w:t>
      </w:r>
      <w:r w:rsidR="00CB287D" w:rsidRPr="00AF3ED2">
        <w:t xml:space="preserve">a long </w:t>
      </w:r>
      <w:r w:rsidR="00B16799" w:rsidRPr="00AF3ED2">
        <w:t>with a sh</w:t>
      </w:r>
      <w:r w:rsidR="00CB287D" w:rsidRPr="00AF3ED2">
        <w:t>arp drop in fuel prices</w:t>
      </w:r>
      <w:r w:rsidR="008E7A7D" w:rsidRPr="00AF3ED2">
        <w:t>,</w:t>
      </w:r>
      <w:r w:rsidR="00CB287D" w:rsidRPr="00AF3ED2">
        <w:t xml:space="preserve"> comparing</w:t>
      </w:r>
      <w:r w:rsidR="00B16799" w:rsidRPr="00AF3ED2">
        <w:t xml:space="preserve"> to the end of the previous month,</w:t>
      </w:r>
      <w:r w:rsidR="00CB287D" w:rsidRPr="00AF3ED2">
        <w:t xml:space="preserve"> encouraging</w:t>
      </w:r>
      <w:r w:rsidR="00B16799" w:rsidRPr="00AF3ED2">
        <w:t xml:space="preserve"> fishermen to </w:t>
      </w:r>
      <w:r w:rsidR="00CB287D" w:rsidRPr="00AF3ED2">
        <w:t>conduct capturing</w:t>
      </w:r>
      <w:r w:rsidR="00CB287D" w:rsidRPr="00AF3ED2">
        <w:rPr>
          <w:rStyle w:val="FootnoteReference"/>
          <w:color w:val="000000" w:themeColor="text1"/>
        </w:rPr>
        <w:footnoteReference w:id="7"/>
      </w:r>
      <w:r w:rsidR="00B16799" w:rsidRPr="00AF3ED2">
        <w:t xml:space="preserve">. The </w:t>
      </w:r>
      <w:r w:rsidR="00EB4E44">
        <w:t xml:space="preserve">production of </w:t>
      </w:r>
      <w:r w:rsidR="00CB287D" w:rsidRPr="00AF3ED2">
        <w:t xml:space="preserve">marine capture fisheries </w:t>
      </w:r>
      <w:r w:rsidR="00B16799" w:rsidRPr="00AF3ED2">
        <w:t xml:space="preserve">reached 335.3 thousand tons, </w:t>
      </w:r>
      <w:r w:rsidR="00CB287D" w:rsidRPr="00AF3ED2">
        <w:t xml:space="preserve">rising by </w:t>
      </w:r>
      <w:r w:rsidR="00B16799" w:rsidRPr="00AF3ED2">
        <w:t xml:space="preserve">0.2%. Of </w:t>
      </w:r>
      <w:r w:rsidR="00CB287D" w:rsidRPr="00AF3ED2">
        <w:t xml:space="preserve">which </w:t>
      </w:r>
      <w:r w:rsidR="00B16799" w:rsidRPr="00AF3ED2">
        <w:t xml:space="preserve">fish reached 257.4 thousand tons, </w:t>
      </w:r>
      <w:r w:rsidR="00CB287D" w:rsidRPr="00AF3ED2">
        <w:t>rising by 0.2%</w:t>
      </w:r>
      <w:r w:rsidR="00B16799" w:rsidRPr="00AF3ED2">
        <w:t>; shrimp reached 11.4 thousand tons, e</w:t>
      </w:r>
      <w:r w:rsidR="00CB287D" w:rsidRPr="00AF3ED2">
        <w:t xml:space="preserve">qual </w:t>
      </w:r>
      <w:r w:rsidR="00B16799" w:rsidRPr="00AF3ED2">
        <w:t xml:space="preserve">to the same period last year; and other </w:t>
      </w:r>
      <w:r w:rsidR="00CB287D" w:rsidRPr="00AF3ED2">
        <w:t xml:space="preserve">aquatic products </w:t>
      </w:r>
      <w:r w:rsidR="00B16799" w:rsidRPr="00AF3ED2">
        <w:t xml:space="preserve">reached 66.5 thousand tons, </w:t>
      </w:r>
      <w:r w:rsidR="00CB287D" w:rsidRPr="00AF3ED2">
        <w:t xml:space="preserve">showing a growth of </w:t>
      </w:r>
      <w:r w:rsidR="00B16799" w:rsidRPr="00AF3ED2">
        <w:t>0.2%.</w:t>
      </w:r>
    </w:p>
    <w:p w14:paraId="047187C7" w14:textId="77777777" w:rsidR="008E7A7D" w:rsidRPr="00AF3ED2" w:rsidRDefault="008E7A7D" w:rsidP="008E7A7D">
      <w:pPr>
        <w:tabs>
          <w:tab w:val="left" w:pos="900"/>
        </w:tabs>
        <w:spacing w:after="40"/>
        <w:jc w:val="center"/>
        <w:rPr>
          <w:rFonts w:ascii="Arial" w:hAnsi="Arial" w:cs="Arial"/>
          <w:b/>
          <w:sz w:val="24"/>
        </w:rPr>
      </w:pPr>
      <w:r w:rsidRPr="00AF3ED2">
        <w:rPr>
          <w:rFonts w:ascii="Arial" w:hAnsi="Arial" w:cs="Arial"/>
          <w:b/>
          <w:sz w:val="24"/>
        </w:rPr>
        <w:t>Figure 3. Capture fisheries and aquaculture production</w:t>
      </w:r>
    </w:p>
    <w:p w14:paraId="127298B7" w14:textId="7946EAFE" w:rsidR="008E7A7D" w:rsidRPr="00AF3ED2" w:rsidRDefault="001F680E" w:rsidP="008E7A7D">
      <w:pPr>
        <w:tabs>
          <w:tab w:val="left" w:pos="900"/>
        </w:tabs>
        <w:spacing w:after="40"/>
        <w:jc w:val="center"/>
        <w:rPr>
          <w:rFonts w:ascii="Arial" w:hAnsi="Arial" w:cs="Arial"/>
          <w:b/>
          <w:sz w:val="24"/>
        </w:rPr>
      </w:pPr>
      <w:r w:rsidRPr="00AF3ED2">
        <w:rPr>
          <w:rFonts w:ascii="Arial" w:hAnsi="Arial" w:cs="Arial"/>
          <w:b/>
          <w:sz w:val="24"/>
        </w:rPr>
        <w:t xml:space="preserve">In </w:t>
      </w:r>
      <w:r w:rsidR="006C482D" w:rsidRPr="00AF3ED2">
        <w:rPr>
          <w:rFonts w:ascii="Arial" w:hAnsi="Arial" w:cs="Arial"/>
          <w:b/>
          <w:sz w:val="24"/>
        </w:rPr>
        <w:t>4</w:t>
      </w:r>
      <w:r w:rsidR="008E7A7D" w:rsidRPr="00AF3ED2">
        <w:rPr>
          <w:rFonts w:ascii="Arial" w:hAnsi="Arial" w:cs="Arial"/>
          <w:b/>
          <w:sz w:val="24"/>
        </w:rPr>
        <w:t xml:space="preserve"> months of 2026 (Y-o-Y)</w:t>
      </w:r>
    </w:p>
    <w:p w14:paraId="563A1222" w14:textId="77777777" w:rsidR="001150D8" w:rsidRPr="00AF3ED2" w:rsidRDefault="001150D8" w:rsidP="001150D8">
      <w:pPr>
        <w:spacing w:before="100" w:beforeAutospacing="1" w:after="100" w:afterAutospacing="1"/>
        <w:rPr>
          <w:sz w:val="24"/>
          <w:szCs w:val="24"/>
        </w:rPr>
      </w:pPr>
      <w:r w:rsidRPr="00AF3ED2">
        <w:rPr>
          <w:noProof/>
          <w:sz w:val="24"/>
          <w:szCs w:val="24"/>
        </w:rPr>
        <w:drawing>
          <wp:inline distT="0" distB="0" distL="0" distR="0" wp14:anchorId="0CD692BF" wp14:editId="42846517">
            <wp:extent cx="5705058" cy="1875355"/>
            <wp:effectExtent l="0" t="0" r="0" b="0"/>
            <wp:docPr id="3" name="Picture 3" descr="D:\Công việc 2026\Báo cáo KTXH Tháng 42026\TS_T4-02 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ông việc 2026\Báo cáo KTXH Tháng 42026\TS_T4-02 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4104" cy="1901339"/>
                    </a:xfrm>
                    <a:prstGeom prst="rect">
                      <a:avLst/>
                    </a:prstGeom>
                    <a:noFill/>
                    <a:ln>
                      <a:noFill/>
                    </a:ln>
                  </pic:spPr>
                </pic:pic>
              </a:graphicData>
            </a:graphic>
          </wp:inline>
        </w:drawing>
      </w:r>
    </w:p>
    <w:p w14:paraId="51595987" w14:textId="79ECC65B" w:rsidR="008E7A7D" w:rsidRPr="00AF3ED2" w:rsidRDefault="008E7A7D" w:rsidP="00C26537">
      <w:pPr>
        <w:spacing w:before="40" w:after="40" w:line="252" w:lineRule="auto"/>
        <w:ind w:firstLine="567"/>
        <w:jc w:val="both"/>
      </w:pPr>
      <w:r w:rsidRPr="00AF3ED2">
        <w:t xml:space="preserve">Generally, in </w:t>
      </w:r>
      <w:r w:rsidR="009150A2" w:rsidRPr="00AF3ED2">
        <w:t>four</w:t>
      </w:r>
      <w:r w:rsidR="006C6902" w:rsidRPr="00AF3ED2">
        <w:t xml:space="preserve"> months of 2026, </w:t>
      </w:r>
      <w:r w:rsidR="00B8205F">
        <w:t>c</w:t>
      </w:r>
      <w:r w:rsidR="00B8205F" w:rsidRPr="00B8205F">
        <w:t xml:space="preserve">apture fisheries and aquaculture production </w:t>
      </w:r>
      <w:r w:rsidRPr="00AF3ED2">
        <w:t>was estimated to reach 3,041.9 thousand tons, showing a year-on-year growth of 3.1%, of which fish reached 2,214.5 thousand tons, rising by 2.5%; shrimp reached 368.6 thousand tons, rising by 6.6%; and other aquatic products reached 458.8 thousand tons, increasing by 2.9%.</w:t>
      </w:r>
    </w:p>
    <w:p w14:paraId="2EC85400" w14:textId="77777777" w:rsidR="004B4D18" w:rsidRPr="00AF3ED2" w:rsidRDefault="004B4D18" w:rsidP="004B4D18">
      <w:pPr>
        <w:widowControl w:val="0"/>
        <w:spacing w:before="120" w:after="120" w:line="264" w:lineRule="auto"/>
        <w:ind w:firstLine="720"/>
        <w:jc w:val="both"/>
        <w:rPr>
          <w:b/>
          <w:bCs/>
        </w:rPr>
      </w:pPr>
      <w:r w:rsidRPr="00AF3ED2">
        <w:rPr>
          <w:b/>
        </w:rPr>
        <w:lastRenderedPageBreak/>
        <w:t>2. Industrial production</w:t>
      </w:r>
    </w:p>
    <w:p w14:paraId="564B633C" w14:textId="76C904E1" w:rsidR="004B4D18" w:rsidRPr="00AF3ED2" w:rsidRDefault="004B4D18" w:rsidP="004B4D18">
      <w:pPr>
        <w:widowControl w:val="0"/>
        <w:shd w:val="clear" w:color="auto" w:fill="FFFFFF"/>
        <w:spacing w:after="120" w:line="264" w:lineRule="auto"/>
        <w:ind w:firstLine="720"/>
        <w:jc w:val="both"/>
        <w:rPr>
          <w:i/>
        </w:rPr>
      </w:pPr>
      <w:r w:rsidRPr="00AF3ED2">
        <w:rPr>
          <w:i/>
        </w:rPr>
        <w:t xml:space="preserve">Industrial production in April continued its positive trend. </w:t>
      </w:r>
      <w:r w:rsidR="009150A2" w:rsidRPr="00AF3ED2">
        <w:rPr>
          <w:i/>
        </w:rPr>
        <w:t>The</w:t>
      </w:r>
      <w:r w:rsidRPr="00AF3ED2">
        <w:rPr>
          <w:i/>
        </w:rPr>
        <w:t xml:space="preserve"> Index of Industrial Production (IIP) was estimated to increase by 3.0%</w:t>
      </w:r>
      <w:r w:rsidRPr="00AF3ED2">
        <w:t xml:space="preserve"> </w:t>
      </w:r>
      <w:r w:rsidRPr="00AF3ED2">
        <w:rPr>
          <w:i/>
        </w:rPr>
        <w:t>month-on-month</w:t>
      </w:r>
      <w:r w:rsidRPr="00AF3ED2">
        <w:rPr>
          <w:rStyle w:val="FootnoteReference"/>
          <w:i/>
        </w:rPr>
        <w:footnoteReference w:id="8"/>
      </w:r>
      <w:r w:rsidRPr="00AF3ED2">
        <w:rPr>
          <w:i/>
        </w:rPr>
        <w:t xml:space="preserve"> and grow by 9.9% year-on-year. Generally, </w:t>
      </w:r>
      <w:r w:rsidR="00504D2A">
        <w:rPr>
          <w:i/>
        </w:rPr>
        <w:t>in</w:t>
      </w:r>
      <w:r w:rsidRPr="00AF3ED2">
        <w:rPr>
          <w:i/>
        </w:rPr>
        <w:t xml:space="preserve"> the first 4 months of 2026, the IIP grew by 9.2% over the same period last year.</w:t>
      </w:r>
    </w:p>
    <w:p w14:paraId="252AC978" w14:textId="333D8B12" w:rsidR="004B4D18" w:rsidRPr="00AF3ED2" w:rsidRDefault="004B4D18" w:rsidP="004B4D18">
      <w:pPr>
        <w:widowControl w:val="0"/>
        <w:shd w:val="clear" w:color="auto" w:fill="FFFFFF"/>
        <w:tabs>
          <w:tab w:val="left" w:pos="8931"/>
        </w:tabs>
        <w:spacing w:after="120" w:line="264" w:lineRule="auto"/>
        <w:ind w:firstLine="720"/>
        <w:jc w:val="both"/>
      </w:pPr>
      <w:r w:rsidRPr="00AF3ED2">
        <w:rPr>
          <w:i/>
        </w:rPr>
        <w:t xml:space="preserve">In April 2026, the </w:t>
      </w:r>
      <w:r w:rsidR="003916D1">
        <w:rPr>
          <w:i/>
        </w:rPr>
        <w:t xml:space="preserve">overall </w:t>
      </w:r>
      <w:r w:rsidRPr="00AF3ED2">
        <w:rPr>
          <w:i/>
        </w:rPr>
        <w:t>IIP was estimated to grow by 3.0% month-on-month</w:t>
      </w:r>
      <w:r w:rsidRPr="00AF3ED2">
        <w:rPr>
          <w:rStyle w:val="FootnoteReference"/>
          <w:i/>
        </w:rPr>
        <w:footnoteReference w:id="9"/>
      </w:r>
      <w:r w:rsidRPr="00AF3ED2">
        <w:rPr>
          <w:i/>
        </w:rPr>
        <w:t xml:space="preserve"> and 9.9% year-on-year</w:t>
      </w:r>
      <w:r w:rsidRPr="00AF3ED2">
        <w:t xml:space="preserve">. Specifically, the manufacturing recorded a year-on-year increase of 10.0%; the mining and quarrying rose by 7.6%; the water supply, sewerage, waste management and remediation activities grew by 7.1%; and the electricity supply increased by 10.9%. </w:t>
      </w:r>
    </w:p>
    <w:p w14:paraId="757FBDCF" w14:textId="44671BEC" w:rsidR="004B4D18" w:rsidRPr="00AF3ED2" w:rsidRDefault="004B4D18" w:rsidP="004B4D18">
      <w:pPr>
        <w:widowControl w:val="0"/>
        <w:shd w:val="clear" w:color="auto" w:fill="FFFFFF"/>
        <w:tabs>
          <w:tab w:val="left" w:pos="8931"/>
        </w:tabs>
        <w:spacing w:after="120" w:line="264" w:lineRule="auto"/>
        <w:ind w:firstLine="720"/>
        <w:jc w:val="both"/>
        <w:rPr>
          <w:spacing w:val="-2"/>
        </w:rPr>
      </w:pPr>
      <w:r w:rsidRPr="00AF3ED2">
        <w:rPr>
          <w:i/>
          <w:iCs/>
        </w:rPr>
        <w:t xml:space="preserve">Generally, </w:t>
      </w:r>
      <w:r w:rsidR="00504D2A">
        <w:rPr>
          <w:i/>
          <w:iCs/>
        </w:rPr>
        <w:t>in</w:t>
      </w:r>
      <w:r w:rsidRPr="00AF3ED2">
        <w:rPr>
          <w:i/>
          <w:iCs/>
        </w:rPr>
        <w:t xml:space="preserve"> the first 4 months of 2026</w:t>
      </w:r>
      <w:r w:rsidRPr="00AF3ED2">
        <w:t>, the IIP was estimated to grow by 9.2% over the same period last year (the corresponding figure in 2025 was 8.6%). Specifically, the manufacturing grew by 9.9% (the corresponding figure in 2025 was 10.6%), contributing 7.8 percentage points to the overall growth; the electricity supply rose by 7.5% (versus 4.5% in 2025), contributing 0.7 percentage points; the mining and quarrying grew by 4.0% (4.6% decline in the same period of 2025), contributing 0.6 percentage points; the water supply, sewerage, waste management and remediation activities increased by 7.4% (versus 9.7% in 2025), contributing 0.1 percentage points.</w:t>
      </w:r>
    </w:p>
    <w:p w14:paraId="40A19766" w14:textId="6531A3B9" w:rsidR="004B4D18" w:rsidRPr="00AF3ED2" w:rsidRDefault="004B4D18" w:rsidP="004B4D18">
      <w:pPr>
        <w:widowControl w:val="0"/>
        <w:shd w:val="clear" w:color="auto" w:fill="FFFFFF"/>
        <w:tabs>
          <w:tab w:val="left" w:pos="8931"/>
        </w:tabs>
        <w:spacing w:after="120" w:line="264" w:lineRule="auto"/>
        <w:ind w:firstLine="720"/>
        <w:jc w:val="both"/>
      </w:pPr>
      <w:r w:rsidRPr="00AF3ED2">
        <w:rPr>
          <w:iCs/>
        </w:rPr>
        <w:t>In the first 4 months of 2026, the IIP of several key 2-digit activities experienced a year-on-year increase as follows:</w:t>
      </w:r>
      <w:r w:rsidRPr="00AF3ED2">
        <w:t xml:space="preserve"> manufacture of chemicals and chemical products (+20.6%); manufacture of basic metals (+18.7%); manufacture of other non-metallic mineral products (+17.9%); manufacture of motor vehicles (+17.0%); manufacture of beverages (+15.9%); manufacture of furniture (+12.5%); manufacture of food products (+11.8%); manufacture of paper and paper products and manufacture of textiles (+9.6%); manufacture of rubber and plastic products (+9.1); manufacture of computer, electronic and optical products (+8.4%). Conversely, the IIP for some activities slight</w:t>
      </w:r>
      <w:r w:rsidR="00504D2A">
        <w:t>ly</w:t>
      </w:r>
      <w:r w:rsidRPr="00AF3ED2">
        <w:t xml:space="preserve"> increase</w:t>
      </w:r>
      <w:r w:rsidR="00504D2A">
        <w:t>d</w:t>
      </w:r>
      <w:r w:rsidRPr="00AF3ED2">
        <w:t xml:space="preserve"> or decreased as follows: manufacture of leather and related products nudged up 4.4%; mining of coal and lignite reduced by 5.3%; manufacture of other transport equipment reduced by 0.9%.</w:t>
      </w:r>
    </w:p>
    <w:p w14:paraId="1239FECC" w14:textId="77777777" w:rsidR="004B4D18" w:rsidRPr="00AF3ED2" w:rsidRDefault="004B4D18" w:rsidP="004B4D18">
      <w:pPr>
        <w:shd w:val="clear" w:color="auto" w:fill="FFFFFF"/>
        <w:tabs>
          <w:tab w:val="left" w:pos="8931"/>
        </w:tabs>
        <w:spacing w:before="120" w:after="120" w:line="252" w:lineRule="auto"/>
        <w:jc w:val="center"/>
        <w:rPr>
          <w:rFonts w:ascii="Arial" w:hAnsi="Arial" w:cs="Arial"/>
          <w:b/>
          <w:sz w:val="24"/>
          <w:szCs w:val="22"/>
        </w:rPr>
      </w:pPr>
      <w:r w:rsidRPr="00AF3ED2">
        <w:rPr>
          <w:rFonts w:ascii="Arial" w:hAnsi="Arial"/>
          <w:b/>
          <w:sz w:val="24"/>
        </w:rPr>
        <w:t xml:space="preserve">Table 1. Year-on-year IIP growth rate for several key industrial activities </w:t>
      </w:r>
      <w:r w:rsidRPr="00AF3ED2">
        <w:rPr>
          <w:rFonts w:ascii="Arial" w:hAnsi="Arial"/>
          <w:b/>
          <w:sz w:val="24"/>
        </w:rPr>
        <w:br/>
        <w:t xml:space="preserve">in the first 4 months of the years 2022 - 2026 </w:t>
      </w:r>
    </w:p>
    <w:p w14:paraId="55F08A4F" w14:textId="77777777" w:rsidR="004B4D18" w:rsidRPr="00AF3ED2" w:rsidRDefault="004B4D18" w:rsidP="004B4D18">
      <w:pPr>
        <w:shd w:val="clear" w:color="auto" w:fill="FFFFFF"/>
        <w:tabs>
          <w:tab w:val="left" w:pos="8931"/>
        </w:tabs>
        <w:spacing w:before="60"/>
        <w:jc w:val="right"/>
        <w:rPr>
          <w:rFonts w:ascii="Arial" w:hAnsi="Arial" w:cs="Arial"/>
          <w:b/>
          <w:bCs/>
          <w:i/>
          <w:iCs/>
          <w:sz w:val="20"/>
          <w:szCs w:val="20"/>
        </w:rPr>
      </w:pPr>
      <w:r w:rsidRPr="00AF3ED2">
        <w:rPr>
          <w:rFonts w:ascii="Arial" w:hAnsi="Arial"/>
          <w:b/>
          <w:i/>
          <w:sz w:val="20"/>
        </w:rPr>
        <w:t xml:space="preserve">   %</w:t>
      </w:r>
    </w:p>
    <w:tbl>
      <w:tblPr>
        <w:tblW w:w="9040" w:type="dxa"/>
        <w:jc w:val="center"/>
        <w:tblBorders>
          <w:top w:val="single" w:sz="4" w:space="0" w:color="auto"/>
        </w:tblBorders>
        <w:tblLook w:val="04A0" w:firstRow="1" w:lastRow="0" w:firstColumn="1" w:lastColumn="0" w:noHBand="0" w:noVBand="1"/>
      </w:tblPr>
      <w:tblGrid>
        <w:gridCol w:w="4807"/>
        <w:gridCol w:w="845"/>
        <w:gridCol w:w="846"/>
        <w:gridCol w:w="893"/>
        <w:gridCol w:w="803"/>
        <w:gridCol w:w="846"/>
      </w:tblGrid>
      <w:tr w:rsidR="004B4D18" w:rsidRPr="00AF3ED2" w14:paraId="76B74EE3" w14:textId="77777777" w:rsidTr="00FC36C1">
        <w:trPr>
          <w:trHeight w:val="618"/>
          <w:jc w:val="center"/>
        </w:trPr>
        <w:tc>
          <w:tcPr>
            <w:tcW w:w="4807" w:type="dxa"/>
            <w:tcBorders>
              <w:top w:val="single" w:sz="4" w:space="0" w:color="auto"/>
              <w:left w:val="nil"/>
              <w:bottom w:val="nil"/>
              <w:right w:val="nil"/>
            </w:tcBorders>
            <w:shd w:val="clear" w:color="auto" w:fill="FFFFFF"/>
            <w:hideMark/>
          </w:tcPr>
          <w:p w14:paraId="07F6ED5E" w14:textId="77777777" w:rsidR="004B4D18" w:rsidRPr="00AF3ED2" w:rsidRDefault="004B4D18" w:rsidP="00FC36C1">
            <w:pPr>
              <w:jc w:val="center"/>
              <w:rPr>
                <w:rFonts w:ascii="Arial" w:hAnsi="Arial" w:cs="Arial"/>
                <w:b/>
                <w:bCs/>
                <w:color w:val="000000" w:themeColor="text1"/>
                <w:sz w:val="20"/>
                <w:szCs w:val="20"/>
              </w:rPr>
            </w:pPr>
            <w:r w:rsidRPr="00AF3ED2">
              <w:rPr>
                <w:rFonts w:ascii="Arial" w:hAnsi="Arial" w:cs="Arial"/>
                <w:b/>
                <w:bCs/>
                <w:color w:val="000000" w:themeColor="text1"/>
                <w:sz w:val="20"/>
                <w:szCs w:val="20"/>
              </w:rPr>
              <w:lastRenderedPageBreak/>
              <w:t> </w:t>
            </w:r>
          </w:p>
        </w:tc>
        <w:tc>
          <w:tcPr>
            <w:tcW w:w="845" w:type="dxa"/>
            <w:tcBorders>
              <w:top w:val="single" w:sz="4" w:space="0" w:color="auto"/>
              <w:left w:val="nil"/>
              <w:bottom w:val="single" w:sz="4" w:space="0" w:color="auto"/>
              <w:right w:val="nil"/>
            </w:tcBorders>
            <w:vAlign w:val="center"/>
            <w:hideMark/>
          </w:tcPr>
          <w:p w14:paraId="26FCDB82" w14:textId="77777777" w:rsidR="004B4D18" w:rsidRPr="00AF3ED2" w:rsidRDefault="004B4D18" w:rsidP="00FC36C1">
            <w:pPr>
              <w:jc w:val="center"/>
              <w:rPr>
                <w:rFonts w:ascii="Arial" w:hAnsi="Arial" w:cs="Arial"/>
                <w:b/>
                <w:bCs/>
                <w:color w:val="000000" w:themeColor="text1"/>
                <w:sz w:val="20"/>
                <w:szCs w:val="20"/>
              </w:rPr>
            </w:pPr>
            <w:r w:rsidRPr="00AF3ED2">
              <w:rPr>
                <w:rFonts w:ascii="Arial" w:hAnsi="Arial" w:cs="Arial"/>
                <w:b/>
                <w:bCs/>
                <w:color w:val="000000" w:themeColor="text1"/>
                <w:sz w:val="20"/>
                <w:szCs w:val="20"/>
              </w:rPr>
              <w:t>2022</w:t>
            </w:r>
          </w:p>
        </w:tc>
        <w:tc>
          <w:tcPr>
            <w:tcW w:w="846" w:type="dxa"/>
            <w:tcBorders>
              <w:top w:val="single" w:sz="4" w:space="0" w:color="auto"/>
              <w:left w:val="nil"/>
              <w:bottom w:val="single" w:sz="4" w:space="0" w:color="auto"/>
              <w:right w:val="nil"/>
            </w:tcBorders>
            <w:vAlign w:val="center"/>
            <w:hideMark/>
          </w:tcPr>
          <w:p w14:paraId="4D7DD215" w14:textId="77777777" w:rsidR="004B4D18" w:rsidRPr="00AF3ED2" w:rsidRDefault="004B4D18" w:rsidP="00FC36C1">
            <w:pPr>
              <w:jc w:val="center"/>
              <w:rPr>
                <w:rFonts w:ascii="Arial" w:hAnsi="Arial" w:cs="Arial"/>
                <w:b/>
                <w:bCs/>
                <w:color w:val="000000" w:themeColor="text1"/>
                <w:sz w:val="20"/>
                <w:szCs w:val="20"/>
              </w:rPr>
            </w:pPr>
            <w:r w:rsidRPr="00AF3ED2">
              <w:rPr>
                <w:rFonts w:ascii="Arial" w:hAnsi="Arial" w:cs="Arial"/>
                <w:b/>
                <w:bCs/>
                <w:color w:val="000000" w:themeColor="text1"/>
                <w:sz w:val="20"/>
                <w:szCs w:val="20"/>
              </w:rPr>
              <w:t>2023</w:t>
            </w:r>
          </w:p>
        </w:tc>
        <w:tc>
          <w:tcPr>
            <w:tcW w:w="893" w:type="dxa"/>
            <w:tcBorders>
              <w:top w:val="single" w:sz="4" w:space="0" w:color="auto"/>
              <w:left w:val="nil"/>
              <w:bottom w:val="single" w:sz="4" w:space="0" w:color="auto"/>
              <w:right w:val="nil"/>
            </w:tcBorders>
            <w:vAlign w:val="center"/>
            <w:hideMark/>
          </w:tcPr>
          <w:p w14:paraId="6EF150E2" w14:textId="77777777" w:rsidR="004B4D18" w:rsidRPr="00AF3ED2" w:rsidRDefault="004B4D18" w:rsidP="00FC36C1">
            <w:pPr>
              <w:jc w:val="center"/>
              <w:rPr>
                <w:rFonts w:ascii="Arial" w:hAnsi="Arial" w:cs="Arial"/>
                <w:b/>
                <w:bCs/>
                <w:color w:val="000000" w:themeColor="text1"/>
                <w:sz w:val="20"/>
                <w:szCs w:val="20"/>
              </w:rPr>
            </w:pPr>
            <w:r w:rsidRPr="00AF3ED2">
              <w:rPr>
                <w:rFonts w:ascii="Arial" w:hAnsi="Arial" w:cs="Arial"/>
                <w:b/>
                <w:bCs/>
                <w:color w:val="000000" w:themeColor="text1"/>
                <w:sz w:val="20"/>
                <w:szCs w:val="20"/>
              </w:rPr>
              <w:t>2024</w:t>
            </w:r>
          </w:p>
        </w:tc>
        <w:tc>
          <w:tcPr>
            <w:tcW w:w="803" w:type="dxa"/>
            <w:tcBorders>
              <w:top w:val="single" w:sz="4" w:space="0" w:color="auto"/>
              <w:left w:val="nil"/>
              <w:bottom w:val="single" w:sz="4" w:space="0" w:color="auto"/>
              <w:right w:val="nil"/>
            </w:tcBorders>
            <w:vAlign w:val="center"/>
            <w:hideMark/>
          </w:tcPr>
          <w:p w14:paraId="3AB8E577" w14:textId="77777777" w:rsidR="004B4D18" w:rsidRPr="00AF3ED2" w:rsidRDefault="004B4D18" w:rsidP="00FC36C1">
            <w:pPr>
              <w:jc w:val="center"/>
              <w:rPr>
                <w:rFonts w:ascii="Arial" w:hAnsi="Arial" w:cs="Arial"/>
                <w:b/>
                <w:bCs/>
                <w:color w:val="000000" w:themeColor="text1"/>
                <w:sz w:val="20"/>
                <w:szCs w:val="20"/>
              </w:rPr>
            </w:pPr>
            <w:r w:rsidRPr="00AF3ED2">
              <w:rPr>
                <w:rFonts w:ascii="Arial" w:hAnsi="Arial" w:cs="Arial"/>
                <w:b/>
                <w:bCs/>
                <w:color w:val="000000" w:themeColor="text1"/>
                <w:sz w:val="20"/>
                <w:szCs w:val="20"/>
              </w:rPr>
              <w:t>2025</w:t>
            </w:r>
          </w:p>
        </w:tc>
        <w:tc>
          <w:tcPr>
            <w:tcW w:w="846" w:type="dxa"/>
            <w:tcBorders>
              <w:top w:val="single" w:sz="4" w:space="0" w:color="auto"/>
              <w:left w:val="nil"/>
              <w:bottom w:val="single" w:sz="4" w:space="0" w:color="auto"/>
              <w:right w:val="nil"/>
            </w:tcBorders>
            <w:vAlign w:val="center"/>
            <w:hideMark/>
          </w:tcPr>
          <w:p w14:paraId="6247C757" w14:textId="77777777" w:rsidR="004B4D18" w:rsidRPr="00AF3ED2" w:rsidRDefault="004B4D18" w:rsidP="00FC36C1">
            <w:pPr>
              <w:jc w:val="center"/>
              <w:rPr>
                <w:rFonts w:ascii="Arial" w:hAnsi="Arial" w:cs="Arial"/>
                <w:b/>
                <w:bCs/>
                <w:color w:val="000000" w:themeColor="text1"/>
                <w:sz w:val="20"/>
                <w:szCs w:val="20"/>
              </w:rPr>
            </w:pPr>
            <w:r w:rsidRPr="00AF3ED2">
              <w:rPr>
                <w:rFonts w:ascii="Arial" w:hAnsi="Arial" w:cs="Arial"/>
                <w:b/>
                <w:bCs/>
                <w:color w:val="000000" w:themeColor="text1"/>
                <w:sz w:val="20"/>
                <w:szCs w:val="20"/>
              </w:rPr>
              <w:t>2026</w:t>
            </w:r>
          </w:p>
        </w:tc>
      </w:tr>
      <w:tr w:rsidR="004B4D18" w:rsidRPr="00AF3ED2" w14:paraId="3A639485" w14:textId="77777777" w:rsidTr="00FC36C1">
        <w:trPr>
          <w:trHeight w:val="332"/>
          <w:jc w:val="center"/>
        </w:trPr>
        <w:tc>
          <w:tcPr>
            <w:tcW w:w="4807" w:type="dxa"/>
            <w:tcBorders>
              <w:top w:val="nil"/>
              <w:left w:val="nil"/>
              <w:bottom w:val="nil"/>
              <w:right w:val="nil"/>
            </w:tcBorders>
            <w:shd w:val="clear" w:color="auto" w:fill="FFFFFF"/>
            <w:noWrap/>
            <w:hideMark/>
          </w:tcPr>
          <w:p w14:paraId="715A4516" w14:textId="2922DF13" w:rsidR="004B4D18" w:rsidRPr="00AF3ED2" w:rsidRDefault="004B4D18" w:rsidP="00E47823">
            <w:pPr>
              <w:rPr>
                <w:rFonts w:ascii="Arial" w:hAnsi="Arial" w:cs="Arial"/>
                <w:color w:val="000000" w:themeColor="text1"/>
                <w:sz w:val="18"/>
                <w:szCs w:val="18"/>
              </w:rPr>
            </w:pPr>
            <w:r w:rsidRPr="00AF3ED2">
              <w:rPr>
                <w:rFonts w:ascii="Arial" w:hAnsi="Arial" w:cs="Arial"/>
                <w:color w:val="000000" w:themeColor="text1"/>
                <w:sz w:val="18"/>
                <w:szCs w:val="18"/>
              </w:rPr>
              <w:t>Mining of coal and lignite</w:t>
            </w:r>
          </w:p>
        </w:tc>
        <w:tc>
          <w:tcPr>
            <w:tcW w:w="845" w:type="dxa"/>
            <w:tcBorders>
              <w:top w:val="nil"/>
              <w:left w:val="nil"/>
              <w:bottom w:val="nil"/>
              <w:right w:val="nil"/>
            </w:tcBorders>
            <w:vAlign w:val="bottom"/>
            <w:hideMark/>
          </w:tcPr>
          <w:p w14:paraId="2F19491D" w14:textId="77777777" w:rsidR="004B4D18" w:rsidRPr="00AF3ED2" w:rsidRDefault="004B4D18" w:rsidP="00FC36C1">
            <w:pPr>
              <w:jc w:val="right"/>
              <w:rPr>
                <w:color w:val="000000" w:themeColor="text1"/>
                <w:sz w:val="20"/>
                <w:szCs w:val="20"/>
              </w:rPr>
            </w:pPr>
            <w:r w:rsidRPr="00AF3ED2">
              <w:rPr>
                <w:color w:val="000000" w:themeColor="text1"/>
                <w:sz w:val="20"/>
                <w:szCs w:val="20"/>
              </w:rPr>
              <w:t>11.6</w:t>
            </w:r>
          </w:p>
        </w:tc>
        <w:tc>
          <w:tcPr>
            <w:tcW w:w="846" w:type="dxa"/>
            <w:tcBorders>
              <w:top w:val="nil"/>
              <w:left w:val="nil"/>
              <w:bottom w:val="nil"/>
              <w:right w:val="nil"/>
            </w:tcBorders>
            <w:vAlign w:val="bottom"/>
            <w:hideMark/>
          </w:tcPr>
          <w:p w14:paraId="7816BB91" w14:textId="77777777" w:rsidR="004B4D18" w:rsidRPr="00AF3ED2" w:rsidRDefault="004B4D18" w:rsidP="00FC36C1">
            <w:pPr>
              <w:jc w:val="right"/>
              <w:rPr>
                <w:color w:val="000000" w:themeColor="text1"/>
                <w:sz w:val="20"/>
                <w:szCs w:val="20"/>
              </w:rPr>
            </w:pPr>
            <w:r w:rsidRPr="00AF3ED2">
              <w:rPr>
                <w:color w:val="000000" w:themeColor="text1"/>
                <w:sz w:val="20"/>
                <w:szCs w:val="20"/>
              </w:rPr>
              <w:t>-4.6</w:t>
            </w:r>
          </w:p>
        </w:tc>
        <w:tc>
          <w:tcPr>
            <w:tcW w:w="893" w:type="dxa"/>
            <w:tcBorders>
              <w:top w:val="nil"/>
              <w:left w:val="nil"/>
              <w:bottom w:val="nil"/>
              <w:right w:val="nil"/>
            </w:tcBorders>
            <w:vAlign w:val="bottom"/>
            <w:hideMark/>
          </w:tcPr>
          <w:p w14:paraId="1B26A84F" w14:textId="77777777" w:rsidR="004B4D18" w:rsidRPr="00AF3ED2" w:rsidRDefault="004B4D18" w:rsidP="00FC36C1">
            <w:pPr>
              <w:jc w:val="right"/>
              <w:rPr>
                <w:color w:val="000000" w:themeColor="text1"/>
                <w:sz w:val="20"/>
                <w:szCs w:val="20"/>
              </w:rPr>
            </w:pPr>
            <w:r w:rsidRPr="00AF3ED2">
              <w:rPr>
                <w:color w:val="000000" w:themeColor="text1"/>
                <w:sz w:val="20"/>
                <w:szCs w:val="20"/>
              </w:rPr>
              <w:t>-0.6</w:t>
            </w:r>
          </w:p>
        </w:tc>
        <w:tc>
          <w:tcPr>
            <w:tcW w:w="803" w:type="dxa"/>
            <w:tcBorders>
              <w:top w:val="nil"/>
              <w:left w:val="nil"/>
              <w:bottom w:val="nil"/>
              <w:right w:val="nil"/>
            </w:tcBorders>
            <w:vAlign w:val="bottom"/>
            <w:hideMark/>
          </w:tcPr>
          <w:p w14:paraId="35139147" w14:textId="77777777" w:rsidR="004B4D18" w:rsidRPr="00AF3ED2" w:rsidRDefault="004B4D18" w:rsidP="00FC36C1">
            <w:pPr>
              <w:jc w:val="right"/>
              <w:rPr>
                <w:color w:val="000000" w:themeColor="text1"/>
                <w:sz w:val="20"/>
                <w:szCs w:val="20"/>
              </w:rPr>
            </w:pPr>
            <w:r w:rsidRPr="00AF3ED2">
              <w:rPr>
                <w:color w:val="000000" w:themeColor="text1"/>
                <w:sz w:val="20"/>
                <w:szCs w:val="20"/>
              </w:rPr>
              <w:t>6.3</w:t>
            </w:r>
          </w:p>
        </w:tc>
        <w:tc>
          <w:tcPr>
            <w:tcW w:w="846" w:type="dxa"/>
            <w:tcBorders>
              <w:top w:val="nil"/>
              <w:left w:val="nil"/>
              <w:bottom w:val="nil"/>
              <w:right w:val="nil"/>
            </w:tcBorders>
            <w:vAlign w:val="bottom"/>
            <w:hideMark/>
          </w:tcPr>
          <w:p w14:paraId="4AB91B92" w14:textId="77777777" w:rsidR="004B4D18" w:rsidRPr="00AF3ED2" w:rsidRDefault="004B4D18" w:rsidP="00FC36C1">
            <w:pPr>
              <w:jc w:val="right"/>
              <w:rPr>
                <w:color w:val="000000" w:themeColor="text1"/>
                <w:sz w:val="20"/>
                <w:szCs w:val="20"/>
              </w:rPr>
            </w:pPr>
            <w:r w:rsidRPr="00AF3ED2">
              <w:rPr>
                <w:color w:val="000000" w:themeColor="text1"/>
                <w:sz w:val="20"/>
                <w:szCs w:val="20"/>
              </w:rPr>
              <w:t>-5.3</w:t>
            </w:r>
          </w:p>
        </w:tc>
      </w:tr>
      <w:tr w:rsidR="004B4D18" w:rsidRPr="00AF3ED2" w14:paraId="77D8D6F1" w14:textId="77777777" w:rsidTr="00FC36C1">
        <w:trPr>
          <w:trHeight w:val="332"/>
          <w:jc w:val="center"/>
        </w:trPr>
        <w:tc>
          <w:tcPr>
            <w:tcW w:w="4807" w:type="dxa"/>
            <w:tcBorders>
              <w:top w:val="nil"/>
              <w:left w:val="nil"/>
              <w:bottom w:val="nil"/>
              <w:right w:val="nil"/>
            </w:tcBorders>
            <w:shd w:val="clear" w:color="auto" w:fill="FFFFFF"/>
            <w:noWrap/>
            <w:hideMark/>
          </w:tcPr>
          <w:p w14:paraId="19457C0C"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food products</w:t>
            </w:r>
          </w:p>
        </w:tc>
        <w:tc>
          <w:tcPr>
            <w:tcW w:w="845" w:type="dxa"/>
            <w:tcBorders>
              <w:top w:val="nil"/>
              <w:left w:val="nil"/>
              <w:bottom w:val="nil"/>
              <w:right w:val="nil"/>
            </w:tcBorders>
            <w:vAlign w:val="bottom"/>
            <w:hideMark/>
          </w:tcPr>
          <w:p w14:paraId="19B4A803" w14:textId="77777777" w:rsidR="004B4D18" w:rsidRPr="00AF3ED2" w:rsidRDefault="004B4D18" w:rsidP="00FC36C1">
            <w:pPr>
              <w:jc w:val="right"/>
              <w:rPr>
                <w:color w:val="000000" w:themeColor="text1"/>
                <w:sz w:val="20"/>
                <w:szCs w:val="20"/>
              </w:rPr>
            </w:pPr>
            <w:r w:rsidRPr="00AF3ED2">
              <w:rPr>
                <w:color w:val="000000" w:themeColor="text1"/>
                <w:sz w:val="20"/>
                <w:szCs w:val="20"/>
              </w:rPr>
              <w:t>6.4</w:t>
            </w:r>
          </w:p>
        </w:tc>
        <w:tc>
          <w:tcPr>
            <w:tcW w:w="846" w:type="dxa"/>
            <w:tcBorders>
              <w:top w:val="nil"/>
              <w:left w:val="nil"/>
              <w:bottom w:val="nil"/>
              <w:right w:val="nil"/>
            </w:tcBorders>
            <w:vAlign w:val="bottom"/>
            <w:hideMark/>
          </w:tcPr>
          <w:p w14:paraId="429E31CA" w14:textId="77777777" w:rsidR="004B4D18" w:rsidRPr="00AF3ED2" w:rsidRDefault="004B4D18" w:rsidP="00FC36C1">
            <w:pPr>
              <w:jc w:val="right"/>
              <w:rPr>
                <w:color w:val="000000" w:themeColor="text1"/>
                <w:sz w:val="20"/>
                <w:szCs w:val="20"/>
              </w:rPr>
            </w:pPr>
            <w:r w:rsidRPr="00AF3ED2">
              <w:rPr>
                <w:color w:val="000000" w:themeColor="text1"/>
                <w:sz w:val="20"/>
                <w:szCs w:val="20"/>
              </w:rPr>
              <w:t>2.9</w:t>
            </w:r>
          </w:p>
        </w:tc>
        <w:tc>
          <w:tcPr>
            <w:tcW w:w="893" w:type="dxa"/>
            <w:tcBorders>
              <w:top w:val="nil"/>
              <w:left w:val="nil"/>
              <w:bottom w:val="nil"/>
              <w:right w:val="nil"/>
            </w:tcBorders>
            <w:vAlign w:val="bottom"/>
            <w:hideMark/>
          </w:tcPr>
          <w:p w14:paraId="49E8DCC9" w14:textId="77777777" w:rsidR="004B4D18" w:rsidRPr="00AF3ED2" w:rsidRDefault="004B4D18" w:rsidP="00FC36C1">
            <w:pPr>
              <w:jc w:val="right"/>
              <w:rPr>
                <w:color w:val="000000" w:themeColor="text1"/>
                <w:sz w:val="20"/>
                <w:szCs w:val="20"/>
              </w:rPr>
            </w:pPr>
            <w:r w:rsidRPr="00AF3ED2">
              <w:rPr>
                <w:color w:val="000000" w:themeColor="text1"/>
                <w:sz w:val="20"/>
                <w:szCs w:val="20"/>
              </w:rPr>
              <w:t>5.2</w:t>
            </w:r>
          </w:p>
        </w:tc>
        <w:tc>
          <w:tcPr>
            <w:tcW w:w="803" w:type="dxa"/>
            <w:tcBorders>
              <w:top w:val="nil"/>
              <w:left w:val="nil"/>
              <w:bottom w:val="nil"/>
              <w:right w:val="nil"/>
            </w:tcBorders>
            <w:vAlign w:val="bottom"/>
            <w:hideMark/>
          </w:tcPr>
          <w:p w14:paraId="056AF306" w14:textId="77777777" w:rsidR="004B4D18" w:rsidRPr="00AF3ED2" w:rsidRDefault="004B4D18" w:rsidP="00FC36C1">
            <w:pPr>
              <w:jc w:val="right"/>
              <w:rPr>
                <w:color w:val="000000" w:themeColor="text1"/>
                <w:sz w:val="20"/>
                <w:szCs w:val="20"/>
              </w:rPr>
            </w:pPr>
            <w:r w:rsidRPr="00AF3ED2">
              <w:rPr>
                <w:color w:val="000000" w:themeColor="text1"/>
                <w:sz w:val="20"/>
                <w:szCs w:val="20"/>
              </w:rPr>
              <w:t>8.7</w:t>
            </w:r>
          </w:p>
        </w:tc>
        <w:tc>
          <w:tcPr>
            <w:tcW w:w="846" w:type="dxa"/>
            <w:tcBorders>
              <w:top w:val="nil"/>
              <w:left w:val="nil"/>
              <w:bottom w:val="nil"/>
              <w:right w:val="nil"/>
            </w:tcBorders>
            <w:vAlign w:val="bottom"/>
            <w:hideMark/>
          </w:tcPr>
          <w:p w14:paraId="72F9E526" w14:textId="77777777" w:rsidR="004B4D18" w:rsidRPr="00AF3ED2" w:rsidRDefault="004B4D18" w:rsidP="00FC36C1">
            <w:pPr>
              <w:jc w:val="right"/>
              <w:rPr>
                <w:color w:val="000000" w:themeColor="text1"/>
                <w:sz w:val="20"/>
                <w:szCs w:val="20"/>
              </w:rPr>
            </w:pPr>
            <w:r w:rsidRPr="00AF3ED2">
              <w:rPr>
                <w:color w:val="000000" w:themeColor="text1"/>
                <w:sz w:val="20"/>
                <w:szCs w:val="20"/>
              </w:rPr>
              <w:t>11.8</w:t>
            </w:r>
          </w:p>
        </w:tc>
      </w:tr>
      <w:tr w:rsidR="004B4D18" w:rsidRPr="00AF3ED2" w14:paraId="797C6D3D" w14:textId="77777777" w:rsidTr="00FC36C1">
        <w:trPr>
          <w:trHeight w:val="335"/>
          <w:jc w:val="center"/>
        </w:trPr>
        <w:tc>
          <w:tcPr>
            <w:tcW w:w="4807" w:type="dxa"/>
            <w:tcBorders>
              <w:top w:val="nil"/>
              <w:left w:val="nil"/>
              <w:bottom w:val="nil"/>
              <w:right w:val="nil"/>
            </w:tcBorders>
            <w:shd w:val="clear" w:color="auto" w:fill="FFFFFF"/>
            <w:hideMark/>
          </w:tcPr>
          <w:p w14:paraId="54BACA5E"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beverages</w:t>
            </w:r>
          </w:p>
        </w:tc>
        <w:tc>
          <w:tcPr>
            <w:tcW w:w="845" w:type="dxa"/>
            <w:tcBorders>
              <w:top w:val="nil"/>
              <w:left w:val="nil"/>
              <w:bottom w:val="nil"/>
              <w:right w:val="nil"/>
            </w:tcBorders>
            <w:vAlign w:val="bottom"/>
            <w:hideMark/>
          </w:tcPr>
          <w:p w14:paraId="1CF26ADE" w14:textId="77777777" w:rsidR="004B4D18" w:rsidRPr="00AF3ED2" w:rsidRDefault="004B4D18" w:rsidP="00FC36C1">
            <w:pPr>
              <w:jc w:val="right"/>
              <w:rPr>
                <w:color w:val="000000" w:themeColor="text1"/>
                <w:sz w:val="20"/>
                <w:szCs w:val="20"/>
              </w:rPr>
            </w:pPr>
            <w:r w:rsidRPr="00AF3ED2">
              <w:rPr>
                <w:color w:val="000000" w:themeColor="text1"/>
                <w:sz w:val="20"/>
                <w:szCs w:val="20"/>
              </w:rPr>
              <w:t>7.3</w:t>
            </w:r>
          </w:p>
        </w:tc>
        <w:tc>
          <w:tcPr>
            <w:tcW w:w="846" w:type="dxa"/>
            <w:tcBorders>
              <w:top w:val="nil"/>
              <w:left w:val="nil"/>
              <w:bottom w:val="nil"/>
              <w:right w:val="nil"/>
            </w:tcBorders>
            <w:vAlign w:val="bottom"/>
            <w:hideMark/>
          </w:tcPr>
          <w:p w14:paraId="1AFA7DA6" w14:textId="77777777" w:rsidR="004B4D18" w:rsidRPr="00AF3ED2" w:rsidRDefault="004B4D18" w:rsidP="00FC36C1">
            <w:pPr>
              <w:jc w:val="right"/>
              <w:rPr>
                <w:color w:val="000000" w:themeColor="text1"/>
                <w:sz w:val="20"/>
                <w:szCs w:val="20"/>
              </w:rPr>
            </w:pPr>
            <w:r w:rsidRPr="00AF3ED2">
              <w:rPr>
                <w:color w:val="000000" w:themeColor="text1"/>
                <w:sz w:val="20"/>
                <w:szCs w:val="20"/>
              </w:rPr>
              <w:t>8.9</w:t>
            </w:r>
          </w:p>
        </w:tc>
        <w:tc>
          <w:tcPr>
            <w:tcW w:w="893" w:type="dxa"/>
            <w:tcBorders>
              <w:top w:val="nil"/>
              <w:left w:val="nil"/>
              <w:bottom w:val="nil"/>
              <w:right w:val="nil"/>
            </w:tcBorders>
            <w:vAlign w:val="bottom"/>
            <w:hideMark/>
          </w:tcPr>
          <w:p w14:paraId="16B30939" w14:textId="77777777" w:rsidR="004B4D18" w:rsidRPr="00AF3ED2" w:rsidRDefault="004B4D18" w:rsidP="00FC36C1">
            <w:pPr>
              <w:jc w:val="right"/>
              <w:rPr>
                <w:color w:val="000000" w:themeColor="text1"/>
                <w:sz w:val="20"/>
                <w:szCs w:val="20"/>
              </w:rPr>
            </w:pPr>
            <w:r w:rsidRPr="00AF3ED2">
              <w:rPr>
                <w:color w:val="000000" w:themeColor="text1"/>
                <w:sz w:val="20"/>
                <w:szCs w:val="20"/>
              </w:rPr>
              <w:t>-1.1</w:t>
            </w:r>
          </w:p>
        </w:tc>
        <w:tc>
          <w:tcPr>
            <w:tcW w:w="803" w:type="dxa"/>
            <w:tcBorders>
              <w:top w:val="nil"/>
              <w:left w:val="nil"/>
              <w:bottom w:val="nil"/>
              <w:right w:val="nil"/>
            </w:tcBorders>
            <w:vAlign w:val="bottom"/>
            <w:hideMark/>
          </w:tcPr>
          <w:p w14:paraId="6D7580DC" w14:textId="77777777" w:rsidR="004B4D18" w:rsidRPr="00AF3ED2" w:rsidRDefault="004B4D18" w:rsidP="00FC36C1">
            <w:pPr>
              <w:jc w:val="right"/>
              <w:rPr>
                <w:color w:val="000000" w:themeColor="text1"/>
                <w:sz w:val="20"/>
                <w:szCs w:val="20"/>
              </w:rPr>
            </w:pPr>
            <w:r w:rsidRPr="00AF3ED2">
              <w:rPr>
                <w:color w:val="000000" w:themeColor="text1"/>
                <w:sz w:val="20"/>
                <w:szCs w:val="20"/>
              </w:rPr>
              <w:t>-0.5</w:t>
            </w:r>
          </w:p>
        </w:tc>
        <w:tc>
          <w:tcPr>
            <w:tcW w:w="846" w:type="dxa"/>
            <w:tcBorders>
              <w:top w:val="nil"/>
              <w:left w:val="nil"/>
              <w:bottom w:val="nil"/>
              <w:right w:val="nil"/>
            </w:tcBorders>
            <w:vAlign w:val="bottom"/>
            <w:hideMark/>
          </w:tcPr>
          <w:p w14:paraId="4FDD57C1" w14:textId="77777777" w:rsidR="004B4D18" w:rsidRPr="00AF3ED2" w:rsidRDefault="004B4D18" w:rsidP="00FC36C1">
            <w:pPr>
              <w:jc w:val="right"/>
              <w:rPr>
                <w:color w:val="000000" w:themeColor="text1"/>
                <w:sz w:val="20"/>
                <w:szCs w:val="20"/>
              </w:rPr>
            </w:pPr>
            <w:r w:rsidRPr="00AF3ED2">
              <w:rPr>
                <w:color w:val="000000" w:themeColor="text1"/>
                <w:sz w:val="20"/>
                <w:szCs w:val="20"/>
              </w:rPr>
              <w:t>15.9</w:t>
            </w:r>
          </w:p>
        </w:tc>
      </w:tr>
      <w:tr w:rsidR="004B4D18" w:rsidRPr="00AF3ED2" w14:paraId="67E6BAB2" w14:textId="77777777" w:rsidTr="00FC36C1">
        <w:trPr>
          <w:trHeight w:val="332"/>
          <w:jc w:val="center"/>
        </w:trPr>
        <w:tc>
          <w:tcPr>
            <w:tcW w:w="4807" w:type="dxa"/>
            <w:tcBorders>
              <w:top w:val="nil"/>
              <w:left w:val="nil"/>
              <w:bottom w:val="nil"/>
              <w:right w:val="nil"/>
            </w:tcBorders>
            <w:shd w:val="clear" w:color="auto" w:fill="FFFFFF"/>
            <w:noWrap/>
            <w:hideMark/>
          </w:tcPr>
          <w:p w14:paraId="3577AD1B"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textiles</w:t>
            </w:r>
          </w:p>
        </w:tc>
        <w:tc>
          <w:tcPr>
            <w:tcW w:w="845" w:type="dxa"/>
            <w:tcBorders>
              <w:top w:val="nil"/>
              <w:left w:val="nil"/>
              <w:bottom w:val="nil"/>
              <w:right w:val="nil"/>
            </w:tcBorders>
            <w:vAlign w:val="bottom"/>
            <w:hideMark/>
          </w:tcPr>
          <w:p w14:paraId="4B38A6AC" w14:textId="77777777" w:rsidR="004B4D18" w:rsidRPr="00AF3ED2" w:rsidRDefault="004B4D18" w:rsidP="00FC36C1">
            <w:pPr>
              <w:jc w:val="right"/>
              <w:rPr>
                <w:color w:val="000000" w:themeColor="text1"/>
                <w:sz w:val="20"/>
                <w:szCs w:val="20"/>
              </w:rPr>
            </w:pPr>
            <w:r w:rsidRPr="00AF3ED2">
              <w:rPr>
                <w:color w:val="000000" w:themeColor="text1"/>
                <w:sz w:val="20"/>
                <w:szCs w:val="20"/>
              </w:rPr>
              <w:t>5.0</w:t>
            </w:r>
          </w:p>
        </w:tc>
        <w:tc>
          <w:tcPr>
            <w:tcW w:w="846" w:type="dxa"/>
            <w:tcBorders>
              <w:top w:val="nil"/>
              <w:left w:val="nil"/>
              <w:bottom w:val="nil"/>
              <w:right w:val="nil"/>
            </w:tcBorders>
            <w:vAlign w:val="bottom"/>
            <w:hideMark/>
          </w:tcPr>
          <w:p w14:paraId="575EE15C" w14:textId="77777777" w:rsidR="004B4D18" w:rsidRPr="00AF3ED2" w:rsidRDefault="004B4D18" w:rsidP="00FC36C1">
            <w:pPr>
              <w:jc w:val="right"/>
              <w:rPr>
                <w:color w:val="000000" w:themeColor="text1"/>
                <w:sz w:val="20"/>
                <w:szCs w:val="20"/>
              </w:rPr>
            </w:pPr>
            <w:r w:rsidRPr="00AF3ED2">
              <w:rPr>
                <w:color w:val="000000" w:themeColor="text1"/>
                <w:sz w:val="20"/>
                <w:szCs w:val="20"/>
              </w:rPr>
              <w:t>-5.6</w:t>
            </w:r>
          </w:p>
        </w:tc>
        <w:tc>
          <w:tcPr>
            <w:tcW w:w="893" w:type="dxa"/>
            <w:tcBorders>
              <w:top w:val="nil"/>
              <w:left w:val="nil"/>
              <w:bottom w:val="nil"/>
              <w:right w:val="nil"/>
            </w:tcBorders>
            <w:vAlign w:val="bottom"/>
            <w:hideMark/>
          </w:tcPr>
          <w:p w14:paraId="6DF86E32" w14:textId="77777777" w:rsidR="004B4D18" w:rsidRPr="00AF3ED2" w:rsidRDefault="004B4D18" w:rsidP="00FC36C1">
            <w:pPr>
              <w:jc w:val="right"/>
              <w:rPr>
                <w:color w:val="000000" w:themeColor="text1"/>
                <w:sz w:val="20"/>
                <w:szCs w:val="20"/>
              </w:rPr>
            </w:pPr>
            <w:r w:rsidRPr="00AF3ED2">
              <w:rPr>
                <w:color w:val="000000" w:themeColor="text1"/>
                <w:sz w:val="20"/>
                <w:szCs w:val="20"/>
              </w:rPr>
              <w:t>14.0</w:t>
            </w:r>
          </w:p>
        </w:tc>
        <w:tc>
          <w:tcPr>
            <w:tcW w:w="803" w:type="dxa"/>
            <w:tcBorders>
              <w:top w:val="nil"/>
              <w:left w:val="nil"/>
              <w:bottom w:val="nil"/>
              <w:right w:val="nil"/>
            </w:tcBorders>
            <w:vAlign w:val="bottom"/>
            <w:hideMark/>
          </w:tcPr>
          <w:p w14:paraId="6EA863F4" w14:textId="77777777" w:rsidR="004B4D18" w:rsidRPr="00AF3ED2" w:rsidRDefault="004B4D18" w:rsidP="00FC36C1">
            <w:pPr>
              <w:jc w:val="right"/>
              <w:rPr>
                <w:color w:val="000000" w:themeColor="text1"/>
                <w:sz w:val="20"/>
                <w:szCs w:val="20"/>
              </w:rPr>
            </w:pPr>
            <w:r w:rsidRPr="00AF3ED2">
              <w:rPr>
                <w:color w:val="000000" w:themeColor="text1"/>
                <w:sz w:val="20"/>
                <w:szCs w:val="20"/>
              </w:rPr>
              <w:t>10.0</w:t>
            </w:r>
          </w:p>
        </w:tc>
        <w:tc>
          <w:tcPr>
            <w:tcW w:w="846" w:type="dxa"/>
            <w:tcBorders>
              <w:top w:val="nil"/>
              <w:left w:val="nil"/>
              <w:bottom w:val="nil"/>
              <w:right w:val="nil"/>
            </w:tcBorders>
            <w:vAlign w:val="bottom"/>
            <w:hideMark/>
          </w:tcPr>
          <w:p w14:paraId="4D0F8824" w14:textId="77777777" w:rsidR="004B4D18" w:rsidRPr="00AF3ED2" w:rsidRDefault="004B4D18" w:rsidP="00FC36C1">
            <w:pPr>
              <w:jc w:val="right"/>
              <w:rPr>
                <w:color w:val="000000" w:themeColor="text1"/>
                <w:sz w:val="20"/>
                <w:szCs w:val="20"/>
              </w:rPr>
            </w:pPr>
            <w:r w:rsidRPr="00AF3ED2">
              <w:rPr>
                <w:color w:val="000000" w:themeColor="text1"/>
                <w:sz w:val="20"/>
                <w:szCs w:val="20"/>
              </w:rPr>
              <w:t>9.6</w:t>
            </w:r>
          </w:p>
        </w:tc>
      </w:tr>
      <w:tr w:rsidR="004B4D18" w:rsidRPr="00AF3ED2" w14:paraId="0E0E7721" w14:textId="77777777" w:rsidTr="00FC36C1">
        <w:trPr>
          <w:trHeight w:val="332"/>
          <w:jc w:val="center"/>
        </w:trPr>
        <w:tc>
          <w:tcPr>
            <w:tcW w:w="4807" w:type="dxa"/>
            <w:tcBorders>
              <w:top w:val="nil"/>
              <w:left w:val="nil"/>
              <w:bottom w:val="nil"/>
              <w:right w:val="nil"/>
            </w:tcBorders>
            <w:shd w:val="clear" w:color="auto" w:fill="FFFFFF"/>
            <w:noWrap/>
            <w:hideMark/>
          </w:tcPr>
          <w:p w14:paraId="199534E7"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leather and related products</w:t>
            </w:r>
          </w:p>
        </w:tc>
        <w:tc>
          <w:tcPr>
            <w:tcW w:w="845" w:type="dxa"/>
            <w:tcBorders>
              <w:top w:val="nil"/>
              <w:left w:val="nil"/>
              <w:bottom w:val="nil"/>
              <w:right w:val="nil"/>
            </w:tcBorders>
            <w:vAlign w:val="bottom"/>
            <w:hideMark/>
          </w:tcPr>
          <w:p w14:paraId="0C1B4D86" w14:textId="77777777" w:rsidR="004B4D18" w:rsidRPr="00AF3ED2" w:rsidRDefault="004B4D18" w:rsidP="00FC36C1">
            <w:pPr>
              <w:jc w:val="right"/>
              <w:rPr>
                <w:color w:val="000000" w:themeColor="text1"/>
                <w:sz w:val="20"/>
                <w:szCs w:val="20"/>
              </w:rPr>
            </w:pPr>
            <w:r w:rsidRPr="00AF3ED2">
              <w:rPr>
                <w:color w:val="000000" w:themeColor="text1"/>
                <w:sz w:val="20"/>
                <w:szCs w:val="20"/>
              </w:rPr>
              <w:t>12.2</w:t>
            </w:r>
          </w:p>
        </w:tc>
        <w:tc>
          <w:tcPr>
            <w:tcW w:w="846" w:type="dxa"/>
            <w:tcBorders>
              <w:top w:val="nil"/>
              <w:left w:val="nil"/>
              <w:bottom w:val="nil"/>
              <w:right w:val="nil"/>
            </w:tcBorders>
            <w:vAlign w:val="bottom"/>
            <w:hideMark/>
          </w:tcPr>
          <w:p w14:paraId="0E79CBB9" w14:textId="77777777" w:rsidR="004B4D18" w:rsidRPr="00AF3ED2" w:rsidRDefault="004B4D18" w:rsidP="00FC36C1">
            <w:pPr>
              <w:jc w:val="right"/>
              <w:rPr>
                <w:color w:val="000000" w:themeColor="text1"/>
                <w:sz w:val="20"/>
                <w:szCs w:val="20"/>
              </w:rPr>
            </w:pPr>
            <w:r w:rsidRPr="00AF3ED2">
              <w:rPr>
                <w:color w:val="000000" w:themeColor="text1"/>
                <w:sz w:val="20"/>
                <w:szCs w:val="20"/>
              </w:rPr>
              <w:t>-2.9</w:t>
            </w:r>
          </w:p>
        </w:tc>
        <w:tc>
          <w:tcPr>
            <w:tcW w:w="893" w:type="dxa"/>
            <w:tcBorders>
              <w:top w:val="nil"/>
              <w:left w:val="nil"/>
              <w:bottom w:val="nil"/>
              <w:right w:val="nil"/>
            </w:tcBorders>
            <w:vAlign w:val="bottom"/>
            <w:hideMark/>
          </w:tcPr>
          <w:p w14:paraId="71893AF7" w14:textId="77777777" w:rsidR="004B4D18" w:rsidRPr="00AF3ED2" w:rsidRDefault="004B4D18" w:rsidP="00FC36C1">
            <w:pPr>
              <w:jc w:val="right"/>
              <w:rPr>
                <w:color w:val="000000" w:themeColor="text1"/>
                <w:sz w:val="20"/>
                <w:szCs w:val="20"/>
              </w:rPr>
            </w:pPr>
            <w:r w:rsidRPr="00AF3ED2">
              <w:rPr>
                <w:color w:val="000000" w:themeColor="text1"/>
                <w:sz w:val="20"/>
                <w:szCs w:val="20"/>
              </w:rPr>
              <w:t>6.7</w:t>
            </w:r>
          </w:p>
        </w:tc>
        <w:tc>
          <w:tcPr>
            <w:tcW w:w="803" w:type="dxa"/>
            <w:tcBorders>
              <w:top w:val="nil"/>
              <w:left w:val="nil"/>
              <w:bottom w:val="nil"/>
              <w:right w:val="nil"/>
            </w:tcBorders>
            <w:vAlign w:val="bottom"/>
            <w:hideMark/>
          </w:tcPr>
          <w:p w14:paraId="38A80FDD" w14:textId="77777777" w:rsidR="004B4D18" w:rsidRPr="00AF3ED2" w:rsidRDefault="004B4D18" w:rsidP="00FC36C1">
            <w:pPr>
              <w:jc w:val="right"/>
              <w:rPr>
                <w:color w:val="000000" w:themeColor="text1"/>
                <w:sz w:val="20"/>
                <w:szCs w:val="20"/>
              </w:rPr>
            </w:pPr>
            <w:r w:rsidRPr="00AF3ED2">
              <w:rPr>
                <w:color w:val="000000" w:themeColor="text1"/>
                <w:sz w:val="20"/>
                <w:szCs w:val="20"/>
              </w:rPr>
              <w:t>17.6</w:t>
            </w:r>
          </w:p>
        </w:tc>
        <w:tc>
          <w:tcPr>
            <w:tcW w:w="846" w:type="dxa"/>
            <w:tcBorders>
              <w:top w:val="nil"/>
              <w:left w:val="nil"/>
              <w:bottom w:val="nil"/>
              <w:right w:val="nil"/>
            </w:tcBorders>
            <w:vAlign w:val="bottom"/>
            <w:hideMark/>
          </w:tcPr>
          <w:p w14:paraId="22756E20" w14:textId="77777777" w:rsidR="004B4D18" w:rsidRPr="00AF3ED2" w:rsidRDefault="004B4D18" w:rsidP="00FC36C1">
            <w:pPr>
              <w:jc w:val="right"/>
              <w:rPr>
                <w:color w:val="000000" w:themeColor="text1"/>
                <w:sz w:val="20"/>
                <w:szCs w:val="20"/>
              </w:rPr>
            </w:pPr>
            <w:r w:rsidRPr="00AF3ED2">
              <w:rPr>
                <w:color w:val="000000" w:themeColor="text1"/>
                <w:sz w:val="20"/>
                <w:szCs w:val="20"/>
              </w:rPr>
              <w:t>4.4</w:t>
            </w:r>
          </w:p>
        </w:tc>
      </w:tr>
      <w:tr w:rsidR="004B4D18" w:rsidRPr="00AF3ED2" w14:paraId="7576DF3E" w14:textId="77777777" w:rsidTr="00FC36C1">
        <w:trPr>
          <w:trHeight w:val="332"/>
          <w:jc w:val="center"/>
        </w:trPr>
        <w:tc>
          <w:tcPr>
            <w:tcW w:w="4807" w:type="dxa"/>
            <w:tcBorders>
              <w:top w:val="nil"/>
              <w:left w:val="nil"/>
              <w:bottom w:val="nil"/>
              <w:right w:val="nil"/>
            </w:tcBorders>
            <w:shd w:val="clear" w:color="auto" w:fill="FFFFFF"/>
            <w:noWrap/>
            <w:hideMark/>
          </w:tcPr>
          <w:p w14:paraId="5BFCD4A0"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paper and paper products</w:t>
            </w:r>
          </w:p>
        </w:tc>
        <w:tc>
          <w:tcPr>
            <w:tcW w:w="845" w:type="dxa"/>
            <w:tcBorders>
              <w:top w:val="nil"/>
              <w:left w:val="nil"/>
              <w:bottom w:val="nil"/>
              <w:right w:val="nil"/>
            </w:tcBorders>
            <w:vAlign w:val="bottom"/>
            <w:hideMark/>
          </w:tcPr>
          <w:p w14:paraId="0D75DB57" w14:textId="77777777" w:rsidR="004B4D18" w:rsidRPr="00AF3ED2" w:rsidRDefault="004B4D18" w:rsidP="00FC36C1">
            <w:pPr>
              <w:jc w:val="right"/>
              <w:rPr>
                <w:color w:val="000000" w:themeColor="text1"/>
                <w:sz w:val="20"/>
                <w:szCs w:val="20"/>
              </w:rPr>
            </w:pPr>
            <w:r w:rsidRPr="00AF3ED2">
              <w:rPr>
                <w:color w:val="000000" w:themeColor="text1"/>
                <w:sz w:val="20"/>
                <w:szCs w:val="20"/>
              </w:rPr>
              <w:t>9.9</w:t>
            </w:r>
          </w:p>
        </w:tc>
        <w:tc>
          <w:tcPr>
            <w:tcW w:w="846" w:type="dxa"/>
            <w:tcBorders>
              <w:top w:val="nil"/>
              <w:left w:val="nil"/>
              <w:bottom w:val="nil"/>
              <w:right w:val="nil"/>
            </w:tcBorders>
            <w:vAlign w:val="bottom"/>
            <w:hideMark/>
          </w:tcPr>
          <w:p w14:paraId="7D6C4A94" w14:textId="77777777" w:rsidR="004B4D18" w:rsidRPr="00AF3ED2" w:rsidRDefault="004B4D18" w:rsidP="00FC36C1">
            <w:pPr>
              <w:jc w:val="right"/>
              <w:rPr>
                <w:color w:val="000000" w:themeColor="text1"/>
                <w:sz w:val="20"/>
                <w:szCs w:val="20"/>
              </w:rPr>
            </w:pPr>
            <w:r w:rsidRPr="00AF3ED2">
              <w:rPr>
                <w:color w:val="000000" w:themeColor="text1"/>
                <w:sz w:val="20"/>
                <w:szCs w:val="20"/>
              </w:rPr>
              <w:t>-9.2</w:t>
            </w:r>
          </w:p>
        </w:tc>
        <w:tc>
          <w:tcPr>
            <w:tcW w:w="893" w:type="dxa"/>
            <w:tcBorders>
              <w:top w:val="nil"/>
              <w:left w:val="nil"/>
              <w:bottom w:val="nil"/>
              <w:right w:val="nil"/>
            </w:tcBorders>
            <w:vAlign w:val="bottom"/>
            <w:hideMark/>
          </w:tcPr>
          <w:p w14:paraId="3E7615E3" w14:textId="77777777" w:rsidR="004B4D18" w:rsidRPr="00AF3ED2" w:rsidRDefault="004B4D18" w:rsidP="00FC36C1">
            <w:pPr>
              <w:jc w:val="right"/>
              <w:rPr>
                <w:color w:val="000000" w:themeColor="text1"/>
                <w:sz w:val="20"/>
                <w:szCs w:val="20"/>
              </w:rPr>
            </w:pPr>
            <w:r w:rsidRPr="00AF3ED2">
              <w:rPr>
                <w:color w:val="000000" w:themeColor="text1"/>
                <w:sz w:val="20"/>
                <w:szCs w:val="20"/>
              </w:rPr>
              <w:t>8.9</w:t>
            </w:r>
          </w:p>
        </w:tc>
        <w:tc>
          <w:tcPr>
            <w:tcW w:w="803" w:type="dxa"/>
            <w:tcBorders>
              <w:top w:val="nil"/>
              <w:left w:val="nil"/>
              <w:bottom w:val="nil"/>
              <w:right w:val="nil"/>
            </w:tcBorders>
            <w:vAlign w:val="bottom"/>
            <w:hideMark/>
          </w:tcPr>
          <w:p w14:paraId="533284B3" w14:textId="77777777" w:rsidR="004B4D18" w:rsidRPr="00AF3ED2" w:rsidRDefault="004B4D18" w:rsidP="00FC36C1">
            <w:pPr>
              <w:jc w:val="right"/>
              <w:rPr>
                <w:color w:val="000000" w:themeColor="text1"/>
                <w:sz w:val="20"/>
                <w:szCs w:val="20"/>
              </w:rPr>
            </w:pPr>
            <w:r w:rsidRPr="00AF3ED2">
              <w:rPr>
                <w:color w:val="000000" w:themeColor="text1"/>
                <w:sz w:val="20"/>
                <w:szCs w:val="20"/>
              </w:rPr>
              <w:t>7.7</w:t>
            </w:r>
          </w:p>
        </w:tc>
        <w:tc>
          <w:tcPr>
            <w:tcW w:w="846" w:type="dxa"/>
            <w:tcBorders>
              <w:top w:val="nil"/>
              <w:left w:val="nil"/>
              <w:bottom w:val="nil"/>
              <w:right w:val="nil"/>
            </w:tcBorders>
            <w:vAlign w:val="bottom"/>
            <w:hideMark/>
          </w:tcPr>
          <w:p w14:paraId="54199BB2" w14:textId="77777777" w:rsidR="004B4D18" w:rsidRPr="00AF3ED2" w:rsidRDefault="004B4D18" w:rsidP="00FC36C1">
            <w:pPr>
              <w:jc w:val="right"/>
              <w:rPr>
                <w:color w:val="000000" w:themeColor="text1"/>
                <w:sz w:val="20"/>
                <w:szCs w:val="20"/>
              </w:rPr>
            </w:pPr>
            <w:r w:rsidRPr="00AF3ED2">
              <w:rPr>
                <w:color w:val="000000" w:themeColor="text1"/>
                <w:sz w:val="20"/>
                <w:szCs w:val="20"/>
              </w:rPr>
              <w:t>9.6</w:t>
            </w:r>
          </w:p>
        </w:tc>
      </w:tr>
      <w:tr w:rsidR="004B4D18" w:rsidRPr="00AF3ED2" w14:paraId="36A9275C" w14:textId="77777777" w:rsidTr="00FC36C1">
        <w:trPr>
          <w:trHeight w:val="332"/>
          <w:jc w:val="center"/>
        </w:trPr>
        <w:tc>
          <w:tcPr>
            <w:tcW w:w="4807" w:type="dxa"/>
            <w:tcBorders>
              <w:top w:val="nil"/>
              <w:left w:val="nil"/>
              <w:bottom w:val="nil"/>
              <w:right w:val="nil"/>
            </w:tcBorders>
            <w:shd w:val="clear" w:color="auto" w:fill="FFFFFF"/>
            <w:noWrap/>
            <w:hideMark/>
          </w:tcPr>
          <w:p w14:paraId="6C5F36B8"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chemicals and chemical products</w:t>
            </w:r>
          </w:p>
        </w:tc>
        <w:tc>
          <w:tcPr>
            <w:tcW w:w="845" w:type="dxa"/>
            <w:tcBorders>
              <w:top w:val="nil"/>
              <w:left w:val="nil"/>
              <w:bottom w:val="nil"/>
              <w:right w:val="nil"/>
            </w:tcBorders>
            <w:vAlign w:val="bottom"/>
            <w:hideMark/>
          </w:tcPr>
          <w:p w14:paraId="1BC331F3" w14:textId="77777777" w:rsidR="004B4D18" w:rsidRPr="00AF3ED2" w:rsidRDefault="004B4D18" w:rsidP="00FC36C1">
            <w:pPr>
              <w:jc w:val="right"/>
              <w:rPr>
                <w:color w:val="000000" w:themeColor="text1"/>
                <w:sz w:val="20"/>
                <w:szCs w:val="20"/>
              </w:rPr>
            </w:pPr>
            <w:r w:rsidRPr="00AF3ED2">
              <w:rPr>
                <w:color w:val="000000" w:themeColor="text1"/>
                <w:sz w:val="20"/>
                <w:szCs w:val="20"/>
              </w:rPr>
              <w:t>4.5</w:t>
            </w:r>
          </w:p>
        </w:tc>
        <w:tc>
          <w:tcPr>
            <w:tcW w:w="846" w:type="dxa"/>
            <w:tcBorders>
              <w:top w:val="nil"/>
              <w:left w:val="nil"/>
              <w:bottom w:val="nil"/>
              <w:right w:val="nil"/>
            </w:tcBorders>
            <w:vAlign w:val="bottom"/>
            <w:hideMark/>
          </w:tcPr>
          <w:p w14:paraId="2A5FE98E" w14:textId="77777777" w:rsidR="004B4D18" w:rsidRPr="00AF3ED2" w:rsidRDefault="004B4D18" w:rsidP="00FC36C1">
            <w:pPr>
              <w:jc w:val="right"/>
              <w:rPr>
                <w:color w:val="000000" w:themeColor="text1"/>
                <w:sz w:val="20"/>
                <w:szCs w:val="20"/>
              </w:rPr>
            </w:pPr>
            <w:r w:rsidRPr="00AF3ED2">
              <w:rPr>
                <w:color w:val="000000" w:themeColor="text1"/>
                <w:sz w:val="20"/>
                <w:szCs w:val="20"/>
              </w:rPr>
              <w:t>1.8</w:t>
            </w:r>
          </w:p>
        </w:tc>
        <w:tc>
          <w:tcPr>
            <w:tcW w:w="893" w:type="dxa"/>
            <w:tcBorders>
              <w:top w:val="nil"/>
              <w:left w:val="nil"/>
              <w:bottom w:val="nil"/>
              <w:right w:val="nil"/>
            </w:tcBorders>
            <w:vAlign w:val="bottom"/>
            <w:hideMark/>
          </w:tcPr>
          <w:p w14:paraId="3C8FC1DB" w14:textId="77777777" w:rsidR="004B4D18" w:rsidRPr="00AF3ED2" w:rsidRDefault="004B4D18" w:rsidP="00FC36C1">
            <w:pPr>
              <w:jc w:val="right"/>
              <w:rPr>
                <w:color w:val="000000" w:themeColor="text1"/>
                <w:sz w:val="20"/>
                <w:szCs w:val="20"/>
              </w:rPr>
            </w:pPr>
            <w:r w:rsidRPr="00AF3ED2">
              <w:rPr>
                <w:color w:val="000000" w:themeColor="text1"/>
                <w:sz w:val="20"/>
                <w:szCs w:val="20"/>
              </w:rPr>
              <w:t>23.9</w:t>
            </w:r>
          </w:p>
        </w:tc>
        <w:tc>
          <w:tcPr>
            <w:tcW w:w="803" w:type="dxa"/>
            <w:tcBorders>
              <w:top w:val="nil"/>
              <w:left w:val="nil"/>
              <w:bottom w:val="nil"/>
              <w:right w:val="nil"/>
            </w:tcBorders>
            <w:vAlign w:val="bottom"/>
            <w:hideMark/>
          </w:tcPr>
          <w:p w14:paraId="720CBD28" w14:textId="77777777" w:rsidR="004B4D18" w:rsidRPr="00AF3ED2" w:rsidRDefault="004B4D18" w:rsidP="00FC36C1">
            <w:pPr>
              <w:jc w:val="right"/>
              <w:rPr>
                <w:color w:val="000000" w:themeColor="text1"/>
                <w:sz w:val="20"/>
                <w:szCs w:val="20"/>
              </w:rPr>
            </w:pPr>
            <w:r w:rsidRPr="00AF3ED2">
              <w:rPr>
                <w:color w:val="000000" w:themeColor="text1"/>
                <w:sz w:val="20"/>
                <w:szCs w:val="20"/>
              </w:rPr>
              <w:t>5.5</w:t>
            </w:r>
          </w:p>
        </w:tc>
        <w:tc>
          <w:tcPr>
            <w:tcW w:w="846" w:type="dxa"/>
            <w:tcBorders>
              <w:top w:val="nil"/>
              <w:left w:val="nil"/>
              <w:bottom w:val="nil"/>
              <w:right w:val="nil"/>
            </w:tcBorders>
            <w:vAlign w:val="bottom"/>
            <w:hideMark/>
          </w:tcPr>
          <w:p w14:paraId="6DC1961F" w14:textId="77777777" w:rsidR="004B4D18" w:rsidRPr="00AF3ED2" w:rsidRDefault="004B4D18" w:rsidP="00FC36C1">
            <w:pPr>
              <w:jc w:val="right"/>
              <w:rPr>
                <w:color w:val="000000" w:themeColor="text1"/>
                <w:sz w:val="20"/>
                <w:szCs w:val="20"/>
              </w:rPr>
            </w:pPr>
            <w:r w:rsidRPr="00AF3ED2">
              <w:rPr>
                <w:color w:val="000000" w:themeColor="text1"/>
                <w:sz w:val="20"/>
                <w:szCs w:val="20"/>
              </w:rPr>
              <w:t>20.6</w:t>
            </w:r>
          </w:p>
        </w:tc>
      </w:tr>
      <w:tr w:rsidR="004B4D18" w:rsidRPr="00AF3ED2" w14:paraId="0C888F33" w14:textId="77777777" w:rsidTr="00FC36C1">
        <w:trPr>
          <w:trHeight w:val="332"/>
          <w:jc w:val="center"/>
        </w:trPr>
        <w:tc>
          <w:tcPr>
            <w:tcW w:w="4807" w:type="dxa"/>
            <w:tcBorders>
              <w:top w:val="nil"/>
              <w:left w:val="nil"/>
              <w:bottom w:val="nil"/>
              <w:right w:val="nil"/>
            </w:tcBorders>
            <w:shd w:val="clear" w:color="auto" w:fill="FFFFFF"/>
            <w:noWrap/>
            <w:hideMark/>
          </w:tcPr>
          <w:p w14:paraId="1257D741"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rubber and plastic products</w:t>
            </w:r>
          </w:p>
        </w:tc>
        <w:tc>
          <w:tcPr>
            <w:tcW w:w="845" w:type="dxa"/>
            <w:tcBorders>
              <w:top w:val="nil"/>
              <w:left w:val="nil"/>
              <w:bottom w:val="nil"/>
              <w:right w:val="nil"/>
            </w:tcBorders>
            <w:vAlign w:val="bottom"/>
            <w:hideMark/>
          </w:tcPr>
          <w:p w14:paraId="4EE9A27E" w14:textId="77777777" w:rsidR="004B4D18" w:rsidRPr="00AF3ED2" w:rsidRDefault="004B4D18" w:rsidP="00FC36C1">
            <w:pPr>
              <w:jc w:val="right"/>
              <w:rPr>
                <w:color w:val="000000" w:themeColor="text1"/>
                <w:sz w:val="20"/>
                <w:szCs w:val="20"/>
              </w:rPr>
            </w:pPr>
            <w:r w:rsidRPr="00AF3ED2">
              <w:rPr>
                <w:color w:val="000000" w:themeColor="text1"/>
                <w:sz w:val="20"/>
                <w:szCs w:val="20"/>
              </w:rPr>
              <w:t>-14.6</w:t>
            </w:r>
          </w:p>
        </w:tc>
        <w:tc>
          <w:tcPr>
            <w:tcW w:w="846" w:type="dxa"/>
            <w:tcBorders>
              <w:top w:val="nil"/>
              <w:left w:val="nil"/>
              <w:bottom w:val="nil"/>
              <w:right w:val="nil"/>
            </w:tcBorders>
            <w:vAlign w:val="bottom"/>
            <w:hideMark/>
          </w:tcPr>
          <w:p w14:paraId="740B995B" w14:textId="77777777" w:rsidR="004B4D18" w:rsidRPr="00AF3ED2" w:rsidRDefault="004B4D18" w:rsidP="00FC36C1">
            <w:pPr>
              <w:jc w:val="right"/>
              <w:rPr>
                <w:color w:val="000000" w:themeColor="text1"/>
                <w:sz w:val="20"/>
                <w:szCs w:val="20"/>
              </w:rPr>
            </w:pPr>
            <w:r w:rsidRPr="00AF3ED2">
              <w:rPr>
                <w:color w:val="000000" w:themeColor="text1"/>
                <w:sz w:val="20"/>
                <w:szCs w:val="20"/>
              </w:rPr>
              <w:t>6.2</w:t>
            </w:r>
          </w:p>
        </w:tc>
        <w:tc>
          <w:tcPr>
            <w:tcW w:w="893" w:type="dxa"/>
            <w:tcBorders>
              <w:top w:val="nil"/>
              <w:left w:val="nil"/>
              <w:bottom w:val="nil"/>
              <w:right w:val="nil"/>
            </w:tcBorders>
            <w:vAlign w:val="bottom"/>
            <w:hideMark/>
          </w:tcPr>
          <w:p w14:paraId="7C07333D" w14:textId="77777777" w:rsidR="004B4D18" w:rsidRPr="00AF3ED2" w:rsidRDefault="004B4D18" w:rsidP="00FC36C1">
            <w:pPr>
              <w:jc w:val="right"/>
              <w:rPr>
                <w:color w:val="000000" w:themeColor="text1"/>
                <w:sz w:val="20"/>
                <w:szCs w:val="20"/>
              </w:rPr>
            </w:pPr>
            <w:r w:rsidRPr="00AF3ED2">
              <w:rPr>
                <w:color w:val="000000" w:themeColor="text1"/>
                <w:sz w:val="20"/>
                <w:szCs w:val="20"/>
              </w:rPr>
              <w:t>28.3</w:t>
            </w:r>
          </w:p>
        </w:tc>
        <w:tc>
          <w:tcPr>
            <w:tcW w:w="803" w:type="dxa"/>
            <w:tcBorders>
              <w:top w:val="nil"/>
              <w:left w:val="nil"/>
              <w:bottom w:val="nil"/>
              <w:right w:val="nil"/>
            </w:tcBorders>
            <w:vAlign w:val="bottom"/>
            <w:hideMark/>
          </w:tcPr>
          <w:p w14:paraId="3B459CAD" w14:textId="77777777" w:rsidR="004B4D18" w:rsidRPr="00AF3ED2" w:rsidRDefault="004B4D18" w:rsidP="00FC36C1">
            <w:pPr>
              <w:jc w:val="right"/>
              <w:rPr>
                <w:color w:val="000000" w:themeColor="text1"/>
                <w:sz w:val="20"/>
                <w:szCs w:val="20"/>
              </w:rPr>
            </w:pPr>
            <w:r w:rsidRPr="00AF3ED2">
              <w:rPr>
                <w:color w:val="000000" w:themeColor="text1"/>
                <w:sz w:val="20"/>
                <w:szCs w:val="20"/>
              </w:rPr>
              <w:t>15.8</w:t>
            </w:r>
          </w:p>
        </w:tc>
        <w:tc>
          <w:tcPr>
            <w:tcW w:w="846" w:type="dxa"/>
            <w:tcBorders>
              <w:top w:val="nil"/>
              <w:left w:val="nil"/>
              <w:bottom w:val="nil"/>
              <w:right w:val="nil"/>
            </w:tcBorders>
            <w:vAlign w:val="bottom"/>
            <w:hideMark/>
          </w:tcPr>
          <w:p w14:paraId="789879E0" w14:textId="77777777" w:rsidR="004B4D18" w:rsidRPr="00AF3ED2" w:rsidRDefault="004B4D18" w:rsidP="00FC36C1">
            <w:pPr>
              <w:jc w:val="right"/>
              <w:rPr>
                <w:color w:val="000000" w:themeColor="text1"/>
                <w:sz w:val="20"/>
                <w:szCs w:val="20"/>
              </w:rPr>
            </w:pPr>
            <w:r w:rsidRPr="00AF3ED2">
              <w:rPr>
                <w:color w:val="000000" w:themeColor="text1"/>
                <w:sz w:val="20"/>
                <w:szCs w:val="20"/>
              </w:rPr>
              <w:t>9.1</w:t>
            </w:r>
          </w:p>
        </w:tc>
      </w:tr>
      <w:tr w:rsidR="004B4D18" w:rsidRPr="00AF3ED2" w14:paraId="18AD9489" w14:textId="77777777" w:rsidTr="00FC36C1">
        <w:trPr>
          <w:trHeight w:val="332"/>
          <w:jc w:val="center"/>
        </w:trPr>
        <w:tc>
          <w:tcPr>
            <w:tcW w:w="4807" w:type="dxa"/>
            <w:tcBorders>
              <w:top w:val="nil"/>
              <w:left w:val="nil"/>
              <w:bottom w:val="nil"/>
              <w:right w:val="nil"/>
            </w:tcBorders>
            <w:shd w:val="clear" w:color="auto" w:fill="FFFFFF"/>
            <w:noWrap/>
            <w:hideMark/>
          </w:tcPr>
          <w:p w14:paraId="6DEA3EB6"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other non-metallic mineral products</w:t>
            </w:r>
          </w:p>
        </w:tc>
        <w:tc>
          <w:tcPr>
            <w:tcW w:w="845" w:type="dxa"/>
            <w:tcBorders>
              <w:top w:val="nil"/>
              <w:left w:val="nil"/>
              <w:bottom w:val="nil"/>
              <w:right w:val="nil"/>
            </w:tcBorders>
            <w:vAlign w:val="bottom"/>
            <w:hideMark/>
          </w:tcPr>
          <w:p w14:paraId="4E74CC3E" w14:textId="77777777" w:rsidR="004B4D18" w:rsidRPr="00AF3ED2" w:rsidRDefault="004B4D18" w:rsidP="00FC36C1">
            <w:pPr>
              <w:jc w:val="right"/>
              <w:rPr>
                <w:color w:val="000000" w:themeColor="text1"/>
                <w:sz w:val="20"/>
                <w:szCs w:val="20"/>
              </w:rPr>
            </w:pPr>
            <w:r w:rsidRPr="00AF3ED2">
              <w:rPr>
                <w:color w:val="000000" w:themeColor="text1"/>
                <w:sz w:val="20"/>
                <w:szCs w:val="20"/>
              </w:rPr>
              <w:t>6.9</w:t>
            </w:r>
          </w:p>
        </w:tc>
        <w:tc>
          <w:tcPr>
            <w:tcW w:w="846" w:type="dxa"/>
            <w:tcBorders>
              <w:top w:val="nil"/>
              <w:left w:val="nil"/>
              <w:bottom w:val="nil"/>
              <w:right w:val="nil"/>
            </w:tcBorders>
            <w:vAlign w:val="bottom"/>
            <w:hideMark/>
          </w:tcPr>
          <w:p w14:paraId="71CC57BD" w14:textId="77777777" w:rsidR="004B4D18" w:rsidRPr="00AF3ED2" w:rsidRDefault="004B4D18" w:rsidP="00FC36C1">
            <w:pPr>
              <w:jc w:val="right"/>
              <w:rPr>
                <w:color w:val="000000" w:themeColor="text1"/>
                <w:sz w:val="20"/>
                <w:szCs w:val="20"/>
              </w:rPr>
            </w:pPr>
            <w:r w:rsidRPr="00AF3ED2">
              <w:rPr>
                <w:color w:val="000000" w:themeColor="text1"/>
                <w:sz w:val="20"/>
                <w:szCs w:val="20"/>
              </w:rPr>
              <w:t>-6.2</w:t>
            </w:r>
          </w:p>
        </w:tc>
        <w:tc>
          <w:tcPr>
            <w:tcW w:w="893" w:type="dxa"/>
            <w:tcBorders>
              <w:top w:val="nil"/>
              <w:left w:val="nil"/>
              <w:bottom w:val="nil"/>
              <w:right w:val="nil"/>
            </w:tcBorders>
            <w:vAlign w:val="bottom"/>
            <w:hideMark/>
          </w:tcPr>
          <w:p w14:paraId="474ED91B" w14:textId="77777777" w:rsidR="004B4D18" w:rsidRPr="00AF3ED2" w:rsidRDefault="004B4D18" w:rsidP="00FC36C1">
            <w:pPr>
              <w:jc w:val="right"/>
              <w:rPr>
                <w:color w:val="000000" w:themeColor="text1"/>
                <w:sz w:val="20"/>
                <w:szCs w:val="20"/>
              </w:rPr>
            </w:pPr>
            <w:r w:rsidRPr="00AF3ED2">
              <w:rPr>
                <w:color w:val="000000" w:themeColor="text1"/>
                <w:sz w:val="20"/>
                <w:szCs w:val="20"/>
              </w:rPr>
              <w:t>-2.5</w:t>
            </w:r>
          </w:p>
        </w:tc>
        <w:tc>
          <w:tcPr>
            <w:tcW w:w="803" w:type="dxa"/>
            <w:tcBorders>
              <w:top w:val="nil"/>
              <w:left w:val="nil"/>
              <w:bottom w:val="nil"/>
              <w:right w:val="nil"/>
            </w:tcBorders>
            <w:vAlign w:val="bottom"/>
            <w:hideMark/>
          </w:tcPr>
          <w:p w14:paraId="36EBCCEE" w14:textId="77777777" w:rsidR="004B4D18" w:rsidRPr="00AF3ED2" w:rsidRDefault="004B4D18" w:rsidP="00FC36C1">
            <w:pPr>
              <w:jc w:val="right"/>
              <w:rPr>
                <w:color w:val="000000" w:themeColor="text1"/>
                <w:sz w:val="20"/>
                <w:szCs w:val="20"/>
              </w:rPr>
            </w:pPr>
            <w:r w:rsidRPr="00AF3ED2">
              <w:rPr>
                <w:color w:val="000000" w:themeColor="text1"/>
                <w:sz w:val="20"/>
                <w:szCs w:val="20"/>
              </w:rPr>
              <w:t>9.0</w:t>
            </w:r>
          </w:p>
        </w:tc>
        <w:tc>
          <w:tcPr>
            <w:tcW w:w="846" w:type="dxa"/>
            <w:tcBorders>
              <w:top w:val="nil"/>
              <w:left w:val="nil"/>
              <w:bottom w:val="nil"/>
              <w:right w:val="nil"/>
            </w:tcBorders>
            <w:vAlign w:val="bottom"/>
            <w:hideMark/>
          </w:tcPr>
          <w:p w14:paraId="0F21A46D" w14:textId="77777777" w:rsidR="004B4D18" w:rsidRPr="00AF3ED2" w:rsidRDefault="004B4D18" w:rsidP="00FC36C1">
            <w:pPr>
              <w:jc w:val="right"/>
              <w:rPr>
                <w:color w:val="000000" w:themeColor="text1"/>
                <w:sz w:val="20"/>
                <w:szCs w:val="20"/>
              </w:rPr>
            </w:pPr>
            <w:r w:rsidRPr="00AF3ED2">
              <w:rPr>
                <w:color w:val="000000" w:themeColor="text1"/>
                <w:sz w:val="20"/>
                <w:szCs w:val="20"/>
              </w:rPr>
              <w:t>17.9</w:t>
            </w:r>
          </w:p>
        </w:tc>
      </w:tr>
      <w:tr w:rsidR="004B4D18" w:rsidRPr="00AF3ED2" w14:paraId="1B2BEBBC" w14:textId="77777777" w:rsidTr="00FC36C1">
        <w:trPr>
          <w:trHeight w:val="332"/>
          <w:jc w:val="center"/>
        </w:trPr>
        <w:tc>
          <w:tcPr>
            <w:tcW w:w="4807" w:type="dxa"/>
            <w:tcBorders>
              <w:top w:val="nil"/>
              <w:left w:val="nil"/>
              <w:bottom w:val="nil"/>
              <w:right w:val="nil"/>
            </w:tcBorders>
            <w:shd w:val="clear" w:color="auto" w:fill="FFFFFF"/>
            <w:noWrap/>
            <w:hideMark/>
          </w:tcPr>
          <w:p w14:paraId="56280251"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basic metals</w:t>
            </w:r>
          </w:p>
        </w:tc>
        <w:tc>
          <w:tcPr>
            <w:tcW w:w="845" w:type="dxa"/>
            <w:tcBorders>
              <w:top w:val="nil"/>
              <w:left w:val="nil"/>
              <w:bottom w:val="nil"/>
              <w:right w:val="nil"/>
            </w:tcBorders>
            <w:vAlign w:val="bottom"/>
            <w:hideMark/>
          </w:tcPr>
          <w:p w14:paraId="57EDC041" w14:textId="77777777" w:rsidR="004B4D18" w:rsidRPr="00AF3ED2" w:rsidRDefault="004B4D18" w:rsidP="00FC36C1">
            <w:pPr>
              <w:jc w:val="right"/>
              <w:rPr>
                <w:color w:val="000000" w:themeColor="text1"/>
                <w:sz w:val="20"/>
                <w:szCs w:val="20"/>
              </w:rPr>
            </w:pPr>
            <w:r w:rsidRPr="00AF3ED2">
              <w:rPr>
                <w:color w:val="000000" w:themeColor="text1"/>
                <w:sz w:val="20"/>
                <w:szCs w:val="20"/>
              </w:rPr>
              <w:t>3.3</w:t>
            </w:r>
          </w:p>
        </w:tc>
        <w:tc>
          <w:tcPr>
            <w:tcW w:w="846" w:type="dxa"/>
            <w:tcBorders>
              <w:top w:val="nil"/>
              <w:left w:val="nil"/>
              <w:bottom w:val="nil"/>
              <w:right w:val="nil"/>
            </w:tcBorders>
            <w:vAlign w:val="bottom"/>
            <w:hideMark/>
          </w:tcPr>
          <w:p w14:paraId="56F56DDB" w14:textId="77777777" w:rsidR="004B4D18" w:rsidRPr="00AF3ED2" w:rsidRDefault="004B4D18" w:rsidP="00FC36C1">
            <w:pPr>
              <w:jc w:val="right"/>
              <w:rPr>
                <w:color w:val="000000" w:themeColor="text1"/>
                <w:sz w:val="20"/>
                <w:szCs w:val="20"/>
              </w:rPr>
            </w:pPr>
            <w:r w:rsidRPr="00AF3ED2">
              <w:rPr>
                <w:color w:val="000000" w:themeColor="text1"/>
                <w:sz w:val="20"/>
                <w:szCs w:val="20"/>
              </w:rPr>
              <w:t>-7.2</w:t>
            </w:r>
          </w:p>
        </w:tc>
        <w:tc>
          <w:tcPr>
            <w:tcW w:w="893" w:type="dxa"/>
            <w:tcBorders>
              <w:top w:val="nil"/>
              <w:left w:val="nil"/>
              <w:bottom w:val="nil"/>
              <w:right w:val="nil"/>
            </w:tcBorders>
            <w:vAlign w:val="bottom"/>
            <w:hideMark/>
          </w:tcPr>
          <w:p w14:paraId="20844825" w14:textId="77777777" w:rsidR="004B4D18" w:rsidRPr="00AF3ED2" w:rsidRDefault="004B4D18" w:rsidP="00FC36C1">
            <w:pPr>
              <w:jc w:val="right"/>
              <w:rPr>
                <w:color w:val="000000" w:themeColor="text1"/>
                <w:sz w:val="20"/>
                <w:szCs w:val="20"/>
              </w:rPr>
            </w:pPr>
            <w:r w:rsidRPr="00AF3ED2">
              <w:rPr>
                <w:color w:val="000000" w:themeColor="text1"/>
                <w:sz w:val="20"/>
                <w:szCs w:val="20"/>
              </w:rPr>
              <w:t>14.3</w:t>
            </w:r>
          </w:p>
        </w:tc>
        <w:tc>
          <w:tcPr>
            <w:tcW w:w="803" w:type="dxa"/>
            <w:tcBorders>
              <w:top w:val="nil"/>
              <w:left w:val="nil"/>
              <w:bottom w:val="nil"/>
              <w:right w:val="nil"/>
            </w:tcBorders>
            <w:vAlign w:val="bottom"/>
            <w:hideMark/>
          </w:tcPr>
          <w:p w14:paraId="0DD08843" w14:textId="77777777" w:rsidR="004B4D18" w:rsidRPr="00AF3ED2" w:rsidRDefault="004B4D18" w:rsidP="00FC36C1">
            <w:pPr>
              <w:jc w:val="right"/>
              <w:rPr>
                <w:color w:val="000000" w:themeColor="text1"/>
                <w:sz w:val="20"/>
                <w:szCs w:val="20"/>
              </w:rPr>
            </w:pPr>
            <w:r w:rsidRPr="00AF3ED2">
              <w:rPr>
                <w:color w:val="000000" w:themeColor="text1"/>
                <w:sz w:val="20"/>
                <w:szCs w:val="20"/>
              </w:rPr>
              <w:t>7.6</w:t>
            </w:r>
          </w:p>
        </w:tc>
        <w:tc>
          <w:tcPr>
            <w:tcW w:w="846" w:type="dxa"/>
            <w:tcBorders>
              <w:top w:val="nil"/>
              <w:left w:val="nil"/>
              <w:bottom w:val="nil"/>
              <w:right w:val="nil"/>
            </w:tcBorders>
            <w:vAlign w:val="bottom"/>
            <w:hideMark/>
          </w:tcPr>
          <w:p w14:paraId="14083D7F" w14:textId="77777777" w:rsidR="004B4D18" w:rsidRPr="00AF3ED2" w:rsidRDefault="004B4D18" w:rsidP="00FC36C1">
            <w:pPr>
              <w:jc w:val="right"/>
              <w:rPr>
                <w:color w:val="000000" w:themeColor="text1"/>
                <w:sz w:val="20"/>
                <w:szCs w:val="20"/>
              </w:rPr>
            </w:pPr>
            <w:r w:rsidRPr="00AF3ED2">
              <w:rPr>
                <w:color w:val="000000" w:themeColor="text1"/>
                <w:sz w:val="20"/>
                <w:szCs w:val="20"/>
              </w:rPr>
              <w:t>18.7</w:t>
            </w:r>
          </w:p>
        </w:tc>
      </w:tr>
      <w:tr w:rsidR="004B4D18" w:rsidRPr="00AF3ED2" w14:paraId="6E678CFA" w14:textId="77777777" w:rsidTr="00FC36C1">
        <w:trPr>
          <w:trHeight w:val="332"/>
          <w:jc w:val="center"/>
        </w:trPr>
        <w:tc>
          <w:tcPr>
            <w:tcW w:w="4807" w:type="dxa"/>
            <w:tcBorders>
              <w:top w:val="nil"/>
              <w:left w:val="nil"/>
              <w:bottom w:val="nil"/>
              <w:right w:val="nil"/>
            </w:tcBorders>
            <w:shd w:val="clear" w:color="auto" w:fill="FFFFFF"/>
            <w:noWrap/>
            <w:hideMark/>
          </w:tcPr>
          <w:p w14:paraId="7EFF406B"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computer, electronic and optical products</w:t>
            </w:r>
          </w:p>
        </w:tc>
        <w:tc>
          <w:tcPr>
            <w:tcW w:w="845" w:type="dxa"/>
            <w:tcBorders>
              <w:top w:val="nil"/>
              <w:left w:val="nil"/>
              <w:bottom w:val="nil"/>
              <w:right w:val="nil"/>
            </w:tcBorders>
            <w:vAlign w:val="bottom"/>
            <w:hideMark/>
          </w:tcPr>
          <w:p w14:paraId="215740C2" w14:textId="77777777" w:rsidR="004B4D18" w:rsidRPr="00AF3ED2" w:rsidRDefault="004B4D18" w:rsidP="00FC36C1">
            <w:pPr>
              <w:jc w:val="right"/>
              <w:rPr>
                <w:color w:val="000000" w:themeColor="text1"/>
                <w:sz w:val="20"/>
                <w:szCs w:val="20"/>
              </w:rPr>
            </w:pPr>
            <w:r w:rsidRPr="00AF3ED2">
              <w:rPr>
                <w:color w:val="000000" w:themeColor="text1"/>
                <w:sz w:val="20"/>
                <w:szCs w:val="20"/>
              </w:rPr>
              <w:t>10.4</w:t>
            </w:r>
          </w:p>
        </w:tc>
        <w:tc>
          <w:tcPr>
            <w:tcW w:w="846" w:type="dxa"/>
            <w:tcBorders>
              <w:top w:val="nil"/>
              <w:left w:val="nil"/>
              <w:bottom w:val="nil"/>
              <w:right w:val="nil"/>
            </w:tcBorders>
            <w:vAlign w:val="bottom"/>
            <w:hideMark/>
          </w:tcPr>
          <w:p w14:paraId="2B5C1DEE" w14:textId="77777777" w:rsidR="004B4D18" w:rsidRPr="00AF3ED2" w:rsidRDefault="004B4D18" w:rsidP="00FC36C1">
            <w:pPr>
              <w:jc w:val="right"/>
              <w:rPr>
                <w:color w:val="000000" w:themeColor="text1"/>
                <w:sz w:val="20"/>
                <w:szCs w:val="20"/>
              </w:rPr>
            </w:pPr>
            <w:r w:rsidRPr="00AF3ED2">
              <w:rPr>
                <w:color w:val="000000" w:themeColor="text1"/>
                <w:sz w:val="20"/>
                <w:szCs w:val="20"/>
              </w:rPr>
              <w:t>-5.0</w:t>
            </w:r>
          </w:p>
        </w:tc>
        <w:tc>
          <w:tcPr>
            <w:tcW w:w="893" w:type="dxa"/>
            <w:tcBorders>
              <w:top w:val="nil"/>
              <w:left w:val="nil"/>
              <w:bottom w:val="nil"/>
              <w:right w:val="nil"/>
            </w:tcBorders>
            <w:vAlign w:val="bottom"/>
            <w:hideMark/>
          </w:tcPr>
          <w:p w14:paraId="07F509EF" w14:textId="77777777" w:rsidR="004B4D18" w:rsidRPr="00AF3ED2" w:rsidRDefault="004B4D18" w:rsidP="00FC36C1">
            <w:pPr>
              <w:jc w:val="right"/>
              <w:rPr>
                <w:color w:val="000000" w:themeColor="text1"/>
                <w:sz w:val="20"/>
                <w:szCs w:val="20"/>
              </w:rPr>
            </w:pPr>
            <w:r w:rsidRPr="00AF3ED2">
              <w:rPr>
                <w:color w:val="000000" w:themeColor="text1"/>
                <w:sz w:val="20"/>
                <w:szCs w:val="20"/>
              </w:rPr>
              <w:t>3.2</w:t>
            </w:r>
          </w:p>
        </w:tc>
        <w:tc>
          <w:tcPr>
            <w:tcW w:w="803" w:type="dxa"/>
            <w:tcBorders>
              <w:top w:val="nil"/>
              <w:left w:val="nil"/>
              <w:bottom w:val="nil"/>
              <w:right w:val="nil"/>
            </w:tcBorders>
            <w:vAlign w:val="bottom"/>
            <w:hideMark/>
          </w:tcPr>
          <w:p w14:paraId="5E8ABA76" w14:textId="77777777" w:rsidR="004B4D18" w:rsidRPr="00AF3ED2" w:rsidRDefault="004B4D18" w:rsidP="00FC36C1">
            <w:pPr>
              <w:jc w:val="right"/>
              <w:rPr>
                <w:color w:val="000000" w:themeColor="text1"/>
                <w:sz w:val="20"/>
                <w:szCs w:val="20"/>
              </w:rPr>
            </w:pPr>
            <w:r w:rsidRPr="00AF3ED2">
              <w:rPr>
                <w:color w:val="000000" w:themeColor="text1"/>
                <w:sz w:val="20"/>
                <w:szCs w:val="20"/>
              </w:rPr>
              <w:t>9.9</w:t>
            </w:r>
          </w:p>
        </w:tc>
        <w:tc>
          <w:tcPr>
            <w:tcW w:w="846" w:type="dxa"/>
            <w:tcBorders>
              <w:top w:val="nil"/>
              <w:left w:val="nil"/>
              <w:bottom w:val="nil"/>
              <w:right w:val="nil"/>
            </w:tcBorders>
            <w:vAlign w:val="bottom"/>
            <w:hideMark/>
          </w:tcPr>
          <w:p w14:paraId="0B203A41" w14:textId="77777777" w:rsidR="004B4D18" w:rsidRPr="00AF3ED2" w:rsidRDefault="004B4D18" w:rsidP="00FC36C1">
            <w:pPr>
              <w:jc w:val="right"/>
              <w:rPr>
                <w:color w:val="000000" w:themeColor="text1"/>
                <w:sz w:val="20"/>
                <w:szCs w:val="20"/>
              </w:rPr>
            </w:pPr>
            <w:r w:rsidRPr="00AF3ED2">
              <w:rPr>
                <w:color w:val="000000" w:themeColor="text1"/>
                <w:sz w:val="20"/>
                <w:szCs w:val="20"/>
              </w:rPr>
              <w:t>8.4</w:t>
            </w:r>
          </w:p>
        </w:tc>
      </w:tr>
      <w:tr w:rsidR="004B4D18" w:rsidRPr="00AF3ED2" w14:paraId="5943B6F4" w14:textId="77777777" w:rsidTr="00FC36C1">
        <w:trPr>
          <w:trHeight w:val="332"/>
          <w:jc w:val="center"/>
        </w:trPr>
        <w:tc>
          <w:tcPr>
            <w:tcW w:w="4807" w:type="dxa"/>
            <w:tcBorders>
              <w:top w:val="nil"/>
              <w:left w:val="nil"/>
              <w:bottom w:val="nil"/>
              <w:right w:val="nil"/>
            </w:tcBorders>
            <w:shd w:val="clear" w:color="auto" w:fill="FFFFFF"/>
            <w:noWrap/>
            <w:hideMark/>
          </w:tcPr>
          <w:p w14:paraId="159849F6"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motor vehicles</w:t>
            </w:r>
          </w:p>
        </w:tc>
        <w:tc>
          <w:tcPr>
            <w:tcW w:w="845" w:type="dxa"/>
            <w:tcBorders>
              <w:top w:val="nil"/>
              <w:left w:val="nil"/>
              <w:bottom w:val="nil"/>
              <w:right w:val="nil"/>
            </w:tcBorders>
            <w:vAlign w:val="bottom"/>
            <w:hideMark/>
          </w:tcPr>
          <w:p w14:paraId="0E5A0EA7" w14:textId="77777777" w:rsidR="004B4D18" w:rsidRPr="00AF3ED2" w:rsidRDefault="004B4D18" w:rsidP="00FC36C1">
            <w:pPr>
              <w:jc w:val="right"/>
              <w:rPr>
                <w:color w:val="000000" w:themeColor="text1"/>
                <w:sz w:val="20"/>
                <w:szCs w:val="20"/>
              </w:rPr>
            </w:pPr>
            <w:r w:rsidRPr="00AF3ED2">
              <w:rPr>
                <w:color w:val="000000" w:themeColor="text1"/>
                <w:sz w:val="20"/>
                <w:szCs w:val="20"/>
              </w:rPr>
              <w:t>2.3</w:t>
            </w:r>
          </w:p>
        </w:tc>
        <w:tc>
          <w:tcPr>
            <w:tcW w:w="846" w:type="dxa"/>
            <w:tcBorders>
              <w:top w:val="nil"/>
              <w:left w:val="nil"/>
              <w:bottom w:val="nil"/>
              <w:right w:val="nil"/>
            </w:tcBorders>
            <w:vAlign w:val="bottom"/>
            <w:hideMark/>
          </w:tcPr>
          <w:p w14:paraId="2FF0DD8F" w14:textId="77777777" w:rsidR="004B4D18" w:rsidRPr="00AF3ED2" w:rsidRDefault="004B4D18" w:rsidP="00FC36C1">
            <w:pPr>
              <w:jc w:val="right"/>
              <w:rPr>
                <w:color w:val="000000" w:themeColor="text1"/>
                <w:sz w:val="20"/>
                <w:szCs w:val="20"/>
              </w:rPr>
            </w:pPr>
            <w:r w:rsidRPr="00AF3ED2">
              <w:rPr>
                <w:color w:val="000000" w:themeColor="text1"/>
                <w:sz w:val="20"/>
                <w:szCs w:val="20"/>
              </w:rPr>
              <w:t>-9.6</w:t>
            </w:r>
          </w:p>
        </w:tc>
        <w:tc>
          <w:tcPr>
            <w:tcW w:w="893" w:type="dxa"/>
            <w:tcBorders>
              <w:top w:val="nil"/>
              <w:left w:val="nil"/>
              <w:bottom w:val="nil"/>
              <w:right w:val="nil"/>
            </w:tcBorders>
            <w:vAlign w:val="bottom"/>
            <w:hideMark/>
          </w:tcPr>
          <w:p w14:paraId="467075F7" w14:textId="77777777" w:rsidR="004B4D18" w:rsidRPr="00AF3ED2" w:rsidRDefault="004B4D18" w:rsidP="00FC36C1">
            <w:pPr>
              <w:jc w:val="right"/>
              <w:rPr>
                <w:color w:val="000000" w:themeColor="text1"/>
                <w:sz w:val="20"/>
                <w:szCs w:val="20"/>
              </w:rPr>
            </w:pPr>
            <w:r w:rsidRPr="00AF3ED2">
              <w:rPr>
                <w:color w:val="000000" w:themeColor="text1"/>
                <w:sz w:val="20"/>
                <w:szCs w:val="20"/>
              </w:rPr>
              <w:t>2.9</w:t>
            </w:r>
          </w:p>
        </w:tc>
        <w:tc>
          <w:tcPr>
            <w:tcW w:w="803" w:type="dxa"/>
            <w:tcBorders>
              <w:top w:val="nil"/>
              <w:left w:val="nil"/>
              <w:bottom w:val="nil"/>
              <w:right w:val="nil"/>
            </w:tcBorders>
            <w:vAlign w:val="bottom"/>
            <w:hideMark/>
          </w:tcPr>
          <w:p w14:paraId="636A555A" w14:textId="77777777" w:rsidR="004B4D18" w:rsidRPr="00AF3ED2" w:rsidRDefault="004B4D18" w:rsidP="00FC36C1">
            <w:pPr>
              <w:jc w:val="right"/>
              <w:rPr>
                <w:color w:val="000000" w:themeColor="text1"/>
                <w:sz w:val="20"/>
                <w:szCs w:val="20"/>
              </w:rPr>
            </w:pPr>
            <w:r w:rsidRPr="00AF3ED2">
              <w:rPr>
                <w:color w:val="000000" w:themeColor="text1"/>
                <w:sz w:val="20"/>
                <w:szCs w:val="20"/>
              </w:rPr>
              <w:t>36.1</w:t>
            </w:r>
          </w:p>
        </w:tc>
        <w:tc>
          <w:tcPr>
            <w:tcW w:w="846" w:type="dxa"/>
            <w:tcBorders>
              <w:top w:val="nil"/>
              <w:left w:val="nil"/>
              <w:bottom w:val="nil"/>
              <w:right w:val="nil"/>
            </w:tcBorders>
            <w:vAlign w:val="bottom"/>
            <w:hideMark/>
          </w:tcPr>
          <w:p w14:paraId="0159489F" w14:textId="77777777" w:rsidR="004B4D18" w:rsidRPr="00AF3ED2" w:rsidRDefault="004B4D18" w:rsidP="00FC36C1">
            <w:pPr>
              <w:jc w:val="right"/>
              <w:rPr>
                <w:color w:val="000000" w:themeColor="text1"/>
                <w:sz w:val="20"/>
                <w:szCs w:val="20"/>
              </w:rPr>
            </w:pPr>
            <w:r w:rsidRPr="00AF3ED2">
              <w:rPr>
                <w:color w:val="000000" w:themeColor="text1"/>
                <w:sz w:val="20"/>
                <w:szCs w:val="20"/>
              </w:rPr>
              <w:t>17.0</w:t>
            </w:r>
          </w:p>
        </w:tc>
      </w:tr>
      <w:tr w:rsidR="004B4D18" w:rsidRPr="00AF3ED2" w14:paraId="6B7DF02C" w14:textId="77777777" w:rsidTr="00FC36C1">
        <w:trPr>
          <w:trHeight w:val="332"/>
          <w:jc w:val="center"/>
        </w:trPr>
        <w:tc>
          <w:tcPr>
            <w:tcW w:w="4807" w:type="dxa"/>
            <w:tcBorders>
              <w:top w:val="nil"/>
              <w:left w:val="nil"/>
              <w:bottom w:val="nil"/>
              <w:right w:val="nil"/>
            </w:tcBorders>
            <w:shd w:val="clear" w:color="auto" w:fill="FFFFFF"/>
            <w:noWrap/>
            <w:hideMark/>
          </w:tcPr>
          <w:p w14:paraId="15CE9B84"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other transport equipment</w:t>
            </w:r>
          </w:p>
        </w:tc>
        <w:tc>
          <w:tcPr>
            <w:tcW w:w="845" w:type="dxa"/>
            <w:tcBorders>
              <w:top w:val="nil"/>
              <w:left w:val="nil"/>
              <w:bottom w:val="nil"/>
              <w:right w:val="nil"/>
            </w:tcBorders>
            <w:vAlign w:val="bottom"/>
            <w:hideMark/>
          </w:tcPr>
          <w:p w14:paraId="3230D2F9" w14:textId="77777777" w:rsidR="004B4D18" w:rsidRPr="00AF3ED2" w:rsidRDefault="004B4D18" w:rsidP="00FC36C1">
            <w:pPr>
              <w:jc w:val="right"/>
              <w:rPr>
                <w:color w:val="000000" w:themeColor="text1"/>
                <w:sz w:val="20"/>
                <w:szCs w:val="20"/>
              </w:rPr>
            </w:pPr>
            <w:r w:rsidRPr="00AF3ED2">
              <w:rPr>
                <w:color w:val="000000" w:themeColor="text1"/>
                <w:sz w:val="20"/>
                <w:szCs w:val="20"/>
              </w:rPr>
              <w:t>5.2</w:t>
            </w:r>
          </w:p>
        </w:tc>
        <w:tc>
          <w:tcPr>
            <w:tcW w:w="846" w:type="dxa"/>
            <w:tcBorders>
              <w:top w:val="nil"/>
              <w:left w:val="nil"/>
              <w:bottom w:val="nil"/>
              <w:right w:val="nil"/>
            </w:tcBorders>
            <w:vAlign w:val="bottom"/>
            <w:hideMark/>
          </w:tcPr>
          <w:p w14:paraId="161A60E4" w14:textId="77777777" w:rsidR="004B4D18" w:rsidRPr="00AF3ED2" w:rsidRDefault="004B4D18" w:rsidP="00FC36C1">
            <w:pPr>
              <w:jc w:val="right"/>
              <w:rPr>
                <w:color w:val="000000" w:themeColor="text1"/>
                <w:sz w:val="20"/>
                <w:szCs w:val="20"/>
              </w:rPr>
            </w:pPr>
            <w:r w:rsidRPr="00AF3ED2">
              <w:rPr>
                <w:color w:val="000000" w:themeColor="text1"/>
                <w:sz w:val="20"/>
                <w:szCs w:val="20"/>
              </w:rPr>
              <w:t>-9.4</w:t>
            </w:r>
          </w:p>
        </w:tc>
        <w:tc>
          <w:tcPr>
            <w:tcW w:w="893" w:type="dxa"/>
            <w:tcBorders>
              <w:top w:val="nil"/>
              <w:left w:val="nil"/>
              <w:bottom w:val="nil"/>
              <w:right w:val="nil"/>
            </w:tcBorders>
            <w:vAlign w:val="bottom"/>
            <w:hideMark/>
          </w:tcPr>
          <w:p w14:paraId="0D03DAC8" w14:textId="77777777" w:rsidR="004B4D18" w:rsidRPr="00AF3ED2" w:rsidRDefault="004B4D18" w:rsidP="00FC36C1">
            <w:pPr>
              <w:jc w:val="right"/>
              <w:rPr>
                <w:color w:val="000000" w:themeColor="text1"/>
                <w:sz w:val="20"/>
                <w:szCs w:val="20"/>
              </w:rPr>
            </w:pPr>
            <w:r w:rsidRPr="00AF3ED2">
              <w:rPr>
                <w:color w:val="000000" w:themeColor="text1"/>
                <w:sz w:val="20"/>
                <w:szCs w:val="20"/>
              </w:rPr>
              <w:t>-5.0</w:t>
            </w:r>
          </w:p>
        </w:tc>
        <w:tc>
          <w:tcPr>
            <w:tcW w:w="803" w:type="dxa"/>
            <w:tcBorders>
              <w:top w:val="nil"/>
              <w:left w:val="nil"/>
              <w:bottom w:val="nil"/>
              <w:right w:val="nil"/>
            </w:tcBorders>
            <w:vAlign w:val="bottom"/>
            <w:hideMark/>
          </w:tcPr>
          <w:p w14:paraId="67ECD6DD" w14:textId="77777777" w:rsidR="004B4D18" w:rsidRPr="00AF3ED2" w:rsidRDefault="004B4D18" w:rsidP="00FC36C1">
            <w:pPr>
              <w:jc w:val="right"/>
              <w:rPr>
                <w:color w:val="000000" w:themeColor="text1"/>
                <w:sz w:val="20"/>
                <w:szCs w:val="20"/>
              </w:rPr>
            </w:pPr>
            <w:r w:rsidRPr="00AF3ED2">
              <w:rPr>
                <w:color w:val="000000" w:themeColor="text1"/>
                <w:sz w:val="20"/>
                <w:szCs w:val="20"/>
              </w:rPr>
              <w:t>8.6</w:t>
            </w:r>
          </w:p>
        </w:tc>
        <w:tc>
          <w:tcPr>
            <w:tcW w:w="846" w:type="dxa"/>
            <w:tcBorders>
              <w:top w:val="nil"/>
              <w:left w:val="nil"/>
              <w:bottom w:val="nil"/>
              <w:right w:val="nil"/>
            </w:tcBorders>
            <w:vAlign w:val="bottom"/>
            <w:hideMark/>
          </w:tcPr>
          <w:p w14:paraId="03FBBC92" w14:textId="77777777" w:rsidR="004B4D18" w:rsidRPr="00AF3ED2" w:rsidRDefault="004B4D18" w:rsidP="00FC36C1">
            <w:pPr>
              <w:jc w:val="right"/>
              <w:rPr>
                <w:color w:val="000000" w:themeColor="text1"/>
                <w:sz w:val="20"/>
                <w:szCs w:val="20"/>
              </w:rPr>
            </w:pPr>
            <w:r w:rsidRPr="00AF3ED2">
              <w:rPr>
                <w:color w:val="000000" w:themeColor="text1"/>
                <w:sz w:val="20"/>
                <w:szCs w:val="20"/>
              </w:rPr>
              <w:t>-0.9</w:t>
            </w:r>
          </w:p>
        </w:tc>
      </w:tr>
      <w:tr w:rsidR="004B4D18" w:rsidRPr="00AF3ED2" w14:paraId="79BEC411" w14:textId="77777777" w:rsidTr="00FC36C1">
        <w:trPr>
          <w:trHeight w:val="332"/>
          <w:jc w:val="center"/>
        </w:trPr>
        <w:tc>
          <w:tcPr>
            <w:tcW w:w="4807" w:type="dxa"/>
            <w:tcBorders>
              <w:top w:val="nil"/>
              <w:left w:val="nil"/>
              <w:bottom w:val="single" w:sz="4" w:space="0" w:color="auto"/>
              <w:right w:val="nil"/>
            </w:tcBorders>
            <w:shd w:val="clear" w:color="auto" w:fill="FFFFFF"/>
            <w:noWrap/>
            <w:hideMark/>
          </w:tcPr>
          <w:p w14:paraId="5973BE98" w14:textId="77777777" w:rsidR="004B4D18" w:rsidRPr="00AF3ED2" w:rsidRDefault="004B4D18" w:rsidP="00FC36C1">
            <w:pPr>
              <w:rPr>
                <w:rFonts w:ascii="Arial" w:hAnsi="Arial" w:cs="Arial"/>
                <w:color w:val="000000" w:themeColor="text1"/>
                <w:sz w:val="18"/>
                <w:szCs w:val="18"/>
              </w:rPr>
            </w:pPr>
            <w:r w:rsidRPr="00AF3ED2">
              <w:rPr>
                <w:rFonts w:ascii="Arial" w:hAnsi="Arial" w:cs="Arial"/>
                <w:sz w:val="18"/>
                <w:szCs w:val="18"/>
              </w:rPr>
              <w:t>Manufacture of furniture</w:t>
            </w:r>
          </w:p>
        </w:tc>
        <w:tc>
          <w:tcPr>
            <w:tcW w:w="845" w:type="dxa"/>
            <w:tcBorders>
              <w:top w:val="nil"/>
              <w:left w:val="nil"/>
              <w:bottom w:val="single" w:sz="4" w:space="0" w:color="auto"/>
              <w:right w:val="nil"/>
            </w:tcBorders>
            <w:vAlign w:val="bottom"/>
            <w:hideMark/>
          </w:tcPr>
          <w:p w14:paraId="4863BBBD" w14:textId="77777777" w:rsidR="004B4D18" w:rsidRPr="00AF3ED2" w:rsidRDefault="004B4D18" w:rsidP="00FC36C1">
            <w:pPr>
              <w:jc w:val="right"/>
              <w:rPr>
                <w:color w:val="000000" w:themeColor="text1"/>
                <w:sz w:val="20"/>
                <w:szCs w:val="20"/>
              </w:rPr>
            </w:pPr>
            <w:r w:rsidRPr="00AF3ED2">
              <w:rPr>
                <w:color w:val="000000" w:themeColor="text1"/>
                <w:sz w:val="20"/>
                <w:szCs w:val="20"/>
              </w:rPr>
              <w:t>5.0</w:t>
            </w:r>
          </w:p>
        </w:tc>
        <w:tc>
          <w:tcPr>
            <w:tcW w:w="846" w:type="dxa"/>
            <w:tcBorders>
              <w:top w:val="nil"/>
              <w:left w:val="nil"/>
              <w:bottom w:val="single" w:sz="4" w:space="0" w:color="auto"/>
              <w:right w:val="nil"/>
            </w:tcBorders>
            <w:vAlign w:val="bottom"/>
            <w:hideMark/>
          </w:tcPr>
          <w:p w14:paraId="3526186E" w14:textId="77777777" w:rsidR="004B4D18" w:rsidRPr="00AF3ED2" w:rsidRDefault="004B4D18" w:rsidP="00FC36C1">
            <w:pPr>
              <w:jc w:val="right"/>
              <w:rPr>
                <w:color w:val="000000" w:themeColor="text1"/>
                <w:sz w:val="20"/>
                <w:szCs w:val="20"/>
              </w:rPr>
            </w:pPr>
            <w:r w:rsidRPr="00AF3ED2">
              <w:rPr>
                <w:color w:val="000000" w:themeColor="text1"/>
                <w:sz w:val="20"/>
                <w:szCs w:val="20"/>
              </w:rPr>
              <w:t>-4.7</w:t>
            </w:r>
          </w:p>
        </w:tc>
        <w:tc>
          <w:tcPr>
            <w:tcW w:w="893" w:type="dxa"/>
            <w:tcBorders>
              <w:top w:val="nil"/>
              <w:left w:val="nil"/>
              <w:bottom w:val="single" w:sz="4" w:space="0" w:color="auto"/>
              <w:right w:val="nil"/>
            </w:tcBorders>
            <w:vAlign w:val="bottom"/>
            <w:hideMark/>
          </w:tcPr>
          <w:p w14:paraId="1183F47A" w14:textId="77777777" w:rsidR="004B4D18" w:rsidRPr="00AF3ED2" w:rsidRDefault="004B4D18" w:rsidP="00FC36C1">
            <w:pPr>
              <w:jc w:val="right"/>
              <w:rPr>
                <w:color w:val="000000" w:themeColor="text1"/>
                <w:sz w:val="20"/>
                <w:szCs w:val="20"/>
              </w:rPr>
            </w:pPr>
            <w:r w:rsidRPr="00AF3ED2">
              <w:rPr>
                <w:color w:val="000000" w:themeColor="text1"/>
                <w:sz w:val="20"/>
                <w:szCs w:val="20"/>
              </w:rPr>
              <w:t>19.8</w:t>
            </w:r>
          </w:p>
        </w:tc>
        <w:tc>
          <w:tcPr>
            <w:tcW w:w="803" w:type="dxa"/>
            <w:tcBorders>
              <w:top w:val="nil"/>
              <w:left w:val="nil"/>
              <w:bottom w:val="single" w:sz="4" w:space="0" w:color="auto"/>
              <w:right w:val="nil"/>
            </w:tcBorders>
            <w:vAlign w:val="bottom"/>
            <w:hideMark/>
          </w:tcPr>
          <w:p w14:paraId="0E46AEDC" w14:textId="77777777" w:rsidR="004B4D18" w:rsidRPr="00AF3ED2" w:rsidRDefault="004B4D18" w:rsidP="00FC36C1">
            <w:pPr>
              <w:jc w:val="right"/>
              <w:rPr>
                <w:color w:val="000000" w:themeColor="text1"/>
                <w:sz w:val="20"/>
                <w:szCs w:val="20"/>
              </w:rPr>
            </w:pPr>
            <w:r w:rsidRPr="00AF3ED2">
              <w:rPr>
                <w:color w:val="000000" w:themeColor="text1"/>
                <w:sz w:val="20"/>
                <w:szCs w:val="20"/>
              </w:rPr>
              <w:t>8.5</w:t>
            </w:r>
          </w:p>
        </w:tc>
        <w:tc>
          <w:tcPr>
            <w:tcW w:w="846" w:type="dxa"/>
            <w:tcBorders>
              <w:top w:val="nil"/>
              <w:left w:val="nil"/>
              <w:bottom w:val="single" w:sz="4" w:space="0" w:color="auto"/>
              <w:right w:val="nil"/>
            </w:tcBorders>
            <w:vAlign w:val="bottom"/>
            <w:hideMark/>
          </w:tcPr>
          <w:p w14:paraId="48AEECC9" w14:textId="77777777" w:rsidR="004B4D18" w:rsidRPr="00AF3ED2" w:rsidRDefault="004B4D18" w:rsidP="00FC36C1">
            <w:pPr>
              <w:jc w:val="right"/>
              <w:rPr>
                <w:color w:val="000000" w:themeColor="text1"/>
                <w:sz w:val="20"/>
                <w:szCs w:val="20"/>
              </w:rPr>
            </w:pPr>
            <w:r w:rsidRPr="00AF3ED2">
              <w:rPr>
                <w:color w:val="000000" w:themeColor="text1"/>
                <w:sz w:val="20"/>
                <w:szCs w:val="20"/>
              </w:rPr>
              <w:t>12.5</w:t>
            </w:r>
          </w:p>
        </w:tc>
      </w:tr>
    </w:tbl>
    <w:p w14:paraId="2674B358" w14:textId="39D49FF0" w:rsidR="004B4D18" w:rsidRPr="00AF3ED2" w:rsidRDefault="004B4D18" w:rsidP="004B4D18">
      <w:pPr>
        <w:shd w:val="clear" w:color="auto" w:fill="FFFFFF"/>
        <w:spacing w:before="120" w:after="120" w:line="264" w:lineRule="auto"/>
        <w:ind w:firstLine="720"/>
        <w:jc w:val="both"/>
      </w:pPr>
      <w:r w:rsidRPr="00AF3ED2">
        <w:t xml:space="preserve">The IIP in the first 4 months of 2026 experienced a year-on-year increase in all 34 provinces and municipalities. Several provinces saw a fairly high growth rate in the IIP thanks to </w:t>
      </w:r>
      <w:r w:rsidR="00CC38AD" w:rsidRPr="00AF3ED2">
        <w:t xml:space="preserve">the surge in </w:t>
      </w:r>
      <w:r w:rsidRPr="00AF3ED2">
        <w:t>the manufacturing and the electricity supply</w:t>
      </w:r>
      <w:r w:rsidRPr="00AF3ED2">
        <w:rPr>
          <w:rFonts w:eastAsia="DengXian Light"/>
          <w:vertAlign w:val="superscript"/>
        </w:rPr>
        <w:footnoteReference w:id="10"/>
      </w:r>
      <w:r w:rsidRPr="00AF3ED2">
        <w:t>. Conversely, the IIP in several provinces and municipalities nudged up due to slow growth or decrease in the manufacturing, the mining and quarrying, and the electricity supply</w:t>
      </w:r>
      <w:r w:rsidRPr="00AF3ED2">
        <w:rPr>
          <w:rFonts w:eastAsia="DengXian Light"/>
          <w:vertAlign w:val="superscript"/>
        </w:rPr>
        <w:footnoteReference w:id="11"/>
      </w:r>
      <w:r w:rsidRPr="00AF3ED2">
        <w:t xml:space="preserve">.  </w:t>
      </w:r>
    </w:p>
    <w:p w14:paraId="6610F17C" w14:textId="77777777" w:rsidR="004B4D18" w:rsidRPr="00AF3ED2" w:rsidRDefault="004B4D18" w:rsidP="004B4D18">
      <w:pPr>
        <w:shd w:val="clear" w:color="auto" w:fill="FFFFFF"/>
        <w:jc w:val="center"/>
        <w:rPr>
          <w:rFonts w:ascii="Arial" w:hAnsi="Arial" w:cs="Arial"/>
          <w:b/>
          <w:bCs/>
          <w:sz w:val="24"/>
          <w:szCs w:val="24"/>
        </w:rPr>
      </w:pPr>
      <w:r w:rsidRPr="00AF3ED2">
        <w:rPr>
          <w:rFonts w:ascii="Arial" w:hAnsi="Arial"/>
          <w:b/>
          <w:sz w:val="24"/>
        </w:rPr>
        <w:t xml:space="preserve">Figure 4. Year-on-year IIP growth rate for some localities </w:t>
      </w:r>
      <w:r w:rsidRPr="00AF3ED2">
        <w:rPr>
          <w:rFonts w:ascii="Arial" w:hAnsi="Arial"/>
          <w:b/>
          <w:sz w:val="24"/>
        </w:rPr>
        <w:br/>
        <w:t>(in the first 4 months, 2026) (%)</w:t>
      </w:r>
    </w:p>
    <w:p w14:paraId="330D1CEE" w14:textId="77777777" w:rsidR="004B4D18" w:rsidRPr="00AF3ED2" w:rsidRDefault="004B4D18" w:rsidP="004B4D18">
      <w:pPr>
        <w:shd w:val="clear" w:color="auto" w:fill="FFFFFF"/>
        <w:jc w:val="center"/>
        <w:rPr>
          <w:rFonts w:ascii="Arial" w:hAnsi="Arial" w:cs="Arial"/>
          <w:b/>
          <w:bCs/>
          <w:sz w:val="24"/>
          <w:szCs w:val="24"/>
        </w:rPr>
      </w:pPr>
    </w:p>
    <w:p w14:paraId="191BAC1B" w14:textId="77777777" w:rsidR="004B4D18" w:rsidRPr="00AF3ED2" w:rsidRDefault="004B4D18" w:rsidP="004B4D18">
      <w:pPr>
        <w:shd w:val="clear" w:color="auto" w:fill="FFFFFF"/>
        <w:jc w:val="center"/>
        <w:rPr>
          <w:rFonts w:ascii="Arial" w:hAnsi="Arial" w:cs="Arial"/>
          <w:b/>
          <w:bCs/>
          <w:sz w:val="14"/>
          <w:szCs w:val="14"/>
        </w:rPr>
      </w:pPr>
    </w:p>
    <w:tbl>
      <w:tblPr>
        <w:tblStyle w:val="TableGrid"/>
        <w:tblW w:w="93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1"/>
        <w:gridCol w:w="4387"/>
      </w:tblGrid>
      <w:tr w:rsidR="004B4D18" w:rsidRPr="00AF3ED2" w14:paraId="7C6E1587" w14:textId="77777777" w:rsidTr="00FC36C1">
        <w:trPr>
          <w:trHeight w:val="3400"/>
          <w:jc w:val="center"/>
        </w:trPr>
        <w:tc>
          <w:tcPr>
            <w:tcW w:w="4806" w:type="dxa"/>
            <w:hideMark/>
          </w:tcPr>
          <w:p w14:paraId="55A652E3" w14:textId="2D3D7331" w:rsidR="004B4D18" w:rsidRPr="00AF3ED2" w:rsidRDefault="004B4D18" w:rsidP="00FC36C1">
            <w:pPr>
              <w:jc w:val="center"/>
              <w:rPr>
                <w:rFonts w:ascii="Arial" w:hAnsi="Arial" w:cs="Arial"/>
                <w:b/>
                <w:bCs/>
                <w:sz w:val="18"/>
                <w:szCs w:val="18"/>
                <w:lang w:val="en-US"/>
              </w:rPr>
            </w:pPr>
            <w:r w:rsidRPr="00AF3ED2">
              <w:rPr>
                <w:rFonts w:ascii="Arial" w:hAnsi="Arial"/>
                <w:b/>
                <w:sz w:val="18"/>
                <w:lang w:val="en-US"/>
              </w:rPr>
              <w:lastRenderedPageBreak/>
              <w:t>Top</w:t>
            </w:r>
            <w:r w:rsidR="00504D2A">
              <w:rPr>
                <w:rFonts w:ascii="Arial" w:hAnsi="Arial"/>
                <w:b/>
                <w:sz w:val="18"/>
                <w:lang w:val="en-US"/>
              </w:rPr>
              <w:t xml:space="preserve"> of</w:t>
            </w:r>
            <w:r w:rsidRPr="00AF3ED2">
              <w:rPr>
                <w:rFonts w:ascii="Arial" w:hAnsi="Arial"/>
                <w:b/>
                <w:sz w:val="18"/>
                <w:lang w:val="en-US"/>
              </w:rPr>
              <w:t xml:space="preserve"> 10 localities by IIP growth rate</w:t>
            </w:r>
          </w:p>
          <w:p w14:paraId="68C6A874" w14:textId="77777777" w:rsidR="004B4D18" w:rsidRPr="00AF3ED2" w:rsidRDefault="004B4D18" w:rsidP="00FC36C1">
            <w:pPr>
              <w:jc w:val="center"/>
              <w:rPr>
                <w:rFonts w:ascii="Arial" w:hAnsi="Arial" w:cs="Arial"/>
                <w:b/>
                <w:bCs/>
                <w:sz w:val="24"/>
                <w:szCs w:val="24"/>
                <w:lang w:val="en-US"/>
              </w:rPr>
            </w:pPr>
            <w:r w:rsidRPr="00AF3ED2">
              <w:rPr>
                <w:rFonts w:ascii="Arial" w:hAnsi="Arial" w:cs="Arial"/>
                <w:b/>
                <w:bCs/>
                <w:noProof/>
                <w:sz w:val="24"/>
                <w:szCs w:val="24"/>
              </w:rPr>
              <w:drawing>
                <wp:inline distT="0" distB="0" distL="0" distR="0" wp14:anchorId="5EAB380A" wp14:editId="6991D18A">
                  <wp:extent cx="3127518" cy="1819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46687" cy="1830426"/>
                          </a:xfrm>
                          <a:prstGeom prst="rect">
                            <a:avLst/>
                          </a:prstGeom>
                        </pic:spPr>
                      </pic:pic>
                    </a:graphicData>
                  </a:graphic>
                </wp:inline>
              </w:drawing>
            </w:r>
          </w:p>
        </w:tc>
        <w:tc>
          <w:tcPr>
            <w:tcW w:w="4523" w:type="dxa"/>
            <w:hideMark/>
          </w:tcPr>
          <w:p w14:paraId="283949C0" w14:textId="3DA4D973" w:rsidR="004B4D18" w:rsidRPr="00AF3ED2" w:rsidRDefault="004B4D18" w:rsidP="00FC36C1">
            <w:pPr>
              <w:jc w:val="center"/>
              <w:rPr>
                <w:rFonts w:ascii="Arial" w:hAnsi="Arial" w:cs="Arial"/>
                <w:b/>
                <w:bCs/>
                <w:spacing w:val="-4"/>
                <w:sz w:val="18"/>
                <w:szCs w:val="18"/>
                <w:lang w:val="en-US"/>
              </w:rPr>
            </w:pPr>
            <w:r w:rsidRPr="00AF3ED2">
              <w:rPr>
                <w:rFonts w:ascii="Arial" w:hAnsi="Arial"/>
                <w:b/>
                <w:sz w:val="18"/>
                <w:lang w:val="en-US"/>
              </w:rPr>
              <w:t>Bottom</w:t>
            </w:r>
            <w:r w:rsidR="00504D2A">
              <w:rPr>
                <w:rFonts w:ascii="Arial" w:hAnsi="Arial"/>
                <w:b/>
                <w:sz w:val="18"/>
                <w:lang w:val="en-US"/>
              </w:rPr>
              <w:t xml:space="preserve"> of</w:t>
            </w:r>
            <w:r w:rsidRPr="00AF3ED2">
              <w:rPr>
                <w:rFonts w:ascii="Arial" w:hAnsi="Arial"/>
                <w:b/>
                <w:sz w:val="18"/>
                <w:lang w:val="en-US"/>
              </w:rPr>
              <w:t xml:space="preserve"> 10 localities by IIP growth rate</w:t>
            </w:r>
          </w:p>
          <w:p w14:paraId="38CF1BE6" w14:textId="77777777" w:rsidR="004B4D18" w:rsidRPr="00AF3ED2" w:rsidRDefault="004B4D18" w:rsidP="00FC36C1">
            <w:pPr>
              <w:jc w:val="center"/>
              <w:rPr>
                <w:rFonts w:ascii="Arial" w:hAnsi="Arial" w:cs="Arial"/>
                <w:b/>
                <w:bCs/>
                <w:sz w:val="24"/>
                <w:szCs w:val="24"/>
                <w:lang w:val="en-US"/>
              </w:rPr>
            </w:pPr>
            <w:r w:rsidRPr="00AF3ED2">
              <w:rPr>
                <w:rFonts w:ascii="Arial" w:hAnsi="Arial" w:cs="Arial"/>
                <w:b/>
                <w:bCs/>
                <w:noProof/>
                <w:sz w:val="24"/>
                <w:szCs w:val="24"/>
              </w:rPr>
              <w:drawing>
                <wp:inline distT="0" distB="0" distL="0" distR="0" wp14:anchorId="1A208948" wp14:editId="6D3F4314">
                  <wp:extent cx="2648664" cy="1866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84386" cy="1892079"/>
                          </a:xfrm>
                          <a:prstGeom prst="rect">
                            <a:avLst/>
                          </a:prstGeom>
                        </pic:spPr>
                      </pic:pic>
                    </a:graphicData>
                  </a:graphic>
                </wp:inline>
              </w:drawing>
            </w:r>
          </w:p>
        </w:tc>
      </w:tr>
    </w:tbl>
    <w:p w14:paraId="263CC71E" w14:textId="3CBC26DF" w:rsidR="004B4D18" w:rsidRPr="00AF3ED2" w:rsidRDefault="004B4D18" w:rsidP="004B4D18">
      <w:pPr>
        <w:shd w:val="clear" w:color="auto" w:fill="FFFFFF"/>
        <w:spacing w:after="120" w:line="259" w:lineRule="auto"/>
        <w:ind w:firstLine="720"/>
        <w:jc w:val="both"/>
      </w:pPr>
      <w:r w:rsidRPr="00AF3ED2">
        <w:rPr>
          <w:iCs/>
        </w:rPr>
        <w:t>Several key industrial products</w:t>
      </w:r>
      <w:r w:rsidRPr="00AF3ED2">
        <w:t xml:space="preserve"> in the first 4 months in 2026 witnessed year-on-year increase as follows: Motorbike (+33.3%); processed seafood (+22.5%); </w:t>
      </w:r>
      <w:r w:rsidR="00CB45A6" w:rsidRPr="00CB45A6">
        <w:t>automobile</w:t>
      </w:r>
      <w:r w:rsidR="00CB45A6" w:rsidRPr="00CB45A6" w:rsidDel="00CB45A6">
        <w:t xml:space="preserve"> </w:t>
      </w:r>
      <w:r w:rsidRPr="00AF3ED2">
        <w:t xml:space="preserve">(+22.4%); rolled steel (+17.0%); steel bar, angle bar (15.8%); beer (+15.5); chemical paint (+14.7%). Conversely, some industrial products experienced a year-on-year reduction, including </w:t>
      </w:r>
      <w:r w:rsidR="00CB45A6">
        <w:t>c</w:t>
      </w:r>
      <w:r w:rsidR="00CB45A6" w:rsidRPr="00AF3ED2">
        <w:t xml:space="preserve">oal </w:t>
      </w:r>
      <w:r w:rsidRPr="00AF3ED2">
        <w:t xml:space="preserve">(pure) (-5.4%); sodium glutamate (4.4%); television (-4.3%); leather shoes and sandals (-4.1%); </w:t>
      </w:r>
      <w:r w:rsidR="009150A2" w:rsidRPr="00AF3ED2">
        <w:t>urea</w:t>
      </w:r>
      <w:r w:rsidRPr="00AF3ED2">
        <w:t xml:space="preserve"> fertilizers (-1.1%).</w:t>
      </w:r>
    </w:p>
    <w:p w14:paraId="7A3DC555" w14:textId="192C0D4F" w:rsidR="004B4D18" w:rsidRPr="00AF3ED2" w:rsidRDefault="00CB45A6" w:rsidP="004B4D18">
      <w:pPr>
        <w:spacing w:before="40" w:after="40" w:line="252" w:lineRule="auto"/>
        <w:ind w:firstLine="567"/>
        <w:jc w:val="both"/>
      </w:pPr>
      <w:r>
        <w:rPr>
          <w:iCs/>
        </w:rPr>
        <w:t>N</w:t>
      </w:r>
      <w:r w:rsidR="004B4D18" w:rsidRPr="00AF3ED2">
        <w:rPr>
          <w:iCs/>
        </w:rPr>
        <w:t>umber of employees in industrial enterprises</w:t>
      </w:r>
      <w:r w:rsidR="004B4D18" w:rsidRPr="00AF3ED2">
        <w:t xml:space="preserve"> as of April 1</w:t>
      </w:r>
      <w:r w:rsidR="004B4D18" w:rsidRPr="00AF3ED2">
        <w:rPr>
          <w:vertAlign w:val="superscript"/>
        </w:rPr>
        <w:t>st</w:t>
      </w:r>
      <w:r w:rsidR="004B4D18" w:rsidRPr="00AF3ED2">
        <w:t>, 2026 saw a month-on-month growth of 1.1% and year-on-year increase of 3.6%. Among them, the number of employees in the state-owned enterprises increased by 0.2% both month-on-month and year-over-year; the non-state enterprises increased by 1.1% and decreased by 0.1%, respectively; while the FDI enterprises rose by 1.2% and 5.1%, respectively. By kind of economic activity, the number of employees in the mining saw a month-on-month decrease of 0.1% and saw a year-on-year increase of 0.4%. The manufacturing saw an increase of 1.2% and 3.8%, respectively. The electricity, gas, steam and air conditioning supply was increased by 0.1% month-on-month and saw a year-on-year increase of 2.2%. Meanwhile water supply, sewerage, waste management, and remediation activities recorded a slight month-on-month increase of 0.2% and a year-on-year increase of 3.9%.</w:t>
      </w:r>
    </w:p>
    <w:p w14:paraId="20800942" w14:textId="77777777" w:rsidR="00C12D51" w:rsidRPr="00AF3ED2" w:rsidRDefault="00C12D51" w:rsidP="00C12D51">
      <w:pPr>
        <w:spacing w:after="120" w:line="264" w:lineRule="auto"/>
        <w:ind w:firstLine="720"/>
        <w:jc w:val="both"/>
        <w:rPr>
          <w:b/>
          <w:color w:val="000000" w:themeColor="text1"/>
        </w:rPr>
      </w:pPr>
      <w:r w:rsidRPr="00AF3ED2">
        <w:rPr>
          <w:b/>
          <w:bCs/>
          <w:color w:val="000000" w:themeColor="text1"/>
        </w:rPr>
        <w:t xml:space="preserve">3. </w:t>
      </w:r>
      <w:r w:rsidRPr="00AF3ED2">
        <w:rPr>
          <w:b/>
          <w:color w:val="000000" w:themeColor="text1"/>
        </w:rPr>
        <w:t>Enterprise registration situation</w:t>
      </w:r>
    </w:p>
    <w:p w14:paraId="6AEFDA80" w14:textId="36A7275F" w:rsidR="00C12D51" w:rsidRPr="00AF3ED2" w:rsidRDefault="00C12D51" w:rsidP="00C12D51">
      <w:pPr>
        <w:spacing w:after="120" w:line="264" w:lineRule="auto"/>
        <w:ind w:firstLine="720"/>
        <w:jc w:val="both"/>
        <w:rPr>
          <w:color w:val="000000" w:themeColor="text1"/>
        </w:rPr>
      </w:pPr>
      <w:r w:rsidRPr="00AF3ED2">
        <w:rPr>
          <w:color w:val="000000" w:themeColor="text1"/>
        </w:rPr>
        <w:t xml:space="preserve">In April, </w:t>
      </w:r>
      <w:r w:rsidRPr="00AF3ED2">
        <w:rPr>
          <w:color w:val="000000" w:themeColor="text1"/>
          <w:spacing w:val="-2"/>
        </w:rPr>
        <w:t xml:space="preserve">the whole country had </w:t>
      </w:r>
      <w:r w:rsidRPr="00AF3ED2">
        <w:rPr>
          <w:color w:val="000000" w:themeColor="text1"/>
        </w:rPr>
        <w:t xml:space="preserve">nearly 20.4 thousand newly established </w:t>
      </w:r>
      <w:r w:rsidRPr="00AF3ED2">
        <w:rPr>
          <w:color w:val="000000" w:themeColor="text1"/>
          <w:spacing w:val="-2"/>
        </w:rPr>
        <w:t>enterprises</w:t>
      </w:r>
      <w:r w:rsidRPr="00AF3ED2">
        <w:rPr>
          <w:color w:val="000000" w:themeColor="text1"/>
        </w:rPr>
        <w:t xml:space="preserve"> with a registered capital of nearly 246.8 trillion VND and registered employees of nearly 91 thousand </w:t>
      </w:r>
      <w:r w:rsidRPr="00AF3ED2">
        <w:rPr>
          <w:color w:val="000000" w:themeColor="text1"/>
          <w:spacing w:val="-2"/>
        </w:rPr>
        <w:t>employees</w:t>
      </w:r>
      <w:r w:rsidRPr="00AF3ED2">
        <w:rPr>
          <w:color w:val="000000" w:themeColor="text1"/>
        </w:rPr>
        <w:t xml:space="preserve">, </w:t>
      </w:r>
      <w:r w:rsidRPr="00AF3ED2">
        <w:rPr>
          <w:color w:val="000000" w:themeColor="text1"/>
          <w:spacing w:val="-2"/>
        </w:rPr>
        <w:t xml:space="preserve">a month-on-month </w:t>
      </w:r>
      <w:r w:rsidRPr="00AF3ED2">
        <w:rPr>
          <w:color w:val="000000" w:themeColor="text1"/>
        </w:rPr>
        <w:t xml:space="preserve">decrease of 7.1%, an increase of 9.7% and a decrease of 7.5% in the number of </w:t>
      </w:r>
      <w:r w:rsidRPr="00AF3ED2">
        <w:rPr>
          <w:color w:val="000000" w:themeColor="text1"/>
          <w:spacing w:val="-2"/>
        </w:rPr>
        <w:t>enterprises</w:t>
      </w:r>
      <w:r w:rsidRPr="00AF3ED2">
        <w:rPr>
          <w:color w:val="000000" w:themeColor="text1"/>
        </w:rPr>
        <w:t xml:space="preserve">, the registered capital, and the number of employees, respectively. </w:t>
      </w:r>
      <w:r w:rsidRPr="00AF3ED2">
        <w:rPr>
          <w:color w:val="000000" w:themeColor="text1"/>
          <w:spacing w:val="-2"/>
        </w:rPr>
        <w:t>In comparison with</w:t>
      </w:r>
      <w:r w:rsidRPr="00AF3ED2" w:rsidDel="00F36B71">
        <w:rPr>
          <w:color w:val="000000" w:themeColor="text1"/>
        </w:rPr>
        <w:t xml:space="preserve"> </w:t>
      </w:r>
      <w:r w:rsidRPr="00AF3ED2">
        <w:rPr>
          <w:color w:val="000000" w:themeColor="text1"/>
        </w:rPr>
        <w:t xml:space="preserve">the same period last year, the number of </w:t>
      </w:r>
      <w:r w:rsidRPr="00AF3ED2">
        <w:rPr>
          <w:color w:val="000000" w:themeColor="text1"/>
          <w:spacing w:val="-2"/>
        </w:rPr>
        <w:t>enterprises, the registered capital and the number of employees showed</w:t>
      </w:r>
      <w:r w:rsidRPr="00AF3ED2">
        <w:rPr>
          <w:color w:val="000000" w:themeColor="text1"/>
        </w:rPr>
        <w:t xml:space="preserve"> an increase of 33.9%, 84.6%, and a decrease of 28.7%. </w:t>
      </w:r>
      <w:r w:rsidR="00D22A92">
        <w:rPr>
          <w:color w:val="000000" w:themeColor="text1"/>
        </w:rPr>
        <w:t>A</w:t>
      </w:r>
      <w:r w:rsidRPr="00AF3ED2">
        <w:rPr>
          <w:color w:val="000000" w:themeColor="text1"/>
        </w:rPr>
        <w:t xml:space="preserve">verage registered capital of a newly established </w:t>
      </w:r>
      <w:r w:rsidRPr="00AF3ED2">
        <w:rPr>
          <w:color w:val="000000" w:themeColor="text1"/>
          <w:spacing w:val="-2"/>
        </w:rPr>
        <w:t>enterprises</w:t>
      </w:r>
      <w:r w:rsidRPr="00AF3ED2">
        <w:rPr>
          <w:color w:val="000000" w:themeColor="text1"/>
        </w:rPr>
        <w:t xml:space="preserve"> in April reached 12.1 billion VND, </w:t>
      </w:r>
      <w:r w:rsidRPr="00AF3ED2">
        <w:rPr>
          <w:color w:val="000000" w:themeColor="text1"/>
          <w:spacing w:val="-2"/>
        </w:rPr>
        <w:t xml:space="preserve">a month-on-month </w:t>
      </w:r>
      <w:r w:rsidRPr="00AF3ED2">
        <w:rPr>
          <w:color w:val="000000" w:themeColor="text1"/>
        </w:rPr>
        <w:t xml:space="preserve">increase of 18.1% and </w:t>
      </w:r>
      <w:r w:rsidRPr="00AF3ED2">
        <w:rPr>
          <w:color w:val="000000" w:themeColor="text1"/>
          <w:spacing w:val="-2"/>
        </w:rPr>
        <w:t>a year-on-year</w:t>
      </w:r>
      <w:r w:rsidRPr="00AF3ED2">
        <w:rPr>
          <w:color w:val="000000" w:themeColor="text1"/>
        </w:rPr>
        <w:t xml:space="preserve"> increase of 37.9%. In addition, </w:t>
      </w:r>
      <w:r w:rsidRPr="00AF3ED2">
        <w:rPr>
          <w:color w:val="000000" w:themeColor="text1"/>
          <w:spacing w:val="-2"/>
        </w:rPr>
        <w:t xml:space="preserve">the </w:t>
      </w:r>
      <w:r w:rsidRPr="00AF3ED2">
        <w:rPr>
          <w:color w:val="000000" w:themeColor="text1"/>
          <w:spacing w:val="-2"/>
        </w:rPr>
        <w:lastRenderedPageBreak/>
        <w:t xml:space="preserve">country had </w:t>
      </w:r>
      <w:r w:rsidRPr="00AF3ED2">
        <w:rPr>
          <w:color w:val="000000" w:themeColor="text1"/>
        </w:rPr>
        <w:t xml:space="preserve">nearly 9.5 </w:t>
      </w:r>
      <w:r w:rsidRPr="00AF3ED2">
        <w:rPr>
          <w:color w:val="000000" w:themeColor="text1"/>
          <w:spacing w:val="-2"/>
        </w:rPr>
        <w:t>thousand resumed operation enterprises</w:t>
      </w:r>
      <w:r w:rsidRPr="00AF3ED2">
        <w:rPr>
          <w:color w:val="000000" w:themeColor="text1"/>
        </w:rPr>
        <w:t xml:space="preserve">, </w:t>
      </w:r>
      <w:r w:rsidRPr="00AF3ED2">
        <w:rPr>
          <w:color w:val="000000" w:themeColor="text1"/>
          <w:spacing w:val="-2"/>
        </w:rPr>
        <w:t>a month-on-month</w:t>
      </w:r>
      <w:r w:rsidRPr="00AF3ED2">
        <w:rPr>
          <w:color w:val="000000" w:themeColor="text1"/>
        </w:rPr>
        <w:t xml:space="preserve"> increase of 19.8% and </w:t>
      </w:r>
      <w:r w:rsidRPr="00AF3ED2">
        <w:rPr>
          <w:color w:val="000000" w:themeColor="text1"/>
          <w:spacing w:val="-2"/>
        </w:rPr>
        <w:t>a year-on-year</w:t>
      </w:r>
      <w:r w:rsidRPr="00AF3ED2">
        <w:rPr>
          <w:color w:val="000000" w:themeColor="text1"/>
        </w:rPr>
        <w:t xml:space="preserve"> increase of 5.1%.</w:t>
      </w:r>
    </w:p>
    <w:p w14:paraId="0E9E632E" w14:textId="77777777" w:rsidR="00C12D51" w:rsidRPr="00AF3ED2" w:rsidRDefault="00C12D51" w:rsidP="00C12D51">
      <w:pPr>
        <w:spacing w:after="120" w:line="264" w:lineRule="auto"/>
        <w:ind w:firstLine="720"/>
        <w:jc w:val="both"/>
        <w:rPr>
          <w:color w:val="000000" w:themeColor="text1"/>
          <w:spacing w:val="-4"/>
        </w:rPr>
      </w:pPr>
      <w:r w:rsidRPr="00AF3ED2">
        <w:rPr>
          <w:color w:val="000000" w:themeColor="text1"/>
          <w:spacing w:val="-4"/>
        </w:rPr>
        <w:t xml:space="preserve">In April, </w:t>
      </w:r>
      <w:r w:rsidRPr="00AF3ED2">
        <w:rPr>
          <w:color w:val="000000" w:themeColor="text1"/>
        </w:rPr>
        <w:t xml:space="preserve">there were </w:t>
      </w:r>
      <w:r w:rsidRPr="00AF3ED2">
        <w:rPr>
          <w:color w:val="000000" w:themeColor="text1"/>
          <w:spacing w:val="-4"/>
        </w:rPr>
        <w:t xml:space="preserve">8,863 </w:t>
      </w:r>
      <w:r w:rsidRPr="00AF3ED2">
        <w:rPr>
          <w:color w:val="000000" w:themeColor="text1"/>
        </w:rPr>
        <w:t>enterprises registered to temporarily suspended for a definite time</w:t>
      </w:r>
      <w:r w:rsidRPr="00AF3ED2">
        <w:rPr>
          <w:color w:val="000000" w:themeColor="text1"/>
          <w:spacing w:val="-4"/>
        </w:rPr>
        <w:t xml:space="preserve">, </w:t>
      </w:r>
      <w:r w:rsidRPr="00AF3ED2">
        <w:rPr>
          <w:color w:val="000000" w:themeColor="text1"/>
        </w:rPr>
        <w:t>a month-on-month</w:t>
      </w:r>
      <w:r w:rsidRPr="00AF3ED2">
        <w:rPr>
          <w:color w:val="000000" w:themeColor="text1"/>
          <w:spacing w:val="-4"/>
        </w:rPr>
        <w:t xml:space="preserve"> increase of 75.2% and </w:t>
      </w:r>
      <w:r w:rsidRPr="00AF3ED2">
        <w:rPr>
          <w:color w:val="000000" w:themeColor="text1"/>
        </w:rPr>
        <w:t>a year-on-year increase of</w:t>
      </w:r>
      <w:r w:rsidRPr="00AF3ED2">
        <w:rPr>
          <w:color w:val="000000" w:themeColor="text1"/>
          <w:spacing w:val="-4"/>
        </w:rPr>
        <w:t xml:space="preserve"> 23.4%; 5,388 </w:t>
      </w:r>
      <w:r w:rsidRPr="00AF3ED2">
        <w:rPr>
          <w:color w:val="000000" w:themeColor="text1"/>
        </w:rPr>
        <w:t>enterprises suspended operation waiting for dissolution procedures, a month-on-month</w:t>
      </w:r>
      <w:r w:rsidRPr="00AF3ED2">
        <w:rPr>
          <w:color w:val="000000" w:themeColor="text1"/>
          <w:spacing w:val="-4"/>
        </w:rPr>
        <w:t xml:space="preserve"> decrease of 14.5% and a</w:t>
      </w:r>
      <w:r w:rsidRPr="00AF3ED2">
        <w:rPr>
          <w:color w:val="000000" w:themeColor="text1"/>
        </w:rPr>
        <w:t xml:space="preserve"> year-on-year</w:t>
      </w:r>
      <w:r w:rsidRPr="00AF3ED2">
        <w:rPr>
          <w:color w:val="000000" w:themeColor="text1"/>
          <w:spacing w:val="-4"/>
        </w:rPr>
        <w:t xml:space="preserve"> decrease of 40.1%; and 3,473 </w:t>
      </w:r>
      <w:r w:rsidRPr="00AF3ED2">
        <w:rPr>
          <w:color w:val="000000" w:themeColor="text1"/>
        </w:rPr>
        <w:t>enterprises completed procedures for dissolution</w:t>
      </w:r>
      <w:r w:rsidRPr="00AF3ED2">
        <w:rPr>
          <w:color w:val="000000" w:themeColor="text1"/>
          <w:spacing w:val="-4"/>
        </w:rPr>
        <w:t xml:space="preserve">, </w:t>
      </w:r>
      <w:r w:rsidRPr="00AF3ED2">
        <w:rPr>
          <w:color w:val="000000" w:themeColor="text1"/>
        </w:rPr>
        <w:t>a month-on-month</w:t>
      </w:r>
      <w:r w:rsidRPr="00AF3ED2" w:rsidDel="00F36B71">
        <w:rPr>
          <w:color w:val="000000" w:themeColor="text1"/>
          <w:spacing w:val="-4"/>
        </w:rPr>
        <w:t xml:space="preserve"> </w:t>
      </w:r>
      <w:r w:rsidRPr="00AF3ED2">
        <w:rPr>
          <w:color w:val="000000" w:themeColor="text1"/>
          <w:spacing w:val="-4"/>
        </w:rPr>
        <w:t xml:space="preserve">decrease of 9.0% and </w:t>
      </w:r>
      <w:r w:rsidRPr="00AF3ED2">
        <w:rPr>
          <w:color w:val="000000" w:themeColor="text1"/>
        </w:rPr>
        <w:t xml:space="preserve">a </w:t>
      </w:r>
      <w:r w:rsidRPr="00AF3ED2">
        <w:rPr>
          <w:color w:val="000000" w:themeColor="text1"/>
          <w:spacing w:val="-2"/>
        </w:rPr>
        <w:t>year-on-year</w:t>
      </w:r>
      <w:r w:rsidRPr="00AF3ED2" w:rsidDel="00F36B71">
        <w:rPr>
          <w:color w:val="000000" w:themeColor="text1"/>
          <w:spacing w:val="-4"/>
        </w:rPr>
        <w:t xml:space="preserve"> </w:t>
      </w:r>
      <w:r w:rsidRPr="00AF3ED2">
        <w:rPr>
          <w:color w:val="000000" w:themeColor="text1"/>
          <w:spacing w:val="-4"/>
        </w:rPr>
        <w:t>increase of 98.5%.</w:t>
      </w:r>
    </w:p>
    <w:p w14:paraId="6D4F86CB" w14:textId="20CC8903" w:rsidR="00C12D51" w:rsidRPr="00AF3ED2" w:rsidRDefault="00C12D51" w:rsidP="00C12D51">
      <w:pPr>
        <w:spacing w:after="120" w:line="264" w:lineRule="auto"/>
        <w:ind w:firstLine="720"/>
        <w:jc w:val="both"/>
        <w:rPr>
          <w:color w:val="000000" w:themeColor="text1"/>
          <w:spacing w:val="-4"/>
        </w:rPr>
      </w:pPr>
      <w:r w:rsidRPr="00AF3ED2">
        <w:rPr>
          <w:color w:val="000000" w:themeColor="text1"/>
        </w:rPr>
        <w:t>Overall,</w:t>
      </w:r>
      <w:r w:rsidRPr="00AF3ED2">
        <w:rPr>
          <w:color w:val="000000" w:themeColor="text1"/>
          <w:spacing w:val="-4"/>
        </w:rPr>
        <w:t xml:space="preserve"> in the four months of 2026, the whole country had 77.8 thousand newly registered </w:t>
      </w:r>
      <w:r w:rsidRPr="00AF3ED2">
        <w:rPr>
          <w:color w:val="000000" w:themeColor="text1"/>
        </w:rPr>
        <w:t>enterprises</w:t>
      </w:r>
      <w:r w:rsidRPr="00AF3ED2">
        <w:rPr>
          <w:color w:val="000000" w:themeColor="text1"/>
          <w:spacing w:val="-4"/>
        </w:rPr>
        <w:t xml:space="preserve"> with total registered capital of nearly 785.4 trillion VND and total registered employee of 356.9 thousand employees, a year-on-year</w:t>
      </w:r>
      <w:r w:rsidRPr="00AF3ED2" w:rsidDel="00732DC0">
        <w:rPr>
          <w:color w:val="000000" w:themeColor="text1"/>
        </w:rPr>
        <w:t xml:space="preserve"> </w:t>
      </w:r>
      <w:r w:rsidRPr="00AF3ED2">
        <w:rPr>
          <w:color w:val="000000" w:themeColor="text1"/>
        </w:rPr>
        <w:t xml:space="preserve">increase of </w:t>
      </w:r>
      <w:r w:rsidRPr="00AF3ED2">
        <w:rPr>
          <w:color w:val="000000" w:themeColor="text1"/>
          <w:spacing w:val="-4"/>
        </w:rPr>
        <w:t>50.7%, 60.1% and 0.3</w:t>
      </w:r>
      <w:r w:rsidR="009150A2" w:rsidRPr="00AF3ED2">
        <w:rPr>
          <w:color w:val="000000" w:themeColor="text1"/>
          <w:spacing w:val="-4"/>
        </w:rPr>
        <w:t>% in</w:t>
      </w:r>
      <w:r w:rsidRPr="00AF3ED2">
        <w:rPr>
          <w:color w:val="000000" w:themeColor="text1"/>
          <w:spacing w:val="-4"/>
        </w:rPr>
        <w:t xml:space="preserve"> number of </w:t>
      </w:r>
      <w:r w:rsidRPr="00AF3ED2">
        <w:rPr>
          <w:color w:val="000000" w:themeColor="text1"/>
        </w:rPr>
        <w:t xml:space="preserve">enterprises, registered capital, and number of employees, </w:t>
      </w:r>
      <w:r w:rsidRPr="00AF3ED2">
        <w:rPr>
          <w:color w:val="000000" w:themeColor="text1"/>
          <w:spacing w:val="-4"/>
        </w:rPr>
        <w:t xml:space="preserve">respectively. </w:t>
      </w:r>
      <w:r w:rsidR="008C2752">
        <w:rPr>
          <w:color w:val="000000" w:themeColor="text1"/>
          <w:spacing w:val="-4"/>
        </w:rPr>
        <w:t>A</w:t>
      </w:r>
      <w:r w:rsidRPr="00AF3ED2">
        <w:rPr>
          <w:color w:val="000000" w:themeColor="text1"/>
          <w:spacing w:val="-4"/>
        </w:rPr>
        <w:t xml:space="preserve">verage registered capital of a newly established </w:t>
      </w:r>
      <w:r w:rsidRPr="00AF3ED2">
        <w:rPr>
          <w:color w:val="000000" w:themeColor="text1"/>
        </w:rPr>
        <w:t>enterprises</w:t>
      </w:r>
      <w:r w:rsidRPr="00AF3ED2">
        <w:rPr>
          <w:color w:val="000000" w:themeColor="text1"/>
          <w:spacing w:val="-4"/>
        </w:rPr>
        <w:t xml:space="preserve"> in the four months of 2026 reached 10.1 billion VND, a year-on-year increase of 6.2%. </w:t>
      </w:r>
      <w:r w:rsidR="008C2752">
        <w:rPr>
          <w:color w:val="000000" w:themeColor="text1"/>
          <w:spacing w:val="-4"/>
        </w:rPr>
        <w:t>T</w:t>
      </w:r>
      <w:r w:rsidRPr="00AF3ED2">
        <w:rPr>
          <w:color w:val="000000" w:themeColor="text1"/>
          <w:spacing w:val="-4"/>
        </w:rPr>
        <w:t xml:space="preserve">otal registered capital added to the economy in the four months of 2026 was nearly 1.9 </w:t>
      </w:r>
      <w:r w:rsidRPr="00AF3ED2">
        <w:rPr>
          <w:color w:val="000000" w:themeColor="text1"/>
        </w:rPr>
        <w:t>quadrillion</w:t>
      </w:r>
      <w:r w:rsidRPr="00AF3ED2" w:rsidDel="00651202">
        <w:rPr>
          <w:color w:val="000000" w:themeColor="text1"/>
          <w:spacing w:val="-4"/>
        </w:rPr>
        <w:t xml:space="preserve"> </w:t>
      </w:r>
      <w:r w:rsidRPr="00AF3ED2">
        <w:rPr>
          <w:color w:val="000000" w:themeColor="text1"/>
          <w:spacing w:val="-4"/>
        </w:rPr>
        <w:t xml:space="preserve">VND, a </w:t>
      </w:r>
      <w:r w:rsidRPr="00AF3ED2">
        <w:rPr>
          <w:color w:val="000000" w:themeColor="text1"/>
        </w:rPr>
        <w:t xml:space="preserve">year-on-year </w:t>
      </w:r>
      <w:r w:rsidRPr="00AF3ED2">
        <w:rPr>
          <w:color w:val="000000" w:themeColor="text1"/>
          <w:spacing w:val="-4"/>
        </w:rPr>
        <w:t>increase of 4.2%</w:t>
      </w:r>
      <w:r w:rsidRPr="00AF3ED2">
        <w:rPr>
          <w:rStyle w:val="FootnoteReference"/>
          <w:color w:val="000000" w:themeColor="text1"/>
          <w:spacing w:val="-4"/>
        </w:rPr>
        <w:footnoteReference w:id="12"/>
      </w:r>
      <w:r w:rsidRPr="00AF3ED2">
        <w:rPr>
          <w:color w:val="000000" w:themeColor="text1"/>
          <w:spacing w:val="-4"/>
        </w:rPr>
        <w:t xml:space="preserve">. In addition, </w:t>
      </w:r>
      <w:r w:rsidRPr="00AF3ED2">
        <w:rPr>
          <w:color w:val="000000" w:themeColor="text1"/>
        </w:rPr>
        <w:t xml:space="preserve">the whole country had </w:t>
      </w:r>
      <w:r w:rsidRPr="00AF3ED2">
        <w:rPr>
          <w:color w:val="000000" w:themeColor="text1"/>
          <w:spacing w:val="-4"/>
        </w:rPr>
        <w:t xml:space="preserve">41.6 </w:t>
      </w:r>
      <w:r w:rsidRPr="00AF3ED2">
        <w:rPr>
          <w:color w:val="000000" w:themeColor="text1"/>
        </w:rPr>
        <w:t>thousand resumed operation enterprises</w:t>
      </w:r>
      <w:r w:rsidRPr="00AF3ED2">
        <w:rPr>
          <w:color w:val="000000" w:themeColor="text1"/>
          <w:spacing w:val="-4"/>
        </w:rPr>
        <w:t xml:space="preserve"> (</w:t>
      </w:r>
      <w:r w:rsidRPr="00AF3ED2">
        <w:rPr>
          <w:color w:val="000000" w:themeColor="text1"/>
        </w:rPr>
        <w:t>a year-on-year increase of</w:t>
      </w:r>
      <w:r w:rsidRPr="00AF3ED2">
        <w:rPr>
          <w:color w:val="000000" w:themeColor="text1"/>
          <w:spacing w:val="-4"/>
        </w:rPr>
        <w:t xml:space="preserve"> 8.6%), bringing the total number of newly established and </w:t>
      </w:r>
      <w:r w:rsidRPr="00AF3ED2">
        <w:rPr>
          <w:color w:val="000000" w:themeColor="text1"/>
        </w:rPr>
        <w:t>resumed operation enterprises</w:t>
      </w:r>
      <w:r w:rsidRPr="00AF3ED2">
        <w:rPr>
          <w:color w:val="000000" w:themeColor="text1"/>
          <w:spacing w:val="-4"/>
        </w:rPr>
        <w:t xml:space="preserve"> in the four months of 2026 to over 119.4 </w:t>
      </w:r>
      <w:r w:rsidRPr="00AF3ED2">
        <w:rPr>
          <w:color w:val="000000" w:themeColor="text1"/>
        </w:rPr>
        <w:t xml:space="preserve">thousand </w:t>
      </w:r>
      <w:r w:rsidRPr="00AF3ED2">
        <w:rPr>
          <w:color w:val="000000" w:themeColor="text1"/>
          <w:spacing w:val="-4"/>
        </w:rPr>
        <w:t xml:space="preserve">enterprises, </w:t>
      </w:r>
      <w:r w:rsidRPr="00AF3ED2">
        <w:rPr>
          <w:color w:val="000000" w:themeColor="text1"/>
        </w:rPr>
        <w:t>a year-on-year increase of</w:t>
      </w:r>
      <w:r w:rsidRPr="00AF3ED2">
        <w:rPr>
          <w:color w:val="000000" w:themeColor="text1"/>
          <w:spacing w:val="-4"/>
        </w:rPr>
        <w:t xml:space="preserve"> 32.8%. On average, </w:t>
      </w:r>
      <w:r w:rsidRPr="00AF3ED2">
        <w:rPr>
          <w:color w:val="000000" w:themeColor="text1"/>
        </w:rPr>
        <w:t xml:space="preserve">there were </w:t>
      </w:r>
      <w:r w:rsidRPr="00AF3ED2">
        <w:rPr>
          <w:color w:val="000000" w:themeColor="text1"/>
          <w:spacing w:val="-4"/>
        </w:rPr>
        <w:t xml:space="preserve">29.9 </w:t>
      </w:r>
      <w:r w:rsidRPr="00AF3ED2">
        <w:rPr>
          <w:color w:val="000000" w:themeColor="text1"/>
        </w:rPr>
        <w:t xml:space="preserve">thousand newly </w:t>
      </w:r>
      <w:r w:rsidRPr="00AF3ED2">
        <w:rPr>
          <w:color w:val="000000" w:themeColor="text1"/>
          <w:spacing w:val="-2"/>
        </w:rPr>
        <w:t xml:space="preserve">established </w:t>
      </w:r>
      <w:r w:rsidRPr="00AF3ED2">
        <w:rPr>
          <w:color w:val="000000" w:themeColor="text1"/>
        </w:rPr>
        <w:t>and resumed operation enterprises per month</w:t>
      </w:r>
      <w:r w:rsidRPr="00AF3ED2">
        <w:rPr>
          <w:color w:val="000000" w:themeColor="text1"/>
          <w:spacing w:val="-4"/>
        </w:rPr>
        <w:t>.</w:t>
      </w:r>
    </w:p>
    <w:p w14:paraId="1EF30499" w14:textId="7210846B" w:rsidR="00C12D51" w:rsidRPr="00AF3ED2" w:rsidRDefault="00C12D51" w:rsidP="00C12D51">
      <w:pPr>
        <w:spacing w:after="120" w:line="264" w:lineRule="auto"/>
        <w:ind w:firstLine="720"/>
        <w:jc w:val="both"/>
        <w:rPr>
          <w:color w:val="000000" w:themeColor="text1"/>
        </w:rPr>
      </w:pPr>
      <w:r w:rsidRPr="00AF3ED2">
        <w:rPr>
          <w:color w:val="000000" w:themeColor="text1"/>
        </w:rPr>
        <w:t xml:space="preserve">By economic sector, in the four months of 2026, the number of newly </w:t>
      </w:r>
      <w:r w:rsidRPr="00AF3ED2">
        <w:rPr>
          <w:color w:val="000000" w:themeColor="text1"/>
          <w:spacing w:val="-2"/>
        </w:rPr>
        <w:t>registered</w:t>
      </w:r>
      <w:r w:rsidRPr="00AF3ED2">
        <w:rPr>
          <w:color w:val="000000" w:themeColor="text1"/>
        </w:rPr>
        <w:t xml:space="preserve"> enterprises in the agriculture, forestry and fishing sector; the industry and construction sector</w:t>
      </w:r>
      <w:r w:rsidR="008C2752">
        <w:rPr>
          <w:color w:val="000000" w:themeColor="text1"/>
        </w:rPr>
        <w:t>;</w:t>
      </w:r>
      <w:r w:rsidRPr="00AF3ED2">
        <w:rPr>
          <w:color w:val="000000" w:themeColor="text1"/>
        </w:rPr>
        <w:t xml:space="preserve"> and the services sector reached 827 enterprises</w:t>
      </w:r>
      <w:r w:rsidR="008C2752">
        <w:rPr>
          <w:color w:val="000000" w:themeColor="text1"/>
        </w:rPr>
        <w:t xml:space="preserve"> (+</w:t>
      </w:r>
      <w:r w:rsidRPr="00AF3ED2">
        <w:rPr>
          <w:color w:val="000000" w:themeColor="text1"/>
        </w:rPr>
        <w:t>66.7%</w:t>
      </w:r>
      <w:r w:rsidR="008C2752">
        <w:rPr>
          <w:color w:val="000000" w:themeColor="text1"/>
        </w:rPr>
        <w:t xml:space="preserve"> Y-o-Y)</w:t>
      </w:r>
      <w:r w:rsidRPr="00AF3ED2">
        <w:rPr>
          <w:color w:val="000000" w:themeColor="text1"/>
        </w:rPr>
        <w:t xml:space="preserve">; 18.9 thousand enterprises </w:t>
      </w:r>
      <w:r w:rsidR="008C2752">
        <w:rPr>
          <w:color w:val="000000" w:themeColor="text1"/>
        </w:rPr>
        <w:t>(+</w:t>
      </w:r>
      <w:r w:rsidRPr="00AF3ED2">
        <w:rPr>
          <w:color w:val="000000" w:themeColor="text1"/>
        </w:rPr>
        <w:t>56.6%</w:t>
      </w:r>
      <w:r w:rsidR="008C2752">
        <w:rPr>
          <w:color w:val="000000" w:themeColor="text1"/>
        </w:rPr>
        <w:t xml:space="preserve"> Y-o-Y)</w:t>
      </w:r>
      <w:r w:rsidRPr="00AF3ED2">
        <w:rPr>
          <w:color w:val="000000" w:themeColor="text1"/>
        </w:rPr>
        <w:t>; and nearly 58.1 thousand enterprises</w:t>
      </w:r>
      <w:r w:rsidR="008C2752">
        <w:rPr>
          <w:color w:val="000000" w:themeColor="text1"/>
        </w:rPr>
        <w:t xml:space="preserve"> (+</w:t>
      </w:r>
      <w:r w:rsidRPr="00AF3ED2">
        <w:rPr>
          <w:color w:val="000000" w:themeColor="text1"/>
        </w:rPr>
        <w:t>48.7%</w:t>
      </w:r>
      <w:r w:rsidR="008C2752">
        <w:rPr>
          <w:color w:val="000000" w:themeColor="text1"/>
        </w:rPr>
        <w:t xml:space="preserve"> Y-o-Y)</w:t>
      </w:r>
      <w:r w:rsidRPr="00AF3ED2">
        <w:rPr>
          <w:color w:val="000000" w:themeColor="text1"/>
        </w:rPr>
        <w:t>, respectively.</w:t>
      </w:r>
    </w:p>
    <w:p w14:paraId="6C0415F4" w14:textId="77777777" w:rsidR="00C12D51" w:rsidRPr="00AF3ED2" w:rsidRDefault="00C12D51" w:rsidP="00C12D51">
      <w:pPr>
        <w:spacing w:after="120" w:line="264" w:lineRule="auto"/>
        <w:jc w:val="center"/>
        <w:rPr>
          <w:color w:val="000000" w:themeColor="text1"/>
        </w:rPr>
      </w:pPr>
      <w:r w:rsidRPr="00AF3ED2">
        <w:rPr>
          <w:rFonts w:ascii="Arial" w:hAnsi="Arial" w:cs="Arial"/>
          <w:b/>
          <w:color w:val="000000" w:themeColor="text1"/>
          <w:sz w:val="24"/>
          <w:szCs w:val="24"/>
        </w:rPr>
        <w:t xml:space="preserve">Figure 5. Enterprises registration situation in the four months of 2026 </w:t>
      </w:r>
      <w:r w:rsidRPr="00AF3ED2">
        <w:rPr>
          <w:rFonts w:ascii="Arial" w:hAnsi="Arial" w:cs="Arial"/>
          <w:b/>
          <w:color w:val="000000" w:themeColor="text1"/>
          <w:sz w:val="24"/>
          <w:szCs w:val="24"/>
        </w:rPr>
        <w:br/>
        <w:t>compared to the same period in 2025.</w:t>
      </w:r>
    </w:p>
    <w:p w14:paraId="73CB3091" w14:textId="77777777" w:rsidR="00C12D51" w:rsidRPr="00AF3ED2" w:rsidRDefault="00C12D51" w:rsidP="00C12D51">
      <w:pPr>
        <w:spacing w:after="120" w:line="264" w:lineRule="auto"/>
        <w:jc w:val="center"/>
        <w:rPr>
          <w:color w:val="000000" w:themeColor="text1"/>
        </w:rPr>
      </w:pPr>
      <w:r w:rsidRPr="00AF3ED2">
        <w:rPr>
          <w:snapToGrid w:val="0"/>
          <w:color w:val="000000"/>
          <w:w w:val="0"/>
          <w:sz w:val="0"/>
          <w:szCs w:val="0"/>
          <w:u w:color="000000"/>
          <w:bdr w:val="none" w:sz="0" w:space="0" w:color="000000"/>
          <w:shd w:val="clear" w:color="000000" w:fill="000000"/>
          <w:lang w:eastAsia="x-none" w:bidi="x-none"/>
        </w:rPr>
        <w:lastRenderedPageBreak/>
        <w:t xml:space="preserve"> </w:t>
      </w:r>
      <w:r w:rsidRPr="00AF3ED2">
        <w:rPr>
          <w:noProof/>
          <w:color w:val="000000" w:themeColor="text1"/>
        </w:rPr>
        <w:drawing>
          <wp:inline distT="0" distB="0" distL="0" distR="0" wp14:anchorId="599D0301" wp14:editId="321AA04D">
            <wp:extent cx="4681728" cy="2452334"/>
            <wp:effectExtent l="0" t="0" r="5080" b="5715"/>
            <wp:docPr id="6" name="Picture 6" descr="H:\6. Bao cao KTXH hang quy\2026\Dich BC KTXH thang 4.2026\2569701011748143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6. Bao cao KTXH hang quy\2026\Dich BC KTXH thang 4.2026\256970101174814323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05536" cy="2464805"/>
                    </a:xfrm>
                    <a:prstGeom prst="rect">
                      <a:avLst/>
                    </a:prstGeom>
                    <a:noFill/>
                    <a:ln>
                      <a:noFill/>
                    </a:ln>
                  </pic:spPr>
                </pic:pic>
              </a:graphicData>
            </a:graphic>
          </wp:inline>
        </w:drawing>
      </w:r>
    </w:p>
    <w:p w14:paraId="55131F7D" w14:textId="7EB4E05F" w:rsidR="00C12D51" w:rsidRPr="00AF3ED2" w:rsidRDefault="00C12D51" w:rsidP="00C12D51">
      <w:pPr>
        <w:spacing w:after="120" w:line="264" w:lineRule="auto"/>
        <w:ind w:firstLine="720"/>
        <w:jc w:val="both"/>
        <w:rPr>
          <w:color w:val="000000" w:themeColor="text1"/>
        </w:rPr>
      </w:pPr>
      <w:r w:rsidRPr="00AF3ED2">
        <w:rPr>
          <w:color w:val="000000" w:themeColor="text1"/>
        </w:rPr>
        <w:t>Overall, in the four months of 2026, the number of enterprises temporarily suspend</w:t>
      </w:r>
      <w:r w:rsidR="00687F9C">
        <w:rPr>
          <w:color w:val="000000" w:themeColor="text1"/>
        </w:rPr>
        <w:t>ed</w:t>
      </w:r>
      <w:r w:rsidRPr="00AF3ED2">
        <w:rPr>
          <w:color w:val="000000" w:themeColor="text1"/>
        </w:rPr>
        <w:t xml:space="preserve"> </w:t>
      </w:r>
      <w:r w:rsidRPr="00AF3ED2">
        <w:rPr>
          <w:color w:val="000000" w:themeColor="text1"/>
          <w:spacing w:val="-2"/>
        </w:rPr>
        <w:t>for a definite time</w:t>
      </w:r>
      <w:r w:rsidRPr="00AF3ED2">
        <w:rPr>
          <w:color w:val="000000" w:themeColor="text1"/>
        </w:rPr>
        <w:t xml:space="preserve"> was 72.2 thousand enterprises, a year-on-year increase of 5.1%; nearly 21.5 thousand enterprises suspended operation waiting for dissolution procedures, a year-on-year increase of 6.6%; and nearly 15.2 thousand enterprises completed procedures for dissolution, a year-on-year increase of 98.7%. On average, 27.2 thousand enterprises</w:t>
      </w:r>
      <w:r w:rsidRPr="00AF3ED2" w:rsidDel="004B3290">
        <w:rPr>
          <w:color w:val="000000" w:themeColor="text1"/>
        </w:rPr>
        <w:t xml:space="preserve"> </w:t>
      </w:r>
      <w:r w:rsidRPr="00AF3ED2">
        <w:rPr>
          <w:color w:val="000000" w:themeColor="text1"/>
        </w:rPr>
        <w:t>withdrew from the market per month.</w:t>
      </w:r>
    </w:p>
    <w:p w14:paraId="59ABDF24" w14:textId="06155AA5" w:rsidR="00C12D51" w:rsidRPr="00AF3ED2" w:rsidRDefault="00C12D51" w:rsidP="00C12D51">
      <w:pPr>
        <w:tabs>
          <w:tab w:val="left" w:pos="6810"/>
        </w:tabs>
        <w:spacing w:after="120" w:line="264" w:lineRule="auto"/>
        <w:jc w:val="center"/>
        <w:rPr>
          <w:rFonts w:ascii="Arial" w:hAnsi="Arial" w:cs="Arial"/>
          <w:b/>
          <w:color w:val="000000" w:themeColor="text1"/>
          <w:sz w:val="24"/>
          <w:szCs w:val="20"/>
        </w:rPr>
      </w:pPr>
      <w:r w:rsidRPr="00AF3ED2">
        <w:rPr>
          <w:rFonts w:ascii="Arial" w:hAnsi="Arial" w:cs="Arial"/>
          <w:b/>
          <w:color w:val="000000" w:themeColor="text1"/>
          <w:sz w:val="24"/>
          <w:szCs w:val="20"/>
        </w:rPr>
        <w:t xml:space="preserve">Table 2. Newly established and completely dissolved enterprises </w:t>
      </w:r>
      <w:r w:rsidR="00D567A6">
        <w:rPr>
          <w:rFonts w:ascii="Arial" w:hAnsi="Arial" w:cs="Arial"/>
          <w:b/>
          <w:color w:val="000000" w:themeColor="text1"/>
          <w:sz w:val="24"/>
          <w:szCs w:val="20"/>
        </w:rPr>
        <w:br/>
      </w:r>
      <w:r w:rsidRPr="00AF3ED2">
        <w:rPr>
          <w:rFonts w:ascii="Arial" w:hAnsi="Arial" w:cs="Arial"/>
          <w:b/>
          <w:color w:val="000000" w:themeColor="text1"/>
          <w:sz w:val="24"/>
          <w:szCs w:val="20"/>
        </w:rPr>
        <w:t>in the four months of 2026 by kind of economic activity</w:t>
      </w:r>
    </w:p>
    <w:p w14:paraId="319C5506" w14:textId="77777777" w:rsidR="00C12D51" w:rsidRPr="00AF3ED2" w:rsidRDefault="00C12D51" w:rsidP="00C12D51">
      <w:pPr>
        <w:tabs>
          <w:tab w:val="left" w:pos="6810"/>
        </w:tabs>
        <w:spacing w:after="120" w:line="264" w:lineRule="auto"/>
        <w:jc w:val="center"/>
        <w:rPr>
          <w:rFonts w:ascii="Arial" w:hAnsi="Arial" w:cs="Arial"/>
          <w:b/>
          <w:color w:val="000000" w:themeColor="text1"/>
          <w:sz w:val="4"/>
          <w:szCs w:val="20"/>
        </w:rPr>
      </w:pPr>
    </w:p>
    <w:tbl>
      <w:tblPr>
        <w:tblW w:w="9297" w:type="dxa"/>
        <w:jc w:val="center"/>
        <w:tblLook w:val="04A0" w:firstRow="1" w:lastRow="0" w:firstColumn="1" w:lastColumn="0" w:noHBand="0" w:noVBand="1"/>
      </w:tblPr>
      <w:tblGrid>
        <w:gridCol w:w="3996"/>
        <w:gridCol w:w="1585"/>
        <w:gridCol w:w="1217"/>
        <w:gridCol w:w="1525"/>
        <w:gridCol w:w="1217"/>
      </w:tblGrid>
      <w:tr w:rsidR="00C12D51" w:rsidRPr="00AF3ED2" w14:paraId="548233A5" w14:textId="77777777" w:rsidTr="00FC36C1">
        <w:trPr>
          <w:cantSplit/>
          <w:trHeight w:val="595"/>
          <w:jc w:val="center"/>
        </w:trPr>
        <w:tc>
          <w:tcPr>
            <w:tcW w:w="3996" w:type="dxa"/>
            <w:vMerge w:val="restart"/>
            <w:tcBorders>
              <w:top w:val="single" w:sz="4" w:space="0" w:color="auto"/>
            </w:tcBorders>
            <w:noWrap/>
            <w:vAlign w:val="bottom"/>
            <w:hideMark/>
          </w:tcPr>
          <w:p w14:paraId="5576A510" w14:textId="77777777" w:rsidR="00C12D51" w:rsidRPr="00AF3ED2" w:rsidRDefault="00C12D51" w:rsidP="00FC36C1">
            <w:pPr>
              <w:jc w:val="center"/>
              <w:rPr>
                <w:rFonts w:ascii="Arial" w:hAnsi="Arial" w:cs="Arial"/>
                <w:color w:val="000000" w:themeColor="text1"/>
                <w:sz w:val="20"/>
                <w:szCs w:val="20"/>
              </w:rPr>
            </w:pPr>
            <w:r w:rsidRPr="00AF3ED2">
              <w:rPr>
                <w:rFonts w:ascii="Arial" w:hAnsi="Arial" w:cs="Arial"/>
                <w:color w:val="000000" w:themeColor="text1"/>
                <w:sz w:val="20"/>
                <w:szCs w:val="20"/>
              </w:rPr>
              <w:t> </w:t>
            </w:r>
          </w:p>
        </w:tc>
        <w:tc>
          <w:tcPr>
            <w:tcW w:w="2779" w:type="dxa"/>
            <w:gridSpan w:val="2"/>
            <w:tcBorders>
              <w:top w:val="single" w:sz="4" w:space="0" w:color="auto"/>
              <w:bottom w:val="single" w:sz="4" w:space="0" w:color="auto"/>
            </w:tcBorders>
            <w:vAlign w:val="center"/>
            <w:hideMark/>
          </w:tcPr>
          <w:p w14:paraId="43A74781" w14:textId="77777777" w:rsidR="00C12D51" w:rsidRPr="00AF3ED2" w:rsidRDefault="00C12D51" w:rsidP="00FC36C1">
            <w:pPr>
              <w:jc w:val="center"/>
              <w:rPr>
                <w:rFonts w:ascii="Arial" w:hAnsi="Arial" w:cs="Arial"/>
                <w:bCs/>
                <w:color w:val="000000" w:themeColor="text1"/>
                <w:sz w:val="20"/>
                <w:szCs w:val="20"/>
              </w:rPr>
            </w:pPr>
            <w:r w:rsidRPr="00AF3ED2">
              <w:rPr>
                <w:rFonts w:ascii="Arial" w:hAnsi="Arial" w:cs="Arial"/>
                <w:bCs/>
                <w:color w:val="000000" w:themeColor="text1"/>
                <w:sz w:val="20"/>
                <w:szCs w:val="20"/>
              </w:rPr>
              <w:t>Number of enterprises (Enterprises)</w:t>
            </w:r>
          </w:p>
        </w:tc>
        <w:tc>
          <w:tcPr>
            <w:tcW w:w="2522" w:type="dxa"/>
            <w:gridSpan w:val="2"/>
            <w:tcBorders>
              <w:top w:val="single" w:sz="4" w:space="0" w:color="auto"/>
              <w:bottom w:val="single" w:sz="4" w:space="0" w:color="auto"/>
            </w:tcBorders>
            <w:vAlign w:val="center"/>
            <w:hideMark/>
          </w:tcPr>
          <w:p w14:paraId="036F00E6" w14:textId="77777777" w:rsidR="00C12D51" w:rsidRPr="00AF3ED2" w:rsidRDefault="00C12D51" w:rsidP="00FC36C1">
            <w:pPr>
              <w:jc w:val="center"/>
              <w:rPr>
                <w:rFonts w:ascii="Arial" w:hAnsi="Arial" w:cs="Arial"/>
                <w:bCs/>
                <w:color w:val="000000" w:themeColor="text1"/>
                <w:sz w:val="20"/>
                <w:szCs w:val="20"/>
              </w:rPr>
            </w:pPr>
            <w:r w:rsidRPr="00AF3ED2">
              <w:rPr>
                <w:rFonts w:ascii="Arial" w:hAnsi="Arial" w:cs="Arial"/>
                <w:bCs/>
                <w:color w:val="000000" w:themeColor="text1"/>
                <w:sz w:val="20"/>
                <w:szCs w:val="20"/>
              </w:rPr>
              <w:t>Year-on-year growth rate (%)</w:t>
            </w:r>
          </w:p>
        </w:tc>
      </w:tr>
      <w:tr w:rsidR="00C12D51" w:rsidRPr="00AF3ED2" w14:paraId="34FA194B" w14:textId="77777777" w:rsidTr="00FC36C1">
        <w:trPr>
          <w:cantSplit/>
          <w:trHeight w:val="312"/>
          <w:jc w:val="center"/>
        </w:trPr>
        <w:tc>
          <w:tcPr>
            <w:tcW w:w="3996" w:type="dxa"/>
            <w:vMerge/>
            <w:vAlign w:val="center"/>
            <w:hideMark/>
          </w:tcPr>
          <w:p w14:paraId="220434B5" w14:textId="77777777" w:rsidR="00C12D51" w:rsidRPr="00AF3ED2" w:rsidRDefault="00C12D51" w:rsidP="00FC36C1">
            <w:pPr>
              <w:rPr>
                <w:rFonts w:ascii="Arial" w:hAnsi="Arial" w:cs="Arial"/>
                <w:color w:val="000000" w:themeColor="text1"/>
                <w:sz w:val="20"/>
                <w:szCs w:val="20"/>
              </w:rPr>
            </w:pPr>
          </w:p>
        </w:tc>
        <w:tc>
          <w:tcPr>
            <w:tcW w:w="1585" w:type="dxa"/>
            <w:tcBorders>
              <w:top w:val="single" w:sz="4" w:space="0" w:color="auto"/>
              <w:bottom w:val="single" w:sz="4" w:space="0" w:color="auto"/>
            </w:tcBorders>
            <w:vAlign w:val="center"/>
            <w:hideMark/>
          </w:tcPr>
          <w:p w14:paraId="1666CF96" w14:textId="77777777" w:rsidR="00C12D51" w:rsidRPr="00AF3ED2" w:rsidRDefault="00C12D51" w:rsidP="00FC36C1">
            <w:pPr>
              <w:jc w:val="center"/>
              <w:rPr>
                <w:rFonts w:ascii="Arial" w:hAnsi="Arial" w:cs="Arial"/>
                <w:bCs/>
                <w:color w:val="000000" w:themeColor="text1"/>
                <w:sz w:val="20"/>
                <w:szCs w:val="20"/>
              </w:rPr>
            </w:pPr>
            <w:r w:rsidRPr="00AF3ED2">
              <w:rPr>
                <w:rFonts w:ascii="Arial" w:hAnsi="Arial" w:cs="Arial"/>
                <w:bCs/>
                <w:color w:val="000000" w:themeColor="text1"/>
                <w:sz w:val="20"/>
                <w:szCs w:val="20"/>
              </w:rPr>
              <w:t>Newly established</w:t>
            </w:r>
          </w:p>
        </w:tc>
        <w:tc>
          <w:tcPr>
            <w:tcW w:w="1194" w:type="dxa"/>
            <w:tcBorders>
              <w:top w:val="single" w:sz="4" w:space="0" w:color="auto"/>
              <w:bottom w:val="single" w:sz="4" w:space="0" w:color="auto"/>
            </w:tcBorders>
            <w:vAlign w:val="center"/>
            <w:hideMark/>
          </w:tcPr>
          <w:p w14:paraId="01365A14" w14:textId="77777777" w:rsidR="00C12D51" w:rsidRPr="00AF3ED2" w:rsidRDefault="00C12D51" w:rsidP="00FC36C1">
            <w:pPr>
              <w:jc w:val="center"/>
              <w:rPr>
                <w:rFonts w:ascii="Arial" w:hAnsi="Arial" w:cs="Arial"/>
                <w:bCs/>
                <w:color w:val="000000" w:themeColor="text1"/>
                <w:sz w:val="20"/>
                <w:szCs w:val="20"/>
              </w:rPr>
            </w:pPr>
            <w:r w:rsidRPr="00AF3ED2">
              <w:rPr>
                <w:rFonts w:ascii="Arial" w:hAnsi="Arial" w:cs="Arial"/>
                <w:bCs/>
                <w:color w:val="000000" w:themeColor="text1"/>
                <w:sz w:val="20"/>
                <w:szCs w:val="20"/>
              </w:rPr>
              <w:t>Completely dissolved</w:t>
            </w:r>
          </w:p>
        </w:tc>
        <w:tc>
          <w:tcPr>
            <w:tcW w:w="1525" w:type="dxa"/>
            <w:tcBorders>
              <w:top w:val="single" w:sz="4" w:space="0" w:color="auto"/>
              <w:bottom w:val="single" w:sz="4" w:space="0" w:color="auto"/>
            </w:tcBorders>
            <w:vAlign w:val="center"/>
            <w:hideMark/>
          </w:tcPr>
          <w:p w14:paraId="1D2A67AB" w14:textId="77777777" w:rsidR="00C12D51" w:rsidRPr="00AF3ED2" w:rsidRDefault="00C12D51" w:rsidP="00FC36C1">
            <w:pPr>
              <w:jc w:val="center"/>
              <w:rPr>
                <w:rFonts w:ascii="Arial" w:hAnsi="Arial" w:cs="Arial"/>
                <w:bCs/>
                <w:color w:val="000000" w:themeColor="text1"/>
                <w:sz w:val="20"/>
                <w:szCs w:val="20"/>
              </w:rPr>
            </w:pPr>
            <w:r w:rsidRPr="00AF3ED2">
              <w:rPr>
                <w:rFonts w:ascii="Arial" w:hAnsi="Arial" w:cs="Arial"/>
                <w:bCs/>
                <w:color w:val="000000" w:themeColor="text1"/>
                <w:sz w:val="20"/>
                <w:szCs w:val="20"/>
              </w:rPr>
              <w:t>Newly established</w:t>
            </w:r>
          </w:p>
        </w:tc>
        <w:tc>
          <w:tcPr>
            <w:tcW w:w="997" w:type="dxa"/>
            <w:tcBorders>
              <w:top w:val="single" w:sz="4" w:space="0" w:color="auto"/>
              <w:bottom w:val="single" w:sz="4" w:space="0" w:color="auto"/>
            </w:tcBorders>
            <w:vAlign w:val="center"/>
            <w:hideMark/>
          </w:tcPr>
          <w:p w14:paraId="7ED7B9A6" w14:textId="77777777" w:rsidR="00C12D51" w:rsidRPr="00AF3ED2" w:rsidRDefault="00C12D51" w:rsidP="00FC36C1">
            <w:pPr>
              <w:jc w:val="center"/>
              <w:rPr>
                <w:rFonts w:ascii="Arial" w:hAnsi="Arial" w:cs="Arial"/>
                <w:bCs/>
                <w:color w:val="000000" w:themeColor="text1"/>
                <w:sz w:val="20"/>
                <w:szCs w:val="20"/>
              </w:rPr>
            </w:pPr>
            <w:r w:rsidRPr="00AF3ED2">
              <w:rPr>
                <w:rFonts w:ascii="Arial" w:hAnsi="Arial" w:cs="Arial"/>
                <w:bCs/>
                <w:color w:val="000000" w:themeColor="text1"/>
                <w:sz w:val="20"/>
                <w:szCs w:val="20"/>
              </w:rPr>
              <w:t>Completely dissolved</w:t>
            </w:r>
          </w:p>
        </w:tc>
      </w:tr>
      <w:tr w:rsidR="00C12D51" w:rsidRPr="00AF3ED2" w14:paraId="40A66B9A" w14:textId="77777777" w:rsidTr="00FC36C1">
        <w:trPr>
          <w:cantSplit/>
          <w:trHeight w:val="282"/>
          <w:jc w:val="center"/>
        </w:trPr>
        <w:tc>
          <w:tcPr>
            <w:tcW w:w="3996" w:type="dxa"/>
            <w:noWrap/>
            <w:vAlign w:val="bottom"/>
            <w:hideMark/>
          </w:tcPr>
          <w:p w14:paraId="79A91767" w14:textId="77777777" w:rsidR="00C12D51" w:rsidRPr="00AF3ED2" w:rsidRDefault="00C12D51" w:rsidP="00FC36C1">
            <w:pPr>
              <w:rPr>
                <w:rFonts w:ascii="Arial" w:hAnsi="Arial" w:cs="Arial"/>
                <w:color w:val="000000" w:themeColor="text1"/>
                <w:sz w:val="20"/>
                <w:szCs w:val="20"/>
              </w:rPr>
            </w:pPr>
            <w:r w:rsidRPr="00AF3ED2">
              <w:rPr>
                <w:rFonts w:ascii="Arial" w:hAnsi="Arial" w:cs="Arial"/>
                <w:color w:val="000000" w:themeColor="text1"/>
                <w:sz w:val="20"/>
                <w:szCs w:val="20"/>
              </w:rPr>
              <w:t>Wholesale and retail, repair of motor vehicle and motorcycle</w:t>
            </w:r>
          </w:p>
        </w:tc>
        <w:tc>
          <w:tcPr>
            <w:tcW w:w="1585" w:type="dxa"/>
            <w:tcBorders>
              <w:top w:val="single" w:sz="4" w:space="0" w:color="auto"/>
            </w:tcBorders>
            <w:noWrap/>
            <w:vAlign w:val="bottom"/>
          </w:tcPr>
          <w:p w14:paraId="66F3BD5B"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33,269</w:t>
            </w:r>
          </w:p>
        </w:tc>
        <w:tc>
          <w:tcPr>
            <w:tcW w:w="1194" w:type="dxa"/>
            <w:tcBorders>
              <w:top w:val="single" w:sz="4" w:space="0" w:color="auto"/>
            </w:tcBorders>
            <w:noWrap/>
            <w:vAlign w:val="bottom"/>
          </w:tcPr>
          <w:p w14:paraId="2FB43E7A"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5,719</w:t>
            </w:r>
          </w:p>
        </w:tc>
        <w:tc>
          <w:tcPr>
            <w:tcW w:w="1525" w:type="dxa"/>
            <w:tcBorders>
              <w:top w:val="single" w:sz="4" w:space="0" w:color="auto"/>
            </w:tcBorders>
            <w:noWrap/>
            <w:vAlign w:val="bottom"/>
          </w:tcPr>
          <w:p w14:paraId="30CD8FCF" w14:textId="77777777" w:rsidR="00C12D51" w:rsidRPr="00AF3ED2" w:rsidRDefault="00C12D51" w:rsidP="00FC36C1">
            <w:pPr>
              <w:ind w:right="316"/>
              <w:jc w:val="right"/>
              <w:rPr>
                <w:rFonts w:ascii="Arial" w:hAnsi="Arial" w:cs="Arial"/>
                <w:color w:val="000000" w:themeColor="text1"/>
                <w:sz w:val="20"/>
                <w:szCs w:val="20"/>
              </w:rPr>
            </w:pPr>
            <w:r w:rsidRPr="00AF3ED2">
              <w:rPr>
                <w:rFonts w:ascii="Arial" w:hAnsi="Arial" w:cs="Arial"/>
                <w:color w:val="000000" w:themeColor="text1"/>
                <w:sz w:val="20"/>
                <w:szCs w:val="20"/>
              </w:rPr>
              <w:t>81.4</w:t>
            </w:r>
          </w:p>
        </w:tc>
        <w:tc>
          <w:tcPr>
            <w:tcW w:w="997" w:type="dxa"/>
            <w:tcBorders>
              <w:top w:val="single" w:sz="4" w:space="0" w:color="auto"/>
            </w:tcBorders>
            <w:noWrap/>
            <w:vAlign w:val="bottom"/>
          </w:tcPr>
          <w:p w14:paraId="5912C899"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102.2</w:t>
            </w:r>
          </w:p>
        </w:tc>
      </w:tr>
      <w:tr w:rsidR="00C12D51" w:rsidRPr="00AF3ED2" w14:paraId="249561EB" w14:textId="77777777" w:rsidTr="00FC36C1">
        <w:trPr>
          <w:cantSplit/>
          <w:trHeight w:val="297"/>
          <w:jc w:val="center"/>
        </w:trPr>
        <w:tc>
          <w:tcPr>
            <w:tcW w:w="3996" w:type="dxa"/>
            <w:noWrap/>
            <w:vAlign w:val="bottom"/>
            <w:hideMark/>
          </w:tcPr>
          <w:p w14:paraId="4B7ABA80" w14:textId="77777777" w:rsidR="00C12D51" w:rsidRPr="00AF3ED2" w:rsidRDefault="00C12D51" w:rsidP="00FC36C1">
            <w:pPr>
              <w:rPr>
                <w:rFonts w:ascii="Arial" w:hAnsi="Arial" w:cs="Arial"/>
                <w:color w:val="000000" w:themeColor="text1"/>
                <w:sz w:val="20"/>
                <w:szCs w:val="20"/>
              </w:rPr>
            </w:pPr>
            <w:r w:rsidRPr="00AF3ED2">
              <w:rPr>
                <w:rFonts w:ascii="Arial" w:hAnsi="Arial" w:cs="Arial"/>
                <w:color w:val="000000" w:themeColor="text1"/>
                <w:sz w:val="20"/>
                <w:szCs w:val="20"/>
              </w:rPr>
              <w:t xml:space="preserve">Manufacturing </w:t>
            </w:r>
          </w:p>
        </w:tc>
        <w:tc>
          <w:tcPr>
            <w:tcW w:w="1585" w:type="dxa"/>
            <w:noWrap/>
            <w:vAlign w:val="bottom"/>
          </w:tcPr>
          <w:p w14:paraId="3E51AC3F"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10,644</w:t>
            </w:r>
          </w:p>
        </w:tc>
        <w:tc>
          <w:tcPr>
            <w:tcW w:w="1194" w:type="dxa"/>
            <w:noWrap/>
            <w:vAlign w:val="bottom"/>
          </w:tcPr>
          <w:p w14:paraId="5E49CE5E"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1,630</w:t>
            </w:r>
          </w:p>
        </w:tc>
        <w:tc>
          <w:tcPr>
            <w:tcW w:w="1525" w:type="dxa"/>
            <w:noWrap/>
            <w:vAlign w:val="bottom"/>
          </w:tcPr>
          <w:p w14:paraId="507ED20D" w14:textId="77777777" w:rsidR="00C12D51" w:rsidRPr="00AF3ED2" w:rsidRDefault="00C12D51" w:rsidP="00FC36C1">
            <w:pPr>
              <w:ind w:right="316"/>
              <w:jc w:val="right"/>
              <w:rPr>
                <w:rFonts w:ascii="Arial" w:hAnsi="Arial" w:cs="Arial"/>
                <w:color w:val="000000" w:themeColor="text1"/>
                <w:sz w:val="20"/>
                <w:szCs w:val="20"/>
              </w:rPr>
            </w:pPr>
            <w:r w:rsidRPr="00AF3ED2">
              <w:rPr>
                <w:rFonts w:ascii="Arial" w:hAnsi="Arial" w:cs="Arial"/>
                <w:color w:val="000000" w:themeColor="text1"/>
                <w:sz w:val="20"/>
                <w:szCs w:val="20"/>
              </w:rPr>
              <w:t>60.1</w:t>
            </w:r>
          </w:p>
        </w:tc>
        <w:tc>
          <w:tcPr>
            <w:tcW w:w="997" w:type="dxa"/>
            <w:noWrap/>
            <w:vAlign w:val="bottom"/>
          </w:tcPr>
          <w:p w14:paraId="2C4D17C3"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99.3</w:t>
            </w:r>
          </w:p>
        </w:tc>
      </w:tr>
      <w:tr w:rsidR="00C12D51" w:rsidRPr="00AF3ED2" w14:paraId="3D7AAFE1" w14:textId="77777777" w:rsidTr="00FC36C1">
        <w:trPr>
          <w:cantSplit/>
          <w:trHeight w:val="297"/>
          <w:jc w:val="center"/>
        </w:trPr>
        <w:tc>
          <w:tcPr>
            <w:tcW w:w="3996" w:type="dxa"/>
            <w:noWrap/>
            <w:vAlign w:val="bottom"/>
            <w:hideMark/>
          </w:tcPr>
          <w:p w14:paraId="11DA3231" w14:textId="77777777" w:rsidR="00C12D51" w:rsidRPr="00AF3ED2" w:rsidRDefault="00C12D51" w:rsidP="00FC36C1">
            <w:pPr>
              <w:rPr>
                <w:rFonts w:ascii="Arial" w:hAnsi="Arial" w:cs="Arial"/>
                <w:color w:val="000000" w:themeColor="text1"/>
                <w:sz w:val="20"/>
                <w:szCs w:val="20"/>
              </w:rPr>
            </w:pPr>
            <w:r w:rsidRPr="00AF3ED2">
              <w:rPr>
                <w:rFonts w:ascii="Arial" w:hAnsi="Arial" w:cs="Arial"/>
                <w:color w:val="000000" w:themeColor="text1"/>
                <w:sz w:val="20"/>
                <w:szCs w:val="20"/>
              </w:rPr>
              <w:t>Construction</w:t>
            </w:r>
          </w:p>
        </w:tc>
        <w:tc>
          <w:tcPr>
            <w:tcW w:w="1585" w:type="dxa"/>
            <w:noWrap/>
            <w:vAlign w:val="bottom"/>
          </w:tcPr>
          <w:p w14:paraId="7AC42FA7"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7,225</w:t>
            </w:r>
          </w:p>
        </w:tc>
        <w:tc>
          <w:tcPr>
            <w:tcW w:w="1194" w:type="dxa"/>
            <w:noWrap/>
            <w:vAlign w:val="bottom"/>
          </w:tcPr>
          <w:p w14:paraId="5365202A"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1,053</w:t>
            </w:r>
          </w:p>
        </w:tc>
        <w:tc>
          <w:tcPr>
            <w:tcW w:w="1525" w:type="dxa"/>
            <w:noWrap/>
            <w:vAlign w:val="bottom"/>
          </w:tcPr>
          <w:p w14:paraId="698FC6E5" w14:textId="77777777" w:rsidR="00C12D51" w:rsidRPr="00AF3ED2" w:rsidRDefault="00C12D51" w:rsidP="00FC36C1">
            <w:pPr>
              <w:ind w:right="316"/>
              <w:jc w:val="right"/>
              <w:rPr>
                <w:rFonts w:ascii="Arial" w:hAnsi="Arial" w:cs="Arial"/>
                <w:color w:val="000000" w:themeColor="text1"/>
                <w:sz w:val="20"/>
                <w:szCs w:val="20"/>
              </w:rPr>
            </w:pPr>
            <w:r w:rsidRPr="00AF3ED2">
              <w:rPr>
                <w:rFonts w:ascii="Arial" w:hAnsi="Arial" w:cs="Arial"/>
                <w:color w:val="000000" w:themeColor="text1"/>
                <w:sz w:val="20"/>
                <w:szCs w:val="20"/>
              </w:rPr>
              <w:t>49.2</w:t>
            </w:r>
          </w:p>
        </w:tc>
        <w:tc>
          <w:tcPr>
            <w:tcW w:w="997" w:type="dxa"/>
            <w:noWrap/>
            <w:vAlign w:val="bottom"/>
          </w:tcPr>
          <w:p w14:paraId="4BCE1EA6"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91.5</w:t>
            </w:r>
          </w:p>
        </w:tc>
      </w:tr>
      <w:tr w:rsidR="00C12D51" w:rsidRPr="00AF3ED2" w14:paraId="75295C4B" w14:textId="77777777" w:rsidTr="00FC36C1">
        <w:trPr>
          <w:cantSplit/>
          <w:trHeight w:val="297"/>
          <w:jc w:val="center"/>
        </w:trPr>
        <w:tc>
          <w:tcPr>
            <w:tcW w:w="3996" w:type="dxa"/>
            <w:noWrap/>
            <w:vAlign w:val="bottom"/>
            <w:hideMark/>
          </w:tcPr>
          <w:p w14:paraId="26BA21F5" w14:textId="77777777" w:rsidR="00C12D51" w:rsidRPr="00AF3ED2" w:rsidRDefault="00C12D51" w:rsidP="00FC36C1">
            <w:pPr>
              <w:rPr>
                <w:rFonts w:ascii="Arial" w:hAnsi="Arial" w:cs="Arial"/>
                <w:color w:val="000000" w:themeColor="text1"/>
                <w:sz w:val="20"/>
                <w:szCs w:val="20"/>
              </w:rPr>
            </w:pPr>
            <w:r w:rsidRPr="00AF3ED2">
              <w:rPr>
                <w:rFonts w:ascii="Arial" w:hAnsi="Arial" w:cs="Arial"/>
                <w:color w:val="000000" w:themeColor="text1"/>
                <w:sz w:val="20"/>
                <w:szCs w:val="20"/>
              </w:rPr>
              <w:t>Real estate business</w:t>
            </w:r>
          </w:p>
        </w:tc>
        <w:tc>
          <w:tcPr>
            <w:tcW w:w="1585" w:type="dxa"/>
            <w:noWrap/>
            <w:vAlign w:val="bottom"/>
          </w:tcPr>
          <w:p w14:paraId="4DB577F7"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2,122</w:t>
            </w:r>
          </w:p>
        </w:tc>
        <w:tc>
          <w:tcPr>
            <w:tcW w:w="1194" w:type="dxa"/>
            <w:noWrap/>
            <w:vAlign w:val="bottom"/>
          </w:tcPr>
          <w:p w14:paraId="45C80EE7"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928</w:t>
            </w:r>
          </w:p>
        </w:tc>
        <w:tc>
          <w:tcPr>
            <w:tcW w:w="1525" w:type="dxa"/>
            <w:noWrap/>
            <w:vAlign w:val="bottom"/>
          </w:tcPr>
          <w:p w14:paraId="26F09B65" w14:textId="77777777" w:rsidR="00C12D51" w:rsidRPr="00AF3ED2" w:rsidRDefault="00C12D51" w:rsidP="00FC36C1">
            <w:pPr>
              <w:ind w:right="316"/>
              <w:jc w:val="right"/>
              <w:rPr>
                <w:rFonts w:ascii="Arial" w:hAnsi="Arial" w:cs="Arial"/>
                <w:color w:val="000000" w:themeColor="text1"/>
                <w:sz w:val="20"/>
                <w:szCs w:val="20"/>
              </w:rPr>
            </w:pPr>
            <w:r w:rsidRPr="00AF3ED2">
              <w:rPr>
                <w:rFonts w:ascii="Arial" w:hAnsi="Arial" w:cs="Arial"/>
                <w:color w:val="000000" w:themeColor="text1"/>
                <w:sz w:val="20"/>
                <w:szCs w:val="20"/>
              </w:rPr>
              <w:t>34.1</w:t>
            </w:r>
          </w:p>
        </w:tc>
        <w:tc>
          <w:tcPr>
            <w:tcW w:w="997" w:type="dxa"/>
            <w:noWrap/>
            <w:vAlign w:val="bottom"/>
          </w:tcPr>
          <w:p w14:paraId="7786459C"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110.9</w:t>
            </w:r>
          </w:p>
        </w:tc>
      </w:tr>
      <w:tr w:rsidR="00C12D51" w:rsidRPr="00AF3ED2" w14:paraId="4A7414E9" w14:textId="77777777" w:rsidTr="00FC36C1">
        <w:trPr>
          <w:cantSplit/>
          <w:trHeight w:val="297"/>
          <w:jc w:val="center"/>
        </w:trPr>
        <w:tc>
          <w:tcPr>
            <w:tcW w:w="3996" w:type="dxa"/>
            <w:noWrap/>
            <w:vAlign w:val="bottom"/>
            <w:hideMark/>
          </w:tcPr>
          <w:p w14:paraId="4EC6955E" w14:textId="77777777" w:rsidR="00C12D51" w:rsidRPr="00AF3ED2" w:rsidRDefault="00C12D51" w:rsidP="00FC36C1">
            <w:pPr>
              <w:rPr>
                <w:rFonts w:ascii="Arial" w:hAnsi="Arial" w:cs="Arial"/>
                <w:color w:val="000000" w:themeColor="text1"/>
                <w:sz w:val="20"/>
                <w:szCs w:val="20"/>
              </w:rPr>
            </w:pPr>
            <w:r w:rsidRPr="00AF3ED2">
              <w:rPr>
                <w:rFonts w:ascii="Arial" w:hAnsi="Arial" w:cs="Arial"/>
                <w:color w:val="000000" w:themeColor="text1"/>
                <w:kern w:val="2"/>
                <w:sz w:val="20"/>
                <w:szCs w:val="20"/>
                <w14:ligatures w14:val="standardContextual"/>
              </w:rPr>
              <w:t>Transportation and storage</w:t>
            </w:r>
          </w:p>
        </w:tc>
        <w:tc>
          <w:tcPr>
            <w:tcW w:w="1585" w:type="dxa"/>
            <w:noWrap/>
            <w:vAlign w:val="bottom"/>
          </w:tcPr>
          <w:p w14:paraId="335D152F"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4,837</w:t>
            </w:r>
          </w:p>
        </w:tc>
        <w:tc>
          <w:tcPr>
            <w:tcW w:w="1194" w:type="dxa"/>
            <w:noWrap/>
            <w:vAlign w:val="bottom"/>
          </w:tcPr>
          <w:p w14:paraId="15028458"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565</w:t>
            </w:r>
          </w:p>
        </w:tc>
        <w:tc>
          <w:tcPr>
            <w:tcW w:w="1525" w:type="dxa"/>
            <w:noWrap/>
            <w:vAlign w:val="bottom"/>
          </w:tcPr>
          <w:p w14:paraId="1C9BD666" w14:textId="77777777" w:rsidR="00C12D51" w:rsidRPr="00AF3ED2" w:rsidRDefault="00C12D51" w:rsidP="00FC36C1">
            <w:pPr>
              <w:ind w:right="316"/>
              <w:jc w:val="right"/>
              <w:rPr>
                <w:rFonts w:ascii="Arial" w:hAnsi="Arial" w:cs="Arial"/>
                <w:color w:val="000000" w:themeColor="text1"/>
                <w:sz w:val="20"/>
                <w:szCs w:val="20"/>
              </w:rPr>
            </w:pPr>
            <w:r w:rsidRPr="00AF3ED2">
              <w:rPr>
                <w:rFonts w:ascii="Arial" w:hAnsi="Arial" w:cs="Arial"/>
                <w:color w:val="000000" w:themeColor="text1"/>
                <w:sz w:val="20"/>
                <w:szCs w:val="20"/>
              </w:rPr>
              <w:t>75.0</w:t>
            </w:r>
          </w:p>
        </w:tc>
        <w:tc>
          <w:tcPr>
            <w:tcW w:w="997" w:type="dxa"/>
            <w:noWrap/>
            <w:vAlign w:val="bottom"/>
          </w:tcPr>
          <w:p w14:paraId="217CC3E6"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82.8</w:t>
            </w:r>
          </w:p>
        </w:tc>
      </w:tr>
      <w:tr w:rsidR="00C12D51" w:rsidRPr="00AF3ED2" w14:paraId="4962E1F3" w14:textId="77777777" w:rsidTr="00FC36C1">
        <w:trPr>
          <w:cantSplit/>
          <w:trHeight w:val="297"/>
          <w:jc w:val="center"/>
        </w:trPr>
        <w:tc>
          <w:tcPr>
            <w:tcW w:w="3996" w:type="dxa"/>
            <w:noWrap/>
            <w:vAlign w:val="bottom"/>
            <w:hideMark/>
          </w:tcPr>
          <w:p w14:paraId="62531DFC" w14:textId="77777777" w:rsidR="00C12D51" w:rsidRPr="00AF3ED2" w:rsidRDefault="00C12D51" w:rsidP="00FC36C1">
            <w:pPr>
              <w:rPr>
                <w:rFonts w:ascii="Arial" w:hAnsi="Arial" w:cs="Arial"/>
                <w:color w:val="000000" w:themeColor="text1"/>
                <w:sz w:val="20"/>
                <w:szCs w:val="20"/>
              </w:rPr>
            </w:pPr>
            <w:r w:rsidRPr="00AF3ED2">
              <w:rPr>
                <w:rFonts w:ascii="Arial" w:hAnsi="Arial" w:cs="Arial"/>
                <w:color w:val="000000" w:themeColor="text1"/>
                <w:sz w:val="20"/>
                <w:szCs w:val="20"/>
              </w:rPr>
              <w:t>Accommodation and food services</w:t>
            </w:r>
          </w:p>
        </w:tc>
        <w:tc>
          <w:tcPr>
            <w:tcW w:w="1585" w:type="dxa"/>
            <w:noWrap/>
            <w:vAlign w:val="bottom"/>
          </w:tcPr>
          <w:p w14:paraId="29B2499B"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3,516</w:t>
            </w:r>
          </w:p>
        </w:tc>
        <w:tc>
          <w:tcPr>
            <w:tcW w:w="1194" w:type="dxa"/>
            <w:noWrap/>
            <w:vAlign w:val="bottom"/>
          </w:tcPr>
          <w:p w14:paraId="37BE78DB"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733</w:t>
            </w:r>
          </w:p>
        </w:tc>
        <w:tc>
          <w:tcPr>
            <w:tcW w:w="1525" w:type="dxa"/>
            <w:noWrap/>
            <w:vAlign w:val="bottom"/>
          </w:tcPr>
          <w:p w14:paraId="212F3038" w14:textId="77777777" w:rsidR="00C12D51" w:rsidRPr="00AF3ED2" w:rsidRDefault="00C12D51" w:rsidP="00FC36C1">
            <w:pPr>
              <w:ind w:right="316"/>
              <w:jc w:val="right"/>
              <w:rPr>
                <w:rFonts w:ascii="Arial" w:hAnsi="Arial" w:cs="Arial"/>
                <w:color w:val="000000" w:themeColor="text1"/>
                <w:sz w:val="20"/>
                <w:szCs w:val="20"/>
              </w:rPr>
            </w:pPr>
            <w:r w:rsidRPr="00AF3ED2">
              <w:rPr>
                <w:rFonts w:ascii="Arial" w:hAnsi="Arial" w:cs="Arial"/>
                <w:color w:val="000000" w:themeColor="text1"/>
                <w:sz w:val="20"/>
                <w:szCs w:val="20"/>
              </w:rPr>
              <w:t>121.3</w:t>
            </w:r>
          </w:p>
        </w:tc>
        <w:tc>
          <w:tcPr>
            <w:tcW w:w="997" w:type="dxa"/>
            <w:noWrap/>
            <w:vAlign w:val="bottom"/>
          </w:tcPr>
          <w:p w14:paraId="2A5992D6"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87.9</w:t>
            </w:r>
          </w:p>
        </w:tc>
      </w:tr>
      <w:tr w:rsidR="00C12D51" w:rsidRPr="00AF3ED2" w14:paraId="1C7EBB89" w14:textId="77777777" w:rsidTr="00FC36C1">
        <w:trPr>
          <w:cantSplit/>
          <w:trHeight w:val="297"/>
          <w:jc w:val="center"/>
        </w:trPr>
        <w:tc>
          <w:tcPr>
            <w:tcW w:w="3996" w:type="dxa"/>
            <w:tcBorders>
              <w:bottom w:val="single" w:sz="4" w:space="0" w:color="auto"/>
            </w:tcBorders>
            <w:noWrap/>
            <w:vAlign w:val="bottom"/>
          </w:tcPr>
          <w:p w14:paraId="718308AE" w14:textId="77777777" w:rsidR="00C12D51" w:rsidRPr="00AF3ED2" w:rsidRDefault="00C12D51" w:rsidP="00FC36C1">
            <w:pPr>
              <w:rPr>
                <w:rFonts w:ascii="Arial" w:hAnsi="Arial" w:cs="Arial"/>
                <w:color w:val="000000" w:themeColor="text1"/>
                <w:sz w:val="20"/>
                <w:szCs w:val="20"/>
              </w:rPr>
            </w:pPr>
            <w:r w:rsidRPr="00AF3ED2">
              <w:rPr>
                <w:rFonts w:ascii="Arial" w:hAnsi="Arial" w:cs="Arial"/>
                <w:color w:val="000000" w:themeColor="text1"/>
                <w:kern w:val="2"/>
                <w:sz w:val="20"/>
                <w:szCs w:val="20"/>
                <w14:ligatures w14:val="standardContextual"/>
              </w:rPr>
              <w:t>Electricity, water and gas supply</w:t>
            </w:r>
          </w:p>
        </w:tc>
        <w:tc>
          <w:tcPr>
            <w:tcW w:w="1585" w:type="dxa"/>
            <w:tcBorders>
              <w:bottom w:val="single" w:sz="4" w:space="0" w:color="auto"/>
            </w:tcBorders>
            <w:noWrap/>
            <w:vAlign w:val="bottom"/>
          </w:tcPr>
          <w:p w14:paraId="4AF10082"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692</w:t>
            </w:r>
          </w:p>
        </w:tc>
        <w:tc>
          <w:tcPr>
            <w:tcW w:w="1194" w:type="dxa"/>
            <w:tcBorders>
              <w:bottom w:val="single" w:sz="4" w:space="0" w:color="auto"/>
            </w:tcBorders>
            <w:noWrap/>
            <w:vAlign w:val="bottom"/>
          </w:tcPr>
          <w:p w14:paraId="1AAD5A77"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145</w:t>
            </w:r>
          </w:p>
        </w:tc>
        <w:tc>
          <w:tcPr>
            <w:tcW w:w="1525" w:type="dxa"/>
            <w:tcBorders>
              <w:bottom w:val="single" w:sz="4" w:space="0" w:color="auto"/>
            </w:tcBorders>
            <w:noWrap/>
            <w:vAlign w:val="bottom"/>
          </w:tcPr>
          <w:p w14:paraId="0774358A" w14:textId="77777777" w:rsidR="00C12D51" w:rsidRPr="00AF3ED2" w:rsidRDefault="00C12D51" w:rsidP="00FC36C1">
            <w:pPr>
              <w:ind w:right="316"/>
              <w:jc w:val="right"/>
              <w:rPr>
                <w:rFonts w:ascii="Arial" w:hAnsi="Arial" w:cs="Arial"/>
                <w:color w:val="000000" w:themeColor="text1"/>
                <w:sz w:val="20"/>
                <w:szCs w:val="20"/>
              </w:rPr>
            </w:pPr>
            <w:r w:rsidRPr="00AF3ED2">
              <w:rPr>
                <w:rFonts w:ascii="Arial" w:hAnsi="Arial" w:cs="Arial"/>
                <w:color w:val="000000" w:themeColor="text1"/>
                <w:sz w:val="20"/>
                <w:szCs w:val="20"/>
              </w:rPr>
              <w:t>74.7</w:t>
            </w:r>
          </w:p>
        </w:tc>
        <w:tc>
          <w:tcPr>
            <w:tcW w:w="997" w:type="dxa"/>
            <w:tcBorders>
              <w:bottom w:val="single" w:sz="4" w:space="0" w:color="auto"/>
            </w:tcBorders>
            <w:noWrap/>
            <w:vAlign w:val="bottom"/>
          </w:tcPr>
          <w:p w14:paraId="1036AC5A" w14:textId="77777777" w:rsidR="00C12D51" w:rsidRPr="00AF3ED2" w:rsidRDefault="00C12D51" w:rsidP="00FC36C1">
            <w:pPr>
              <w:ind w:right="176"/>
              <w:jc w:val="right"/>
              <w:rPr>
                <w:rFonts w:ascii="Arial" w:hAnsi="Arial" w:cs="Arial"/>
                <w:color w:val="000000" w:themeColor="text1"/>
                <w:sz w:val="20"/>
                <w:szCs w:val="20"/>
              </w:rPr>
            </w:pPr>
            <w:r w:rsidRPr="00AF3ED2">
              <w:rPr>
                <w:rFonts w:ascii="Arial" w:hAnsi="Arial" w:cs="Arial"/>
                <w:color w:val="000000" w:themeColor="text1"/>
                <w:sz w:val="20"/>
                <w:szCs w:val="20"/>
              </w:rPr>
              <w:t>40.8</w:t>
            </w:r>
          </w:p>
        </w:tc>
      </w:tr>
    </w:tbl>
    <w:p w14:paraId="44ED2B25" w14:textId="77777777" w:rsidR="00C12D51" w:rsidRPr="00AF3ED2" w:rsidRDefault="00C12D51" w:rsidP="00C12D51">
      <w:pPr>
        <w:spacing w:before="120" w:after="120" w:line="264" w:lineRule="auto"/>
        <w:ind w:firstLine="720"/>
        <w:rPr>
          <w:color w:val="000000" w:themeColor="text1"/>
        </w:rPr>
      </w:pPr>
    </w:p>
    <w:p w14:paraId="62C0C2AE" w14:textId="77777777" w:rsidR="00F60843" w:rsidRPr="00AF3ED2" w:rsidRDefault="00F60843" w:rsidP="00F60843">
      <w:pPr>
        <w:spacing w:before="120" w:after="120" w:line="264" w:lineRule="auto"/>
        <w:ind w:firstLine="720"/>
        <w:rPr>
          <w:b/>
          <w:bCs/>
          <w:color w:val="000000" w:themeColor="text1"/>
        </w:rPr>
      </w:pPr>
      <w:r w:rsidRPr="00AF3ED2">
        <w:rPr>
          <w:b/>
          <w:bCs/>
          <w:color w:val="000000" w:themeColor="text1"/>
        </w:rPr>
        <w:t>4. Investment</w:t>
      </w:r>
    </w:p>
    <w:p w14:paraId="17F98121" w14:textId="46D6F3F9" w:rsidR="00F60843" w:rsidRPr="00AF3ED2" w:rsidRDefault="00F60843" w:rsidP="00F60843">
      <w:pPr>
        <w:spacing w:after="120" w:line="264" w:lineRule="auto"/>
        <w:ind w:firstLine="720"/>
        <w:jc w:val="both"/>
        <w:rPr>
          <w:i/>
          <w:iCs/>
          <w:color w:val="000000" w:themeColor="text1"/>
          <w:spacing w:val="-4"/>
        </w:rPr>
      </w:pPr>
      <w:r w:rsidRPr="00AF3ED2">
        <w:rPr>
          <w:i/>
          <w:color w:val="000000" w:themeColor="text1"/>
          <w:spacing w:val="-4"/>
        </w:rPr>
        <w:t>State budget investment in April was implement</w:t>
      </w:r>
      <w:r w:rsidR="0090671E">
        <w:rPr>
          <w:i/>
          <w:color w:val="000000" w:themeColor="text1"/>
          <w:spacing w:val="-4"/>
        </w:rPr>
        <w:t>ed</w:t>
      </w:r>
      <w:r w:rsidRPr="00AF3ED2">
        <w:rPr>
          <w:i/>
          <w:color w:val="000000" w:themeColor="text1"/>
          <w:spacing w:val="-4"/>
        </w:rPr>
        <w:t xml:space="preserve"> by ministries, </w:t>
      </w:r>
      <w:r w:rsidR="00641E03">
        <w:rPr>
          <w:i/>
          <w:color w:val="000000" w:themeColor="text1"/>
          <w:spacing w:val="-4"/>
        </w:rPr>
        <w:t>agencies</w:t>
      </w:r>
      <w:r w:rsidRPr="00AF3ED2">
        <w:rPr>
          <w:i/>
          <w:color w:val="000000" w:themeColor="text1"/>
          <w:spacing w:val="-4"/>
        </w:rPr>
        <w:t>, and localities, creating</w:t>
      </w:r>
      <w:r w:rsidR="0090671E">
        <w:rPr>
          <w:i/>
          <w:color w:val="000000" w:themeColor="text1"/>
          <w:spacing w:val="-4"/>
        </w:rPr>
        <w:t xml:space="preserve"> a</w:t>
      </w:r>
      <w:r w:rsidRPr="00AF3ED2">
        <w:rPr>
          <w:i/>
          <w:color w:val="000000" w:themeColor="text1"/>
          <w:spacing w:val="-4"/>
        </w:rPr>
        <w:t xml:space="preserve"> momentum for economic growth. Generally, in the four months of 2026, </w:t>
      </w:r>
      <w:r w:rsidR="00351908">
        <w:rPr>
          <w:i/>
          <w:color w:val="000000" w:themeColor="text1"/>
          <w:spacing w:val="-4"/>
        </w:rPr>
        <w:t xml:space="preserve">the </w:t>
      </w:r>
      <w:r w:rsidR="00F7619A" w:rsidRPr="00AF3ED2">
        <w:rPr>
          <w:i/>
          <w:color w:val="000000" w:themeColor="text1"/>
          <w:spacing w:val="-4"/>
        </w:rPr>
        <w:t xml:space="preserve">State </w:t>
      </w:r>
      <w:r w:rsidRPr="00AF3ED2">
        <w:rPr>
          <w:i/>
          <w:color w:val="000000" w:themeColor="text1"/>
          <w:spacing w:val="-4"/>
        </w:rPr>
        <w:t xml:space="preserve">budget investment was estimated to reach 19.7% of the </w:t>
      </w:r>
      <w:r w:rsidR="009150A2" w:rsidRPr="00AF3ED2">
        <w:rPr>
          <w:i/>
          <w:color w:val="000000" w:themeColor="text1"/>
          <w:spacing w:val="-4"/>
        </w:rPr>
        <w:t>annual</w:t>
      </w:r>
      <w:r w:rsidRPr="00AF3ED2">
        <w:rPr>
          <w:i/>
          <w:color w:val="000000" w:themeColor="text1"/>
          <w:spacing w:val="-4"/>
        </w:rPr>
        <w:t xml:space="preserve"> plan, a year-on-year increase of 10.4%. </w:t>
      </w:r>
      <w:r w:rsidR="00351908">
        <w:rPr>
          <w:i/>
          <w:color w:val="000000" w:themeColor="text1"/>
          <w:spacing w:val="-4"/>
        </w:rPr>
        <w:t>D</w:t>
      </w:r>
      <w:r w:rsidRPr="00AF3ED2">
        <w:rPr>
          <w:i/>
          <w:color w:val="000000" w:themeColor="text1"/>
          <w:spacing w:val="-4"/>
        </w:rPr>
        <w:t xml:space="preserve">isbursed </w:t>
      </w:r>
      <w:r w:rsidR="009150A2" w:rsidRPr="00AF3ED2">
        <w:rPr>
          <w:i/>
          <w:color w:val="000000" w:themeColor="text1"/>
          <w:spacing w:val="-4"/>
        </w:rPr>
        <w:t>foreign</w:t>
      </w:r>
      <w:r w:rsidRPr="00AF3ED2">
        <w:rPr>
          <w:i/>
          <w:color w:val="000000" w:themeColor="text1"/>
          <w:spacing w:val="-4"/>
        </w:rPr>
        <w:t xml:space="preserve"> direct investment (FDI) in Viet Nam in the four months of 2026 was estimated at 7.40 billion USD, a year-on-year increase of 9.8%</w:t>
      </w:r>
      <w:r w:rsidRPr="00AF3ED2">
        <w:rPr>
          <w:i/>
          <w:iCs/>
          <w:color w:val="000000" w:themeColor="text1"/>
          <w:spacing w:val="-4"/>
        </w:rPr>
        <w:t>.</w:t>
      </w:r>
    </w:p>
    <w:p w14:paraId="59DB8263" w14:textId="54991022" w:rsidR="00F60843" w:rsidRPr="00AF3ED2" w:rsidRDefault="00F60843" w:rsidP="00F60843">
      <w:pPr>
        <w:spacing w:after="120" w:line="264" w:lineRule="auto"/>
        <w:ind w:firstLine="720"/>
        <w:jc w:val="both"/>
        <w:rPr>
          <w:color w:val="000000" w:themeColor="text1"/>
        </w:rPr>
      </w:pPr>
      <w:r w:rsidRPr="00AF3ED2">
        <w:rPr>
          <w:i/>
          <w:iCs/>
          <w:color w:val="000000" w:themeColor="text1"/>
        </w:rPr>
        <w:lastRenderedPageBreak/>
        <w:t xml:space="preserve">The disbursed investment from the State budget </w:t>
      </w:r>
      <w:r w:rsidRPr="00AF3ED2">
        <w:rPr>
          <w:color w:val="000000" w:themeColor="text1"/>
        </w:rPr>
        <w:t xml:space="preserve">in April was estimated at nearly 54.8 trillion VND, a year-on-year increase of 8.2%, including: the centrally-managed investment was 7.8 trillion VND, an increase of 2.1%; and locally-managed investment was 47.0 trillion VND, an increase of 9.3%. Generally, in the four months of 2026, the disbursed </w:t>
      </w:r>
      <w:r w:rsidR="00F7619A" w:rsidRPr="00AF3ED2">
        <w:rPr>
          <w:color w:val="000000" w:themeColor="text1"/>
        </w:rPr>
        <w:t xml:space="preserve">State </w:t>
      </w:r>
      <w:r w:rsidRPr="00AF3ED2">
        <w:rPr>
          <w:color w:val="000000" w:themeColor="text1"/>
        </w:rPr>
        <w:t>budget investment was estimated at 187.1 trillion VND, equivalent to 19.7% of the annual plan and a year-on-year increase of 10.4% (these figures in 2025 were 16.7% and 20.5%, respectively). Specifically:</w:t>
      </w:r>
    </w:p>
    <w:p w14:paraId="55260108" w14:textId="268CE0E6" w:rsidR="00F60843" w:rsidRPr="00AF3ED2" w:rsidRDefault="00F60843" w:rsidP="00F60843">
      <w:pPr>
        <w:spacing w:after="120" w:line="264" w:lineRule="auto"/>
        <w:ind w:firstLine="720"/>
        <w:jc w:val="both"/>
        <w:rPr>
          <w:color w:val="000000" w:themeColor="text1"/>
        </w:rPr>
      </w:pPr>
      <w:r w:rsidRPr="00AF3ED2">
        <w:rPr>
          <w:bCs/>
          <w:iCs/>
          <w:color w:val="000000" w:themeColor="text1"/>
        </w:rPr>
        <w:t xml:space="preserve">- The </w:t>
      </w:r>
      <w:r w:rsidRPr="00AF3ED2">
        <w:rPr>
          <w:color w:val="000000" w:themeColor="text1"/>
        </w:rPr>
        <w:t xml:space="preserve">Centrally-managed investment was estimated to reach 25.4 trillion VND, equivalent to 12.5% ​​of the annual plan and a year-on-year increase of 4.6%. Of which, the Ministry of Construction accounted for nearly 16 trillion VND, up 5.1%; the Ministry of Agriculture and Environment accounted for 1.3 trillion VND, down 61.8%; the Ministry of Health accounted for 309.7 billion VND, down 49.4%; the Ministry of Culture, Sports and Tourism accounted for 185.5 billion VND, down 7.3%; the Ministry of Education and Training reached 167.6 billion VND, down 48.5%; the Ministry of Industry and Trade reached  22.8 billion VND, down 62.9%; and the Ministry of Science and Technology reached 12.1 billion VND, down 82.7%. </w:t>
      </w:r>
    </w:p>
    <w:p w14:paraId="2E026D6B" w14:textId="77777777" w:rsidR="00F60843" w:rsidRPr="00AF3ED2" w:rsidRDefault="00F60843" w:rsidP="00F60843">
      <w:pPr>
        <w:spacing w:after="120" w:line="264" w:lineRule="auto"/>
        <w:ind w:firstLine="720"/>
        <w:jc w:val="both"/>
        <w:rPr>
          <w:bCs/>
          <w:iCs/>
          <w:color w:val="000000" w:themeColor="text1"/>
        </w:rPr>
      </w:pPr>
      <w:r w:rsidRPr="00AF3ED2">
        <w:rPr>
          <w:bCs/>
          <w:iCs/>
          <w:color w:val="000000" w:themeColor="text1"/>
        </w:rPr>
        <w:t xml:space="preserve">- Locally-managed investment was estimated at 161.7 trillion VND, </w:t>
      </w:r>
      <w:r w:rsidRPr="00AF3ED2">
        <w:rPr>
          <w:bCs/>
          <w:iCs/>
        </w:rPr>
        <w:t>equal</w:t>
      </w:r>
      <w:r w:rsidRPr="00AF3ED2">
        <w:rPr>
          <w:bCs/>
          <w:iCs/>
          <w:color w:val="000000" w:themeColor="text1"/>
        </w:rPr>
        <w:t xml:space="preserve"> to 21.6% of the annual plan and a year-on-year increase of 11.4%, including: </w:t>
      </w:r>
    </w:p>
    <w:p w14:paraId="2E2C6FB9" w14:textId="431EBF7A" w:rsidR="00F60843" w:rsidRPr="00AF3ED2" w:rsidRDefault="00F60843" w:rsidP="00F60843">
      <w:pPr>
        <w:spacing w:after="120" w:line="264" w:lineRule="auto"/>
        <w:ind w:firstLine="720"/>
        <w:jc w:val="both"/>
        <w:rPr>
          <w:bCs/>
          <w:iCs/>
          <w:color w:val="000000" w:themeColor="text1"/>
        </w:rPr>
      </w:pPr>
      <w:r w:rsidRPr="00AF3ED2">
        <w:rPr>
          <w:bCs/>
          <w:iCs/>
          <w:color w:val="000000" w:themeColor="text1"/>
        </w:rPr>
        <w:t xml:space="preserve">The </w:t>
      </w:r>
      <w:r w:rsidR="001C3B68" w:rsidRPr="00AF3ED2">
        <w:rPr>
          <w:bCs/>
          <w:iCs/>
          <w:color w:val="000000" w:themeColor="text1"/>
        </w:rPr>
        <w:t xml:space="preserve">State </w:t>
      </w:r>
      <w:r w:rsidRPr="00AF3ED2">
        <w:rPr>
          <w:bCs/>
          <w:iCs/>
          <w:color w:val="000000" w:themeColor="text1"/>
        </w:rPr>
        <w:t>budget investment at provincial level reached 125.3 trillion VND, equivalent to 21.3% and a year-on-year increase of 8.3%;</w:t>
      </w:r>
    </w:p>
    <w:p w14:paraId="79C6DB7A" w14:textId="78A9E930" w:rsidR="00F60843" w:rsidRPr="00AF3ED2" w:rsidRDefault="00F60843" w:rsidP="00F60843">
      <w:pPr>
        <w:pStyle w:val="ListParagraph"/>
        <w:spacing w:after="120" w:line="264" w:lineRule="auto"/>
        <w:ind w:left="0" w:firstLine="720"/>
        <w:contextualSpacing w:val="0"/>
        <w:jc w:val="both"/>
        <w:rPr>
          <w:rFonts w:eastAsia="Times New Roman"/>
          <w:bCs/>
          <w:iCs/>
          <w:color w:val="000000" w:themeColor="text1"/>
        </w:rPr>
      </w:pPr>
      <w:r w:rsidRPr="00AF3ED2">
        <w:rPr>
          <w:rFonts w:eastAsia="Times New Roman"/>
          <w:bCs/>
          <w:iCs/>
          <w:color w:val="000000" w:themeColor="text1"/>
        </w:rPr>
        <w:t xml:space="preserve">The </w:t>
      </w:r>
      <w:r w:rsidR="001C3B68" w:rsidRPr="00AF3ED2">
        <w:rPr>
          <w:rFonts w:eastAsia="Times New Roman"/>
          <w:bCs/>
          <w:iCs/>
          <w:color w:val="000000" w:themeColor="text1"/>
        </w:rPr>
        <w:t xml:space="preserve">State </w:t>
      </w:r>
      <w:r w:rsidRPr="00AF3ED2">
        <w:rPr>
          <w:rFonts w:eastAsia="Times New Roman"/>
          <w:bCs/>
          <w:iCs/>
          <w:color w:val="000000" w:themeColor="text1"/>
        </w:rPr>
        <w:t xml:space="preserve">budget </w:t>
      </w:r>
      <w:r w:rsidRPr="00AF3ED2">
        <w:rPr>
          <w:bCs/>
          <w:iCs/>
          <w:color w:val="000000" w:themeColor="text1"/>
        </w:rPr>
        <w:t>investment at c</w:t>
      </w:r>
      <w:r w:rsidRPr="00AF3ED2">
        <w:rPr>
          <w:rFonts w:eastAsia="Times New Roman"/>
          <w:bCs/>
          <w:iCs/>
          <w:color w:val="000000" w:themeColor="text1"/>
        </w:rPr>
        <w:t xml:space="preserve">ommune level reached 36.4 trillion VND, equivalent to 22.7% and </w:t>
      </w:r>
      <w:r w:rsidRPr="00AF3ED2">
        <w:rPr>
          <w:bCs/>
          <w:iCs/>
          <w:color w:val="000000" w:themeColor="text1"/>
        </w:rPr>
        <w:t xml:space="preserve">a year-on-year increase </w:t>
      </w:r>
      <w:r w:rsidRPr="00AF3ED2">
        <w:rPr>
          <w:rFonts w:eastAsia="Times New Roman"/>
          <w:bCs/>
          <w:iCs/>
          <w:color w:val="000000" w:themeColor="text1"/>
        </w:rPr>
        <w:t>of 23.5%.</w:t>
      </w:r>
    </w:p>
    <w:p w14:paraId="5CDEDE44" w14:textId="77777777" w:rsidR="00F60843" w:rsidRPr="00AF3ED2" w:rsidRDefault="00F60843" w:rsidP="00F60843">
      <w:pPr>
        <w:spacing w:after="120" w:line="264" w:lineRule="auto"/>
        <w:ind w:firstLine="720"/>
        <w:jc w:val="both"/>
        <w:rPr>
          <w:rFonts w:ascii="Arial" w:hAnsi="Arial" w:cs="Arial"/>
          <w:b/>
          <w:bCs/>
          <w:color w:val="000000" w:themeColor="text1"/>
          <w:sz w:val="24"/>
          <w:szCs w:val="24"/>
        </w:rPr>
      </w:pPr>
      <w:r w:rsidRPr="00AF3ED2">
        <w:rPr>
          <w:bCs/>
          <w:iCs/>
          <w:color w:val="000000" w:themeColor="text1"/>
        </w:rPr>
        <w:t>The disbursed State budget investment in the four months of 2026 in some provinces and centrally-run cities was as follows:</w:t>
      </w:r>
    </w:p>
    <w:p w14:paraId="75A7CD1D" w14:textId="5B70A3A5" w:rsidR="00F60843" w:rsidRPr="00AF3ED2" w:rsidRDefault="00F60843" w:rsidP="00F60843">
      <w:pPr>
        <w:spacing w:line="276" w:lineRule="auto"/>
        <w:jc w:val="center"/>
        <w:rPr>
          <w:rFonts w:ascii="Arial" w:hAnsi="Arial" w:cs="Arial"/>
          <w:b/>
          <w:bCs/>
          <w:color w:val="000000" w:themeColor="text1"/>
          <w:sz w:val="24"/>
          <w:szCs w:val="24"/>
          <w14:ligatures w14:val="standardContextual"/>
        </w:rPr>
      </w:pPr>
      <w:r w:rsidRPr="00AF3ED2">
        <w:rPr>
          <w:rFonts w:ascii="Arial" w:hAnsi="Arial" w:cs="Arial"/>
          <w:b/>
          <w:bCs/>
          <w:color w:val="000000" w:themeColor="text1"/>
          <w:sz w:val="24"/>
          <w:szCs w:val="24"/>
        </w:rPr>
        <w:t xml:space="preserve">Figure 6. Disbursed investment from the State budget </w:t>
      </w:r>
      <w:r w:rsidR="001C3B68">
        <w:rPr>
          <w:rFonts w:ascii="Arial" w:hAnsi="Arial" w:cs="Arial"/>
          <w:b/>
          <w:bCs/>
          <w:color w:val="000000" w:themeColor="text1"/>
          <w:sz w:val="24"/>
          <w:szCs w:val="24"/>
        </w:rPr>
        <w:br/>
        <w:t>in</w:t>
      </w:r>
      <w:r w:rsidR="001C3B68" w:rsidRPr="00AF3ED2">
        <w:rPr>
          <w:rFonts w:ascii="Arial" w:hAnsi="Arial" w:cs="Arial"/>
          <w:b/>
          <w:bCs/>
          <w:color w:val="000000" w:themeColor="text1"/>
          <w:sz w:val="24"/>
          <w:szCs w:val="24"/>
        </w:rPr>
        <w:t xml:space="preserve"> </w:t>
      </w:r>
      <w:r w:rsidR="001C3B68">
        <w:rPr>
          <w:rFonts w:ascii="Arial" w:hAnsi="Arial" w:cs="Arial"/>
          <w:b/>
          <w:bCs/>
          <w:color w:val="000000" w:themeColor="text1"/>
          <w:sz w:val="24"/>
          <w:szCs w:val="24"/>
        </w:rPr>
        <w:t xml:space="preserve">the </w:t>
      </w:r>
      <w:r w:rsidRPr="00AF3ED2">
        <w:rPr>
          <w:rFonts w:ascii="Arial" w:hAnsi="Arial" w:cs="Arial"/>
          <w:b/>
          <w:bCs/>
          <w:color w:val="000000" w:themeColor="text1"/>
          <w:sz w:val="24"/>
          <w:szCs w:val="24"/>
        </w:rPr>
        <w:t>four months of 2026 in selected localities</w:t>
      </w:r>
      <w:r w:rsidRPr="00AF3ED2">
        <w:rPr>
          <w:rFonts w:ascii="Arial" w:hAnsi="Arial" w:cs="Arial"/>
          <w:b/>
          <w:bCs/>
          <w:color w:val="000000" w:themeColor="text1"/>
          <w:sz w:val="24"/>
          <w:szCs w:val="24"/>
          <w14:ligatures w14:val="standardContextual"/>
        </w:rPr>
        <w:t xml:space="preserve"> </w:t>
      </w:r>
    </w:p>
    <w:p w14:paraId="4174BD5B" w14:textId="77777777" w:rsidR="00F60843" w:rsidRPr="00AF3ED2" w:rsidRDefault="00F60843" w:rsidP="00F60843">
      <w:pPr>
        <w:spacing w:line="276" w:lineRule="auto"/>
        <w:jc w:val="center"/>
        <w:rPr>
          <w:rFonts w:ascii="Arial" w:hAnsi="Arial" w:cs="Arial"/>
          <w:b/>
          <w:bCs/>
          <w:color w:val="000000" w:themeColor="text1"/>
          <w:sz w:val="24"/>
          <w:szCs w:val="24"/>
          <w14:ligatures w14:val="standardContextual"/>
        </w:rPr>
      </w:pPr>
      <w:r w:rsidRPr="00AF3ED2">
        <w:rPr>
          <w:noProof/>
        </w:rPr>
        <w:lastRenderedPageBreak/>
        <w:drawing>
          <wp:inline distT="0" distB="0" distL="0" distR="0" wp14:anchorId="433F3E18" wp14:editId="6C3DFC9A">
            <wp:extent cx="6105525" cy="3143250"/>
            <wp:effectExtent l="0" t="0" r="9525" b="0"/>
            <wp:docPr id="144400841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913496" w14:textId="77777777" w:rsidR="00F60843" w:rsidRPr="00AF3ED2" w:rsidRDefault="00F60843" w:rsidP="00F60843">
      <w:pPr>
        <w:spacing w:line="276" w:lineRule="auto"/>
        <w:rPr>
          <w:rFonts w:ascii="Arial" w:hAnsi="Arial" w:cs="Arial"/>
          <w:b/>
          <w:bCs/>
          <w:color w:val="000000" w:themeColor="text1"/>
          <w:sz w:val="24"/>
          <w:szCs w:val="24"/>
        </w:rPr>
      </w:pPr>
    </w:p>
    <w:p w14:paraId="7B9B20E0" w14:textId="0B42D486" w:rsidR="00F60843" w:rsidRPr="00AF3ED2" w:rsidRDefault="00F60843" w:rsidP="00F60843">
      <w:pPr>
        <w:spacing w:after="120" w:line="264" w:lineRule="auto"/>
        <w:ind w:firstLine="720"/>
        <w:jc w:val="both"/>
        <w:rPr>
          <w:iCs/>
        </w:rPr>
      </w:pPr>
      <w:r w:rsidRPr="00AF3ED2">
        <w:rPr>
          <w:i/>
          <w:iCs/>
        </w:rPr>
        <w:t>Total inward foreign investment in Viet Nam</w:t>
      </w:r>
      <w:r w:rsidRPr="00AF3ED2">
        <w:rPr>
          <w:i/>
          <w:iCs/>
          <w:vertAlign w:val="superscript"/>
        </w:rPr>
        <w:footnoteReference w:id="13"/>
      </w:r>
      <w:r w:rsidRPr="00AF3ED2">
        <w:rPr>
          <w:i/>
          <w:iCs/>
        </w:rPr>
        <w:t xml:space="preserve"> </w:t>
      </w:r>
      <w:r w:rsidRPr="00AF3ED2">
        <w:rPr>
          <w:iCs/>
        </w:rPr>
        <w:t>as of April 27</w:t>
      </w:r>
      <w:r w:rsidRPr="00AF3ED2">
        <w:rPr>
          <w:iCs/>
          <w:vertAlign w:val="superscript"/>
        </w:rPr>
        <w:t>th</w:t>
      </w:r>
      <w:r w:rsidRPr="00AF3ED2">
        <w:rPr>
          <w:iCs/>
        </w:rPr>
        <w:t>, 2026, including newly registered capital, adjusting registered capital, and the value of capital contribution and purchasing shares by foreign investors reached 18.24 billion USD, a year-on-year increase of 32.0%.</w:t>
      </w:r>
    </w:p>
    <w:p w14:paraId="09492F09" w14:textId="77777777" w:rsidR="00F60843" w:rsidRPr="00AF3ED2" w:rsidRDefault="00F60843" w:rsidP="00F60843">
      <w:pPr>
        <w:jc w:val="center"/>
        <w:rPr>
          <w:rFonts w:ascii="Arial" w:hAnsi="Arial" w:cs="Arial"/>
          <w:b/>
          <w:bCs/>
          <w:sz w:val="24"/>
          <w:szCs w:val="24"/>
        </w:rPr>
      </w:pPr>
      <w:r w:rsidRPr="00AF3ED2">
        <w:rPr>
          <w:rFonts w:ascii="Arial" w:hAnsi="Arial" w:cs="Arial"/>
          <w:b/>
          <w:bCs/>
          <w:sz w:val="24"/>
          <w:szCs w:val="24"/>
        </w:rPr>
        <w:t>Figure 7. Inward foreign investment in Viet Nam</w:t>
      </w:r>
    </w:p>
    <w:p w14:paraId="579E10E9" w14:textId="1DDFDB85" w:rsidR="00F60843" w:rsidRPr="00AF3ED2" w:rsidRDefault="001C3B68" w:rsidP="00F60843">
      <w:pPr>
        <w:jc w:val="center"/>
        <w:rPr>
          <w:rFonts w:ascii="Arial" w:hAnsi="Arial" w:cs="Arial"/>
          <w:b/>
          <w:bCs/>
          <w:sz w:val="24"/>
          <w:szCs w:val="24"/>
        </w:rPr>
      </w:pPr>
      <w:r>
        <w:rPr>
          <w:rFonts w:ascii="Arial" w:hAnsi="Arial" w:cs="Arial"/>
          <w:b/>
          <w:bCs/>
          <w:sz w:val="24"/>
          <w:szCs w:val="24"/>
        </w:rPr>
        <w:t>in the</w:t>
      </w:r>
      <w:r w:rsidRPr="00AF3ED2">
        <w:rPr>
          <w:rFonts w:ascii="Arial" w:hAnsi="Arial" w:cs="Arial"/>
          <w:b/>
          <w:bCs/>
          <w:sz w:val="24"/>
          <w:szCs w:val="24"/>
        </w:rPr>
        <w:t xml:space="preserve"> </w:t>
      </w:r>
      <w:r w:rsidR="00F60843" w:rsidRPr="00AF3ED2">
        <w:rPr>
          <w:rFonts w:ascii="Arial" w:hAnsi="Arial" w:cs="Arial"/>
          <w:b/>
          <w:bCs/>
          <w:sz w:val="24"/>
          <w:szCs w:val="24"/>
        </w:rPr>
        <w:t>four months of 2022-2026 (Billion USD)</w:t>
      </w:r>
    </w:p>
    <w:p w14:paraId="65FB8DAA" w14:textId="77777777" w:rsidR="00F60843" w:rsidRPr="00AF3ED2" w:rsidRDefault="00F60843" w:rsidP="00F60843">
      <w:pPr>
        <w:jc w:val="center"/>
        <w:rPr>
          <w:rFonts w:ascii="Arial" w:hAnsi="Arial" w:cs="Arial"/>
          <w:b/>
          <w:bCs/>
          <w:sz w:val="24"/>
          <w:szCs w:val="24"/>
        </w:rPr>
      </w:pPr>
      <w:r w:rsidRPr="00AF3ED2">
        <w:rPr>
          <w:noProof/>
        </w:rPr>
        <w:drawing>
          <wp:inline distT="0" distB="0" distL="0" distR="0" wp14:anchorId="211090A4" wp14:editId="13899E40">
            <wp:extent cx="5953125" cy="2733675"/>
            <wp:effectExtent l="0" t="0" r="9525" b="9525"/>
            <wp:docPr id="169193848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76967C" w14:textId="77777777" w:rsidR="00F60843" w:rsidRPr="00AF3ED2" w:rsidRDefault="00F60843" w:rsidP="00F60843">
      <w:pPr>
        <w:jc w:val="center"/>
        <w:rPr>
          <w:rFonts w:ascii="Arial" w:hAnsi="Arial" w:cs="Arial"/>
          <w:b/>
          <w:bCs/>
          <w:sz w:val="24"/>
          <w:szCs w:val="24"/>
        </w:rPr>
      </w:pPr>
    </w:p>
    <w:p w14:paraId="26780A2F" w14:textId="77777777" w:rsidR="00F60843" w:rsidRPr="00AF3ED2" w:rsidRDefault="00F60843" w:rsidP="00F60843">
      <w:pPr>
        <w:spacing w:after="120" w:line="276" w:lineRule="auto"/>
        <w:ind w:firstLine="720"/>
        <w:jc w:val="both"/>
        <w:rPr>
          <w:iCs/>
        </w:rPr>
      </w:pPr>
      <w:r w:rsidRPr="00AF3ED2">
        <w:rPr>
          <w:iCs/>
        </w:rPr>
        <w:t xml:space="preserve">- In terms of newly registered capital: 1,249 projects were licensed with a registered capital of 12.15 billion USD, a year-on-year increase of 3.7% in the number of projects and an upturn of 2.2 times in registered capital. Of which, the largest newly licensed FDI was the manufacturing with 8.12 billion USD, accounting for 66.8% of the total newly registered capital; the electricity, gas, </w:t>
      </w:r>
      <w:r w:rsidRPr="00AF3ED2">
        <w:rPr>
          <w:iCs/>
        </w:rPr>
        <w:lastRenderedPageBreak/>
        <w:t>steam, and air conditioning supply reached 2.31 billion USD, accounting for 19.0%; and other activities was 1.72 billion USD, accounting for 14.2%.</w:t>
      </w:r>
    </w:p>
    <w:p w14:paraId="662B7FB8" w14:textId="77777777" w:rsidR="00F60843" w:rsidRPr="00AF3ED2" w:rsidRDefault="00F60843" w:rsidP="00F60843">
      <w:pPr>
        <w:spacing w:after="120" w:line="276" w:lineRule="auto"/>
        <w:ind w:firstLine="720"/>
        <w:jc w:val="both"/>
        <w:rPr>
          <w:iCs/>
        </w:rPr>
      </w:pPr>
      <w:r w:rsidRPr="00AF3ED2">
        <w:rPr>
          <w:iCs/>
        </w:rPr>
        <w:t xml:space="preserve">Among the 53 countries and territories with newly licensed investment projects in Viet Nam during the four months of 2026, Singapore was the largest investor with 6.05 billion USD, accounting for 49.8% of the total newly registered capital; followed by South Korea with 4.08 billion USD, accounting for 33.6%; China with 524.1 million USD, accounting for 4.3%; Japan with 462 million USD, accounting for 3.8%; Hong Kong Special Administrative Region (China) with 329.2 million USD, accounting for 2.7%; and the Netherlands with 318.5 million USD, accounting for 2.6%. </w:t>
      </w:r>
    </w:p>
    <w:p w14:paraId="2DCF9D19" w14:textId="77777777" w:rsidR="00F60843" w:rsidRPr="00AF3ED2" w:rsidRDefault="00F60843" w:rsidP="00F60843">
      <w:pPr>
        <w:spacing w:after="120" w:line="276" w:lineRule="auto"/>
        <w:ind w:firstLine="720"/>
        <w:jc w:val="both"/>
        <w:rPr>
          <w:iCs/>
        </w:rPr>
      </w:pPr>
      <w:r w:rsidRPr="00AF3ED2">
        <w:rPr>
          <w:iCs/>
        </w:rPr>
        <w:t xml:space="preserve"> - The adjusted registered capital: 316 turns of projects licensed from the previous years registered to adjust investment capital upwards by an additional 3.13 billion USD, a year-on-year decrease of 51.0%.</w:t>
      </w:r>
    </w:p>
    <w:p w14:paraId="10CA871A" w14:textId="77777777" w:rsidR="00F60843" w:rsidRPr="00AF3ED2" w:rsidRDefault="00F60843" w:rsidP="00F60843">
      <w:pPr>
        <w:spacing w:after="120" w:line="276" w:lineRule="auto"/>
        <w:ind w:firstLine="720"/>
        <w:jc w:val="both"/>
        <w:rPr>
          <w:iCs/>
        </w:rPr>
      </w:pPr>
      <w:r w:rsidRPr="00AF3ED2">
        <w:rPr>
          <w:iCs/>
        </w:rPr>
        <w:t>If including newly registered capital and adjusted registered capital of licensed projects in the previous years, the registered FDI in the manufacturing reached 10.49 billion USD, accounting for 68.6% of the total newly registered and increased capital; the electricity, gas, steam and air conditioning supply reached 2.31 billion USD, accounting for 15.1%; and other activities reached 2.48 billion USD, accounting for 16.3%.</w:t>
      </w:r>
    </w:p>
    <w:p w14:paraId="44AD9AB4" w14:textId="6C802BDD" w:rsidR="00F60843" w:rsidRPr="00AF3ED2" w:rsidRDefault="00F60843" w:rsidP="00F60843">
      <w:pPr>
        <w:spacing w:after="120" w:line="276" w:lineRule="auto"/>
        <w:ind w:firstLine="720"/>
        <w:jc w:val="both"/>
        <w:rPr>
          <w:iCs/>
        </w:rPr>
      </w:pPr>
      <w:r w:rsidRPr="00AF3ED2">
        <w:rPr>
          <w:iCs/>
        </w:rPr>
        <w:t xml:space="preserve">- There were 976 turns of registered capital contributions and purchasing shares by foreign investors with a total value of 2.96 billion USD, a year-on-year increase of 61.9%. Of which, 325 turns of capital contributions and purchasing shares increased the charter capital of enterprises with a value of 445.13 USD million, and 651 turns of foreign investors rebought domestic shares without increasing the </w:t>
      </w:r>
      <w:r w:rsidR="00B42494" w:rsidRPr="00AF3ED2">
        <w:rPr>
          <w:iCs/>
        </w:rPr>
        <w:t xml:space="preserve">charter </w:t>
      </w:r>
      <w:r w:rsidRPr="00AF3ED2">
        <w:rPr>
          <w:iCs/>
        </w:rPr>
        <w:t xml:space="preserve">capital with a value of 2.51 billion USD. </w:t>
      </w:r>
      <w:r w:rsidR="00B42494">
        <w:rPr>
          <w:iCs/>
        </w:rPr>
        <w:t>The c</w:t>
      </w:r>
      <w:r w:rsidRPr="00AF3ED2">
        <w:rPr>
          <w:iCs/>
        </w:rPr>
        <w:t>apital contributions and purchasing shares by foreign investors</w:t>
      </w:r>
      <w:r w:rsidR="00B42494">
        <w:rPr>
          <w:iCs/>
        </w:rPr>
        <w:t xml:space="preserve"> in</w:t>
      </w:r>
      <w:r w:rsidRPr="00AF3ED2">
        <w:rPr>
          <w:iCs/>
        </w:rPr>
        <w:t xml:space="preserve"> the wholesale and retail trade and repair of motor vehicles and motorcycles reached 1.89 billion USD, accounting for 63.9% of the total capital contribution; the professional, scientific, and technical activities reached 321 million USD, accounting for 10.9%; and the other economic activities accounted for 747 million USD, </w:t>
      </w:r>
      <w:r w:rsidR="009150A2" w:rsidRPr="00AF3ED2">
        <w:rPr>
          <w:iCs/>
        </w:rPr>
        <w:t>accounting</w:t>
      </w:r>
      <w:r w:rsidRPr="00AF3ED2">
        <w:rPr>
          <w:iCs/>
        </w:rPr>
        <w:t xml:space="preserve"> for 25.2%.</w:t>
      </w:r>
    </w:p>
    <w:p w14:paraId="5314D650" w14:textId="36FA8A13" w:rsidR="00F60843" w:rsidRPr="00AF3ED2" w:rsidRDefault="00E47823" w:rsidP="00F60843">
      <w:pPr>
        <w:spacing w:after="120" w:line="276" w:lineRule="auto"/>
        <w:ind w:firstLine="720"/>
        <w:jc w:val="both"/>
        <w:rPr>
          <w:rFonts w:ascii="Arial" w:hAnsi="Arial" w:cs="Arial"/>
          <w:b/>
          <w:bCs/>
          <w:sz w:val="24"/>
        </w:rPr>
      </w:pPr>
      <w:r>
        <w:rPr>
          <w:i/>
          <w:iCs/>
        </w:rPr>
        <w:t>D</w:t>
      </w:r>
      <w:r w:rsidR="00F60843" w:rsidRPr="00AF3ED2">
        <w:rPr>
          <w:i/>
          <w:iCs/>
        </w:rPr>
        <w:t xml:space="preserve">isbursed FDI in Viet Nam </w:t>
      </w:r>
      <w:r w:rsidR="00F60843" w:rsidRPr="00AF3ED2">
        <w:t>during the four months of 2026 was estimated at 7.40 billion USD, a year-on-year increase of 9.8%. This was the highest figure in the disbursed FDI in the four months of the year in the past-5-year period. Of which</w:t>
      </w:r>
      <w:r w:rsidR="00B42494">
        <w:t>,</w:t>
      </w:r>
      <w:r w:rsidR="00F60843" w:rsidRPr="00AF3ED2">
        <w:t xml:space="preserve"> </w:t>
      </w:r>
      <w:r w:rsidR="00B42494">
        <w:t xml:space="preserve">the </w:t>
      </w:r>
      <w:r w:rsidR="00B42494" w:rsidRPr="00B42494">
        <w:t xml:space="preserve">disbursed FDI in </w:t>
      </w:r>
      <w:r w:rsidR="00F60843" w:rsidRPr="00AF3ED2">
        <w:t xml:space="preserve">the manufacturing reached 6.12 billion USD, representing 82.7% of total disbursed FDI; the real estate activities reached 540.5 million USD, accounting for 7.3%; and electricity, gas, </w:t>
      </w:r>
      <w:r w:rsidR="00F60843" w:rsidRPr="00AF3ED2">
        <w:lastRenderedPageBreak/>
        <w:t>steam and air conditioning supply reached 270.6 million USD, accounting for 3.7%.</w:t>
      </w:r>
    </w:p>
    <w:p w14:paraId="616E9C9E" w14:textId="207B1AE4" w:rsidR="00F60843" w:rsidRPr="00AF3ED2" w:rsidRDefault="00F60843" w:rsidP="00F60843">
      <w:pPr>
        <w:jc w:val="center"/>
        <w:rPr>
          <w:rFonts w:ascii="Arial" w:hAnsi="Arial" w:cs="Arial"/>
          <w:b/>
          <w:bCs/>
          <w:sz w:val="24"/>
        </w:rPr>
      </w:pPr>
      <w:r w:rsidRPr="00AF3ED2">
        <w:rPr>
          <w:rFonts w:ascii="Arial" w:hAnsi="Arial" w:cs="Arial"/>
          <w:b/>
          <w:bCs/>
          <w:sz w:val="24"/>
        </w:rPr>
        <w:t>Figure 8. Disbursed foreign direct investment</w:t>
      </w:r>
      <w:r w:rsidRPr="00AF3ED2">
        <w:rPr>
          <w:rFonts w:ascii="Arial" w:hAnsi="Arial" w:cs="Arial"/>
          <w:b/>
          <w:bCs/>
          <w:sz w:val="24"/>
        </w:rPr>
        <w:br/>
        <w:t>in the four months of 2022-2026 period (Billion USD)</w:t>
      </w:r>
    </w:p>
    <w:p w14:paraId="6B7B4644" w14:textId="77777777" w:rsidR="00F60843" w:rsidRPr="00AF3ED2" w:rsidRDefault="00F60843" w:rsidP="00F60843">
      <w:pPr>
        <w:jc w:val="center"/>
        <w:rPr>
          <w:rFonts w:ascii="Arial" w:hAnsi="Arial" w:cs="Arial"/>
          <w:b/>
          <w:bCs/>
          <w:sz w:val="24"/>
        </w:rPr>
      </w:pPr>
      <w:r w:rsidRPr="00AF3ED2">
        <w:rPr>
          <w:noProof/>
        </w:rPr>
        <w:drawing>
          <wp:inline distT="0" distB="0" distL="0" distR="0" wp14:anchorId="2188B958" wp14:editId="153B325F">
            <wp:extent cx="4572000" cy="1686091"/>
            <wp:effectExtent l="0" t="0" r="0" b="9525"/>
            <wp:docPr id="21337670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439BFB" w14:textId="448FC9BA" w:rsidR="00F60843" w:rsidRPr="00AF3ED2" w:rsidRDefault="00F60843" w:rsidP="00F60843">
      <w:pPr>
        <w:spacing w:before="120" w:after="120" w:line="245" w:lineRule="auto"/>
        <w:ind w:firstLine="720"/>
        <w:jc w:val="both"/>
        <w:rPr>
          <w:i/>
          <w:iCs/>
        </w:rPr>
      </w:pPr>
      <w:bookmarkStart w:id="1" w:name="_Hlk229243354"/>
      <w:r w:rsidRPr="00AF3ED2">
        <w:rPr>
          <w:i/>
          <w:iCs/>
        </w:rPr>
        <w:t>Viet Nam's outward investment</w:t>
      </w:r>
      <w:r w:rsidRPr="00AF3ED2">
        <w:t xml:space="preserve"> in the four months of 2026</w:t>
      </w:r>
      <w:r w:rsidRPr="00AF3ED2">
        <w:rPr>
          <w:i/>
          <w:iCs/>
        </w:rPr>
        <w:t xml:space="preserve"> </w:t>
      </w:r>
      <w:r w:rsidRPr="00AF3ED2">
        <w:t xml:space="preserve">witnessed 74 projects granted with new investment certificates with a total capital of 691.1 million USD, 2.6 times higher than that in the same period last year; 4 turns of projects with adjusted their capital with the </w:t>
      </w:r>
      <w:r w:rsidR="009150A2" w:rsidRPr="00AF3ED2">
        <w:t>additional</w:t>
      </w:r>
      <w:r w:rsidRPr="00AF3ED2">
        <w:t xml:space="preserve"> amount of 22.8 million USD, a decrease of 43.2%</w:t>
      </w:r>
      <w:bookmarkEnd w:id="1"/>
      <w:r w:rsidRPr="00AF3ED2">
        <w:t>.</w:t>
      </w:r>
    </w:p>
    <w:p w14:paraId="03C3E100" w14:textId="77777777" w:rsidR="00F60843" w:rsidRPr="00AF3ED2" w:rsidRDefault="00F60843" w:rsidP="00F60843">
      <w:pPr>
        <w:spacing w:after="120" w:line="245" w:lineRule="auto"/>
        <w:ind w:firstLine="720"/>
        <w:jc w:val="both"/>
        <w:rPr>
          <w:iCs/>
          <w:spacing w:val="-4"/>
        </w:rPr>
      </w:pPr>
      <w:bookmarkStart w:id="2" w:name="_Hlk229243376"/>
      <w:r w:rsidRPr="00AF3ED2">
        <w:rPr>
          <w:iCs/>
          <w:spacing w:val="-4"/>
        </w:rPr>
        <w:t>Generally, the total Viet Nam’s outward FDI (newly granted and adjusted capital) reached 713.9 million USD, 2.3 times higher than the same period last year</w:t>
      </w:r>
      <w:bookmarkEnd w:id="2"/>
      <w:r w:rsidRPr="00AF3ED2">
        <w:rPr>
          <w:iCs/>
          <w:spacing w:val="-4"/>
        </w:rPr>
        <w:t>. Of which: the electricity, gas, steam and air conditioning supply reached 163.8 million USD, accounting for 22.9%; the construction reached 153.0 million USD, accounting for 21.4%; and transportation and storage reached 149.2 million USD, accounting for 20.9%.</w:t>
      </w:r>
    </w:p>
    <w:p w14:paraId="6055F245" w14:textId="0C9B775F" w:rsidR="00C12D51" w:rsidRPr="00AF3ED2" w:rsidRDefault="00F60843" w:rsidP="00F60843">
      <w:pPr>
        <w:spacing w:before="40" w:after="40" w:line="252" w:lineRule="auto"/>
        <w:ind w:firstLine="567"/>
        <w:jc w:val="both"/>
      </w:pPr>
      <w:r w:rsidRPr="00AF3ED2">
        <w:rPr>
          <w:iCs/>
          <w:spacing w:val="2"/>
        </w:rPr>
        <w:t>In the four months of 2026, 32 countries and territories received investment from Viet Nam, of which: Laos was the leading destination with 198 million USD, accounting for 27.7% of total investment; Kyrgyzstan with 149.9 million USD, accounting for 21.0%; the United Kingdom with 82.8 million USD, accounting for 11.6%; Kazakhstan with 36.0 million USD, accounting for 5.0%; the British Virgin Islands with 30.1 million USD, accounting for 4.2%; Angola with 30 million USD, accounting for 4.1%; and the Netherlands with 29.4 million USD, accounting for 4.0%.</w:t>
      </w:r>
    </w:p>
    <w:p w14:paraId="3FD01710" w14:textId="77777777" w:rsidR="007372E3" w:rsidRPr="00AF3ED2" w:rsidRDefault="007372E3" w:rsidP="007372E3">
      <w:pPr>
        <w:spacing w:after="120" w:line="245" w:lineRule="auto"/>
        <w:ind w:firstLine="720"/>
        <w:jc w:val="both"/>
        <w:rPr>
          <w:b/>
          <w:bCs/>
          <w:color w:val="000000" w:themeColor="text1"/>
        </w:rPr>
      </w:pPr>
      <w:r w:rsidRPr="00AF3ED2">
        <w:rPr>
          <w:b/>
          <w:color w:val="000000" w:themeColor="text1"/>
        </w:rPr>
        <w:t>5. State budget revenue and expenditure</w:t>
      </w:r>
      <w:r w:rsidRPr="00AF3ED2">
        <w:rPr>
          <w:b/>
          <w:bCs/>
          <w:color w:val="000000" w:themeColor="text1"/>
          <w:vertAlign w:val="superscript"/>
        </w:rPr>
        <w:footnoteReference w:id="14"/>
      </w:r>
    </w:p>
    <w:p w14:paraId="2D11A046" w14:textId="77777777" w:rsidR="007372E3" w:rsidRPr="00AF3ED2" w:rsidRDefault="007372E3" w:rsidP="007372E3">
      <w:pPr>
        <w:spacing w:after="120" w:line="245" w:lineRule="auto"/>
        <w:ind w:firstLine="720"/>
        <w:jc w:val="both"/>
        <w:rPr>
          <w:b/>
          <w:color w:val="000000" w:themeColor="text1"/>
          <w:spacing w:val="-4"/>
        </w:rPr>
      </w:pPr>
      <w:r w:rsidRPr="00AF3ED2">
        <w:rPr>
          <w:i/>
          <w:color w:val="000000" w:themeColor="text1"/>
        </w:rPr>
        <w:t>State budget revenue in the four months of 2026 was estimated to increase by 15.2% over the same period last year. State budget expenditure was estimated to increase by 11.6% over the previous year, effectively meeting the needs for socio-economic development, national defense, security, state management, payment of due debts, and timely payment to beneficiaries according to regulations.</w:t>
      </w:r>
      <w:r w:rsidRPr="00AF3ED2">
        <w:rPr>
          <w:b/>
          <w:color w:val="000000" w:themeColor="text1"/>
        </w:rPr>
        <w:t xml:space="preserve"> </w:t>
      </w:r>
    </w:p>
    <w:p w14:paraId="183E60A5" w14:textId="77777777" w:rsidR="007372E3" w:rsidRPr="00AF3ED2" w:rsidRDefault="007372E3" w:rsidP="007372E3">
      <w:pPr>
        <w:spacing w:before="120" w:after="120"/>
        <w:jc w:val="center"/>
        <w:rPr>
          <w:rFonts w:ascii="Arial" w:hAnsi="Arial" w:cs="Arial"/>
          <w:b/>
          <w:color w:val="000000" w:themeColor="text1"/>
          <w:sz w:val="24"/>
          <w:szCs w:val="24"/>
        </w:rPr>
      </w:pPr>
      <w:r w:rsidRPr="00AF3ED2">
        <w:rPr>
          <w:rFonts w:ascii="Arial" w:hAnsi="Arial"/>
          <w:b/>
          <w:color w:val="000000" w:themeColor="text1"/>
          <w:sz w:val="24"/>
        </w:rPr>
        <w:t>Figure 9. State budget revenue and expenditure in the 4 months 2026</w:t>
      </w:r>
    </w:p>
    <w:p w14:paraId="2C0E4ACC" w14:textId="77777777" w:rsidR="007372E3" w:rsidRPr="00AF3ED2" w:rsidRDefault="007372E3" w:rsidP="007372E3">
      <w:pPr>
        <w:jc w:val="center"/>
        <w:rPr>
          <w:rFonts w:ascii="Arial" w:hAnsi="Arial" w:cs="Arial"/>
          <w:b/>
          <w:color w:val="000000" w:themeColor="text1"/>
          <w:sz w:val="24"/>
          <w:szCs w:val="24"/>
        </w:rPr>
      </w:pPr>
      <w:r w:rsidRPr="00AF3ED2">
        <w:rPr>
          <w:rFonts w:ascii="Arial" w:hAnsi="Arial"/>
          <w:b/>
          <w:noProof/>
          <w:color w:val="000000" w:themeColor="text1"/>
          <w:sz w:val="24"/>
        </w:rPr>
        <w:lastRenderedPageBreak/>
        <w:drawing>
          <wp:inline distT="0" distB="0" distL="0" distR="0" wp14:anchorId="3EDB51CB" wp14:editId="7EDDB547">
            <wp:extent cx="5699760" cy="2377563"/>
            <wp:effectExtent l="0" t="0" r="0" b="3810"/>
            <wp:docPr id="8" name="Picture 8" descr="E:\GSO tailieu Kien\3. CÔNG VIỆC\2026\5. Dich bao cao Quy 2026\4. Dich BC T4 2026\1255743599673092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SO tailieu Kien\3. CÔNG VIỆC\2026\5. Dich bao cao Quy 2026\4. Dich BC T4 2026\125574359967309273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9760" cy="2377563"/>
                    </a:xfrm>
                    <a:prstGeom prst="rect">
                      <a:avLst/>
                    </a:prstGeom>
                    <a:noFill/>
                    <a:ln>
                      <a:noFill/>
                    </a:ln>
                  </pic:spPr>
                </pic:pic>
              </a:graphicData>
            </a:graphic>
          </wp:inline>
        </w:drawing>
      </w:r>
    </w:p>
    <w:p w14:paraId="3B583812" w14:textId="77777777" w:rsidR="007372E3" w:rsidRPr="00AF3ED2" w:rsidRDefault="007372E3" w:rsidP="007372E3">
      <w:pPr>
        <w:spacing w:before="120" w:after="120" w:line="264" w:lineRule="auto"/>
        <w:ind w:firstLine="720"/>
        <w:jc w:val="both"/>
        <w:rPr>
          <w:b/>
          <w:i/>
          <w:color w:val="000000" w:themeColor="text1"/>
        </w:rPr>
      </w:pPr>
      <w:r w:rsidRPr="00AF3ED2">
        <w:rPr>
          <w:b/>
          <w:i/>
          <w:color w:val="000000" w:themeColor="text1"/>
        </w:rPr>
        <w:t>State budget revenue</w:t>
      </w:r>
    </w:p>
    <w:p w14:paraId="426BDAB6" w14:textId="187E7C6B" w:rsidR="007372E3" w:rsidRPr="00AF3ED2" w:rsidRDefault="00497058" w:rsidP="007372E3">
      <w:pPr>
        <w:spacing w:after="120" w:line="264" w:lineRule="auto"/>
        <w:ind w:firstLine="720"/>
        <w:jc w:val="both"/>
        <w:rPr>
          <w:color w:val="000000" w:themeColor="text1"/>
        </w:rPr>
      </w:pPr>
      <w:r w:rsidRPr="00497058">
        <w:rPr>
          <w:color w:val="000000" w:themeColor="text1"/>
        </w:rPr>
        <w:t>State budget revenue</w:t>
      </w:r>
      <w:r w:rsidRPr="00497058" w:rsidDel="00497058">
        <w:rPr>
          <w:color w:val="000000" w:themeColor="text1"/>
        </w:rPr>
        <w:t xml:space="preserve"> </w:t>
      </w:r>
      <w:r w:rsidR="007372E3" w:rsidRPr="00AF3ED2">
        <w:rPr>
          <w:color w:val="000000" w:themeColor="text1"/>
        </w:rPr>
        <w:t>in April 2026 was estimated at 257.2 trillion VND. The accrued revenue in the 4 months of 2026 reached nearly 1,114.0 trillion VND, reaching 44.0% of the annual estimate (+15.2% YoY). In particular, selected revenue items were as follows:</w:t>
      </w:r>
    </w:p>
    <w:p w14:paraId="3EB25F98" w14:textId="77777777" w:rsidR="007372E3" w:rsidRPr="00AF3ED2" w:rsidRDefault="007372E3" w:rsidP="007372E3">
      <w:pPr>
        <w:spacing w:after="120" w:line="264" w:lineRule="auto"/>
        <w:ind w:firstLine="720"/>
        <w:jc w:val="both"/>
        <w:rPr>
          <w:color w:val="000000" w:themeColor="text1"/>
        </w:rPr>
      </w:pPr>
      <w:r w:rsidRPr="00AF3ED2">
        <w:rPr>
          <w:color w:val="000000" w:themeColor="text1"/>
        </w:rPr>
        <w:t xml:space="preserve">- </w:t>
      </w:r>
      <w:r w:rsidRPr="00AF3ED2">
        <w:rPr>
          <w:i/>
          <w:iCs/>
          <w:color w:val="000000" w:themeColor="text1"/>
        </w:rPr>
        <w:t>Domestic revenue</w:t>
      </w:r>
      <w:r w:rsidRPr="00AF3ED2">
        <w:rPr>
          <w:color w:val="000000" w:themeColor="text1"/>
        </w:rPr>
        <w:t xml:space="preserve"> in April 2026 was estimated at 224.0 trillion VND. The accrued revenue in the 4 months of 2026 was estimated at 991.0 trillion VND, reaching 45.0% of the annual estimate and (+17.4% YoY).</w:t>
      </w:r>
    </w:p>
    <w:p w14:paraId="5C0A1E23" w14:textId="0552DB5F" w:rsidR="007372E3" w:rsidRPr="00AF3ED2" w:rsidRDefault="007372E3" w:rsidP="007372E3">
      <w:pPr>
        <w:spacing w:after="120" w:line="264" w:lineRule="auto"/>
        <w:ind w:firstLine="720"/>
        <w:jc w:val="both"/>
        <w:rPr>
          <w:color w:val="000000" w:themeColor="text1"/>
        </w:rPr>
      </w:pPr>
      <w:r w:rsidRPr="00AF3ED2">
        <w:rPr>
          <w:i/>
          <w:color w:val="000000" w:themeColor="text1"/>
        </w:rPr>
        <w:t xml:space="preserve">- </w:t>
      </w:r>
      <w:r w:rsidR="00EC335D">
        <w:rPr>
          <w:i/>
          <w:color w:val="000000" w:themeColor="text1"/>
        </w:rPr>
        <w:t xml:space="preserve">Oil </w:t>
      </w:r>
      <w:r w:rsidR="00EC335D">
        <w:rPr>
          <w:i/>
          <w:iCs/>
          <w:color w:val="000000" w:themeColor="text1"/>
        </w:rPr>
        <w:t>r</w:t>
      </w:r>
      <w:r w:rsidR="00EC335D" w:rsidRPr="00AF3ED2">
        <w:rPr>
          <w:i/>
          <w:iCs/>
          <w:color w:val="000000" w:themeColor="text1"/>
        </w:rPr>
        <w:t xml:space="preserve">evenue </w:t>
      </w:r>
      <w:r w:rsidRPr="00AF3ED2">
        <w:rPr>
          <w:color w:val="000000" w:themeColor="text1"/>
        </w:rPr>
        <w:t>in April 2026 was estimated at 5.5 trillion VND; the accrued revenue in the 4 months of 2026 reached 17.0 trillion VND, reaching 39.5% of the annual estimate and (-4.9% YoY)</w:t>
      </w:r>
      <w:r w:rsidRPr="00AF3ED2">
        <w:rPr>
          <w:rStyle w:val="FootnoteReference"/>
          <w:color w:val="000000" w:themeColor="text1"/>
        </w:rPr>
        <w:footnoteReference w:id="15"/>
      </w:r>
      <w:r w:rsidRPr="00AF3ED2">
        <w:rPr>
          <w:color w:val="000000" w:themeColor="text1"/>
        </w:rPr>
        <w:t>.</w:t>
      </w:r>
    </w:p>
    <w:p w14:paraId="0B330F57" w14:textId="300A9A6A" w:rsidR="007372E3" w:rsidRPr="00AF3ED2" w:rsidRDefault="007372E3" w:rsidP="007372E3">
      <w:pPr>
        <w:spacing w:after="120" w:line="264" w:lineRule="auto"/>
        <w:ind w:firstLine="720"/>
        <w:jc w:val="both"/>
        <w:rPr>
          <w:b/>
          <w:i/>
          <w:color w:val="000000" w:themeColor="text1"/>
        </w:rPr>
      </w:pPr>
      <w:r w:rsidRPr="00AF3ED2">
        <w:rPr>
          <w:color w:val="000000" w:themeColor="text1"/>
        </w:rPr>
        <w:t xml:space="preserve">- </w:t>
      </w:r>
      <w:r w:rsidR="00EC335D" w:rsidRPr="00D57174">
        <w:rPr>
          <w:i/>
          <w:color w:val="000000" w:themeColor="text1"/>
        </w:rPr>
        <w:t>Revenue from budget balance of import-export activities</w:t>
      </w:r>
      <w:r w:rsidR="00EC335D" w:rsidRPr="00EC335D" w:rsidDel="00EC335D">
        <w:rPr>
          <w:color w:val="000000" w:themeColor="text1"/>
        </w:rPr>
        <w:t xml:space="preserve"> </w:t>
      </w:r>
      <w:r w:rsidRPr="00AF3ED2">
        <w:rPr>
          <w:color w:val="000000" w:themeColor="text1"/>
        </w:rPr>
        <w:t xml:space="preserve">in April 2026 was estimated at 27.6 trillion VND; accrued revenue in the 4 months of 2026 was estimated at 105.4 trillion VND, reaching 37.9% of the annual estimate (+0.4% YoY). </w:t>
      </w:r>
    </w:p>
    <w:p w14:paraId="40E0424A" w14:textId="77777777" w:rsidR="007372E3" w:rsidRPr="00AF3ED2" w:rsidRDefault="007372E3" w:rsidP="007372E3">
      <w:pPr>
        <w:spacing w:after="120" w:line="264" w:lineRule="auto"/>
        <w:ind w:firstLine="720"/>
        <w:jc w:val="both"/>
        <w:rPr>
          <w:b/>
          <w:i/>
          <w:color w:val="000000" w:themeColor="text1"/>
        </w:rPr>
      </w:pPr>
      <w:r w:rsidRPr="00AF3ED2">
        <w:rPr>
          <w:b/>
          <w:i/>
          <w:color w:val="000000" w:themeColor="text1"/>
        </w:rPr>
        <w:t>State budget expenditure</w:t>
      </w:r>
    </w:p>
    <w:p w14:paraId="6BDB9A71" w14:textId="48434046" w:rsidR="00F60843" w:rsidRPr="00AF3ED2" w:rsidRDefault="00EC335D" w:rsidP="007372E3">
      <w:pPr>
        <w:spacing w:before="40" w:after="40" w:line="252" w:lineRule="auto"/>
        <w:ind w:firstLine="567"/>
        <w:jc w:val="both"/>
      </w:pPr>
      <w:r w:rsidRPr="00AF3ED2">
        <w:rPr>
          <w:color w:val="000000" w:themeColor="text1"/>
        </w:rPr>
        <w:t xml:space="preserve">State </w:t>
      </w:r>
      <w:r w:rsidR="007372E3" w:rsidRPr="00AF3ED2">
        <w:rPr>
          <w:color w:val="000000" w:themeColor="text1"/>
        </w:rPr>
        <w:t>budget expenditure in April 2026 was estimated at nearly 143.9 trillion VND. The accrued expenditure in the 4 months of 2026 was estimated at 668.2 trillion VND, reaching 21.2% of the annual estimate (+11.6% Y</w:t>
      </w:r>
      <w:r w:rsidR="0090671E">
        <w:rPr>
          <w:color w:val="000000" w:themeColor="text1"/>
        </w:rPr>
        <w:t>o</w:t>
      </w:r>
      <w:r w:rsidR="007372E3" w:rsidRPr="00AF3ED2">
        <w:rPr>
          <w:color w:val="000000" w:themeColor="text1"/>
        </w:rPr>
        <w:t>Y). Specifically, recurrent expenditure in the 4 months of 2026 was estimated at 471.0 trillion VND, equal to 26.0% of the annual estimate (+10.8% YoY); development investment expenditure gained 153.2 trillion VND, reaching 13.7% of the annual estimate (+16.4% YoY); interest payment was 43.0 trillion VND, reaching 35.5% of the annual estimate (+5.4% YoY).</w:t>
      </w:r>
    </w:p>
    <w:p w14:paraId="1A0BAE02" w14:textId="77777777" w:rsidR="005B4C2A" w:rsidRPr="00AF3ED2" w:rsidRDefault="005B4C2A" w:rsidP="005B4C2A">
      <w:pPr>
        <w:spacing w:after="120" w:line="264" w:lineRule="auto"/>
        <w:ind w:firstLine="720"/>
        <w:jc w:val="both"/>
        <w:rPr>
          <w:b/>
          <w:bCs/>
          <w:color w:val="000000" w:themeColor="text1"/>
        </w:rPr>
      </w:pPr>
      <w:r w:rsidRPr="00AF3ED2">
        <w:rPr>
          <w:b/>
          <w:bCs/>
          <w:color w:val="000000" w:themeColor="text1"/>
        </w:rPr>
        <w:lastRenderedPageBreak/>
        <w:t xml:space="preserve">6. </w:t>
      </w:r>
      <w:r w:rsidRPr="00AF3ED2">
        <w:rPr>
          <w:b/>
          <w:bCs/>
        </w:rPr>
        <w:t>Trade, prices, transport and tourism</w:t>
      </w:r>
    </w:p>
    <w:p w14:paraId="4D1F32D4" w14:textId="77777777" w:rsidR="005B4C2A" w:rsidRPr="00AF3ED2" w:rsidRDefault="005B4C2A" w:rsidP="005B4C2A">
      <w:pPr>
        <w:spacing w:after="120" w:line="264" w:lineRule="auto"/>
        <w:ind w:firstLine="720"/>
        <w:rPr>
          <w:b/>
          <w:i/>
          <w:color w:val="000000" w:themeColor="text1"/>
        </w:rPr>
      </w:pPr>
      <w:r w:rsidRPr="00AF3ED2">
        <w:rPr>
          <w:b/>
          <w:i/>
          <w:color w:val="000000" w:themeColor="text1"/>
        </w:rPr>
        <w:t xml:space="preserve">a) </w:t>
      </w:r>
      <w:r w:rsidRPr="00AF3ED2">
        <w:rPr>
          <w:b/>
          <w:i/>
        </w:rPr>
        <w:t>Retail sales of goods and services</w:t>
      </w:r>
    </w:p>
    <w:p w14:paraId="40EDE062" w14:textId="0C9D22D6" w:rsidR="005B4C2A" w:rsidRPr="00AF3ED2" w:rsidRDefault="005B4C2A" w:rsidP="005B4C2A">
      <w:pPr>
        <w:spacing w:after="120" w:line="264" w:lineRule="auto"/>
        <w:ind w:firstLine="720"/>
        <w:jc w:val="both"/>
        <w:rPr>
          <w:i/>
          <w:color w:val="000000" w:themeColor="text1"/>
        </w:rPr>
      </w:pPr>
      <w:r w:rsidRPr="00AF3ED2">
        <w:rPr>
          <w:i/>
          <w:color w:val="000000" w:themeColor="text1"/>
        </w:rPr>
        <w:t>Commercial and service activities in April 2026 maintained</w:t>
      </w:r>
      <w:r w:rsidR="0090671E">
        <w:rPr>
          <w:i/>
          <w:color w:val="000000" w:themeColor="text1"/>
        </w:rPr>
        <w:t xml:space="preserve"> a</w:t>
      </w:r>
      <w:r w:rsidRPr="00AF3ED2">
        <w:rPr>
          <w:i/>
          <w:color w:val="000000" w:themeColor="text1"/>
        </w:rPr>
        <w:t xml:space="preserve"> solid growth, with retail sales of goods and services estimated to increase by 1.7% month-on-month and by 12.1% year-on-year. For the four months of 2026 as a whole, the retail sales of goods and services increased by 11.1% over that in the same period last year, of which</w:t>
      </w:r>
      <w:r w:rsidRPr="00AF3ED2">
        <w:rPr>
          <w:i/>
          <w:spacing w:val="-4"/>
        </w:rPr>
        <w:t xml:space="preserve"> turnover from</w:t>
      </w:r>
      <w:r w:rsidRPr="00AF3ED2">
        <w:rPr>
          <w:i/>
          <w:color w:val="000000" w:themeColor="text1"/>
        </w:rPr>
        <w:t xml:space="preserve"> accommodation and food service activities rose by 13.4% and </w:t>
      </w:r>
      <w:r w:rsidRPr="00AF3ED2">
        <w:rPr>
          <w:i/>
          <w:spacing w:val="-4"/>
        </w:rPr>
        <w:t>turnover from</w:t>
      </w:r>
      <w:r w:rsidRPr="00AF3ED2">
        <w:rPr>
          <w:i/>
          <w:color w:val="000000" w:themeColor="text1"/>
        </w:rPr>
        <w:t xml:space="preserve"> travelling services grew by 12.1%.</w:t>
      </w:r>
    </w:p>
    <w:p w14:paraId="00C5E2A0" w14:textId="77777777" w:rsidR="005B4C2A" w:rsidRPr="00AF3ED2" w:rsidRDefault="005B4C2A" w:rsidP="005B4C2A">
      <w:pPr>
        <w:spacing w:after="120" w:line="264" w:lineRule="auto"/>
        <w:ind w:firstLine="720"/>
        <w:jc w:val="both"/>
        <w:rPr>
          <w:iCs/>
          <w:color w:val="000000" w:themeColor="text1"/>
        </w:rPr>
      </w:pPr>
      <w:r w:rsidRPr="00AF3ED2">
        <w:rPr>
          <w:iCs/>
          <w:spacing w:val="-2"/>
        </w:rPr>
        <w:t>The retail sales of goods and services at current prices in April 2026 were estimated at</w:t>
      </w:r>
      <w:r w:rsidRPr="00AF3ED2">
        <w:rPr>
          <w:iCs/>
          <w:color w:val="000000" w:themeColor="text1"/>
        </w:rPr>
        <w:t xml:space="preserve"> 646.3 </w:t>
      </w:r>
      <w:r w:rsidRPr="00AF3ED2">
        <w:rPr>
          <w:iCs/>
          <w:spacing w:val="-2"/>
        </w:rPr>
        <w:t>trillion VND</w:t>
      </w:r>
      <w:r w:rsidRPr="00AF3ED2">
        <w:rPr>
          <w:iCs/>
          <w:color w:val="000000" w:themeColor="text1"/>
        </w:rPr>
        <w:t xml:space="preserve">, </w:t>
      </w:r>
      <w:r w:rsidRPr="00AF3ED2">
        <w:rPr>
          <w:bCs/>
        </w:rPr>
        <w:t>a year-on-year increase of</w:t>
      </w:r>
      <w:r w:rsidRPr="00AF3ED2">
        <w:rPr>
          <w:iCs/>
          <w:color w:val="000000" w:themeColor="text1"/>
        </w:rPr>
        <w:t xml:space="preserve"> 12.1%. Of which, </w:t>
      </w:r>
      <w:r w:rsidRPr="00AF3ED2">
        <w:rPr>
          <w:bCs/>
          <w:iCs/>
          <w:spacing w:val="-4"/>
        </w:rPr>
        <w:t>turnover from</w:t>
      </w:r>
      <w:r w:rsidRPr="00AF3ED2">
        <w:rPr>
          <w:iCs/>
        </w:rPr>
        <w:t xml:space="preserve"> petroleum products </w:t>
      </w:r>
      <w:r w:rsidRPr="00AF3ED2">
        <w:rPr>
          <w:bCs/>
          <w:iCs/>
          <w:spacing w:val="-4"/>
        </w:rPr>
        <w:t>rose by</w:t>
      </w:r>
      <w:r w:rsidRPr="00AF3ED2">
        <w:rPr>
          <w:iCs/>
          <w:color w:val="000000" w:themeColor="text1"/>
        </w:rPr>
        <w:t xml:space="preserve"> 17.4% </w:t>
      </w:r>
      <w:r w:rsidRPr="00AF3ED2">
        <w:rPr>
          <w:bCs/>
          <w:iCs/>
          <w:spacing w:val="-4"/>
        </w:rPr>
        <w:t>year-on-year</w:t>
      </w:r>
      <w:r w:rsidRPr="00AF3ED2">
        <w:rPr>
          <w:iCs/>
          <w:color w:val="000000" w:themeColor="text1"/>
        </w:rPr>
        <w:t xml:space="preserve">; </w:t>
      </w:r>
      <w:r w:rsidRPr="00AF3ED2">
        <w:rPr>
          <w:bCs/>
          <w:iCs/>
          <w:spacing w:val="-4"/>
        </w:rPr>
        <w:t>food and foodstuffs increased by</w:t>
      </w:r>
      <w:r w:rsidRPr="00AF3ED2">
        <w:rPr>
          <w:iCs/>
          <w:color w:val="000000" w:themeColor="text1"/>
        </w:rPr>
        <w:t xml:space="preserve"> 11.6%; </w:t>
      </w:r>
      <w:r w:rsidRPr="00AF3ED2">
        <w:rPr>
          <w:bCs/>
          <w:iCs/>
          <w:spacing w:val="-4"/>
        </w:rPr>
        <w:t>garments rose by</w:t>
      </w:r>
      <w:r w:rsidRPr="00AF3ED2">
        <w:rPr>
          <w:iCs/>
          <w:color w:val="000000" w:themeColor="text1"/>
        </w:rPr>
        <w:t xml:space="preserve"> 9.7%; </w:t>
      </w:r>
      <w:r w:rsidRPr="00AF3ED2">
        <w:rPr>
          <w:bCs/>
          <w:iCs/>
          <w:spacing w:val="-4"/>
        </w:rPr>
        <w:t>cultural and educational items increased by</w:t>
      </w:r>
      <w:r w:rsidRPr="00AF3ED2">
        <w:rPr>
          <w:iCs/>
          <w:color w:val="000000" w:themeColor="text1"/>
        </w:rPr>
        <w:t xml:space="preserve"> 9.3%; </w:t>
      </w:r>
      <w:r w:rsidRPr="00AF3ED2">
        <w:rPr>
          <w:iCs/>
        </w:rPr>
        <w:t>household appliances and equipment rose by</w:t>
      </w:r>
      <w:r w:rsidRPr="00AF3ED2">
        <w:rPr>
          <w:iCs/>
          <w:color w:val="000000" w:themeColor="text1"/>
        </w:rPr>
        <w:t xml:space="preserve"> 8.1%; </w:t>
      </w:r>
      <w:r w:rsidRPr="00AF3ED2">
        <w:rPr>
          <w:bCs/>
          <w:iCs/>
          <w:spacing w:val="-4"/>
        </w:rPr>
        <w:t>accommodation and food service activities</w:t>
      </w:r>
      <w:r w:rsidRPr="00AF3ED2" w:rsidDel="00077D91">
        <w:rPr>
          <w:bCs/>
          <w:iCs/>
          <w:spacing w:val="-4"/>
        </w:rPr>
        <w:t xml:space="preserve"> </w:t>
      </w:r>
      <w:r w:rsidRPr="00AF3ED2">
        <w:rPr>
          <w:bCs/>
          <w:iCs/>
          <w:spacing w:val="-4"/>
        </w:rPr>
        <w:t>increased by</w:t>
      </w:r>
      <w:r w:rsidRPr="00AF3ED2">
        <w:rPr>
          <w:iCs/>
          <w:color w:val="000000" w:themeColor="text1"/>
        </w:rPr>
        <w:t xml:space="preserve"> 14.1%; </w:t>
      </w:r>
      <w:r w:rsidRPr="00AF3ED2">
        <w:rPr>
          <w:bCs/>
          <w:iCs/>
          <w:spacing w:val="-4"/>
        </w:rPr>
        <w:t>travelling services rose by</w:t>
      </w:r>
      <w:r w:rsidRPr="00AF3ED2">
        <w:rPr>
          <w:iCs/>
          <w:color w:val="000000" w:themeColor="text1"/>
        </w:rPr>
        <w:t xml:space="preserve"> 6.5% </w:t>
      </w:r>
      <w:r w:rsidRPr="00AF3ED2">
        <w:rPr>
          <w:iCs/>
        </w:rPr>
        <w:t>and other services increased by</w:t>
      </w:r>
      <w:r w:rsidRPr="00AF3ED2">
        <w:rPr>
          <w:iCs/>
          <w:color w:val="000000" w:themeColor="text1"/>
        </w:rPr>
        <w:t xml:space="preserve"> 9.4%.</w:t>
      </w:r>
    </w:p>
    <w:p w14:paraId="4293D17E" w14:textId="77777777" w:rsidR="005B4C2A" w:rsidRPr="00AF3ED2" w:rsidRDefault="005B4C2A" w:rsidP="005B4C2A">
      <w:pPr>
        <w:spacing w:after="120" w:line="254" w:lineRule="auto"/>
        <w:jc w:val="center"/>
        <w:rPr>
          <w:rFonts w:ascii="Arial" w:hAnsi="Arial" w:cs="Arial"/>
          <w:b/>
          <w:spacing w:val="-2"/>
          <w:sz w:val="24"/>
          <w:szCs w:val="26"/>
        </w:rPr>
      </w:pPr>
      <w:r w:rsidRPr="00AF3ED2">
        <w:rPr>
          <w:rFonts w:ascii="Arial" w:hAnsi="Arial" w:cs="Arial"/>
          <w:b/>
          <w:color w:val="000000" w:themeColor="text1"/>
          <w:spacing w:val="-2"/>
          <w:sz w:val="24"/>
          <w:szCs w:val="26"/>
        </w:rPr>
        <w:t xml:space="preserve">Table 3. </w:t>
      </w:r>
      <w:r w:rsidRPr="00AF3ED2">
        <w:rPr>
          <w:rFonts w:ascii="Arial" w:hAnsi="Arial" w:cs="Arial"/>
          <w:b/>
          <w:spacing w:val="-2"/>
          <w:sz w:val="24"/>
          <w:szCs w:val="26"/>
        </w:rPr>
        <w:t xml:space="preserve">Retail sales of consumer goods and services at current prices </w:t>
      </w:r>
    </w:p>
    <w:p w14:paraId="3BD89F8C" w14:textId="77777777" w:rsidR="005B4C2A" w:rsidRPr="00AF3ED2" w:rsidRDefault="005B4C2A" w:rsidP="005B4C2A">
      <w:pPr>
        <w:spacing w:after="120" w:line="254" w:lineRule="auto"/>
        <w:jc w:val="center"/>
        <w:rPr>
          <w:rFonts w:ascii="Arial" w:hAnsi="Arial" w:cs="Arial"/>
          <w:b/>
          <w:bCs/>
          <w:color w:val="000000" w:themeColor="text1"/>
          <w:spacing w:val="-6"/>
          <w:sz w:val="24"/>
          <w:szCs w:val="26"/>
        </w:rPr>
      </w:pPr>
      <w:r w:rsidRPr="00AF3ED2">
        <w:rPr>
          <w:rFonts w:ascii="Arial" w:hAnsi="Arial" w:cs="Arial"/>
          <w:b/>
          <w:spacing w:val="-2"/>
          <w:sz w:val="24"/>
          <w:szCs w:val="26"/>
        </w:rPr>
        <w:t>in</w:t>
      </w:r>
      <w:r w:rsidRPr="00AF3ED2">
        <w:rPr>
          <w:rFonts w:ascii="Arial" w:hAnsi="Arial" w:cs="Arial"/>
          <w:b/>
          <w:bCs/>
          <w:color w:val="000000" w:themeColor="text1"/>
          <w:spacing w:val="-6"/>
          <w:sz w:val="24"/>
          <w:szCs w:val="26"/>
        </w:rPr>
        <w:t xml:space="preserve"> four months of 2026</w:t>
      </w:r>
    </w:p>
    <w:p w14:paraId="006D9BD3" w14:textId="77777777" w:rsidR="005B4C2A" w:rsidRPr="00AF3ED2" w:rsidRDefault="005B4C2A" w:rsidP="005B4C2A">
      <w:pPr>
        <w:tabs>
          <w:tab w:val="left" w:pos="2835"/>
        </w:tabs>
        <w:ind w:firstLine="561"/>
        <w:jc w:val="right"/>
        <w:rPr>
          <w:rFonts w:ascii="Arial" w:hAnsi="Arial" w:cs="Arial"/>
          <w:b/>
          <w:i/>
          <w:color w:val="000000" w:themeColor="text1"/>
          <w:spacing w:val="-6"/>
          <w:sz w:val="20"/>
          <w:szCs w:val="20"/>
        </w:rPr>
      </w:pPr>
      <w:r w:rsidRPr="00AF3ED2">
        <w:rPr>
          <w:rFonts w:ascii="Arial" w:hAnsi="Arial"/>
          <w:b/>
          <w:i/>
          <w:sz w:val="20"/>
        </w:rPr>
        <w:t>Trillion VND</w:t>
      </w:r>
    </w:p>
    <w:tbl>
      <w:tblPr>
        <w:tblW w:w="9038" w:type="dxa"/>
        <w:jc w:val="center"/>
        <w:tblLayout w:type="fixed"/>
        <w:tblLook w:val="04A0" w:firstRow="1" w:lastRow="0" w:firstColumn="1" w:lastColumn="0" w:noHBand="0" w:noVBand="1"/>
      </w:tblPr>
      <w:tblGrid>
        <w:gridCol w:w="3014"/>
        <w:gridCol w:w="1433"/>
        <w:gridCol w:w="1588"/>
        <w:gridCol w:w="1686"/>
        <w:gridCol w:w="1317"/>
      </w:tblGrid>
      <w:tr w:rsidR="005B4C2A" w:rsidRPr="00AF3ED2" w14:paraId="01B72BBA" w14:textId="77777777" w:rsidTr="00D474E6">
        <w:trPr>
          <w:cantSplit/>
          <w:trHeight w:val="541"/>
          <w:jc w:val="center"/>
        </w:trPr>
        <w:tc>
          <w:tcPr>
            <w:tcW w:w="3014" w:type="dxa"/>
            <w:vMerge w:val="restart"/>
            <w:tcBorders>
              <w:top w:val="single" w:sz="4" w:space="0" w:color="auto"/>
              <w:left w:val="nil"/>
              <w:bottom w:val="single" w:sz="4" w:space="0" w:color="auto"/>
              <w:right w:val="nil"/>
            </w:tcBorders>
            <w:vAlign w:val="center"/>
            <w:hideMark/>
          </w:tcPr>
          <w:p w14:paraId="07FF9897" w14:textId="77777777" w:rsidR="005B4C2A" w:rsidRPr="00AF3ED2" w:rsidRDefault="005B4C2A" w:rsidP="00D474E6">
            <w:pPr>
              <w:jc w:val="both"/>
              <w:rPr>
                <w:rFonts w:ascii="Arial" w:hAnsi="Arial" w:cs="Arial"/>
                <w:color w:val="000000" w:themeColor="text1"/>
                <w:sz w:val="20"/>
                <w:szCs w:val="20"/>
              </w:rPr>
            </w:pPr>
            <w:r w:rsidRPr="00AF3ED2">
              <w:rPr>
                <w:rFonts w:ascii="Arial" w:hAnsi="Arial" w:cs="Arial"/>
                <w:bCs/>
                <w:color w:val="000000" w:themeColor="text1"/>
                <w:sz w:val="20"/>
                <w:szCs w:val="20"/>
              </w:rPr>
              <w:t> </w:t>
            </w:r>
          </w:p>
        </w:tc>
        <w:tc>
          <w:tcPr>
            <w:tcW w:w="1433" w:type="dxa"/>
            <w:vMerge w:val="restart"/>
            <w:tcBorders>
              <w:top w:val="single" w:sz="4" w:space="0" w:color="auto"/>
              <w:left w:val="nil"/>
              <w:bottom w:val="single" w:sz="4" w:space="0" w:color="auto"/>
              <w:right w:val="nil"/>
            </w:tcBorders>
            <w:vAlign w:val="center"/>
            <w:hideMark/>
          </w:tcPr>
          <w:p w14:paraId="738D8F67" w14:textId="77777777" w:rsidR="005B4C2A" w:rsidRPr="00AF3ED2" w:rsidRDefault="005B4C2A" w:rsidP="00D474E6">
            <w:pPr>
              <w:jc w:val="center"/>
              <w:rPr>
                <w:rFonts w:ascii="Arial" w:hAnsi="Arial" w:cs="Arial"/>
                <w:color w:val="000000" w:themeColor="text1"/>
                <w:sz w:val="20"/>
                <w:szCs w:val="20"/>
              </w:rPr>
            </w:pPr>
            <w:r w:rsidRPr="00AF3ED2">
              <w:rPr>
                <w:rFonts w:ascii="Arial" w:hAnsi="Arial" w:cs="Arial"/>
                <w:bCs/>
                <w:sz w:val="20"/>
                <w:szCs w:val="20"/>
              </w:rPr>
              <w:t>Estimate</w:t>
            </w:r>
          </w:p>
          <w:p w14:paraId="18C350C1" w14:textId="77777777" w:rsidR="005B4C2A" w:rsidRPr="00AF3ED2" w:rsidRDefault="005B4C2A" w:rsidP="00D474E6">
            <w:pPr>
              <w:jc w:val="center"/>
              <w:rPr>
                <w:rFonts w:ascii="Arial" w:hAnsi="Arial" w:cs="Arial"/>
                <w:color w:val="000000" w:themeColor="text1"/>
                <w:sz w:val="20"/>
                <w:szCs w:val="20"/>
              </w:rPr>
            </w:pPr>
            <w:r w:rsidRPr="00AF3ED2">
              <w:rPr>
                <w:rFonts w:ascii="Arial" w:hAnsi="Arial" w:cs="Arial"/>
                <w:color w:val="000000" w:themeColor="text1"/>
                <w:sz w:val="20"/>
                <w:szCs w:val="20"/>
              </w:rPr>
              <w:t>for April</w:t>
            </w:r>
          </w:p>
          <w:p w14:paraId="17FDAE65" w14:textId="77777777" w:rsidR="005B4C2A" w:rsidRPr="00AF3ED2" w:rsidRDefault="005B4C2A" w:rsidP="00D474E6">
            <w:pPr>
              <w:jc w:val="center"/>
              <w:rPr>
                <w:rFonts w:ascii="Arial" w:hAnsi="Arial" w:cs="Arial"/>
                <w:color w:val="000000" w:themeColor="text1"/>
                <w:sz w:val="20"/>
                <w:szCs w:val="20"/>
              </w:rPr>
            </w:pPr>
            <w:r w:rsidRPr="00AF3ED2">
              <w:rPr>
                <w:rFonts w:ascii="Arial" w:hAnsi="Arial" w:cs="Arial"/>
                <w:color w:val="000000" w:themeColor="text1"/>
                <w:sz w:val="20"/>
                <w:szCs w:val="20"/>
              </w:rPr>
              <w:t>2026</w:t>
            </w:r>
          </w:p>
        </w:tc>
        <w:tc>
          <w:tcPr>
            <w:tcW w:w="1588" w:type="dxa"/>
            <w:vMerge w:val="restart"/>
            <w:tcBorders>
              <w:top w:val="single" w:sz="4" w:space="0" w:color="auto"/>
              <w:left w:val="nil"/>
              <w:bottom w:val="single" w:sz="4" w:space="0" w:color="auto"/>
              <w:right w:val="nil"/>
            </w:tcBorders>
            <w:vAlign w:val="center"/>
            <w:hideMark/>
          </w:tcPr>
          <w:p w14:paraId="7A180798" w14:textId="77777777" w:rsidR="005B4C2A" w:rsidRPr="00AF3ED2" w:rsidRDefault="005B4C2A" w:rsidP="00D474E6">
            <w:pPr>
              <w:jc w:val="center"/>
              <w:rPr>
                <w:rFonts w:ascii="Arial" w:hAnsi="Arial" w:cs="Arial"/>
                <w:color w:val="000000" w:themeColor="text1"/>
                <w:sz w:val="20"/>
                <w:szCs w:val="20"/>
              </w:rPr>
            </w:pPr>
            <w:r w:rsidRPr="00AF3ED2">
              <w:rPr>
                <w:rFonts w:ascii="Arial" w:hAnsi="Arial" w:cs="Arial"/>
                <w:bCs/>
                <w:sz w:val="20"/>
                <w:szCs w:val="20"/>
              </w:rPr>
              <w:t>Estimate</w:t>
            </w:r>
          </w:p>
          <w:p w14:paraId="06E84730" w14:textId="77777777" w:rsidR="005B4C2A" w:rsidRPr="00AF3ED2" w:rsidRDefault="005B4C2A" w:rsidP="00D474E6">
            <w:pPr>
              <w:jc w:val="center"/>
              <w:rPr>
                <w:rFonts w:ascii="Arial" w:hAnsi="Arial" w:cs="Arial"/>
                <w:color w:val="000000" w:themeColor="text1"/>
                <w:sz w:val="20"/>
                <w:szCs w:val="20"/>
              </w:rPr>
            </w:pPr>
            <w:r w:rsidRPr="00AF3ED2">
              <w:rPr>
                <w:rFonts w:ascii="Arial" w:hAnsi="Arial" w:cs="Arial"/>
                <w:color w:val="000000" w:themeColor="text1"/>
                <w:sz w:val="20"/>
                <w:szCs w:val="20"/>
              </w:rPr>
              <w:t>4 months of</w:t>
            </w:r>
          </w:p>
          <w:p w14:paraId="17FF9E62" w14:textId="77777777" w:rsidR="005B4C2A" w:rsidRPr="00AF3ED2" w:rsidRDefault="005B4C2A" w:rsidP="00D474E6">
            <w:pPr>
              <w:jc w:val="center"/>
              <w:rPr>
                <w:rFonts w:ascii="Arial" w:hAnsi="Arial" w:cs="Arial"/>
                <w:color w:val="000000" w:themeColor="text1"/>
                <w:sz w:val="20"/>
                <w:szCs w:val="20"/>
              </w:rPr>
            </w:pPr>
            <w:r w:rsidRPr="00AF3ED2">
              <w:rPr>
                <w:rFonts w:ascii="Arial" w:hAnsi="Arial" w:cs="Arial"/>
                <w:color w:val="000000" w:themeColor="text1"/>
                <w:sz w:val="20"/>
                <w:szCs w:val="20"/>
              </w:rPr>
              <w:t>2026</w:t>
            </w:r>
          </w:p>
        </w:tc>
        <w:tc>
          <w:tcPr>
            <w:tcW w:w="3003" w:type="dxa"/>
            <w:gridSpan w:val="2"/>
            <w:tcBorders>
              <w:top w:val="single" w:sz="4" w:space="0" w:color="auto"/>
              <w:left w:val="nil"/>
              <w:bottom w:val="single" w:sz="4" w:space="0" w:color="auto"/>
              <w:right w:val="nil"/>
            </w:tcBorders>
            <w:vAlign w:val="center"/>
            <w:hideMark/>
          </w:tcPr>
          <w:p w14:paraId="446BD3F1" w14:textId="77777777" w:rsidR="005B4C2A" w:rsidRPr="00AF3ED2" w:rsidRDefault="005B4C2A" w:rsidP="00D474E6">
            <w:pPr>
              <w:spacing w:line="256" w:lineRule="auto"/>
              <w:jc w:val="center"/>
              <w:rPr>
                <w:rFonts w:ascii="Arial" w:hAnsi="Arial" w:cs="Arial"/>
                <w:sz w:val="20"/>
                <w:szCs w:val="20"/>
              </w:rPr>
            </w:pPr>
            <w:r w:rsidRPr="00AF3ED2">
              <w:rPr>
                <w:rFonts w:ascii="Arial" w:hAnsi="Arial" w:cs="Arial"/>
                <w:sz w:val="20"/>
                <w:szCs w:val="20"/>
              </w:rPr>
              <w:t xml:space="preserve">Year-on-Year </w:t>
            </w:r>
          </w:p>
          <w:p w14:paraId="77AEA32F" w14:textId="77777777" w:rsidR="005B4C2A" w:rsidRPr="00AF3ED2" w:rsidRDefault="005B4C2A" w:rsidP="00D474E6">
            <w:pPr>
              <w:jc w:val="center"/>
              <w:rPr>
                <w:rFonts w:ascii="Arial" w:hAnsi="Arial" w:cs="Arial"/>
                <w:color w:val="000000" w:themeColor="text1"/>
                <w:sz w:val="20"/>
                <w:szCs w:val="20"/>
              </w:rPr>
            </w:pPr>
            <w:r w:rsidRPr="00AF3ED2">
              <w:rPr>
                <w:rFonts w:ascii="Arial" w:hAnsi="Arial" w:cs="Arial"/>
                <w:sz w:val="20"/>
                <w:szCs w:val="20"/>
              </w:rPr>
              <w:t>Growth rate (%)</w:t>
            </w:r>
          </w:p>
        </w:tc>
      </w:tr>
      <w:tr w:rsidR="005B4C2A" w:rsidRPr="00AF3ED2" w14:paraId="3C2AD256" w14:textId="77777777" w:rsidTr="00D474E6">
        <w:trPr>
          <w:cantSplit/>
          <w:trHeight w:val="452"/>
          <w:jc w:val="center"/>
        </w:trPr>
        <w:tc>
          <w:tcPr>
            <w:tcW w:w="3014" w:type="dxa"/>
            <w:vMerge/>
            <w:tcBorders>
              <w:top w:val="single" w:sz="4" w:space="0" w:color="auto"/>
              <w:left w:val="nil"/>
              <w:bottom w:val="single" w:sz="4" w:space="0" w:color="auto"/>
              <w:right w:val="nil"/>
            </w:tcBorders>
            <w:vAlign w:val="center"/>
            <w:hideMark/>
          </w:tcPr>
          <w:p w14:paraId="6B15368A" w14:textId="77777777" w:rsidR="005B4C2A" w:rsidRPr="00AF3ED2" w:rsidRDefault="005B4C2A" w:rsidP="00D474E6">
            <w:pPr>
              <w:rPr>
                <w:rFonts w:ascii="Arial" w:hAnsi="Arial" w:cs="Arial"/>
                <w:color w:val="000000" w:themeColor="text1"/>
                <w:sz w:val="20"/>
                <w:szCs w:val="20"/>
              </w:rPr>
            </w:pPr>
          </w:p>
        </w:tc>
        <w:tc>
          <w:tcPr>
            <w:tcW w:w="1433" w:type="dxa"/>
            <w:vMerge/>
            <w:tcBorders>
              <w:top w:val="single" w:sz="4" w:space="0" w:color="auto"/>
              <w:left w:val="nil"/>
              <w:bottom w:val="single" w:sz="4" w:space="0" w:color="auto"/>
              <w:right w:val="nil"/>
            </w:tcBorders>
            <w:vAlign w:val="center"/>
            <w:hideMark/>
          </w:tcPr>
          <w:p w14:paraId="27DA4047" w14:textId="77777777" w:rsidR="005B4C2A" w:rsidRPr="00AF3ED2" w:rsidRDefault="005B4C2A" w:rsidP="00D474E6">
            <w:pPr>
              <w:rPr>
                <w:rFonts w:ascii="Arial" w:hAnsi="Arial" w:cs="Arial"/>
                <w:color w:val="000000" w:themeColor="text1"/>
                <w:sz w:val="20"/>
                <w:szCs w:val="20"/>
              </w:rPr>
            </w:pPr>
          </w:p>
        </w:tc>
        <w:tc>
          <w:tcPr>
            <w:tcW w:w="1588" w:type="dxa"/>
            <w:vMerge/>
            <w:tcBorders>
              <w:top w:val="single" w:sz="4" w:space="0" w:color="auto"/>
              <w:left w:val="nil"/>
              <w:bottom w:val="single" w:sz="4" w:space="0" w:color="auto"/>
              <w:right w:val="nil"/>
            </w:tcBorders>
            <w:vAlign w:val="center"/>
            <w:hideMark/>
          </w:tcPr>
          <w:p w14:paraId="7AE09CCF" w14:textId="77777777" w:rsidR="005B4C2A" w:rsidRPr="00AF3ED2" w:rsidRDefault="005B4C2A" w:rsidP="00D474E6">
            <w:pPr>
              <w:rPr>
                <w:rFonts w:ascii="Arial" w:hAnsi="Arial" w:cs="Arial"/>
                <w:color w:val="000000" w:themeColor="text1"/>
                <w:sz w:val="20"/>
                <w:szCs w:val="20"/>
              </w:rPr>
            </w:pPr>
          </w:p>
        </w:tc>
        <w:tc>
          <w:tcPr>
            <w:tcW w:w="1686" w:type="dxa"/>
            <w:tcBorders>
              <w:top w:val="single" w:sz="4" w:space="0" w:color="auto"/>
              <w:left w:val="nil"/>
              <w:bottom w:val="single" w:sz="4" w:space="0" w:color="auto"/>
              <w:right w:val="nil"/>
            </w:tcBorders>
            <w:vAlign w:val="center"/>
            <w:hideMark/>
          </w:tcPr>
          <w:p w14:paraId="15ECBA2C" w14:textId="77777777" w:rsidR="005B4C2A" w:rsidRPr="00AF3ED2" w:rsidRDefault="005B4C2A" w:rsidP="00D474E6">
            <w:pPr>
              <w:jc w:val="center"/>
              <w:rPr>
                <w:rFonts w:ascii="Arial" w:hAnsi="Arial" w:cs="Arial"/>
                <w:color w:val="000000" w:themeColor="text1"/>
                <w:sz w:val="20"/>
                <w:szCs w:val="20"/>
              </w:rPr>
            </w:pPr>
            <w:r w:rsidRPr="00AF3ED2">
              <w:rPr>
                <w:rFonts w:ascii="Arial" w:hAnsi="Arial" w:cs="Arial"/>
                <w:color w:val="000000" w:themeColor="text1"/>
                <w:sz w:val="20"/>
                <w:szCs w:val="20"/>
              </w:rPr>
              <w:t>April</w:t>
            </w:r>
          </w:p>
          <w:p w14:paraId="35AEDEF6" w14:textId="77777777" w:rsidR="005B4C2A" w:rsidRPr="00AF3ED2" w:rsidRDefault="005B4C2A" w:rsidP="00D474E6">
            <w:pPr>
              <w:jc w:val="center"/>
              <w:rPr>
                <w:rFonts w:ascii="Arial" w:hAnsi="Arial" w:cs="Arial"/>
                <w:color w:val="000000" w:themeColor="text1"/>
                <w:sz w:val="20"/>
                <w:szCs w:val="20"/>
              </w:rPr>
            </w:pPr>
            <w:r w:rsidRPr="00AF3ED2">
              <w:rPr>
                <w:rFonts w:ascii="Arial" w:hAnsi="Arial" w:cs="Arial"/>
                <w:color w:val="000000" w:themeColor="text1"/>
                <w:sz w:val="20"/>
                <w:szCs w:val="20"/>
              </w:rPr>
              <w:t>2026</w:t>
            </w:r>
          </w:p>
        </w:tc>
        <w:tc>
          <w:tcPr>
            <w:tcW w:w="1317" w:type="dxa"/>
            <w:tcBorders>
              <w:top w:val="single" w:sz="4" w:space="0" w:color="auto"/>
              <w:left w:val="nil"/>
              <w:bottom w:val="single" w:sz="4" w:space="0" w:color="auto"/>
              <w:right w:val="nil"/>
            </w:tcBorders>
            <w:vAlign w:val="center"/>
            <w:hideMark/>
          </w:tcPr>
          <w:p w14:paraId="10AC46F5" w14:textId="77777777" w:rsidR="005B4C2A" w:rsidRPr="00AF3ED2" w:rsidRDefault="005B4C2A" w:rsidP="00D474E6">
            <w:pPr>
              <w:jc w:val="center"/>
              <w:rPr>
                <w:rFonts w:ascii="Arial" w:hAnsi="Arial" w:cs="Arial"/>
                <w:color w:val="000000" w:themeColor="text1"/>
                <w:sz w:val="20"/>
                <w:szCs w:val="20"/>
              </w:rPr>
            </w:pPr>
            <w:r w:rsidRPr="00AF3ED2">
              <w:rPr>
                <w:rFonts w:ascii="Arial" w:hAnsi="Arial" w:cs="Arial"/>
                <w:color w:val="000000" w:themeColor="text1"/>
                <w:sz w:val="20"/>
                <w:szCs w:val="20"/>
              </w:rPr>
              <w:t>4 months of 2026</w:t>
            </w:r>
          </w:p>
        </w:tc>
      </w:tr>
      <w:tr w:rsidR="005B4C2A" w:rsidRPr="00AF3ED2" w14:paraId="6B278F97" w14:textId="77777777" w:rsidTr="00D474E6">
        <w:trPr>
          <w:cantSplit/>
          <w:trHeight w:val="276"/>
          <w:jc w:val="center"/>
        </w:trPr>
        <w:tc>
          <w:tcPr>
            <w:tcW w:w="3014" w:type="dxa"/>
            <w:tcBorders>
              <w:top w:val="single" w:sz="4" w:space="0" w:color="auto"/>
              <w:left w:val="nil"/>
              <w:bottom w:val="nil"/>
              <w:right w:val="nil"/>
            </w:tcBorders>
            <w:vAlign w:val="center"/>
            <w:hideMark/>
          </w:tcPr>
          <w:p w14:paraId="51D402F6" w14:textId="77777777" w:rsidR="005B4C2A" w:rsidRPr="00AF3ED2" w:rsidRDefault="005B4C2A" w:rsidP="00D474E6">
            <w:pPr>
              <w:spacing w:before="60" w:after="60" w:line="256" w:lineRule="auto"/>
              <w:rPr>
                <w:rFonts w:ascii="Arial" w:hAnsi="Arial" w:cs="Arial"/>
                <w:b/>
                <w:bCs/>
                <w:color w:val="000000" w:themeColor="text1"/>
                <w:sz w:val="20"/>
                <w:szCs w:val="20"/>
              </w:rPr>
            </w:pPr>
            <w:r w:rsidRPr="00AF3ED2">
              <w:rPr>
                <w:rFonts w:ascii="Arial" w:hAnsi="Arial" w:cs="Arial"/>
                <w:b/>
                <w:bCs/>
                <w:color w:val="000000" w:themeColor="text1"/>
                <w:sz w:val="20"/>
                <w:szCs w:val="20"/>
              </w:rPr>
              <w:t>Total</w:t>
            </w:r>
          </w:p>
        </w:tc>
        <w:tc>
          <w:tcPr>
            <w:tcW w:w="1433" w:type="dxa"/>
            <w:tcBorders>
              <w:top w:val="single" w:sz="4" w:space="0" w:color="auto"/>
              <w:left w:val="nil"/>
              <w:bottom w:val="nil"/>
              <w:right w:val="nil"/>
            </w:tcBorders>
            <w:vAlign w:val="center"/>
            <w:hideMark/>
          </w:tcPr>
          <w:p w14:paraId="4D82696A" w14:textId="77777777" w:rsidR="005B4C2A" w:rsidRPr="00AF3ED2" w:rsidRDefault="005B4C2A" w:rsidP="00D474E6">
            <w:pPr>
              <w:spacing w:before="60" w:after="60" w:line="256" w:lineRule="auto"/>
              <w:ind w:right="281"/>
              <w:jc w:val="right"/>
              <w:rPr>
                <w:rFonts w:ascii="Arial" w:hAnsi="Arial" w:cs="Arial"/>
                <w:b/>
                <w:bCs/>
                <w:color w:val="000000" w:themeColor="text1"/>
                <w:sz w:val="20"/>
                <w:szCs w:val="20"/>
              </w:rPr>
            </w:pPr>
            <w:r w:rsidRPr="00AF3ED2">
              <w:rPr>
                <w:rFonts w:ascii="Arial" w:hAnsi="Arial" w:cs="Arial"/>
                <w:b/>
                <w:bCs/>
                <w:color w:val="000000" w:themeColor="text1"/>
                <w:sz w:val="20"/>
                <w:szCs w:val="20"/>
              </w:rPr>
              <w:t>646.3</w:t>
            </w:r>
          </w:p>
        </w:tc>
        <w:tc>
          <w:tcPr>
            <w:tcW w:w="1588" w:type="dxa"/>
            <w:tcBorders>
              <w:top w:val="single" w:sz="4" w:space="0" w:color="auto"/>
              <w:left w:val="nil"/>
              <w:bottom w:val="nil"/>
              <w:right w:val="nil"/>
            </w:tcBorders>
            <w:vAlign w:val="center"/>
            <w:hideMark/>
          </w:tcPr>
          <w:p w14:paraId="1F12DD61" w14:textId="77777777" w:rsidR="005B4C2A" w:rsidRPr="00AF3ED2" w:rsidRDefault="005B4C2A" w:rsidP="00D474E6">
            <w:pPr>
              <w:spacing w:before="60" w:after="60" w:line="256" w:lineRule="auto"/>
              <w:ind w:right="281"/>
              <w:jc w:val="right"/>
              <w:rPr>
                <w:rFonts w:ascii="Arial" w:hAnsi="Arial" w:cs="Arial"/>
                <w:b/>
                <w:bCs/>
                <w:color w:val="000000" w:themeColor="text1"/>
                <w:sz w:val="20"/>
                <w:szCs w:val="20"/>
              </w:rPr>
            </w:pPr>
            <w:r w:rsidRPr="00AF3ED2">
              <w:rPr>
                <w:rFonts w:ascii="Arial" w:hAnsi="Arial" w:cs="Arial"/>
                <w:b/>
                <w:bCs/>
                <w:color w:val="000000" w:themeColor="text1"/>
                <w:sz w:val="20"/>
                <w:szCs w:val="20"/>
              </w:rPr>
              <w:t>2,546.6</w:t>
            </w:r>
          </w:p>
        </w:tc>
        <w:tc>
          <w:tcPr>
            <w:tcW w:w="1686" w:type="dxa"/>
            <w:tcBorders>
              <w:top w:val="single" w:sz="4" w:space="0" w:color="auto"/>
              <w:left w:val="nil"/>
              <w:bottom w:val="nil"/>
              <w:right w:val="nil"/>
            </w:tcBorders>
            <w:vAlign w:val="center"/>
            <w:hideMark/>
          </w:tcPr>
          <w:p w14:paraId="31C38BDC" w14:textId="77777777" w:rsidR="005B4C2A" w:rsidRPr="00AF3ED2" w:rsidRDefault="005B4C2A" w:rsidP="00D474E6">
            <w:pPr>
              <w:spacing w:before="60" w:after="60" w:line="256" w:lineRule="auto"/>
              <w:ind w:right="486"/>
              <w:jc w:val="right"/>
              <w:rPr>
                <w:rFonts w:ascii="Arial" w:hAnsi="Arial" w:cs="Arial"/>
                <w:b/>
                <w:bCs/>
                <w:color w:val="000000" w:themeColor="text1"/>
                <w:sz w:val="20"/>
                <w:szCs w:val="20"/>
              </w:rPr>
            </w:pPr>
            <w:r w:rsidRPr="00AF3ED2">
              <w:rPr>
                <w:rFonts w:ascii="Arial" w:hAnsi="Arial" w:cs="Arial"/>
                <w:b/>
                <w:bCs/>
                <w:color w:val="000000" w:themeColor="text1"/>
                <w:sz w:val="20"/>
                <w:szCs w:val="20"/>
              </w:rPr>
              <w:t>12.1</w:t>
            </w:r>
          </w:p>
        </w:tc>
        <w:tc>
          <w:tcPr>
            <w:tcW w:w="1317" w:type="dxa"/>
            <w:tcBorders>
              <w:top w:val="single" w:sz="4" w:space="0" w:color="auto"/>
              <w:left w:val="nil"/>
              <w:bottom w:val="nil"/>
              <w:right w:val="nil"/>
            </w:tcBorders>
            <w:vAlign w:val="center"/>
            <w:hideMark/>
          </w:tcPr>
          <w:p w14:paraId="35D9448C" w14:textId="77777777" w:rsidR="005B4C2A" w:rsidRPr="00AF3ED2" w:rsidRDefault="005B4C2A" w:rsidP="00D474E6">
            <w:pPr>
              <w:spacing w:before="60" w:after="60" w:line="256" w:lineRule="auto"/>
              <w:ind w:right="410"/>
              <w:jc w:val="right"/>
              <w:rPr>
                <w:rFonts w:ascii="Arial" w:hAnsi="Arial" w:cs="Arial"/>
                <w:b/>
                <w:bCs/>
                <w:color w:val="000000" w:themeColor="text1"/>
                <w:sz w:val="20"/>
                <w:szCs w:val="20"/>
              </w:rPr>
            </w:pPr>
            <w:r w:rsidRPr="00AF3ED2">
              <w:rPr>
                <w:rFonts w:ascii="Arial" w:hAnsi="Arial" w:cs="Arial"/>
                <w:b/>
                <w:bCs/>
                <w:color w:val="000000" w:themeColor="text1"/>
                <w:sz w:val="20"/>
                <w:szCs w:val="20"/>
              </w:rPr>
              <w:t>11.1</w:t>
            </w:r>
          </w:p>
        </w:tc>
      </w:tr>
      <w:tr w:rsidR="005B4C2A" w:rsidRPr="00AF3ED2" w14:paraId="33768EAD" w14:textId="77777777" w:rsidTr="00D474E6">
        <w:trPr>
          <w:cantSplit/>
          <w:trHeight w:val="287"/>
          <w:jc w:val="center"/>
        </w:trPr>
        <w:tc>
          <w:tcPr>
            <w:tcW w:w="3014" w:type="dxa"/>
            <w:vAlign w:val="center"/>
            <w:hideMark/>
          </w:tcPr>
          <w:p w14:paraId="67BC80CD" w14:textId="77777777" w:rsidR="005B4C2A" w:rsidRPr="00AF3ED2" w:rsidRDefault="005B4C2A" w:rsidP="00D474E6">
            <w:pPr>
              <w:spacing w:before="60" w:after="60" w:line="256" w:lineRule="auto"/>
              <w:ind w:firstLine="317"/>
              <w:rPr>
                <w:rFonts w:ascii="Arial" w:hAnsi="Arial" w:cs="Arial"/>
                <w:color w:val="000000" w:themeColor="text1"/>
                <w:sz w:val="20"/>
                <w:szCs w:val="20"/>
              </w:rPr>
            </w:pPr>
            <w:r w:rsidRPr="00AF3ED2">
              <w:rPr>
                <w:rFonts w:ascii="Arial" w:hAnsi="Arial" w:cs="Arial"/>
                <w:bCs/>
                <w:sz w:val="20"/>
                <w:szCs w:val="20"/>
              </w:rPr>
              <w:t>Retail sales of goods</w:t>
            </w:r>
          </w:p>
        </w:tc>
        <w:tc>
          <w:tcPr>
            <w:tcW w:w="1433" w:type="dxa"/>
            <w:vAlign w:val="center"/>
            <w:hideMark/>
          </w:tcPr>
          <w:p w14:paraId="45A61682" w14:textId="77777777" w:rsidR="005B4C2A" w:rsidRPr="00AF3ED2" w:rsidRDefault="005B4C2A" w:rsidP="00D474E6">
            <w:pPr>
              <w:spacing w:before="60" w:after="60" w:line="256" w:lineRule="auto"/>
              <w:ind w:right="281"/>
              <w:jc w:val="right"/>
              <w:rPr>
                <w:rFonts w:ascii="Arial" w:hAnsi="Arial" w:cs="Arial"/>
                <w:bCs/>
                <w:color w:val="000000" w:themeColor="text1"/>
                <w:sz w:val="20"/>
                <w:szCs w:val="20"/>
              </w:rPr>
            </w:pPr>
            <w:r w:rsidRPr="00AF3ED2">
              <w:rPr>
                <w:rFonts w:ascii="Arial" w:hAnsi="Arial" w:cs="Arial"/>
                <w:color w:val="000000" w:themeColor="text1"/>
                <w:sz w:val="20"/>
                <w:szCs w:val="20"/>
              </w:rPr>
              <w:t>489.4</w:t>
            </w:r>
          </w:p>
        </w:tc>
        <w:tc>
          <w:tcPr>
            <w:tcW w:w="1588" w:type="dxa"/>
            <w:vAlign w:val="center"/>
            <w:hideMark/>
          </w:tcPr>
          <w:p w14:paraId="0FBA517F" w14:textId="77777777" w:rsidR="005B4C2A" w:rsidRPr="00AF3ED2" w:rsidRDefault="005B4C2A" w:rsidP="00D474E6">
            <w:pPr>
              <w:spacing w:before="60" w:after="60" w:line="256" w:lineRule="auto"/>
              <w:ind w:right="281"/>
              <w:jc w:val="right"/>
              <w:rPr>
                <w:rFonts w:ascii="Arial" w:hAnsi="Arial" w:cs="Arial"/>
                <w:color w:val="000000" w:themeColor="text1"/>
                <w:sz w:val="20"/>
                <w:szCs w:val="20"/>
              </w:rPr>
            </w:pPr>
            <w:r w:rsidRPr="00AF3ED2">
              <w:rPr>
                <w:rFonts w:ascii="Arial" w:hAnsi="Arial" w:cs="Arial"/>
                <w:color w:val="000000" w:themeColor="text1"/>
                <w:sz w:val="20"/>
                <w:szCs w:val="20"/>
              </w:rPr>
              <w:t>1,938.8</w:t>
            </w:r>
          </w:p>
        </w:tc>
        <w:tc>
          <w:tcPr>
            <w:tcW w:w="1686" w:type="dxa"/>
            <w:vAlign w:val="center"/>
            <w:hideMark/>
          </w:tcPr>
          <w:p w14:paraId="79D5278F" w14:textId="77777777" w:rsidR="005B4C2A" w:rsidRPr="00AF3ED2" w:rsidRDefault="005B4C2A" w:rsidP="00D474E6">
            <w:pPr>
              <w:spacing w:before="60" w:after="60" w:line="256" w:lineRule="auto"/>
              <w:ind w:right="486"/>
              <w:jc w:val="right"/>
              <w:rPr>
                <w:rFonts w:ascii="Arial" w:hAnsi="Arial" w:cs="Arial"/>
                <w:bCs/>
                <w:color w:val="000000" w:themeColor="text1"/>
                <w:sz w:val="20"/>
                <w:szCs w:val="20"/>
              </w:rPr>
            </w:pPr>
            <w:r w:rsidRPr="00AF3ED2">
              <w:rPr>
                <w:rFonts w:ascii="Arial" w:hAnsi="Arial" w:cs="Arial"/>
                <w:color w:val="000000" w:themeColor="text1"/>
                <w:sz w:val="20"/>
                <w:szCs w:val="20"/>
              </w:rPr>
              <w:t>12.2</w:t>
            </w:r>
          </w:p>
        </w:tc>
        <w:tc>
          <w:tcPr>
            <w:tcW w:w="1317" w:type="dxa"/>
            <w:vAlign w:val="center"/>
            <w:hideMark/>
          </w:tcPr>
          <w:p w14:paraId="015BA286" w14:textId="77777777" w:rsidR="005B4C2A" w:rsidRPr="00AF3ED2" w:rsidRDefault="005B4C2A" w:rsidP="00D474E6">
            <w:pPr>
              <w:spacing w:before="60" w:after="60" w:line="256" w:lineRule="auto"/>
              <w:ind w:right="410"/>
              <w:jc w:val="right"/>
              <w:rPr>
                <w:rFonts w:ascii="Arial" w:hAnsi="Arial" w:cs="Arial"/>
                <w:bCs/>
                <w:color w:val="000000" w:themeColor="text1"/>
                <w:sz w:val="20"/>
                <w:szCs w:val="20"/>
              </w:rPr>
            </w:pPr>
            <w:r w:rsidRPr="00AF3ED2">
              <w:rPr>
                <w:rFonts w:ascii="Arial" w:hAnsi="Arial" w:cs="Arial"/>
                <w:color w:val="000000" w:themeColor="text1"/>
                <w:sz w:val="20"/>
                <w:szCs w:val="20"/>
              </w:rPr>
              <w:t>11.1</w:t>
            </w:r>
          </w:p>
        </w:tc>
      </w:tr>
      <w:tr w:rsidR="005B4C2A" w:rsidRPr="00AF3ED2" w14:paraId="6EF5813C" w14:textId="77777777" w:rsidTr="00D474E6">
        <w:trPr>
          <w:cantSplit/>
          <w:trHeight w:val="287"/>
          <w:jc w:val="center"/>
        </w:trPr>
        <w:tc>
          <w:tcPr>
            <w:tcW w:w="3014" w:type="dxa"/>
            <w:vAlign w:val="center"/>
            <w:hideMark/>
          </w:tcPr>
          <w:p w14:paraId="664C4BD4" w14:textId="77777777" w:rsidR="005B4C2A" w:rsidRPr="00AF3ED2" w:rsidRDefault="005B4C2A" w:rsidP="00D474E6">
            <w:pPr>
              <w:spacing w:before="60" w:after="60" w:line="256" w:lineRule="auto"/>
              <w:ind w:firstLine="317"/>
              <w:rPr>
                <w:rFonts w:ascii="Arial" w:hAnsi="Arial" w:cs="Arial"/>
                <w:color w:val="000000" w:themeColor="text1"/>
                <w:sz w:val="20"/>
                <w:szCs w:val="20"/>
              </w:rPr>
            </w:pPr>
            <w:r w:rsidRPr="00AF3ED2">
              <w:rPr>
                <w:rFonts w:ascii="Arial" w:hAnsi="Arial" w:cs="Arial"/>
                <w:bCs/>
                <w:sz w:val="20"/>
                <w:szCs w:val="20"/>
              </w:rPr>
              <w:t>Accommodation and food services</w:t>
            </w:r>
          </w:p>
        </w:tc>
        <w:tc>
          <w:tcPr>
            <w:tcW w:w="1433" w:type="dxa"/>
            <w:vAlign w:val="center"/>
            <w:hideMark/>
          </w:tcPr>
          <w:p w14:paraId="1805E636" w14:textId="77777777" w:rsidR="005B4C2A" w:rsidRPr="00AF3ED2" w:rsidRDefault="005B4C2A" w:rsidP="00D474E6">
            <w:pPr>
              <w:spacing w:before="60" w:after="60" w:line="256" w:lineRule="auto"/>
              <w:ind w:right="281"/>
              <w:jc w:val="right"/>
              <w:rPr>
                <w:rFonts w:ascii="Arial" w:hAnsi="Arial" w:cs="Arial"/>
                <w:bCs/>
                <w:color w:val="000000" w:themeColor="text1"/>
                <w:sz w:val="20"/>
                <w:szCs w:val="20"/>
              </w:rPr>
            </w:pPr>
            <w:r w:rsidRPr="00AF3ED2">
              <w:rPr>
                <w:rFonts w:ascii="Arial" w:hAnsi="Arial" w:cs="Arial"/>
                <w:color w:val="000000" w:themeColor="text1"/>
                <w:sz w:val="20"/>
                <w:szCs w:val="20"/>
              </w:rPr>
              <w:t>82.9</w:t>
            </w:r>
          </w:p>
        </w:tc>
        <w:tc>
          <w:tcPr>
            <w:tcW w:w="1588" w:type="dxa"/>
            <w:vAlign w:val="center"/>
            <w:hideMark/>
          </w:tcPr>
          <w:p w14:paraId="355D6DD9" w14:textId="77777777" w:rsidR="005B4C2A" w:rsidRPr="00AF3ED2" w:rsidRDefault="005B4C2A" w:rsidP="00D474E6">
            <w:pPr>
              <w:spacing w:before="60" w:after="60" w:line="256" w:lineRule="auto"/>
              <w:ind w:right="281"/>
              <w:jc w:val="right"/>
              <w:rPr>
                <w:rFonts w:ascii="Arial" w:hAnsi="Arial" w:cs="Arial"/>
                <w:color w:val="000000" w:themeColor="text1"/>
                <w:sz w:val="20"/>
                <w:szCs w:val="20"/>
              </w:rPr>
            </w:pPr>
            <w:r w:rsidRPr="00AF3ED2">
              <w:rPr>
                <w:rFonts w:ascii="Arial" w:hAnsi="Arial" w:cs="Arial"/>
                <w:color w:val="000000" w:themeColor="text1"/>
                <w:sz w:val="20"/>
                <w:szCs w:val="20"/>
              </w:rPr>
              <w:t>317.4</w:t>
            </w:r>
          </w:p>
        </w:tc>
        <w:tc>
          <w:tcPr>
            <w:tcW w:w="1686" w:type="dxa"/>
            <w:vAlign w:val="center"/>
            <w:hideMark/>
          </w:tcPr>
          <w:p w14:paraId="5C4BFB91" w14:textId="77777777" w:rsidR="005B4C2A" w:rsidRPr="00AF3ED2" w:rsidRDefault="005B4C2A" w:rsidP="00D474E6">
            <w:pPr>
              <w:spacing w:before="60" w:after="60" w:line="256" w:lineRule="auto"/>
              <w:ind w:right="486"/>
              <w:jc w:val="right"/>
              <w:rPr>
                <w:rFonts w:ascii="Arial" w:hAnsi="Arial" w:cs="Arial"/>
                <w:bCs/>
                <w:color w:val="000000" w:themeColor="text1"/>
                <w:sz w:val="20"/>
                <w:szCs w:val="20"/>
              </w:rPr>
            </w:pPr>
            <w:r w:rsidRPr="00AF3ED2">
              <w:rPr>
                <w:rFonts w:ascii="Arial" w:hAnsi="Arial" w:cs="Arial"/>
                <w:color w:val="000000" w:themeColor="text1"/>
                <w:sz w:val="20"/>
                <w:szCs w:val="20"/>
              </w:rPr>
              <w:t>14.1</w:t>
            </w:r>
          </w:p>
        </w:tc>
        <w:tc>
          <w:tcPr>
            <w:tcW w:w="1317" w:type="dxa"/>
            <w:vAlign w:val="center"/>
            <w:hideMark/>
          </w:tcPr>
          <w:p w14:paraId="69FECC6E" w14:textId="77777777" w:rsidR="005B4C2A" w:rsidRPr="00AF3ED2" w:rsidRDefault="005B4C2A" w:rsidP="00D474E6">
            <w:pPr>
              <w:spacing w:before="60" w:after="60" w:line="256" w:lineRule="auto"/>
              <w:ind w:right="410"/>
              <w:jc w:val="right"/>
              <w:rPr>
                <w:rFonts w:ascii="Arial" w:hAnsi="Arial" w:cs="Arial"/>
                <w:bCs/>
                <w:color w:val="000000" w:themeColor="text1"/>
                <w:sz w:val="20"/>
                <w:szCs w:val="20"/>
              </w:rPr>
            </w:pPr>
            <w:r w:rsidRPr="00AF3ED2">
              <w:rPr>
                <w:rFonts w:ascii="Arial" w:hAnsi="Arial" w:cs="Arial"/>
                <w:color w:val="000000" w:themeColor="text1"/>
                <w:sz w:val="20"/>
                <w:szCs w:val="20"/>
              </w:rPr>
              <w:t>13.4</w:t>
            </w:r>
          </w:p>
        </w:tc>
      </w:tr>
      <w:tr w:rsidR="005B4C2A" w:rsidRPr="00AF3ED2" w14:paraId="74755515" w14:textId="77777777" w:rsidTr="00D474E6">
        <w:trPr>
          <w:cantSplit/>
          <w:trHeight w:val="287"/>
          <w:jc w:val="center"/>
        </w:trPr>
        <w:tc>
          <w:tcPr>
            <w:tcW w:w="3014" w:type="dxa"/>
            <w:vAlign w:val="center"/>
            <w:hideMark/>
          </w:tcPr>
          <w:p w14:paraId="5B6BBC81" w14:textId="77777777" w:rsidR="005B4C2A" w:rsidRPr="00AF3ED2" w:rsidRDefault="005B4C2A" w:rsidP="00D474E6">
            <w:pPr>
              <w:spacing w:before="60" w:after="60" w:line="256" w:lineRule="auto"/>
              <w:ind w:firstLine="317"/>
              <w:rPr>
                <w:rFonts w:ascii="Arial" w:hAnsi="Arial" w:cs="Arial"/>
                <w:color w:val="000000" w:themeColor="text1"/>
                <w:sz w:val="20"/>
                <w:szCs w:val="20"/>
              </w:rPr>
            </w:pPr>
            <w:r w:rsidRPr="00AF3ED2">
              <w:rPr>
                <w:rFonts w:ascii="Arial" w:hAnsi="Arial" w:cs="Arial"/>
                <w:bCs/>
                <w:sz w:val="20"/>
                <w:szCs w:val="20"/>
              </w:rPr>
              <w:t>Travelling services</w:t>
            </w:r>
          </w:p>
        </w:tc>
        <w:tc>
          <w:tcPr>
            <w:tcW w:w="1433" w:type="dxa"/>
            <w:vAlign w:val="center"/>
            <w:hideMark/>
          </w:tcPr>
          <w:p w14:paraId="4F2B754F" w14:textId="77777777" w:rsidR="005B4C2A" w:rsidRPr="00AF3ED2" w:rsidRDefault="005B4C2A" w:rsidP="00D474E6">
            <w:pPr>
              <w:spacing w:before="60" w:after="60" w:line="256" w:lineRule="auto"/>
              <w:ind w:right="281"/>
              <w:jc w:val="right"/>
              <w:rPr>
                <w:rFonts w:ascii="Arial" w:hAnsi="Arial" w:cs="Arial"/>
                <w:bCs/>
                <w:color w:val="000000" w:themeColor="text1"/>
                <w:sz w:val="20"/>
                <w:szCs w:val="20"/>
              </w:rPr>
            </w:pPr>
            <w:r w:rsidRPr="00AF3ED2">
              <w:rPr>
                <w:rFonts w:ascii="Arial" w:hAnsi="Arial" w:cs="Arial"/>
                <w:color w:val="000000" w:themeColor="text1"/>
                <w:sz w:val="20"/>
                <w:szCs w:val="20"/>
              </w:rPr>
              <w:t>8.7</w:t>
            </w:r>
          </w:p>
        </w:tc>
        <w:tc>
          <w:tcPr>
            <w:tcW w:w="1588" w:type="dxa"/>
            <w:vAlign w:val="center"/>
            <w:hideMark/>
          </w:tcPr>
          <w:p w14:paraId="51402660" w14:textId="77777777" w:rsidR="005B4C2A" w:rsidRPr="00AF3ED2" w:rsidRDefault="005B4C2A" w:rsidP="00D474E6">
            <w:pPr>
              <w:spacing w:before="60" w:after="60" w:line="256" w:lineRule="auto"/>
              <w:ind w:right="281"/>
              <w:jc w:val="right"/>
              <w:rPr>
                <w:rFonts w:ascii="Arial" w:hAnsi="Arial" w:cs="Arial"/>
                <w:color w:val="000000" w:themeColor="text1"/>
                <w:sz w:val="20"/>
                <w:szCs w:val="20"/>
              </w:rPr>
            </w:pPr>
            <w:r w:rsidRPr="00AF3ED2">
              <w:rPr>
                <w:rFonts w:ascii="Arial" w:hAnsi="Arial" w:cs="Arial"/>
                <w:color w:val="000000" w:themeColor="text1"/>
                <w:sz w:val="20"/>
                <w:szCs w:val="20"/>
              </w:rPr>
              <w:t>31.9</w:t>
            </w:r>
          </w:p>
        </w:tc>
        <w:tc>
          <w:tcPr>
            <w:tcW w:w="1686" w:type="dxa"/>
            <w:vAlign w:val="center"/>
            <w:hideMark/>
          </w:tcPr>
          <w:p w14:paraId="250D0014" w14:textId="77777777" w:rsidR="005B4C2A" w:rsidRPr="00AF3ED2" w:rsidRDefault="005B4C2A" w:rsidP="00D474E6">
            <w:pPr>
              <w:spacing w:before="60" w:after="60" w:line="256" w:lineRule="auto"/>
              <w:ind w:right="486"/>
              <w:jc w:val="right"/>
              <w:rPr>
                <w:rFonts w:ascii="Arial" w:hAnsi="Arial" w:cs="Arial"/>
                <w:bCs/>
                <w:color w:val="000000" w:themeColor="text1"/>
                <w:sz w:val="20"/>
                <w:szCs w:val="20"/>
              </w:rPr>
            </w:pPr>
            <w:r w:rsidRPr="00AF3ED2">
              <w:rPr>
                <w:rFonts w:ascii="Arial" w:hAnsi="Arial" w:cs="Arial"/>
                <w:color w:val="000000" w:themeColor="text1"/>
                <w:sz w:val="20"/>
                <w:szCs w:val="20"/>
              </w:rPr>
              <w:t>6.5</w:t>
            </w:r>
          </w:p>
        </w:tc>
        <w:tc>
          <w:tcPr>
            <w:tcW w:w="1317" w:type="dxa"/>
            <w:vAlign w:val="center"/>
            <w:hideMark/>
          </w:tcPr>
          <w:p w14:paraId="7EC8B283" w14:textId="77777777" w:rsidR="005B4C2A" w:rsidRPr="00AF3ED2" w:rsidRDefault="005B4C2A" w:rsidP="00D474E6">
            <w:pPr>
              <w:spacing w:before="60" w:after="60" w:line="256" w:lineRule="auto"/>
              <w:ind w:right="410"/>
              <w:jc w:val="right"/>
              <w:rPr>
                <w:rFonts w:ascii="Arial" w:hAnsi="Arial" w:cs="Arial"/>
                <w:bCs/>
                <w:color w:val="000000" w:themeColor="text1"/>
                <w:sz w:val="20"/>
                <w:szCs w:val="20"/>
              </w:rPr>
            </w:pPr>
            <w:r w:rsidRPr="00AF3ED2">
              <w:rPr>
                <w:rFonts w:ascii="Arial" w:hAnsi="Arial" w:cs="Arial"/>
                <w:color w:val="000000" w:themeColor="text1"/>
                <w:sz w:val="20"/>
                <w:szCs w:val="20"/>
              </w:rPr>
              <w:t>12.1</w:t>
            </w:r>
          </w:p>
        </w:tc>
      </w:tr>
      <w:tr w:rsidR="005B4C2A" w:rsidRPr="00AF3ED2" w14:paraId="6A678C7F" w14:textId="77777777" w:rsidTr="00D474E6">
        <w:trPr>
          <w:cantSplit/>
          <w:trHeight w:val="287"/>
          <w:jc w:val="center"/>
        </w:trPr>
        <w:tc>
          <w:tcPr>
            <w:tcW w:w="3014" w:type="dxa"/>
            <w:tcBorders>
              <w:top w:val="nil"/>
              <w:left w:val="nil"/>
              <w:bottom w:val="single" w:sz="4" w:space="0" w:color="auto"/>
              <w:right w:val="nil"/>
            </w:tcBorders>
            <w:vAlign w:val="center"/>
            <w:hideMark/>
          </w:tcPr>
          <w:p w14:paraId="544DEC75" w14:textId="77777777" w:rsidR="005B4C2A" w:rsidRPr="00AF3ED2" w:rsidRDefault="005B4C2A" w:rsidP="00D474E6">
            <w:pPr>
              <w:spacing w:before="60" w:after="60" w:line="256" w:lineRule="auto"/>
              <w:ind w:firstLine="317"/>
              <w:rPr>
                <w:rFonts w:ascii="Arial" w:hAnsi="Arial" w:cs="Arial"/>
                <w:color w:val="000000" w:themeColor="text1"/>
                <w:sz w:val="20"/>
                <w:szCs w:val="20"/>
              </w:rPr>
            </w:pPr>
            <w:r w:rsidRPr="00AF3ED2">
              <w:rPr>
                <w:rFonts w:ascii="Arial" w:hAnsi="Arial" w:cs="Arial"/>
                <w:bCs/>
                <w:sz w:val="20"/>
                <w:szCs w:val="20"/>
              </w:rPr>
              <w:t>Other services</w:t>
            </w:r>
          </w:p>
        </w:tc>
        <w:tc>
          <w:tcPr>
            <w:tcW w:w="1433" w:type="dxa"/>
            <w:tcBorders>
              <w:top w:val="nil"/>
              <w:left w:val="nil"/>
              <w:bottom w:val="single" w:sz="4" w:space="0" w:color="auto"/>
              <w:right w:val="nil"/>
            </w:tcBorders>
            <w:vAlign w:val="center"/>
            <w:hideMark/>
          </w:tcPr>
          <w:p w14:paraId="4C7518A6" w14:textId="77777777" w:rsidR="005B4C2A" w:rsidRPr="00AF3ED2" w:rsidRDefault="005B4C2A" w:rsidP="00D474E6">
            <w:pPr>
              <w:spacing w:before="60" w:after="60" w:line="256" w:lineRule="auto"/>
              <w:ind w:right="281"/>
              <w:jc w:val="right"/>
              <w:rPr>
                <w:rFonts w:ascii="Arial" w:hAnsi="Arial" w:cs="Arial"/>
                <w:bCs/>
                <w:color w:val="000000" w:themeColor="text1"/>
                <w:sz w:val="20"/>
                <w:szCs w:val="20"/>
              </w:rPr>
            </w:pPr>
            <w:r w:rsidRPr="00AF3ED2">
              <w:rPr>
                <w:rFonts w:ascii="Arial" w:hAnsi="Arial" w:cs="Arial"/>
                <w:color w:val="000000" w:themeColor="text1"/>
                <w:sz w:val="20"/>
                <w:szCs w:val="20"/>
              </w:rPr>
              <w:t>65.3</w:t>
            </w:r>
          </w:p>
        </w:tc>
        <w:tc>
          <w:tcPr>
            <w:tcW w:w="1588" w:type="dxa"/>
            <w:tcBorders>
              <w:top w:val="nil"/>
              <w:left w:val="nil"/>
              <w:bottom w:val="single" w:sz="4" w:space="0" w:color="auto"/>
              <w:right w:val="nil"/>
            </w:tcBorders>
            <w:vAlign w:val="center"/>
            <w:hideMark/>
          </w:tcPr>
          <w:p w14:paraId="433F7178" w14:textId="77777777" w:rsidR="005B4C2A" w:rsidRPr="00AF3ED2" w:rsidRDefault="005B4C2A" w:rsidP="00D474E6">
            <w:pPr>
              <w:spacing w:before="60" w:after="60" w:line="256" w:lineRule="auto"/>
              <w:ind w:right="281"/>
              <w:jc w:val="right"/>
              <w:rPr>
                <w:rFonts w:ascii="Arial" w:hAnsi="Arial" w:cs="Arial"/>
                <w:color w:val="000000" w:themeColor="text1"/>
                <w:sz w:val="20"/>
                <w:szCs w:val="20"/>
              </w:rPr>
            </w:pPr>
            <w:r w:rsidRPr="00AF3ED2">
              <w:rPr>
                <w:rFonts w:ascii="Arial" w:hAnsi="Arial" w:cs="Arial"/>
                <w:color w:val="000000" w:themeColor="text1"/>
                <w:sz w:val="20"/>
                <w:szCs w:val="20"/>
              </w:rPr>
              <w:t>258.5</w:t>
            </w:r>
          </w:p>
        </w:tc>
        <w:tc>
          <w:tcPr>
            <w:tcW w:w="1686" w:type="dxa"/>
            <w:tcBorders>
              <w:top w:val="nil"/>
              <w:left w:val="nil"/>
              <w:bottom w:val="single" w:sz="4" w:space="0" w:color="auto"/>
              <w:right w:val="nil"/>
            </w:tcBorders>
            <w:vAlign w:val="center"/>
            <w:hideMark/>
          </w:tcPr>
          <w:p w14:paraId="73F0E846" w14:textId="77777777" w:rsidR="005B4C2A" w:rsidRPr="00AF3ED2" w:rsidRDefault="005B4C2A" w:rsidP="00D474E6">
            <w:pPr>
              <w:spacing w:before="60" w:after="60" w:line="256" w:lineRule="auto"/>
              <w:ind w:right="486"/>
              <w:jc w:val="right"/>
              <w:rPr>
                <w:rFonts w:ascii="Arial" w:hAnsi="Arial" w:cs="Arial"/>
                <w:bCs/>
                <w:color w:val="000000" w:themeColor="text1"/>
                <w:sz w:val="20"/>
                <w:szCs w:val="20"/>
              </w:rPr>
            </w:pPr>
            <w:r w:rsidRPr="00AF3ED2">
              <w:rPr>
                <w:rFonts w:ascii="Arial" w:hAnsi="Arial" w:cs="Arial"/>
                <w:color w:val="000000" w:themeColor="text1"/>
                <w:sz w:val="20"/>
                <w:szCs w:val="20"/>
              </w:rPr>
              <w:t>9.4</w:t>
            </w:r>
          </w:p>
        </w:tc>
        <w:tc>
          <w:tcPr>
            <w:tcW w:w="1317" w:type="dxa"/>
            <w:tcBorders>
              <w:top w:val="nil"/>
              <w:left w:val="nil"/>
              <w:bottom w:val="single" w:sz="4" w:space="0" w:color="auto"/>
              <w:right w:val="nil"/>
            </w:tcBorders>
            <w:vAlign w:val="center"/>
            <w:hideMark/>
          </w:tcPr>
          <w:p w14:paraId="7C0BC3E8" w14:textId="77777777" w:rsidR="005B4C2A" w:rsidRPr="00AF3ED2" w:rsidRDefault="005B4C2A" w:rsidP="00D474E6">
            <w:pPr>
              <w:spacing w:before="60" w:after="60" w:line="256" w:lineRule="auto"/>
              <w:ind w:right="410"/>
              <w:jc w:val="right"/>
              <w:rPr>
                <w:rFonts w:ascii="Arial" w:hAnsi="Arial" w:cs="Arial"/>
                <w:bCs/>
                <w:color w:val="000000" w:themeColor="text1"/>
                <w:sz w:val="20"/>
                <w:szCs w:val="20"/>
              </w:rPr>
            </w:pPr>
            <w:r w:rsidRPr="00AF3ED2">
              <w:rPr>
                <w:rFonts w:ascii="Arial" w:hAnsi="Arial" w:cs="Arial"/>
                <w:color w:val="000000" w:themeColor="text1"/>
                <w:sz w:val="20"/>
                <w:szCs w:val="20"/>
              </w:rPr>
              <w:t>8.5</w:t>
            </w:r>
          </w:p>
        </w:tc>
      </w:tr>
    </w:tbl>
    <w:p w14:paraId="2185CFA9" w14:textId="77777777" w:rsidR="005B4C2A" w:rsidRPr="00AF3ED2" w:rsidRDefault="005B4C2A" w:rsidP="005B4C2A">
      <w:pPr>
        <w:spacing w:before="120" w:after="120" w:line="264" w:lineRule="auto"/>
        <w:ind w:firstLine="720"/>
        <w:jc w:val="both"/>
        <w:rPr>
          <w:iCs/>
          <w:color w:val="000000" w:themeColor="text1"/>
        </w:rPr>
      </w:pPr>
      <w:r>
        <w:rPr>
          <w:rFonts w:eastAsia="Calibri"/>
          <w:bCs/>
          <w:spacing w:val="2"/>
        </w:rPr>
        <w:t xml:space="preserve">Generally, in </w:t>
      </w:r>
      <w:r w:rsidRPr="00AF3ED2">
        <w:rPr>
          <w:rFonts w:eastAsia="Calibri"/>
          <w:bCs/>
          <w:spacing w:val="2"/>
        </w:rPr>
        <w:t>four months of 2026, the retail sales of goods and services at current prices were estimated at</w:t>
      </w:r>
      <w:r w:rsidRPr="00AF3ED2">
        <w:rPr>
          <w:iCs/>
          <w:color w:val="000000" w:themeColor="text1"/>
        </w:rPr>
        <w:t xml:space="preserve"> 2,546.6 </w:t>
      </w:r>
      <w:r w:rsidRPr="00AF3ED2">
        <w:rPr>
          <w:rFonts w:eastAsia="Calibri"/>
          <w:bCs/>
          <w:spacing w:val="2"/>
        </w:rPr>
        <w:t>trillion VND</w:t>
      </w:r>
      <w:r w:rsidRPr="00AF3ED2">
        <w:rPr>
          <w:iCs/>
          <w:color w:val="000000" w:themeColor="text1"/>
        </w:rPr>
        <w:t xml:space="preserve">, </w:t>
      </w:r>
      <w:r w:rsidRPr="00AF3ED2">
        <w:rPr>
          <w:rFonts w:eastAsia="Calibri"/>
          <w:bCs/>
          <w:spacing w:val="2"/>
        </w:rPr>
        <w:t>going up</w:t>
      </w:r>
      <w:r w:rsidRPr="00AF3ED2">
        <w:rPr>
          <w:iCs/>
          <w:color w:val="000000" w:themeColor="text1"/>
        </w:rPr>
        <w:t xml:space="preserve"> 11.1% </w:t>
      </w:r>
      <w:r w:rsidRPr="00AF3ED2">
        <w:rPr>
          <w:rFonts w:eastAsia="Calibri"/>
          <w:bCs/>
          <w:spacing w:val="2"/>
        </w:rPr>
        <w:t>compared with the same period last year</w:t>
      </w:r>
      <w:r w:rsidRPr="00AF3ED2">
        <w:rPr>
          <w:iCs/>
          <w:color w:val="000000" w:themeColor="text1"/>
        </w:rPr>
        <w:t xml:space="preserve">, </w:t>
      </w:r>
      <w:r w:rsidRPr="00AF3ED2">
        <w:rPr>
          <w:rFonts w:eastAsia="Calibri"/>
          <w:bCs/>
          <w:spacing w:val="2"/>
        </w:rPr>
        <w:t>excluding the price factor, the increase was</w:t>
      </w:r>
      <w:r w:rsidRPr="00AF3ED2">
        <w:rPr>
          <w:iCs/>
          <w:color w:val="000000" w:themeColor="text1"/>
        </w:rPr>
        <w:t xml:space="preserve"> 6</w:t>
      </w:r>
      <w:r>
        <w:rPr>
          <w:iCs/>
          <w:color w:val="000000" w:themeColor="text1"/>
        </w:rPr>
        <w:t>.</w:t>
      </w:r>
      <w:r w:rsidRPr="00AF3ED2">
        <w:rPr>
          <w:iCs/>
          <w:color w:val="000000" w:themeColor="text1"/>
        </w:rPr>
        <w:t>3%.</w:t>
      </w:r>
    </w:p>
    <w:p w14:paraId="257C52F9" w14:textId="77777777" w:rsidR="005B4C2A" w:rsidRPr="00AF3ED2" w:rsidRDefault="005B4C2A" w:rsidP="005B4C2A">
      <w:pPr>
        <w:spacing w:before="120" w:after="120"/>
        <w:jc w:val="center"/>
        <w:rPr>
          <w:rFonts w:ascii="Arial" w:hAnsi="Arial" w:cs="Arial"/>
          <w:b/>
          <w:bCs/>
          <w:color w:val="000000" w:themeColor="text1"/>
          <w:sz w:val="24"/>
          <w:szCs w:val="24"/>
        </w:rPr>
      </w:pPr>
      <w:r w:rsidRPr="00AF3ED2">
        <w:rPr>
          <w:rFonts w:ascii="Arial" w:hAnsi="Arial" w:cs="Arial"/>
          <w:b/>
          <w:bCs/>
          <w:color w:val="000000" w:themeColor="text1"/>
          <w:sz w:val="24"/>
          <w:szCs w:val="24"/>
        </w:rPr>
        <w:t xml:space="preserve">Figure 10. </w:t>
      </w:r>
      <w:r w:rsidRPr="00AF3ED2">
        <w:rPr>
          <w:rFonts w:ascii="Arial" w:hAnsi="Arial" w:cs="Arial"/>
          <w:b/>
          <w:bCs/>
          <w:sz w:val="24"/>
          <w:szCs w:val="24"/>
        </w:rPr>
        <w:t>Retail sales of goods and ser</w:t>
      </w:r>
      <w:r>
        <w:rPr>
          <w:rFonts w:ascii="Arial" w:hAnsi="Arial" w:cs="Arial"/>
          <w:b/>
          <w:bCs/>
          <w:sz w:val="24"/>
          <w:szCs w:val="24"/>
        </w:rPr>
        <w:t xml:space="preserve">vices at current prices </w:t>
      </w:r>
      <w:r>
        <w:rPr>
          <w:rFonts w:ascii="Arial" w:hAnsi="Arial" w:cs="Arial"/>
          <w:b/>
          <w:bCs/>
          <w:sz w:val="24"/>
          <w:szCs w:val="24"/>
        </w:rPr>
        <w:br/>
        <w:t xml:space="preserve">in </w:t>
      </w:r>
      <w:r w:rsidRPr="00AF3ED2">
        <w:rPr>
          <w:rFonts w:ascii="Arial" w:hAnsi="Arial" w:cs="Arial"/>
          <w:b/>
          <w:bCs/>
          <w:sz w:val="24"/>
          <w:szCs w:val="24"/>
        </w:rPr>
        <w:t>four months of 2022-2026</w:t>
      </w:r>
    </w:p>
    <w:p w14:paraId="2D87E65C" w14:textId="77777777" w:rsidR="005B4C2A" w:rsidRPr="00AF3ED2" w:rsidRDefault="005B4C2A" w:rsidP="005B4C2A">
      <w:pPr>
        <w:spacing w:after="120"/>
        <w:jc w:val="center"/>
        <w:rPr>
          <w:iCs/>
          <w:color w:val="000000" w:themeColor="text1"/>
        </w:rPr>
      </w:pPr>
      <w:r w:rsidRPr="00AF3ED2">
        <w:rPr>
          <w:noProof/>
        </w:rPr>
        <w:lastRenderedPageBreak/>
        <w:drawing>
          <wp:inline distT="0" distB="0" distL="0" distR="0" wp14:anchorId="3E26ED2E" wp14:editId="7665CFC1">
            <wp:extent cx="5334000" cy="2823845"/>
            <wp:effectExtent l="0" t="0" r="0" b="14605"/>
            <wp:docPr id="23" name="Chart 2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8142EC0-66EC-2096-770A-3EBDDEE6B1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19D3156" w14:textId="77777777" w:rsidR="005B4C2A" w:rsidRPr="00AF3ED2" w:rsidRDefault="005B4C2A" w:rsidP="005B4C2A">
      <w:pPr>
        <w:spacing w:after="120" w:line="264" w:lineRule="auto"/>
        <w:ind w:firstLine="720"/>
        <w:jc w:val="both"/>
        <w:rPr>
          <w:iCs/>
          <w:color w:val="000000" w:themeColor="text1"/>
        </w:rPr>
      </w:pPr>
      <w:r w:rsidRPr="00AF3ED2">
        <w:rPr>
          <w:bCs/>
          <w:i/>
          <w:spacing w:val="-2"/>
        </w:rPr>
        <w:t>The retail sales of goods</w:t>
      </w:r>
      <w:r w:rsidRPr="00AF3ED2">
        <w:rPr>
          <w:iCs/>
          <w:color w:val="000000" w:themeColor="text1"/>
        </w:rPr>
        <w:t xml:space="preserve"> </w:t>
      </w:r>
      <w:r>
        <w:rPr>
          <w:bCs/>
          <w:spacing w:val="-2"/>
        </w:rPr>
        <w:t xml:space="preserve">in </w:t>
      </w:r>
      <w:r w:rsidRPr="00AF3ED2">
        <w:rPr>
          <w:bCs/>
          <w:spacing w:val="-2"/>
        </w:rPr>
        <w:t>four months of 2026 were estimated at</w:t>
      </w:r>
      <w:r w:rsidRPr="00AF3ED2">
        <w:rPr>
          <w:iCs/>
          <w:color w:val="000000" w:themeColor="text1"/>
        </w:rPr>
        <w:t xml:space="preserve"> 1,938.8 </w:t>
      </w:r>
      <w:r w:rsidRPr="00AF3ED2">
        <w:rPr>
          <w:bCs/>
          <w:spacing w:val="-2"/>
        </w:rPr>
        <w:t>trillion VND</w:t>
      </w:r>
      <w:r w:rsidRPr="00AF3ED2">
        <w:rPr>
          <w:iCs/>
          <w:color w:val="000000" w:themeColor="text1"/>
        </w:rPr>
        <w:t xml:space="preserve">, </w:t>
      </w:r>
      <w:r w:rsidRPr="00AF3ED2">
        <w:rPr>
          <w:bCs/>
          <w:spacing w:val="-2"/>
        </w:rPr>
        <w:t>accounting for</w:t>
      </w:r>
      <w:r w:rsidRPr="00AF3ED2">
        <w:rPr>
          <w:iCs/>
          <w:color w:val="000000" w:themeColor="text1"/>
        </w:rPr>
        <w:t xml:space="preserve"> 76</w:t>
      </w:r>
      <w:r>
        <w:rPr>
          <w:iCs/>
          <w:color w:val="000000" w:themeColor="text1"/>
        </w:rPr>
        <w:t>.</w:t>
      </w:r>
      <w:r w:rsidRPr="00AF3ED2">
        <w:rPr>
          <w:iCs/>
          <w:color w:val="000000" w:themeColor="text1"/>
        </w:rPr>
        <w:t xml:space="preserve">1% </w:t>
      </w:r>
      <w:r w:rsidRPr="00AF3ED2">
        <w:rPr>
          <w:bCs/>
          <w:spacing w:val="-2"/>
        </w:rPr>
        <w:t>of the total and increasing by</w:t>
      </w:r>
      <w:r w:rsidRPr="00AF3ED2">
        <w:rPr>
          <w:iCs/>
          <w:color w:val="000000" w:themeColor="text1"/>
        </w:rPr>
        <w:t xml:space="preserve"> 11.1% </w:t>
      </w:r>
      <w:r w:rsidRPr="00AF3ED2">
        <w:rPr>
          <w:bCs/>
          <w:spacing w:val="-2"/>
        </w:rPr>
        <w:t>year-on-year</w:t>
      </w:r>
      <w:r w:rsidRPr="00AF3ED2">
        <w:rPr>
          <w:iCs/>
          <w:color w:val="000000" w:themeColor="text1"/>
        </w:rPr>
        <w:t xml:space="preserve">. </w:t>
      </w:r>
      <w:r w:rsidRPr="00AF3ED2">
        <w:rPr>
          <w:bCs/>
        </w:rPr>
        <w:t>Of which</w:t>
      </w:r>
      <w:r w:rsidRPr="00AF3ED2">
        <w:rPr>
          <w:bCs/>
          <w:shd w:val="clear" w:color="auto" w:fill="FFFFFF"/>
        </w:rPr>
        <w:t>, turnover from garments rose by</w:t>
      </w:r>
      <w:r w:rsidRPr="00AF3ED2">
        <w:rPr>
          <w:iCs/>
          <w:color w:val="000000" w:themeColor="text1"/>
        </w:rPr>
        <w:t xml:space="preserve"> 11.3% </w:t>
      </w:r>
      <w:r w:rsidRPr="00AF3ED2">
        <w:rPr>
          <w:bCs/>
          <w:shd w:val="clear" w:color="auto" w:fill="FFFFFF"/>
        </w:rPr>
        <w:t>year-on-year</w:t>
      </w:r>
      <w:r w:rsidRPr="00AF3ED2">
        <w:rPr>
          <w:iCs/>
          <w:color w:val="000000" w:themeColor="text1"/>
        </w:rPr>
        <w:t xml:space="preserve">; </w:t>
      </w:r>
      <w:r w:rsidRPr="00AF3ED2">
        <w:rPr>
          <w:bCs/>
          <w:iCs/>
          <w:spacing w:val="-4"/>
        </w:rPr>
        <w:t>food and foodstuffs increased by</w:t>
      </w:r>
      <w:r w:rsidRPr="00AF3ED2">
        <w:rPr>
          <w:bCs/>
          <w:shd w:val="clear" w:color="auto" w:fill="FFFFFF"/>
        </w:rPr>
        <w:t xml:space="preserve"> </w:t>
      </w:r>
      <w:r w:rsidRPr="00AF3ED2">
        <w:rPr>
          <w:iCs/>
          <w:color w:val="000000" w:themeColor="text1"/>
        </w:rPr>
        <w:t xml:space="preserve">10.2%; </w:t>
      </w:r>
      <w:r w:rsidRPr="00AF3ED2">
        <w:rPr>
          <w:bCs/>
        </w:rPr>
        <w:t>household appliances, tools and equipment increased by</w:t>
      </w:r>
      <w:r w:rsidRPr="00AF3ED2">
        <w:rPr>
          <w:iCs/>
          <w:color w:val="000000" w:themeColor="text1"/>
        </w:rPr>
        <w:t xml:space="preserve"> 7.9%; </w:t>
      </w:r>
      <w:r w:rsidRPr="00AF3ED2">
        <w:rPr>
          <w:bCs/>
          <w:iCs/>
          <w:spacing w:val="-4"/>
        </w:rPr>
        <w:t>cultural and educational items increased by</w:t>
      </w:r>
      <w:r w:rsidRPr="00AF3ED2">
        <w:rPr>
          <w:iCs/>
          <w:color w:val="000000" w:themeColor="text1"/>
        </w:rPr>
        <w:t xml:space="preserve"> 6.2% and </w:t>
      </w:r>
      <w:r w:rsidRPr="00AF3ED2">
        <w:rPr>
          <w:iCs/>
          <w:spacing w:val="-2"/>
        </w:rPr>
        <w:t>other services</w:t>
      </w:r>
      <w:r w:rsidRPr="00AF3ED2">
        <w:rPr>
          <w:iCs/>
          <w:color w:val="000000" w:themeColor="text1"/>
        </w:rPr>
        <w:t xml:space="preserve"> </w:t>
      </w:r>
      <w:r w:rsidRPr="00AF3ED2">
        <w:rPr>
          <w:bCs/>
          <w:iCs/>
          <w:spacing w:val="-4"/>
        </w:rPr>
        <w:t>increased by</w:t>
      </w:r>
      <w:r w:rsidRPr="00AF3ED2">
        <w:rPr>
          <w:iCs/>
          <w:color w:val="000000" w:themeColor="text1"/>
        </w:rPr>
        <w:t xml:space="preserve"> 18.2%. </w:t>
      </w:r>
      <w:r w:rsidRPr="00AF3ED2">
        <w:rPr>
          <w:bCs/>
        </w:rPr>
        <w:t>Retail sales of goods in</w:t>
      </w:r>
      <w:r>
        <w:rPr>
          <w:bCs/>
          <w:shd w:val="clear" w:color="auto" w:fill="FFFFFF"/>
        </w:rPr>
        <w:t xml:space="preserve"> </w:t>
      </w:r>
      <w:r w:rsidRPr="00AF3ED2">
        <w:rPr>
          <w:bCs/>
          <w:shd w:val="clear" w:color="auto" w:fill="FFFFFF"/>
        </w:rPr>
        <w:t xml:space="preserve">four months of 2026 </w:t>
      </w:r>
      <w:r w:rsidRPr="00AF3ED2">
        <w:rPr>
          <w:bCs/>
        </w:rPr>
        <w:t>of some localities saw a year-on-year increase including</w:t>
      </w:r>
      <w:r w:rsidRPr="00AF3ED2">
        <w:rPr>
          <w:iCs/>
          <w:color w:val="000000" w:themeColor="text1"/>
        </w:rPr>
        <w:t xml:space="preserve"> Quang Ninh (+12.8%); Bac Ninh (+11.5%); Can Tho (+10.4%);</w:t>
      </w:r>
      <w:r>
        <w:rPr>
          <w:iCs/>
          <w:color w:val="000000" w:themeColor="text1"/>
        </w:rPr>
        <w:t xml:space="preserve"> and</w:t>
      </w:r>
      <w:r w:rsidRPr="00AF3ED2">
        <w:rPr>
          <w:iCs/>
          <w:color w:val="000000" w:themeColor="text1"/>
        </w:rPr>
        <w:t xml:space="preserve"> Hai Phong (+10.3%).</w:t>
      </w:r>
    </w:p>
    <w:p w14:paraId="167A88E3" w14:textId="77777777" w:rsidR="005B4C2A" w:rsidRPr="00AF3ED2" w:rsidRDefault="005B4C2A" w:rsidP="005B4C2A">
      <w:pPr>
        <w:spacing w:after="120" w:line="259" w:lineRule="auto"/>
        <w:ind w:firstLine="720"/>
        <w:jc w:val="both"/>
        <w:rPr>
          <w:iCs/>
          <w:color w:val="000000" w:themeColor="text1"/>
        </w:rPr>
      </w:pPr>
      <w:r w:rsidRPr="00AF3ED2">
        <w:rPr>
          <w:bCs/>
          <w:i/>
        </w:rPr>
        <w:t>The turnover from accommodation and food service activities</w:t>
      </w:r>
      <w:r w:rsidRPr="00AF3ED2" w:rsidDel="009A1C14">
        <w:rPr>
          <w:bCs/>
          <w:i/>
        </w:rPr>
        <w:t xml:space="preserve"> </w:t>
      </w:r>
      <w:r>
        <w:rPr>
          <w:bCs/>
          <w:iCs/>
        </w:rPr>
        <w:t xml:space="preserve">in </w:t>
      </w:r>
      <w:r w:rsidRPr="00AF3ED2">
        <w:rPr>
          <w:bCs/>
          <w:spacing w:val="-2"/>
        </w:rPr>
        <w:t>four months of</w:t>
      </w:r>
      <w:r w:rsidRPr="00AF3ED2">
        <w:rPr>
          <w:bCs/>
          <w:iCs/>
        </w:rPr>
        <w:t xml:space="preserve"> 2026</w:t>
      </w:r>
      <w:r w:rsidRPr="00AF3ED2">
        <w:rPr>
          <w:bCs/>
          <w:shd w:val="clear" w:color="auto" w:fill="FFFFFF"/>
        </w:rPr>
        <w:t xml:space="preserve"> </w:t>
      </w:r>
      <w:r w:rsidRPr="00AF3ED2">
        <w:rPr>
          <w:bCs/>
        </w:rPr>
        <w:t>were estimated at</w:t>
      </w:r>
      <w:r w:rsidRPr="00AF3ED2">
        <w:rPr>
          <w:iCs/>
          <w:color w:val="000000" w:themeColor="text1"/>
        </w:rPr>
        <w:t xml:space="preserve"> 317.4 </w:t>
      </w:r>
      <w:r w:rsidRPr="00AF3ED2">
        <w:rPr>
          <w:bCs/>
          <w:shd w:val="clear" w:color="auto" w:fill="FFFFFF"/>
        </w:rPr>
        <w:t>trillion VND</w:t>
      </w:r>
      <w:r w:rsidRPr="00AF3ED2">
        <w:rPr>
          <w:iCs/>
          <w:color w:val="000000" w:themeColor="text1"/>
        </w:rPr>
        <w:t xml:space="preserve">, </w:t>
      </w:r>
      <w:r w:rsidRPr="00AF3ED2">
        <w:rPr>
          <w:bCs/>
          <w:shd w:val="clear" w:color="auto" w:fill="FFFFFF"/>
        </w:rPr>
        <w:t>accounting for</w:t>
      </w:r>
      <w:r w:rsidRPr="00AF3ED2">
        <w:rPr>
          <w:iCs/>
          <w:color w:val="000000" w:themeColor="text1"/>
        </w:rPr>
        <w:t xml:space="preserve"> 12.5%, </w:t>
      </w:r>
      <w:r w:rsidRPr="00AF3ED2">
        <w:rPr>
          <w:bCs/>
          <w:shd w:val="clear" w:color="auto" w:fill="FFFFFF"/>
        </w:rPr>
        <w:t>accounting for</w:t>
      </w:r>
      <w:r w:rsidRPr="00AF3ED2">
        <w:rPr>
          <w:iCs/>
          <w:color w:val="000000" w:themeColor="text1"/>
        </w:rPr>
        <w:t xml:space="preserve"> 13.4% </w:t>
      </w:r>
      <w:r w:rsidRPr="00AF3ED2">
        <w:rPr>
          <w:bCs/>
          <w:shd w:val="clear" w:color="auto" w:fill="FFFFFF"/>
        </w:rPr>
        <w:t>over the same period last year</w:t>
      </w:r>
      <w:r w:rsidRPr="00AF3ED2">
        <w:rPr>
          <w:iCs/>
          <w:color w:val="000000" w:themeColor="text1"/>
        </w:rPr>
        <w:t xml:space="preserve">. </w:t>
      </w:r>
      <w:r w:rsidRPr="00AF3ED2">
        <w:t>In comparison to the same pe</w:t>
      </w:r>
      <w:r>
        <w:t xml:space="preserve">riod last year, the turnover in </w:t>
      </w:r>
      <w:r w:rsidRPr="00AF3ED2">
        <w:t>four months of 2026</w:t>
      </w:r>
      <w:r w:rsidRPr="00AF3ED2">
        <w:rPr>
          <w:bCs/>
          <w:spacing w:val="-2"/>
        </w:rPr>
        <w:t xml:space="preserve"> </w:t>
      </w:r>
      <w:r w:rsidRPr="00AF3ED2">
        <w:t>in some localities experienced an increase as follows</w:t>
      </w:r>
      <w:r w:rsidRPr="00AF3ED2">
        <w:rPr>
          <w:bCs/>
          <w:iCs/>
          <w:shd w:val="clear" w:color="auto" w:fill="FFFFFF"/>
        </w:rPr>
        <w:t>:</w:t>
      </w:r>
      <w:r w:rsidRPr="00AF3ED2">
        <w:rPr>
          <w:iCs/>
          <w:color w:val="000000" w:themeColor="text1"/>
        </w:rPr>
        <w:t xml:space="preserve"> Da Nang (+17.7%); Hai Phong (+14.6%); Can Tho (+14.5%); Ho Chi Minh city (+9.5%);</w:t>
      </w:r>
      <w:r>
        <w:rPr>
          <w:iCs/>
          <w:color w:val="000000" w:themeColor="text1"/>
        </w:rPr>
        <w:t xml:space="preserve"> and</w:t>
      </w:r>
      <w:r w:rsidRPr="00AF3ED2">
        <w:rPr>
          <w:iCs/>
          <w:color w:val="000000" w:themeColor="text1"/>
        </w:rPr>
        <w:t xml:space="preserve"> Ha Noi (+9.0%).</w:t>
      </w:r>
    </w:p>
    <w:p w14:paraId="75E21B5E" w14:textId="77777777" w:rsidR="005B4C2A" w:rsidRPr="00AF3ED2" w:rsidRDefault="005B4C2A" w:rsidP="005B4C2A">
      <w:pPr>
        <w:spacing w:after="120" w:line="259" w:lineRule="auto"/>
        <w:ind w:firstLine="720"/>
        <w:jc w:val="both"/>
        <w:rPr>
          <w:iCs/>
          <w:color w:val="000000" w:themeColor="text1"/>
        </w:rPr>
      </w:pPr>
      <w:r w:rsidRPr="00AF3ED2">
        <w:rPr>
          <w:bCs/>
          <w:i/>
          <w:spacing w:val="-2"/>
          <w:shd w:val="clear" w:color="auto" w:fill="FFFFFF"/>
        </w:rPr>
        <w:t xml:space="preserve">The turnover of travelling </w:t>
      </w:r>
      <w:r w:rsidRPr="00AF3ED2">
        <w:rPr>
          <w:bCs/>
          <w:spacing w:val="-2"/>
          <w:shd w:val="clear" w:color="auto" w:fill="FFFFFF"/>
        </w:rPr>
        <w:t>in four months of 2026 was estimated at</w:t>
      </w:r>
      <w:r w:rsidRPr="00AF3ED2">
        <w:rPr>
          <w:iCs/>
          <w:color w:val="000000" w:themeColor="text1"/>
        </w:rPr>
        <w:t xml:space="preserve"> 31.9 </w:t>
      </w:r>
      <w:r w:rsidRPr="00AF3ED2">
        <w:rPr>
          <w:bCs/>
          <w:spacing w:val="-2"/>
          <w:shd w:val="clear" w:color="auto" w:fill="FFFFFF"/>
        </w:rPr>
        <w:t>trillion VND</w:t>
      </w:r>
      <w:r w:rsidRPr="00AF3ED2">
        <w:rPr>
          <w:iCs/>
          <w:color w:val="000000" w:themeColor="text1"/>
        </w:rPr>
        <w:t xml:space="preserve">, </w:t>
      </w:r>
      <w:r w:rsidRPr="00AF3ED2">
        <w:rPr>
          <w:bCs/>
          <w:spacing w:val="-2"/>
          <w:shd w:val="clear" w:color="auto" w:fill="FFFFFF"/>
        </w:rPr>
        <w:t>accounting for</w:t>
      </w:r>
      <w:r w:rsidRPr="00AF3ED2">
        <w:rPr>
          <w:iCs/>
          <w:color w:val="000000" w:themeColor="text1"/>
        </w:rPr>
        <w:t xml:space="preserve"> 1.3% </w:t>
      </w:r>
      <w:r w:rsidRPr="00AF3ED2">
        <w:rPr>
          <w:bCs/>
          <w:spacing w:val="-2"/>
          <w:shd w:val="clear" w:color="auto" w:fill="FFFFFF"/>
        </w:rPr>
        <w:t xml:space="preserve">of the total and </w:t>
      </w:r>
      <w:r w:rsidRPr="00AF3ED2">
        <w:rPr>
          <w:bCs/>
          <w:spacing w:val="-6"/>
        </w:rPr>
        <w:t>a year-on-year growth of</w:t>
      </w:r>
      <w:r w:rsidRPr="00AF3ED2">
        <w:rPr>
          <w:iCs/>
          <w:color w:val="000000" w:themeColor="text1"/>
        </w:rPr>
        <w:t xml:space="preserve"> 12.1% </w:t>
      </w:r>
      <w:r>
        <w:t>thanks</w:t>
      </w:r>
      <w:r w:rsidRPr="00AF3ED2">
        <w:t xml:space="preserve"> to the </w:t>
      </w:r>
      <w:r>
        <w:t>surge</w:t>
      </w:r>
      <w:r w:rsidRPr="00AF3ED2">
        <w:t xml:space="preserve"> in both domestic tourists and international visitors to Viet Nam during holidays and festivals</w:t>
      </w:r>
      <w:r w:rsidRPr="00AF3ED2">
        <w:rPr>
          <w:iCs/>
          <w:color w:val="000000" w:themeColor="text1"/>
        </w:rPr>
        <w:t xml:space="preserve">. </w:t>
      </w:r>
      <w:r w:rsidRPr="00AF3ED2">
        <w:rPr>
          <w:bCs/>
          <w:shd w:val="clear" w:color="auto" w:fill="FFFFFF"/>
        </w:rPr>
        <w:t xml:space="preserve">Some localities recorded a high year-on-year increase in turnover in </w:t>
      </w:r>
      <w:r w:rsidRPr="00AF3ED2">
        <w:rPr>
          <w:bCs/>
          <w:iCs/>
        </w:rPr>
        <w:t>four months of 2026</w:t>
      </w:r>
      <w:r w:rsidRPr="00AF3ED2">
        <w:rPr>
          <w:bCs/>
          <w:shd w:val="clear" w:color="auto" w:fill="FFFFFF"/>
        </w:rPr>
        <w:t>, including</w:t>
      </w:r>
      <w:r w:rsidRPr="00AF3ED2">
        <w:rPr>
          <w:iCs/>
          <w:color w:val="000000" w:themeColor="text1"/>
        </w:rPr>
        <w:t xml:space="preserve"> Can Tho (+16.1%); Hai Phong (+13.7%); Ha Noi (+11.5%); Da Nang (8.6%); </w:t>
      </w:r>
      <w:r>
        <w:rPr>
          <w:iCs/>
          <w:color w:val="000000" w:themeColor="text1"/>
        </w:rPr>
        <w:t xml:space="preserve">and </w:t>
      </w:r>
      <w:r w:rsidRPr="00AF3ED2">
        <w:rPr>
          <w:iCs/>
          <w:color w:val="000000" w:themeColor="text1"/>
        </w:rPr>
        <w:t>Ho Chi Minh City (+7.7%).</w:t>
      </w:r>
    </w:p>
    <w:p w14:paraId="7E40DA1C" w14:textId="77777777" w:rsidR="005B4C2A" w:rsidRPr="00AF3ED2" w:rsidRDefault="005B4C2A" w:rsidP="005B4C2A">
      <w:pPr>
        <w:pStyle w:val="Normal2"/>
        <w:spacing w:before="0" w:beforeAutospacing="0" w:after="120" w:afterAutospacing="0" w:line="259" w:lineRule="auto"/>
        <w:ind w:firstLine="720"/>
        <w:jc w:val="both"/>
        <w:rPr>
          <w:iCs/>
          <w:color w:val="000000" w:themeColor="text1"/>
          <w:sz w:val="28"/>
          <w:szCs w:val="28"/>
        </w:rPr>
      </w:pPr>
      <w:r w:rsidRPr="00AF3ED2">
        <w:rPr>
          <w:i/>
          <w:sz w:val="28"/>
          <w:szCs w:val="28"/>
        </w:rPr>
        <w:t>The turnover</w:t>
      </w:r>
      <w:r w:rsidRPr="00AF3ED2">
        <w:rPr>
          <w:rFonts w:eastAsia="Calibri"/>
          <w:sz w:val="28"/>
          <w:szCs w:val="28"/>
        </w:rPr>
        <w:t xml:space="preserve"> </w:t>
      </w:r>
      <w:r w:rsidRPr="00A05DF3">
        <w:rPr>
          <w:rFonts w:eastAsia="Calibri"/>
          <w:i/>
          <w:sz w:val="28"/>
          <w:szCs w:val="28"/>
        </w:rPr>
        <w:t>of</w:t>
      </w:r>
      <w:r w:rsidRPr="00AF3ED2">
        <w:rPr>
          <w:rFonts w:eastAsia="Calibri"/>
          <w:sz w:val="28"/>
          <w:szCs w:val="28"/>
        </w:rPr>
        <w:t xml:space="preserve"> </w:t>
      </w:r>
      <w:r w:rsidRPr="00AF3ED2">
        <w:rPr>
          <w:i/>
          <w:sz w:val="28"/>
          <w:szCs w:val="28"/>
        </w:rPr>
        <w:t xml:space="preserve">other services </w:t>
      </w:r>
      <w:r w:rsidRPr="00AF3ED2">
        <w:rPr>
          <w:bCs/>
          <w:sz w:val="28"/>
          <w:szCs w:val="28"/>
          <w:shd w:val="clear" w:color="auto" w:fill="FFFFFF"/>
        </w:rPr>
        <w:t xml:space="preserve">in </w:t>
      </w:r>
      <w:r w:rsidRPr="00AF3ED2">
        <w:rPr>
          <w:bCs/>
          <w:iCs/>
          <w:sz w:val="28"/>
          <w:szCs w:val="28"/>
        </w:rPr>
        <w:t>four months of 2026</w:t>
      </w:r>
      <w:r w:rsidRPr="00AF3ED2">
        <w:rPr>
          <w:rFonts w:eastAsia="Calibri"/>
          <w:sz w:val="28"/>
          <w:szCs w:val="28"/>
        </w:rPr>
        <w:t xml:space="preserve"> </w:t>
      </w:r>
      <w:r w:rsidRPr="00AF3ED2">
        <w:rPr>
          <w:sz w:val="28"/>
          <w:szCs w:val="28"/>
        </w:rPr>
        <w:t>was estimated at</w:t>
      </w:r>
      <w:r w:rsidRPr="00AF3ED2">
        <w:rPr>
          <w:iCs/>
          <w:color w:val="000000" w:themeColor="text1"/>
          <w:sz w:val="28"/>
          <w:szCs w:val="28"/>
        </w:rPr>
        <w:t xml:space="preserve"> 258.5 </w:t>
      </w:r>
      <w:r w:rsidRPr="00AF3ED2">
        <w:rPr>
          <w:sz w:val="28"/>
          <w:szCs w:val="28"/>
        </w:rPr>
        <w:t>trillion VND</w:t>
      </w:r>
      <w:r w:rsidRPr="00AF3ED2">
        <w:rPr>
          <w:iCs/>
          <w:color w:val="000000" w:themeColor="text1"/>
          <w:sz w:val="28"/>
          <w:szCs w:val="28"/>
        </w:rPr>
        <w:t xml:space="preserve">, </w:t>
      </w:r>
      <w:r w:rsidRPr="00AF3ED2">
        <w:rPr>
          <w:sz w:val="28"/>
          <w:szCs w:val="28"/>
        </w:rPr>
        <w:t>accounting for</w:t>
      </w:r>
      <w:r w:rsidRPr="00AF3ED2">
        <w:rPr>
          <w:iCs/>
          <w:color w:val="000000" w:themeColor="text1"/>
          <w:sz w:val="28"/>
          <w:szCs w:val="28"/>
        </w:rPr>
        <w:t xml:space="preserve"> 10.1% </w:t>
      </w:r>
      <w:r w:rsidRPr="00AF3ED2">
        <w:rPr>
          <w:sz w:val="28"/>
          <w:szCs w:val="28"/>
        </w:rPr>
        <w:t>of the gross and increasing by</w:t>
      </w:r>
      <w:r w:rsidRPr="00AF3ED2">
        <w:rPr>
          <w:iCs/>
          <w:color w:val="000000" w:themeColor="text1"/>
          <w:sz w:val="28"/>
          <w:szCs w:val="28"/>
        </w:rPr>
        <w:t xml:space="preserve"> 8.5% </w:t>
      </w:r>
      <w:r w:rsidRPr="00AF3ED2">
        <w:rPr>
          <w:sz w:val="28"/>
          <w:szCs w:val="28"/>
        </w:rPr>
        <w:t>year-on-year</w:t>
      </w:r>
      <w:r w:rsidRPr="00AF3ED2">
        <w:rPr>
          <w:iCs/>
          <w:color w:val="000000" w:themeColor="text1"/>
          <w:sz w:val="28"/>
          <w:szCs w:val="28"/>
        </w:rPr>
        <w:t xml:space="preserve">. Specifically, the turnover increase in four months of 2026 in some localities was as follows: Hue (+26.8%); Ninh Binh (+16.9%); Khanh Hoa (+15.7%); Ha Noi (+8.6%); </w:t>
      </w:r>
      <w:r>
        <w:rPr>
          <w:iCs/>
          <w:color w:val="000000" w:themeColor="text1"/>
          <w:sz w:val="28"/>
          <w:szCs w:val="28"/>
        </w:rPr>
        <w:t xml:space="preserve">and </w:t>
      </w:r>
      <w:r w:rsidRPr="00AF3ED2">
        <w:rPr>
          <w:iCs/>
          <w:color w:val="000000" w:themeColor="text1"/>
          <w:sz w:val="28"/>
          <w:szCs w:val="28"/>
        </w:rPr>
        <w:t>Ho Chi Minh City (+4</w:t>
      </w:r>
      <w:r>
        <w:rPr>
          <w:iCs/>
          <w:color w:val="000000" w:themeColor="text1"/>
          <w:sz w:val="28"/>
          <w:szCs w:val="28"/>
        </w:rPr>
        <w:t>.</w:t>
      </w:r>
      <w:r w:rsidRPr="00AF3ED2">
        <w:rPr>
          <w:iCs/>
          <w:color w:val="000000" w:themeColor="text1"/>
          <w:sz w:val="28"/>
          <w:szCs w:val="28"/>
        </w:rPr>
        <w:t>9%).</w:t>
      </w:r>
    </w:p>
    <w:p w14:paraId="18FC52D8" w14:textId="77777777" w:rsidR="005B4C2A" w:rsidRPr="00AF3ED2" w:rsidRDefault="005B4C2A" w:rsidP="005B4C2A">
      <w:pPr>
        <w:tabs>
          <w:tab w:val="left" w:pos="900"/>
          <w:tab w:val="left" w:pos="9475"/>
        </w:tabs>
        <w:spacing w:after="120" w:line="259" w:lineRule="auto"/>
        <w:ind w:firstLine="720"/>
        <w:jc w:val="both"/>
        <w:rPr>
          <w:rStyle w:val="Strong"/>
          <w:i/>
          <w:iCs/>
          <w:color w:val="000000" w:themeColor="text1"/>
        </w:rPr>
      </w:pPr>
      <w:r w:rsidRPr="00AF3ED2">
        <w:rPr>
          <w:rStyle w:val="Strong"/>
          <w:i/>
          <w:iCs/>
          <w:color w:val="000000" w:themeColor="text1"/>
        </w:rPr>
        <w:lastRenderedPageBreak/>
        <w:t xml:space="preserve">b) </w:t>
      </w:r>
      <w:r w:rsidRPr="00AF3ED2">
        <w:rPr>
          <w:rStyle w:val="Strong"/>
          <w:rFonts w:eastAsia="Calibri"/>
          <w:i/>
          <w:iCs/>
        </w:rPr>
        <w:t>Export and import of goods</w:t>
      </w:r>
      <w:r w:rsidRPr="00AF3ED2">
        <w:rPr>
          <w:b/>
          <w:bCs/>
          <w:i/>
          <w:iCs/>
          <w:color w:val="000000" w:themeColor="text1"/>
          <w:vertAlign w:val="superscript"/>
        </w:rPr>
        <w:footnoteReference w:id="16"/>
      </w:r>
    </w:p>
    <w:p w14:paraId="2302E6E3" w14:textId="77777777" w:rsidR="005B4C2A" w:rsidRPr="00AF3ED2" w:rsidRDefault="005B4C2A" w:rsidP="005B4C2A">
      <w:pPr>
        <w:tabs>
          <w:tab w:val="left" w:pos="900"/>
          <w:tab w:val="left" w:pos="9475"/>
        </w:tabs>
        <w:spacing w:after="120" w:line="259" w:lineRule="auto"/>
        <w:ind w:firstLine="720"/>
        <w:jc w:val="both"/>
        <w:rPr>
          <w:rFonts w:ascii="Arial" w:hAnsi="Arial" w:cs="Arial"/>
          <w:b/>
          <w:bCs/>
          <w:color w:val="000000" w:themeColor="text1"/>
          <w:sz w:val="2"/>
          <w:szCs w:val="24"/>
        </w:rPr>
      </w:pPr>
      <w:r w:rsidRPr="00AF3ED2">
        <w:rPr>
          <w:rFonts w:ascii="Times New Roman Italic" w:hAnsi="Times New Roman Italic"/>
          <w:i/>
          <w:color w:val="000000" w:themeColor="text1"/>
        </w:rPr>
        <w:t xml:space="preserve">In April, </w:t>
      </w:r>
      <w:r w:rsidRPr="00AF3ED2">
        <w:rPr>
          <w:rFonts w:ascii="Times New Roman Italic" w:hAnsi="Times New Roman Italic"/>
          <w:i/>
          <w:spacing w:val="-4"/>
        </w:rPr>
        <w:t>the total export and import turnover of goods</w:t>
      </w:r>
      <w:r w:rsidRPr="00AF3ED2">
        <w:rPr>
          <w:rFonts w:ascii="Times New Roman Italic" w:hAnsi="Times New Roman Italic"/>
          <w:b/>
          <w:bCs/>
          <w:i/>
          <w:iCs/>
          <w:color w:val="000000" w:themeColor="text1"/>
          <w:vertAlign w:val="superscript"/>
        </w:rPr>
        <w:footnoteReference w:id="17"/>
      </w:r>
      <w:r w:rsidRPr="00AF3ED2">
        <w:rPr>
          <w:rFonts w:ascii="Times New Roman Italic" w:hAnsi="Times New Roman Italic"/>
          <w:i/>
          <w:color w:val="000000" w:themeColor="text1"/>
        </w:rPr>
        <w:t xml:space="preserve"> reached 94.32 billion USD, </w:t>
      </w:r>
      <w:r w:rsidRPr="00AF3ED2">
        <w:rPr>
          <w:i/>
        </w:rPr>
        <w:t>a month-on-month increase of</w:t>
      </w:r>
      <w:r w:rsidRPr="00AF3ED2">
        <w:rPr>
          <w:rFonts w:ascii="Times New Roman Italic" w:hAnsi="Times New Roman Italic"/>
          <w:i/>
          <w:color w:val="000000" w:themeColor="text1"/>
        </w:rPr>
        <w:t xml:space="preserve"> 0.8% and </w:t>
      </w:r>
      <w:r w:rsidRPr="00AF3ED2">
        <w:rPr>
          <w:i/>
        </w:rPr>
        <w:t>a year-on-year increase of</w:t>
      </w:r>
      <w:r w:rsidRPr="00AF3ED2">
        <w:rPr>
          <w:rFonts w:ascii="Times New Roman Italic" w:hAnsi="Times New Roman Italic"/>
          <w:i/>
          <w:color w:val="000000" w:themeColor="text1"/>
        </w:rPr>
        <w:t xml:space="preserve"> 26.7%. </w:t>
      </w:r>
      <w:r w:rsidRPr="00AF3ED2">
        <w:rPr>
          <w:rFonts w:ascii="Times New Roman Italic" w:hAnsi="Times New Roman Italic"/>
          <w:i/>
          <w:spacing w:val="-4"/>
        </w:rPr>
        <w:t>Generally, in four months of 2026, the total export and import turnover of goods reached</w:t>
      </w:r>
      <w:r w:rsidRPr="00AF3ED2">
        <w:rPr>
          <w:rFonts w:ascii="Times New Roman Italic" w:hAnsi="Times New Roman Italic"/>
          <w:i/>
          <w:color w:val="000000" w:themeColor="text1"/>
        </w:rPr>
        <w:t xml:space="preserve"> 344.17 billion USD, </w:t>
      </w:r>
      <w:r w:rsidRPr="00AF3ED2">
        <w:rPr>
          <w:rFonts w:ascii="Times New Roman Italic" w:hAnsi="Times New Roman Italic"/>
          <w:i/>
          <w:spacing w:val="-4"/>
        </w:rPr>
        <w:t>going up</w:t>
      </w:r>
      <w:r w:rsidRPr="00AF3ED2">
        <w:rPr>
          <w:rFonts w:ascii="Times New Roman Italic" w:hAnsi="Times New Roman Italic"/>
          <w:i/>
          <w:color w:val="000000" w:themeColor="text1"/>
        </w:rPr>
        <w:t xml:space="preserve"> 24.2% </w:t>
      </w:r>
      <w:r w:rsidRPr="00AF3ED2">
        <w:rPr>
          <w:rFonts w:ascii="Times New Roman Italic" w:hAnsi="Times New Roman Italic"/>
          <w:i/>
          <w:spacing w:val="-4"/>
        </w:rPr>
        <w:t>over that in the same period last year</w:t>
      </w:r>
      <w:r w:rsidRPr="00AF3ED2">
        <w:rPr>
          <w:rFonts w:ascii="Times New Roman Italic" w:hAnsi="Times New Roman Italic"/>
          <w:i/>
          <w:color w:val="000000" w:themeColor="text1"/>
        </w:rPr>
        <w:t xml:space="preserve">, </w:t>
      </w:r>
      <w:r w:rsidRPr="00AF3ED2">
        <w:rPr>
          <w:rFonts w:ascii="Times New Roman Italic" w:hAnsi="Times New Roman Italic"/>
          <w:i/>
          <w:spacing w:val="-4"/>
        </w:rPr>
        <w:t>of which exports increased by</w:t>
      </w:r>
      <w:r w:rsidRPr="00AF3ED2">
        <w:rPr>
          <w:rFonts w:ascii="Times New Roman Italic" w:hAnsi="Times New Roman Italic"/>
          <w:i/>
          <w:color w:val="000000" w:themeColor="text1"/>
        </w:rPr>
        <w:t xml:space="preserve"> 19.7% </w:t>
      </w:r>
      <w:r w:rsidRPr="00AF3ED2">
        <w:rPr>
          <w:rFonts w:ascii="Times New Roman Italic" w:hAnsi="Times New Roman Italic"/>
          <w:i/>
          <w:spacing w:val="-4"/>
        </w:rPr>
        <w:t>and imports increased by</w:t>
      </w:r>
      <w:r w:rsidRPr="00AF3ED2">
        <w:rPr>
          <w:rFonts w:ascii="Times New Roman Italic" w:hAnsi="Times New Roman Italic"/>
          <w:i/>
          <w:color w:val="000000" w:themeColor="text1"/>
        </w:rPr>
        <w:t xml:space="preserve"> 28.7%</w:t>
      </w:r>
      <w:r w:rsidRPr="00AF3ED2">
        <w:rPr>
          <w:rFonts w:ascii="Times New Roman Italic" w:hAnsi="Times New Roman Italic"/>
          <w:i/>
          <w:color w:val="000000" w:themeColor="text1"/>
          <w:vertAlign w:val="superscript"/>
        </w:rPr>
        <w:footnoteReference w:id="18"/>
      </w:r>
      <w:r w:rsidRPr="00AF3ED2">
        <w:rPr>
          <w:rFonts w:ascii="Times New Roman Italic" w:hAnsi="Times New Roman Italic"/>
          <w:i/>
          <w:color w:val="000000" w:themeColor="text1"/>
        </w:rPr>
        <w:t xml:space="preserve">. </w:t>
      </w:r>
      <w:r w:rsidRPr="00AF3ED2">
        <w:rPr>
          <w:rFonts w:ascii="Times New Roman Italic" w:hAnsi="Times New Roman Italic"/>
          <w:i/>
          <w:iCs/>
          <w:spacing w:val="-4"/>
        </w:rPr>
        <w:t>The trade balance of goods recorded a trade deficit of</w:t>
      </w:r>
      <w:r w:rsidRPr="00AF3ED2">
        <w:rPr>
          <w:rFonts w:ascii="Times New Roman Italic" w:hAnsi="Times New Roman Italic"/>
          <w:i/>
          <w:iCs/>
          <w:color w:val="000000" w:themeColor="text1"/>
        </w:rPr>
        <w:t xml:space="preserve"> 7.11 billion USD.</w:t>
      </w:r>
    </w:p>
    <w:p w14:paraId="416051B4" w14:textId="77777777" w:rsidR="005B4C2A" w:rsidRPr="00AF3ED2" w:rsidRDefault="005B4C2A" w:rsidP="005B4C2A">
      <w:pPr>
        <w:tabs>
          <w:tab w:val="left" w:pos="900"/>
          <w:tab w:val="left" w:pos="9475"/>
        </w:tabs>
        <w:spacing w:before="120" w:after="240" w:line="264" w:lineRule="auto"/>
        <w:ind w:right="119"/>
        <w:jc w:val="center"/>
        <w:rPr>
          <w:rFonts w:asciiTheme="minorHAnsi" w:eastAsiaTheme="minorHAnsi" w:hAnsiTheme="minorHAnsi" w:cstheme="minorBidi"/>
          <w:color w:val="000000" w:themeColor="text1"/>
          <w:sz w:val="22"/>
          <w:szCs w:val="22"/>
        </w:rPr>
      </w:pPr>
      <w:r w:rsidRPr="00AF3ED2">
        <w:rPr>
          <w:rFonts w:ascii="Arial" w:hAnsi="Arial" w:cs="Arial"/>
          <w:b/>
          <w:bCs/>
          <w:color w:val="000000" w:themeColor="text1"/>
          <w:sz w:val="24"/>
          <w:szCs w:val="24"/>
        </w:rPr>
        <w:t xml:space="preserve">Figure 11. </w:t>
      </w:r>
      <w:r w:rsidRPr="00AF3ED2">
        <w:rPr>
          <w:rFonts w:ascii="Arial" w:hAnsi="Arial" w:cs="Arial"/>
          <w:b/>
          <w:bCs/>
          <w:sz w:val="24"/>
          <w:szCs w:val="24"/>
        </w:rPr>
        <w:t>Export and import of goods in four months of 2026</w:t>
      </w:r>
    </w:p>
    <w:p w14:paraId="272B4BEC" w14:textId="77777777" w:rsidR="005B4C2A" w:rsidRPr="00AF3ED2" w:rsidRDefault="005B4C2A" w:rsidP="005B4C2A">
      <w:pPr>
        <w:tabs>
          <w:tab w:val="left" w:pos="900"/>
          <w:tab w:val="left" w:pos="9475"/>
        </w:tabs>
        <w:spacing w:before="120" w:after="120"/>
        <w:ind w:right="119"/>
        <w:jc w:val="center"/>
        <w:rPr>
          <w:rFonts w:ascii="Arial" w:hAnsi="Arial" w:cs="Arial"/>
          <w:b/>
          <w:bCs/>
          <w:color w:val="000000" w:themeColor="text1"/>
          <w:sz w:val="24"/>
          <w:szCs w:val="24"/>
        </w:rPr>
      </w:pPr>
      <w:r w:rsidRPr="00AF3ED2">
        <w:rPr>
          <w:rFonts w:ascii="Arial" w:hAnsi="Arial" w:cs="Arial"/>
          <w:b/>
          <w:bCs/>
          <w:noProof/>
          <w:color w:val="000000" w:themeColor="text1"/>
          <w:sz w:val="24"/>
          <w:szCs w:val="24"/>
        </w:rPr>
        <w:drawing>
          <wp:inline distT="0" distB="0" distL="0" distR="0" wp14:anchorId="3AE01B58" wp14:editId="4285DF1A">
            <wp:extent cx="5699760" cy="19500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n-XNK.jpg"/>
                    <pic:cNvPicPr/>
                  </pic:nvPicPr>
                  <pic:blipFill>
                    <a:blip r:embed="rId20">
                      <a:extLst>
                        <a:ext uri="{28A0092B-C50C-407E-A947-70E740481C1C}">
                          <a14:useLocalDpi xmlns:a14="http://schemas.microsoft.com/office/drawing/2010/main" val="0"/>
                        </a:ext>
                      </a:extLst>
                    </a:blip>
                    <a:stretch>
                      <a:fillRect/>
                    </a:stretch>
                  </pic:blipFill>
                  <pic:spPr>
                    <a:xfrm>
                      <a:off x="0" y="0"/>
                      <a:ext cx="5699760" cy="1950085"/>
                    </a:xfrm>
                    <a:prstGeom prst="rect">
                      <a:avLst/>
                    </a:prstGeom>
                  </pic:spPr>
                </pic:pic>
              </a:graphicData>
            </a:graphic>
          </wp:inline>
        </w:drawing>
      </w:r>
    </w:p>
    <w:p w14:paraId="430C54EE" w14:textId="77777777" w:rsidR="005B4C2A" w:rsidRPr="00AF3ED2" w:rsidRDefault="005B4C2A" w:rsidP="005B4C2A">
      <w:pPr>
        <w:spacing w:before="40" w:after="40" w:line="288" w:lineRule="auto"/>
        <w:ind w:firstLine="567"/>
        <w:rPr>
          <w:rStyle w:val="Strong"/>
          <w:i/>
          <w:iCs/>
          <w:color w:val="000000" w:themeColor="text1"/>
        </w:rPr>
      </w:pPr>
    </w:p>
    <w:p w14:paraId="4B231124" w14:textId="77777777" w:rsidR="005B4C2A" w:rsidRPr="00AF3ED2" w:rsidRDefault="005B4C2A" w:rsidP="005B4C2A">
      <w:pPr>
        <w:spacing w:before="40" w:after="40" w:line="288" w:lineRule="auto"/>
        <w:ind w:firstLine="567"/>
        <w:rPr>
          <w:rStyle w:val="Strong"/>
          <w:i/>
          <w:iCs/>
          <w:color w:val="000000" w:themeColor="text1"/>
        </w:rPr>
      </w:pPr>
      <w:r w:rsidRPr="00AF3ED2">
        <w:rPr>
          <w:b/>
          <w:bCs/>
          <w:i/>
          <w:iCs/>
        </w:rPr>
        <w:t>Export of goods</w:t>
      </w:r>
    </w:p>
    <w:p w14:paraId="1B557463" w14:textId="77777777" w:rsidR="005B4C2A" w:rsidRPr="00AF3ED2" w:rsidRDefault="005B4C2A" w:rsidP="005B4C2A">
      <w:pPr>
        <w:tabs>
          <w:tab w:val="num" w:pos="0"/>
          <w:tab w:val="left" w:pos="9475"/>
        </w:tabs>
        <w:spacing w:before="40" w:after="40" w:line="264" w:lineRule="auto"/>
        <w:ind w:right="6" w:firstLine="567"/>
        <w:jc w:val="both"/>
        <w:rPr>
          <w:bCs/>
          <w:color w:val="000000" w:themeColor="text1"/>
        </w:rPr>
      </w:pPr>
      <w:r w:rsidRPr="00AF3ED2">
        <w:rPr>
          <w:bCs/>
        </w:rPr>
        <w:t>The export turnover of goods in</w:t>
      </w:r>
      <w:r w:rsidRPr="00AF3ED2">
        <w:rPr>
          <w:bCs/>
          <w:color w:val="000000" w:themeColor="text1"/>
        </w:rPr>
        <w:t xml:space="preserve"> March 2026 </w:t>
      </w:r>
      <w:r w:rsidRPr="00AF3ED2">
        <w:rPr>
          <w:bCs/>
        </w:rPr>
        <w:t>preliminarily reached</w:t>
      </w:r>
      <w:r w:rsidRPr="00AF3ED2">
        <w:rPr>
          <w:bCs/>
          <w:color w:val="000000" w:themeColor="text1"/>
        </w:rPr>
        <w:t xml:space="preserve"> 46.44 billion USD</w:t>
      </w:r>
      <w:r w:rsidRPr="00AF3ED2">
        <w:rPr>
          <w:rStyle w:val="FootnoteReference"/>
          <w:bCs/>
          <w:color w:val="000000" w:themeColor="text1"/>
        </w:rPr>
        <w:footnoteReference w:id="19"/>
      </w:r>
      <w:r w:rsidRPr="00AF3ED2">
        <w:rPr>
          <w:bCs/>
          <w:color w:val="000000" w:themeColor="text1"/>
        </w:rPr>
        <w:t>.</w:t>
      </w:r>
    </w:p>
    <w:p w14:paraId="385EB96E" w14:textId="7BA1B1F0" w:rsidR="005B4C2A" w:rsidRPr="00AF3ED2" w:rsidRDefault="005B4C2A" w:rsidP="005B4C2A">
      <w:pPr>
        <w:tabs>
          <w:tab w:val="num" w:pos="0"/>
          <w:tab w:val="left" w:pos="9475"/>
        </w:tabs>
        <w:spacing w:before="40" w:after="40" w:line="264" w:lineRule="auto"/>
        <w:ind w:right="6" w:firstLine="567"/>
        <w:jc w:val="both"/>
        <w:rPr>
          <w:bCs/>
          <w:color w:val="000000" w:themeColor="text1"/>
        </w:rPr>
      </w:pPr>
      <w:r w:rsidRPr="00AF3ED2">
        <w:rPr>
          <w:bCs/>
        </w:rPr>
        <w:t xml:space="preserve">In April 2026, </w:t>
      </w:r>
      <w:r w:rsidRPr="00AF3ED2">
        <w:t>export turnover of goods</w:t>
      </w:r>
      <w:r w:rsidRPr="00AF3ED2">
        <w:rPr>
          <w:bCs/>
        </w:rPr>
        <w:t xml:space="preserve"> amounted to</w:t>
      </w:r>
      <w:r w:rsidRPr="00AF3ED2">
        <w:rPr>
          <w:bCs/>
          <w:color w:val="000000" w:themeColor="text1"/>
        </w:rPr>
        <w:t xml:space="preserve"> 45.52 billion USD, </w:t>
      </w:r>
      <w:r w:rsidRPr="00AF3ED2">
        <w:rPr>
          <w:bCs/>
        </w:rPr>
        <w:t>decreasing by</w:t>
      </w:r>
      <w:r w:rsidRPr="00AF3ED2">
        <w:rPr>
          <w:bCs/>
          <w:color w:val="000000" w:themeColor="text1"/>
        </w:rPr>
        <w:t xml:space="preserve"> 2.0% </w:t>
      </w:r>
      <w:r w:rsidRPr="00AF3ED2">
        <w:rPr>
          <w:bCs/>
        </w:rPr>
        <w:t>over the previous month</w:t>
      </w:r>
      <w:r w:rsidRPr="00AF3ED2">
        <w:rPr>
          <w:bCs/>
          <w:color w:val="000000" w:themeColor="text1"/>
        </w:rPr>
        <w:t xml:space="preserve">. </w:t>
      </w:r>
      <w:r w:rsidRPr="00AF3ED2">
        <w:rPr>
          <w:bCs/>
        </w:rPr>
        <w:t>Of which, the domestic economic sector reached</w:t>
      </w:r>
      <w:r w:rsidRPr="00AF3ED2">
        <w:rPr>
          <w:bCs/>
          <w:color w:val="000000" w:themeColor="text1"/>
        </w:rPr>
        <w:t xml:space="preserve"> 8.88 billion USD, down 1.2%; </w:t>
      </w:r>
      <w:r w:rsidRPr="00AF3ED2">
        <w:rPr>
          <w:bCs/>
        </w:rPr>
        <w:t>while the FDI sector (including crude oil) reached</w:t>
      </w:r>
      <w:r w:rsidRPr="00AF3ED2">
        <w:rPr>
          <w:bCs/>
          <w:color w:val="000000" w:themeColor="text1"/>
        </w:rPr>
        <w:t xml:space="preserve"> 36.64 billion USD, down 2.1%. </w:t>
      </w:r>
      <w:r w:rsidRPr="00AF3ED2">
        <w:rPr>
          <w:bCs/>
        </w:rPr>
        <w:t>Compared to the same period last year, the export turnover of goods in</w:t>
      </w:r>
      <w:r w:rsidRPr="00AF3ED2">
        <w:rPr>
          <w:bCs/>
          <w:color w:val="000000" w:themeColor="text1"/>
        </w:rPr>
        <w:t xml:space="preserve"> April </w:t>
      </w:r>
      <w:r w:rsidRPr="00AF3ED2">
        <w:rPr>
          <w:bCs/>
        </w:rPr>
        <w:t>increased by</w:t>
      </w:r>
      <w:r w:rsidRPr="00AF3ED2">
        <w:rPr>
          <w:bCs/>
          <w:color w:val="000000" w:themeColor="text1"/>
        </w:rPr>
        <w:t xml:space="preserve"> 21.0%, </w:t>
      </w:r>
      <w:r w:rsidRPr="00AF3ED2">
        <w:rPr>
          <w:bCs/>
        </w:rPr>
        <w:t>of which the domestic economic sector decreased by</w:t>
      </w:r>
      <w:r w:rsidRPr="00AF3ED2">
        <w:rPr>
          <w:bCs/>
          <w:color w:val="000000" w:themeColor="text1"/>
        </w:rPr>
        <w:t xml:space="preserve"> 4.2%, </w:t>
      </w:r>
      <w:r w:rsidRPr="00AF3ED2">
        <w:rPr>
          <w:bCs/>
        </w:rPr>
        <w:t>while the FDI sector (including crude oil) rose by</w:t>
      </w:r>
      <w:r w:rsidRPr="00AF3ED2">
        <w:rPr>
          <w:bCs/>
          <w:color w:val="000000" w:themeColor="text1"/>
        </w:rPr>
        <w:t xml:space="preserve"> 29.2%.</w:t>
      </w:r>
    </w:p>
    <w:p w14:paraId="24FC8508" w14:textId="77777777" w:rsidR="005B4C2A" w:rsidRPr="00AF3ED2" w:rsidRDefault="005B4C2A" w:rsidP="005B4C2A">
      <w:pPr>
        <w:tabs>
          <w:tab w:val="num" w:pos="0"/>
          <w:tab w:val="left" w:pos="9475"/>
        </w:tabs>
        <w:spacing w:before="40" w:after="40" w:line="264" w:lineRule="auto"/>
        <w:ind w:right="6" w:firstLine="567"/>
        <w:jc w:val="both"/>
        <w:rPr>
          <w:bCs/>
          <w:color w:val="000000" w:themeColor="text1"/>
        </w:rPr>
      </w:pPr>
      <w:r w:rsidRPr="00AF3ED2">
        <w:rPr>
          <w:bCs/>
          <w:spacing w:val="-4"/>
        </w:rPr>
        <w:t>Overall, in four months of</w:t>
      </w:r>
      <w:r w:rsidRPr="00AF3ED2">
        <w:rPr>
          <w:bCs/>
          <w:color w:val="000000" w:themeColor="text1"/>
        </w:rPr>
        <w:t xml:space="preserve"> 2026, </w:t>
      </w:r>
      <w:r w:rsidRPr="00AF3ED2">
        <w:rPr>
          <w:bCs/>
        </w:rPr>
        <w:t>export turnover reached</w:t>
      </w:r>
      <w:r w:rsidRPr="00AF3ED2">
        <w:rPr>
          <w:bCs/>
          <w:color w:val="000000" w:themeColor="text1"/>
        </w:rPr>
        <w:t xml:space="preserve"> 168.53 billion USD, </w:t>
      </w:r>
      <w:r w:rsidRPr="00AF3ED2">
        <w:rPr>
          <w:bCs/>
        </w:rPr>
        <w:t>increasing by</w:t>
      </w:r>
      <w:r w:rsidRPr="00AF3ED2">
        <w:rPr>
          <w:bCs/>
          <w:color w:val="000000" w:themeColor="text1"/>
        </w:rPr>
        <w:t xml:space="preserve"> 19.7% </w:t>
      </w:r>
      <w:r w:rsidRPr="00AF3ED2">
        <w:rPr>
          <w:bCs/>
        </w:rPr>
        <w:t>over the same period last year</w:t>
      </w:r>
      <w:r w:rsidRPr="00AF3ED2">
        <w:rPr>
          <w:bCs/>
          <w:color w:val="000000" w:themeColor="text1"/>
        </w:rPr>
        <w:t xml:space="preserve">. </w:t>
      </w:r>
      <w:r w:rsidRPr="00AF3ED2">
        <w:rPr>
          <w:bCs/>
        </w:rPr>
        <w:t xml:space="preserve">Of which, the </w:t>
      </w:r>
      <w:r w:rsidRPr="00AF3ED2">
        <w:rPr>
          <w:bCs/>
        </w:rPr>
        <w:lastRenderedPageBreak/>
        <w:t>domestic economic sector reached</w:t>
      </w:r>
      <w:r w:rsidRPr="00AF3ED2">
        <w:rPr>
          <w:bCs/>
          <w:color w:val="000000" w:themeColor="text1"/>
        </w:rPr>
        <w:t xml:space="preserve"> 33.65 billion USD, rose by 0,4%, </w:t>
      </w:r>
      <w:r w:rsidRPr="00AF3ED2">
        <w:rPr>
          <w:bCs/>
        </w:rPr>
        <w:t>accounting for</w:t>
      </w:r>
      <w:r w:rsidRPr="00AF3ED2">
        <w:rPr>
          <w:bCs/>
          <w:color w:val="000000" w:themeColor="text1"/>
        </w:rPr>
        <w:t xml:space="preserve"> 20.0% </w:t>
      </w:r>
      <w:r w:rsidRPr="00AF3ED2">
        <w:rPr>
          <w:bCs/>
        </w:rPr>
        <w:t xml:space="preserve">of total export </w:t>
      </w:r>
      <w:r w:rsidRPr="00AF3ED2">
        <w:rPr>
          <w:iCs/>
        </w:rPr>
        <w:t>turnover</w:t>
      </w:r>
      <w:r w:rsidRPr="00AF3ED2">
        <w:rPr>
          <w:bCs/>
          <w:spacing w:val="-4"/>
        </w:rPr>
        <w:t xml:space="preserve">; </w:t>
      </w:r>
      <w:r w:rsidRPr="00AF3ED2">
        <w:rPr>
          <w:bCs/>
        </w:rPr>
        <w:t xml:space="preserve">the FDI sector (including crude oil) </w:t>
      </w:r>
      <w:r w:rsidRPr="00AF3ED2">
        <w:rPr>
          <w:iCs/>
        </w:rPr>
        <w:t>attained</w:t>
      </w:r>
      <w:r w:rsidRPr="00AF3ED2">
        <w:rPr>
          <w:bCs/>
          <w:color w:val="000000" w:themeColor="text1"/>
        </w:rPr>
        <w:t xml:space="preserve"> 134.88 billion USD, went up by 25.8%, </w:t>
      </w:r>
      <w:r w:rsidRPr="00AF3ED2">
        <w:rPr>
          <w:bCs/>
        </w:rPr>
        <w:t>accounting for</w:t>
      </w:r>
      <w:r w:rsidRPr="00AF3ED2">
        <w:rPr>
          <w:bCs/>
          <w:color w:val="000000" w:themeColor="text1"/>
        </w:rPr>
        <w:t xml:space="preserve"> 80.0%.</w:t>
      </w:r>
    </w:p>
    <w:p w14:paraId="0688561B" w14:textId="77777777" w:rsidR="005B4C2A" w:rsidRPr="00AF3ED2" w:rsidRDefault="005B4C2A" w:rsidP="005B4C2A">
      <w:pPr>
        <w:tabs>
          <w:tab w:val="num" w:pos="0"/>
          <w:tab w:val="left" w:pos="9475"/>
        </w:tabs>
        <w:spacing w:before="40" w:after="40" w:line="264" w:lineRule="auto"/>
        <w:ind w:right="6" w:firstLine="567"/>
        <w:jc w:val="both"/>
        <w:rPr>
          <w:color w:val="000000" w:themeColor="text1"/>
          <w:spacing w:val="-4"/>
        </w:rPr>
      </w:pPr>
      <w:r w:rsidRPr="00AF3ED2">
        <w:rPr>
          <w:bCs/>
          <w:color w:val="000000" w:themeColor="text1"/>
        </w:rPr>
        <w:t xml:space="preserve">In </w:t>
      </w:r>
      <w:r>
        <w:rPr>
          <w:bCs/>
          <w:color w:val="000000" w:themeColor="text1"/>
        </w:rPr>
        <w:t>four months of</w:t>
      </w:r>
      <w:r w:rsidRPr="00AF3ED2">
        <w:rPr>
          <w:bCs/>
          <w:color w:val="000000" w:themeColor="text1"/>
        </w:rPr>
        <w:t xml:space="preserve"> 2026, </w:t>
      </w:r>
      <w:r w:rsidRPr="00AF3ED2">
        <w:rPr>
          <w:bCs/>
        </w:rPr>
        <w:t>there were</w:t>
      </w:r>
      <w:r w:rsidRPr="00AF3ED2">
        <w:rPr>
          <w:bCs/>
          <w:color w:val="000000" w:themeColor="text1"/>
        </w:rPr>
        <w:t xml:space="preserve"> 24 </w:t>
      </w:r>
      <w:r w:rsidRPr="00AF3ED2">
        <w:t>export items</w:t>
      </w:r>
      <w:r w:rsidRPr="00AF3ED2">
        <w:rPr>
          <w:bCs/>
        </w:rPr>
        <w:t xml:space="preserve"> with a value exceeding 1 billion USD</w:t>
      </w:r>
      <w:r w:rsidRPr="00AF3ED2">
        <w:rPr>
          <w:bCs/>
          <w:color w:val="000000" w:themeColor="text1"/>
        </w:rPr>
        <w:t xml:space="preserve">, </w:t>
      </w:r>
      <w:r w:rsidRPr="00AF3ED2">
        <w:rPr>
          <w:bCs/>
        </w:rPr>
        <w:t>accounting for</w:t>
      </w:r>
      <w:r w:rsidRPr="00AF3ED2">
        <w:rPr>
          <w:bCs/>
          <w:color w:val="000000" w:themeColor="text1"/>
        </w:rPr>
        <w:t xml:space="preserve"> 89.1% </w:t>
      </w:r>
      <w:r w:rsidRPr="00AF3ED2">
        <w:rPr>
          <w:bCs/>
        </w:rPr>
        <w:t xml:space="preserve">of the total export </w:t>
      </w:r>
      <w:r w:rsidRPr="00AF3ED2">
        <w:t>turnover</w:t>
      </w:r>
      <w:r w:rsidRPr="00AF3ED2">
        <w:rPr>
          <w:bCs/>
        </w:rPr>
        <w:t xml:space="preserve"> (</w:t>
      </w:r>
      <w:r w:rsidRPr="00AF3ED2">
        <w:t>including</w:t>
      </w:r>
      <w:r w:rsidRPr="00AF3ED2">
        <w:rPr>
          <w:bCs/>
          <w:color w:val="000000" w:themeColor="text1"/>
        </w:rPr>
        <w:t xml:space="preserve"> 7 </w:t>
      </w:r>
      <w:r w:rsidRPr="00AF3ED2">
        <w:rPr>
          <w:bCs/>
        </w:rPr>
        <w:t>items recorded export values of over 5 billion USD, accounting for</w:t>
      </w:r>
      <w:r w:rsidRPr="00AF3ED2">
        <w:rPr>
          <w:bCs/>
          <w:color w:val="000000" w:themeColor="text1"/>
        </w:rPr>
        <w:t xml:space="preserve"> 69.1</w:t>
      </w:r>
      <w:r w:rsidRPr="00AF3ED2">
        <w:rPr>
          <w:color w:val="000000" w:themeColor="text1"/>
          <w:spacing w:val="-4"/>
        </w:rPr>
        <w:t xml:space="preserve">%). </w:t>
      </w:r>
    </w:p>
    <w:p w14:paraId="375C0740" w14:textId="77777777" w:rsidR="005B4C2A" w:rsidRPr="00AF3ED2" w:rsidRDefault="005B4C2A" w:rsidP="005B4C2A">
      <w:pPr>
        <w:tabs>
          <w:tab w:val="num" w:pos="0"/>
          <w:tab w:val="left" w:pos="9475"/>
        </w:tabs>
        <w:spacing w:before="120" w:after="120"/>
        <w:ind w:right="119"/>
        <w:jc w:val="center"/>
        <w:rPr>
          <w:rFonts w:ascii="Arial" w:hAnsi="Arial" w:cs="Arial"/>
          <w:b/>
          <w:bCs/>
          <w:color w:val="000000" w:themeColor="text1"/>
          <w:sz w:val="24"/>
          <w:szCs w:val="24"/>
        </w:rPr>
      </w:pPr>
      <w:r w:rsidRPr="00AF3ED2">
        <w:rPr>
          <w:rFonts w:ascii="Arial" w:hAnsi="Arial" w:cs="Arial"/>
          <w:b/>
          <w:color w:val="000000" w:themeColor="text1"/>
          <w:spacing w:val="-2"/>
          <w:sz w:val="24"/>
          <w:szCs w:val="20"/>
        </w:rPr>
        <w:t xml:space="preserve">Table 4. </w:t>
      </w:r>
      <w:r w:rsidRPr="00AF3ED2">
        <w:rPr>
          <w:rFonts w:ascii="Arial" w:hAnsi="Arial" w:cs="Arial"/>
          <w:b/>
          <w:spacing w:val="-2"/>
          <w:sz w:val="24"/>
          <w:szCs w:val="20"/>
        </w:rPr>
        <w:t>Value of selected export products in four months of</w:t>
      </w:r>
      <w:r w:rsidRPr="00AF3ED2">
        <w:rPr>
          <w:rFonts w:ascii="Arial" w:hAnsi="Arial" w:cs="Arial"/>
          <w:b/>
          <w:bCs/>
          <w:color w:val="000000" w:themeColor="text1"/>
          <w:sz w:val="24"/>
          <w:szCs w:val="24"/>
        </w:rPr>
        <w:t xml:space="preserve">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5B4C2A" w:rsidRPr="00AF3ED2" w14:paraId="064EE8FF" w14:textId="77777777" w:rsidTr="00D474E6">
        <w:tc>
          <w:tcPr>
            <w:tcW w:w="4395" w:type="dxa"/>
          </w:tcPr>
          <w:p w14:paraId="608EF9FD" w14:textId="77777777" w:rsidR="005B4C2A" w:rsidRPr="00AF3ED2" w:rsidRDefault="005B4C2A" w:rsidP="00D474E6">
            <w:pPr>
              <w:tabs>
                <w:tab w:val="num" w:pos="0"/>
                <w:tab w:val="left" w:pos="9475"/>
              </w:tabs>
              <w:spacing w:before="40" w:after="40"/>
              <w:ind w:right="119"/>
              <w:jc w:val="right"/>
              <w:rPr>
                <w:rFonts w:ascii="Arial" w:hAnsi="Arial" w:cs="Arial"/>
                <w:b/>
                <w:bCs/>
                <w:i/>
                <w:iCs/>
                <w:color w:val="000000" w:themeColor="text1"/>
                <w:sz w:val="20"/>
                <w:szCs w:val="20"/>
                <w:lang w:val="en-US"/>
              </w:rPr>
            </w:pPr>
          </w:p>
          <w:p w14:paraId="681953A5" w14:textId="77777777" w:rsidR="005B4C2A" w:rsidRPr="00AF3ED2" w:rsidRDefault="005B4C2A" w:rsidP="00D474E6">
            <w:pPr>
              <w:tabs>
                <w:tab w:val="num" w:pos="0"/>
                <w:tab w:val="left" w:pos="9475"/>
              </w:tabs>
              <w:spacing w:before="40" w:after="40"/>
              <w:ind w:right="119"/>
              <w:jc w:val="right"/>
              <w:rPr>
                <w:rFonts w:ascii="Arial" w:hAnsi="Arial" w:cs="Arial"/>
                <w:b/>
                <w:bCs/>
                <w:i/>
                <w:iCs/>
                <w:color w:val="000000" w:themeColor="text1"/>
                <w:sz w:val="20"/>
                <w:szCs w:val="20"/>
                <w:lang w:val="en-US"/>
              </w:rPr>
            </w:pPr>
          </w:p>
        </w:tc>
        <w:tc>
          <w:tcPr>
            <w:tcW w:w="1842" w:type="dxa"/>
            <w:tcBorders>
              <w:top w:val="single" w:sz="4" w:space="0" w:color="auto"/>
              <w:bottom w:val="single" w:sz="4" w:space="0" w:color="auto"/>
            </w:tcBorders>
          </w:tcPr>
          <w:p w14:paraId="2EAAE0FF" w14:textId="77777777" w:rsidR="005B4C2A" w:rsidRPr="00AF3ED2" w:rsidRDefault="005B4C2A" w:rsidP="00D474E6">
            <w:pPr>
              <w:ind w:firstLine="36"/>
              <w:jc w:val="center"/>
              <w:rPr>
                <w:rFonts w:ascii="Arial" w:hAnsi="Arial" w:cs="Arial"/>
                <w:sz w:val="20"/>
                <w:szCs w:val="20"/>
                <w:lang w:val="en-US"/>
              </w:rPr>
            </w:pPr>
            <w:r w:rsidRPr="00AF3ED2">
              <w:rPr>
                <w:rFonts w:ascii="Arial" w:hAnsi="Arial" w:cs="Arial"/>
                <w:sz w:val="20"/>
                <w:szCs w:val="20"/>
                <w:lang w:val="en-US"/>
              </w:rPr>
              <w:t>Value</w:t>
            </w:r>
          </w:p>
          <w:p w14:paraId="6C865A5F" w14:textId="77777777" w:rsidR="005B4C2A" w:rsidRPr="00AF3ED2" w:rsidRDefault="005B4C2A" w:rsidP="00D474E6">
            <w:pPr>
              <w:spacing w:before="40" w:after="40"/>
              <w:jc w:val="center"/>
              <w:rPr>
                <w:rFonts w:ascii="Arial" w:hAnsi="Arial" w:cs="Arial"/>
                <w:b/>
                <w:bCs/>
                <w:i/>
                <w:iCs/>
                <w:color w:val="000000" w:themeColor="text1"/>
                <w:sz w:val="20"/>
                <w:szCs w:val="20"/>
                <w:lang w:val="en-US"/>
              </w:rPr>
            </w:pPr>
            <w:r w:rsidRPr="00AF3ED2">
              <w:rPr>
                <w:rFonts w:ascii="Arial" w:hAnsi="Arial" w:cs="Arial"/>
                <w:sz w:val="20"/>
                <w:szCs w:val="20"/>
                <w:lang w:val="en-US"/>
              </w:rPr>
              <w:t>(Mill. USD)</w:t>
            </w:r>
          </w:p>
        </w:tc>
        <w:tc>
          <w:tcPr>
            <w:tcW w:w="2551" w:type="dxa"/>
            <w:tcBorders>
              <w:top w:val="single" w:sz="4" w:space="0" w:color="auto"/>
              <w:bottom w:val="single" w:sz="4" w:space="0" w:color="auto"/>
            </w:tcBorders>
          </w:tcPr>
          <w:p w14:paraId="7945D024" w14:textId="77777777" w:rsidR="005B4C2A" w:rsidRPr="00AF3ED2" w:rsidRDefault="005B4C2A" w:rsidP="00D474E6">
            <w:pPr>
              <w:spacing w:before="40" w:after="40"/>
              <w:jc w:val="center"/>
              <w:rPr>
                <w:rFonts w:ascii="Arial" w:hAnsi="Arial" w:cs="Arial"/>
                <w:b/>
                <w:bCs/>
                <w:i/>
                <w:iCs/>
                <w:color w:val="000000" w:themeColor="text1"/>
                <w:sz w:val="20"/>
                <w:szCs w:val="20"/>
                <w:lang w:val="en-US"/>
              </w:rPr>
            </w:pPr>
            <w:r w:rsidRPr="00AF3ED2">
              <w:rPr>
                <w:rFonts w:ascii="Arial" w:hAnsi="Arial" w:cs="Arial"/>
                <w:sz w:val="20"/>
                <w:szCs w:val="20"/>
                <w:lang w:val="en-US"/>
              </w:rPr>
              <w:t>Growth rate Y-o-Y (%)</w:t>
            </w:r>
          </w:p>
        </w:tc>
      </w:tr>
      <w:tr w:rsidR="005B4C2A" w:rsidRPr="00AF3ED2" w14:paraId="5CBCDE2A" w14:textId="77777777" w:rsidTr="00D474E6">
        <w:tc>
          <w:tcPr>
            <w:tcW w:w="4395" w:type="dxa"/>
            <w:vAlign w:val="bottom"/>
          </w:tcPr>
          <w:p w14:paraId="1C4D321D" w14:textId="77777777" w:rsidR="005B4C2A" w:rsidRPr="00AF3ED2" w:rsidRDefault="005B4C2A" w:rsidP="00D474E6">
            <w:pPr>
              <w:spacing w:before="40" w:after="40"/>
              <w:rPr>
                <w:rFonts w:ascii="Arial" w:hAnsi="Arial" w:cs="Arial"/>
                <w:b/>
                <w:bCs/>
                <w:color w:val="000000" w:themeColor="text1"/>
                <w:sz w:val="20"/>
                <w:szCs w:val="20"/>
                <w:lang w:val="en-US"/>
              </w:rPr>
            </w:pPr>
            <w:r w:rsidRPr="00AF3ED2">
              <w:rPr>
                <w:rFonts w:ascii="Arial" w:hAnsi="Arial" w:cs="Arial"/>
                <w:b/>
                <w:bCs/>
                <w:spacing w:val="-10"/>
                <w:sz w:val="20"/>
                <w:szCs w:val="20"/>
                <w:lang w:val="en-US"/>
              </w:rPr>
              <w:t>Products with a value of over 5 billion USD</w:t>
            </w:r>
          </w:p>
        </w:tc>
        <w:tc>
          <w:tcPr>
            <w:tcW w:w="1842" w:type="dxa"/>
            <w:tcBorders>
              <w:top w:val="single" w:sz="4" w:space="0" w:color="auto"/>
            </w:tcBorders>
          </w:tcPr>
          <w:p w14:paraId="58885435" w14:textId="77777777" w:rsidR="005B4C2A" w:rsidRPr="00AF3ED2" w:rsidRDefault="005B4C2A" w:rsidP="00D474E6">
            <w:pPr>
              <w:tabs>
                <w:tab w:val="num" w:pos="0"/>
                <w:tab w:val="left" w:pos="9475"/>
              </w:tabs>
              <w:spacing w:before="40" w:after="40"/>
              <w:ind w:right="119"/>
              <w:jc w:val="right"/>
              <w:rPr>
                <w:rFonts w:ascii="Arial" w:hAnsi="Arial" w:cs="Arial"/>
                <w:b/>
                <w:bCs/>
                <w:i/>
                <w:iCs/>
                <w:color w:val="000000" w:themeColor="text1"/>
                <w:sz w:val="20"/>
                <w:szCs w:val="20"/>
                <w:lang w:val="en-US"/>
              </w:rPr>
            </w:pPr>
          </w:p>
        </w:tc>
        <w:tc>
          <w:tcPr>
            <w:tcW w:w="2551" w:type="dxa"/>
            <w:tcBorders>
              <w:top w:val="single" w:sz="4" w:space="0" w:color="auto"/>
            </w:tcBorders>
          </w:tcPr>
          <w:p w14:paraId="01134EA6" w14:textId="77777777" w:rsidR="005B4C2A" w:rsidRPr="00AF3ED2" w:rsidRDefault="005B4C2A" w:rsidP="00D474E6">
            <w:pPr>
              <w:tabs>
                <w:tab w:val="num" w:pos="0"/>
                <w:tab w:val="left" w:pos="9475"/>
              </w:tabs>
              <w:spacing w:before="40" w:after="40"/>
              <w:ind w:right="119"/>
              <w:jc w:val="right"/>
              <w:rPr>
                <w:rFonts w:ascii="Arial" w:hAnsi="Arial" w:cs="Arial"/>
                <w:b/>
                <w:bCs/>
                <w:i/>
                <w:iCs/>
                <w:color w:val="000000" w:themeColor="text1"/>
                <w:sz w:val="20"/>
                <w:szCs w:val="20"/>
                <w:lang w:val="en-US"/>
              </w:rPr>
            </w:pPr>
          </w:p>
        </w:tc>
      </w:tr>
      <w:tr w:rsidR="005B4C2A" w:rsidRPr="00AF3ED2" w14:paraId="1A51860F" w14:textId="77777777" w:rsidTr="00D474E6">
        <w:tc>
          <w:tcPr>
            <w:tcW w:w="4395" w:type="dxa"/>
            <w:vAlign w:val="bottom"/>
          </w:tcPr>
          <w:p w14:paraId="54A3E360" w14:textId="77777777" w:rsidR="005B4C2A" w:rsidRPr="00AF3ED2" w:rsidRDefault="005B4C2A" w:rsidP="00D474E6">
            <w:pPr>
              <w:spacing w:before="40" w:after="40"/>
              <w:ind w:firstLine="170"/>
              <w:rPr>
                <w:rFonts w:ascii="Arial" w:hAnsi="Arial" w:cs="Arial"/>
                <w:color w:val="000000" w:themeColor="text1"/>
                <w:sz w:val="20"/>
                <w:szCs w:val="20"/>
                <w:lang w:val="en-US"/>
              </w:rPr>
            </w:pPr>
            <w:r w:rsidRPr="00AF3ED2">
              <w:rPr>
                <w:rFonts w:ascii="Arial" w:hAnsi="Arial" w:cs="Arial"/>
                <w:spacing w:val="-6"/>
                <w:sz w:val="20"/>
                <w:szCs w:val="20"/>
                <w:lang w:val="en-US"/>
              </w:rPr>
              <w:t>Electronic goods, computers and their parts</w:t>
            </w:r>
          </w:p>
        </w:tc>
        <w:tc>
          <w:tcPr>
            <w:tcW w:w="1842" w:type="dxa"/>
            <w:vAlign w:val="bottom"/>
          </w:tcPr>
          <w:p w14:paraId="2E56B151" w14:textId="77777777" w:rsidR="005B4C2A" w:rsidRPr="00AF3ED2" w:rsidRDefault="005B4C2A" w:rsidP="00D474E6">
            <w:pPr>
              <w:spacing w:before="40" w:after="40"/>
              <w:ind w:right="456"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43,624</w:t>
            </w:r>
          </w:p>
        </w:tc>
        <w:tc>
          <w:tcPr>
            <w:tcW w:w="2551" w:type="dxa"/>
            <w:vAlign w:val="bottom"/>
          </w:tcPr>
          <w:p w14:paraId="4EDD494A" w14:textId="77777777" w:rsidR="005B4C2A" w:rsidRPr="00AF3ED2" w:rsidRDefault="005B4C2A" w:rsidP="00D474E6">
            <w:pPr>
              <w:spacing w:before="40" w:after="40"/>
              <w:ind w:right="880"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49.1</w:t>
            </w:r>
          </w:p>
        </w:tc>
      </w:tr>
      <w:tr w:rsidR="005B4C2A" w:rsidRPr="00AF3ED2" w14:paraId="73CA4052" w14:textId="77777777" w:rsidTr="00D474E6">
        <w:tc>
          <w:tcPr>
            <w:tcW w:w="4395" w:type="dxa"/>
            <w:vAlign w:val="bottom"/>
          </w:tcPr>
          <w:p w14:paraId="4490AFB0" w14:textId="77777777" w:rsidR="005B4C2A" w:rsidRPr="00AF3ED2" w:rsidRDefault="005B4C2A" w:rsidP="00D474E6">
            <w:pPr>
              <w:spacing w:before="40" w:after="40"/>
              <w:ind w:firstLine="170"/>
              <w:rPr>
                <w:rFonts w:ascii="Arial" w:hAnsi="Arial" w:cs="Arial"/>
                <w:color w:val="000000" w:themeColor="text1"/>
                <w:sz w:val="20"/>
                <w:szCs w:val="20"/>
                <w:lang w:val="en-US"/>
              </w:rPr>
            </w:pPr>
            <w:r w:rsidRPr="00AF3ED2">
              <w:rPr>
                <w:rFonts w:ascii="Arial" w:hAnsi="Arial" w:cs="Arial"/>
                <w:sz w:val="20"/>
                <w:szCs w:val="20"/>
                <w:lang w:val="en-US"/>
              </w:rPr>
              <w:t>Phones all of kinds and their parts</w:t>
            </w:r>
          </w:p>
        </w:tc>
        <w:tc>
          <w:tcPr>
            <w:tcW w:w="1842" w:type="dxa"/>
            <w:vAlign w:val="bottom"/>
          </w:tcPr>
          <w:p w14:paraId="7DB0BC4A" w14:textId="77777777" w:rsidR="005B4C2A" w:rsidRPr="00AF3ED2" w:rsidRDefault="005B4C2A" w:rsidP="00D474E6">
            <w:pPr>
              <w:spacing w:before="40" w:after="40"/>
              <w:ind w:right="456"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21,548</w:t>
            </w:r>
          </w:p>
        </w:tc>
        <w:tc>
          <w:tcPr>
            <w:tcW w:w="2551" w:type="dxa"/>
            <w:vAlign w:val="bottom"/>
          </w:tcPr>
          <w:p w14:paraId="00345C6C" w14:textId="77777777" w:rsidR="005B4C2A" w:rsidRPr="00AF3ED2" w:rsidRDefault="005B4C2A" w:rsidP="00D474E6">
            <w:pPr>
              <w:spacing w:before="40" w:after="40"/>
              <w:ind w:right="880"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21.1</w:t>
            </w:r>
          </w:p>
        </w:tc>
      </w:tr>
      <w:tr w:rsidR="005B4C2A" w:rsidRPr="00AF3ED2" w14:paraId="0C17AF73" w14:textId="77777777" w:rsidTr="00D474E6">
        <w:tc>
          <w:tcPr>
            <w:tcW w:w="4395" w:type="dxa"/>
            <w:vAlign w:val="bottom"/>
          </w:tcPr>
          <w:p w14:paraId="3112869F" w14:textId="77777777" w:rsidR="005B4C2A" w:rsidRPr="00AF3ED2" w:rsidRDefault="005B4C2A" w:rsidP="00D474E6">
            <w:pPr>
              <w:spacing w:before="40" w:after="40"/>
              <w:ind w:firstLine="170"/>
              <w:rPr>
                <w:rFonts w:ascii="Arial" w:hAnsi="Arial" w:cs="Arial"/>
                <w:color w:val="000000" w:themeColor="text1"/>
                <w:sz w:val="20"/>
                <w:szCs w:val="20"/>
                <w:lang w:val="en-US"/>
              </w:rPr>
            </w:pPr>
            <w:r w:rsidRPr="00AF3ED2">
              <w:rPr>
                <w:rFonts w:ascii="Arial" w:hAnsi="Arial" w:cs="Arial"/>
                <w:sz w:val="20"/>
                <w:szCs w:val="20"/>
                <w:lang w:val="en-US"/>
              </w:rPr>
              <w:t>Machinery, instrument, accessory</w:t>
            </w:r>
          </w:p>
        </w:tc>
        <w:tc>
          <w:tcPr>
            <w:tcW w:w="1842" w:type="dxa"/>
            <w:vAlign w:val="bottom"/>
          </w:tcPr>
          <w:p w14:paraId="2EC35B27" w14:textId="77777777" w:rsidR="005B4C2A" w:rsidRPr="00AF3ED2" w:rsidRDefault="005B4C2A" w:rsidP="00D474E6">
            <w:pPr>
              <w:spacing w:before="40" w:after="40"/>
              <w:ind w:right="456"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20,600</w:t>
            </w:r>
          </w:p>
        </w:tc>
        <w:tc>
          <w:tcPr>
            <w:tcW w:w="2551" w:type="dxa"/>
            <w:vAlign w:val="bottom"/>
          </w:tcPr>
          <w:p w14:paraId="178CB565" w14:textId="77777777" w:rsidR="005B4C2A" w:rsidRPr="00AF3ED2" w:rsidRDefault="005B4C2A" w:rsidP="00D474E6">
            <w:pPr>
              <w:spacing w:before="40" w:after="40"/>
              <w:ind w:right="880"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20.5</w:t>
            </w:r>
          </w:p>
        </w:tc>
      </w:tr>
      <w:tr w:rsidR="005B4C2A" w:rsidRPr="00AF3ED2" w14:paraId="63D9995B" w14:textId="77777777" w:rsidTr="00D474E6">
        <w:tc>
          <w:tcPr>
            <w:tcW w:w="4395" w:type="dxa"/>
            <w:vAlign w:val="bottom"/>
          </w:tcPr>
          <w:p w14:paraId="03B27465" w14:textId="77777777" w:rsidR="005B4C2A" w:rsidRPr="00AF3ED2" w:rsidRDefault="005B4C2A" w:rsidP="00D474E6">
            <w:pPr>
              <w:spacing w:before="40" w:after="40"/>
              <w:ind w:firstLine="170"/>
              <w:rPr>
                <w:rFonts w:ascii="Arial" w:hAnsi="Arial" w:cs="Arial"/>
                <w:color w:val="000000" w:themeColor="text1"/>
                <w:sz w:val="20"/>
                <w:szCs w:val="20"/>
                <w:lang w:val="en-US"/>
              </w:rPr>
            </w:pPr>
            <w:r w:rsidRPr="00AF3ED2">
              <w:rPr>
                <w:rFonts w:ascii="Arial" w:hAnsi="Arial" w:cs="Arial"/>
                <w:sz w:val="20"/>
                <w:szCs w:val="20"/>
                <w:lang w:val="en-US"/>
              </w:rPr>
              <w:t>Textiles and sewing products</w:t>
            </w:r>
          </w:p>
        </w:tc>
        <w:tc>
          <w:tcPr>
            <w:tcW w:w="1842" w:type="dxa"/>
            <w:vAlign w:val="bottom"/>
          </w:tcPr>
          <w:p w14:paraId="70280135" w14:textId="77777777" w:rsidR="005B4C2A" w:rsidRPr="00AF3ED2" w:rsidRDefault="005B4C2A" w:rsidP="00D474E6">
            <w:pPr>
              <w:spacing w:before="40" w:after="40"/>
              <w:ind w:right="456"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11,963</w:t>
            </w:r>
          </w:p>
        </w:tc>
        <w:tc>
          <w:tcPr>
            <w:tcW w:w="2551" w:type="dxa"/>
            <w:vAlign w:val="bottom"/>
          </w:tcPr>
          <w:p w14:paraId="49C34923" w14:textId="77777777" w:rsidR="005B4C2A" w:rsidRPr="00AF3ED2" w:rsidRDefault="005B4C2A" w:rsidP="00D474E6">
            <w:pPr>
              <w:spacing w:before="40" w:after="40"/>
              <w:ind w:right="880"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1.6</w:t>
            </w:r>
          </w:p>
        </w:tc>
      </w:tr>
      <w:tr w:rsidR="005B4C2A" w:rsidRPr="00AF3ED2" w14:paraId="08F2F4F8" w14:textId="77777777" w:rsidTr="00D474E6">
        <w:tc>
          <w:tcPr>
            <w:tcW w:w="4395" w:type="dxa"/>
            <w:vAlign w:val="bottom"/>
          </w:tcPr>
          <w:p w14:paraId="2DDD2980" w14:textId="77777777" w:rsidR="005B4C2A" w:rsidRPr="00AF3ED2" w:rsidRDefault="005B4C2A" w:rsidP="00D474E6">
            <w:pPr>
              <w:spacing w:before="40" w:after="40"/>
              <w:ind w:firstLine="170"/>
              <w:rPr>
                <w:rFonts w:ascii="Arial" w:hAnsi="Arial" w:cs="Arial"/>
                <w:color w:val="000000" w:themeColor="text1"/>
                <w:sz w:val="20"/>
                <w:szCs w:val="20"/>
                <w:lang w:val="en-US"/>
              </w:rPr>
            </w:pPr>
            <w:r w:rsidRPr="00AF3ED2">
              <w:rPr>
                <w:rFonts w:ascii="Arial" w:hAnsi="Arial" w:cs="Arial"/>
                <w:sz w:val="20"/>
                <w:szCs w:val="20"/>
                <w:lang w:val="en-US"/>
              </w:rPr>
              <w:t>Footwear</w:t>
            </w:r>
          </w:p>
        </w:tc>
        <w:tc>
          <w:tcPr>
            <w:tcW w:w="1842" w:type="dxa"/>
            <w:vAlign w:val="bottom"/>
          </w:tcPr>
          <w:p w14:paraId="188DED7E" w14:textId="77777777" w:rsidR="005B4C2A" w:rsidRPr="00AF3ED2" w:rsidRDefault="005B4C2A" w:rsidP="00D474E6">
            <w:pPr>
              <w:spacing w:before="40" w:after="40"/>
              <w:ind w:right="456"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7,320</w:t>
            </w:r>
          </w:p>
        </w:tc>
        <w:tc>
          <w:tcPr>
            <w:tcW w:w="2551" w:type="dxa"/>
            <w:vAlign w:val="bottom"/>
          </w:tcPr>
          <w:p w14:paraId="17DCB405" w14:textId="77777777" w:rsidR="005B4C2A" w:rsidRPr="00AF3ED2" w:rsidRDefault="005B4C2A" w:rsidP="00D474E6">
            <w:pPr>
              <w:spacing w:before="40" w:after="40"/>
              <w:ind w:right="880"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-3.8</w:t>
            </w:r>
          </w:p>
        </w:tc>
      </w:tr>
      <w:tr w:rsidR="005B4C2A" w:rsidRPr="00AF3ED2" w14:paraId="7AE545EB" w14:textId="77777777" w:rsidTr="00D474E6">
        <w:tc>
          <w:tcPr>
            <w:tcW w:w="4395" w:type="dxa"/>
            <w:vAlign w:val="bottom"/>
          </w:tcPr>
          <w:p w14:paraId="6BAC76B4" w14:textId="77777777" w:rsidR="005B4C2A" w:rsidRPr="00AF3ED2" w:rsidRDefault="005B4C2A" w:rsidP="00D474E6">
            <w:pPr>
              <w:spacing w:before="40" w:after="40"/>
              <w:ind w:firstLine="170"/>
              <w:rPr>
                <w:rFonts w:ascii="Arial" w:hAnsi="Arial" w:cs="Arial"/>
                <w:color w:val="000000" w:themeColor="text1"/>
                <w:sz w:val="20"/>
                <w:szCs w:val="20"/>
                <w:lang w:val="en-US"/>
              </w:rPr>
            </w:pPr>
            <w:r w:rsidRPr="00AF3ED2">
              <w:rPr>
                <w:rFonts w:ascii="Arial" w:hAnsi="Arial" w:cs="Arial"/>
                <w:color w:val="000000" w:themeColor="text1"/>
                <w:sz w:val="20"/>
                <w:szCs w:val="20"/>
                <w:lang w:val="en-US"/>
              </w:rPr>
              <w:t>Means of transport and spare parts</w:t>
            </w:r>
          </w:p>
        </w:tc>
        <w:tc>
          <w:tcPr>
            <w:tcW w:w="1842" w:type="dxa"/>
            <w:vAlign w:val="bottom"/>
          </w:tcPr>
          <w:p w14:paraId="5252C276" w14:textId="77777777" w:rsidR="005B4C2A" w:rsidRPr="00AF3ED2" w:rsidRDefault="005B4C2A" w:rsidP="00D474E6">
            <w:pPr>
              <w:spacing w:before="40" w:after="40"/>
              <w:ind w:right="456"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6,110</w:t>
            </w:r>
          </w:p>
        </w:tc>
        <w:tc>
          <w:tcPr>
            <w:tcW w:w="2551" w:type="dxa"/>
            <w:vAlign w:val="bottom"/>
          </w:tcPr>
          <w:p w14:paraId="4BFB186F" w14:textId="77777777" w:rsidR="005B4C2A" w:rsidRPr="00AF3ED2" w:rsidRDefault="005B4C2A" w:rsidP="00D474E6">
            <w:pPr>
              <w:spacing w:before="40" w:after="40"/>
              <w:ind w:right="880"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13.2</w:t>
            </w:r>
          </w:p>
        </w:tc>
      </w:tr>
      <w:tr w:rsidR="005B4C2A" w:rsidRPr="00AF3ED2" w14:paraId="48DE9754" w14:textId="77777777" w:rsidTr="00D474E6">
        <w:tc>
          <w:tcPr>
            <w:tcW w:w="4395" w:type="dxa"/>
            <w:vAlign w:val="bottom"/>
          </w:tcPr>
          <w:p w14:paraId="48B84247" w14:textId="77777777" w:rsidR="005B4C2A" w:rsidRPr="00AF3ED2" w:rsidRDefault="005B4C2A" w:rsidP="00D474E6">
            <w:pPr>
              <w:spacing w:before="40" w:after="40"/>
              <w:ind w:firstLine="170"/>
              <w:rPr>
                <w:rFonts w:ascii="Arial" w:hAnsi="Arial" w:cs="Arial"/>
                <w:color w:val="000000" w:themeColor="text1"/>
                <w:sz w:val="20"/>
                <w:szCs w:val="20"/>
                <w:lang w:val="en-US"/>
              </w:rPr>
            </w:pPr>
            <w:r w:rsidRPr="00AF3ED2">
              <w:rPr>
                <w:rFonts w:ascii="Arial" w:hAnsi="Arial" w:cs="Arial"/>
                <w:color w:val="000000" w:themeColor="text1"/>
                <w:sz w:val="20"/>
                <w:szCs w:val="20"/>
                <w:lang w:val="en-US"/>
              </w:rPr>
              <w:t>Wood and wood products</w:t>
            </w:r>
          </w:p>
        </w:tc>
        <w:tc>
          <w:tcPr>
            <w:tcW w:w="1842" w:type="dxa"/>
            <w:vAlign w:val="bottom"/>
          </w:tcPr>
          <w:p w14:paraId="5FD38C03" w14:textId="77777777" w:rsidR="005B4C2A" w:rsidRPr="00AF3ED2" w:rsidRDefault="005B4C2A" w:rsidP="00D474E6">
            <w:pPr>
              <w:spacing w:before="40" w:after="40"/>
              <w:ind w:right="456"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5,339</w:t>
            </w:r>
          </w:p>
        </w:tc>
        <w:tc>
          <w:tcPr>
            <w:tcW w:w="2551" w:type="dxa"/>
            <w:vAlign w:val="bottom"/>
          </w:tcPr>
          <w:p w14:paraId="51AF3059" w14:textId="77777777" w:rsidR="005B4C2A" w:rsidRPr="00AF3ED2" w:rsidRDefault="005B4C2A" w:rsidP="00D474E6">
            <w:pPr>
              <w:spacing w:before="40" w:after="40"/>
              <w:ind w:right="880"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-1.1</w:t>
            </w:r>
          </w:p>
        </w:tc>
      </w:tr>
    </w:tbl>
    <w:p w14:paraId="1E6058EB" w14:textId="77777777" w:rsidR="005B4C2A" w:rsidRPr="00AF3ED2" w:rsidRDefault="005B4C2A" w:rsidP="005B4C2A">
      <w:pPr>
        <w:spacing w:before="40" w:after="40" w:line="264" w:lineRule="auto"/>
        <w:rPr>
          <w:rFonts w:eastAsia="Batang"/>
          <w:bCs/>
          <w:i/>
          <w:color w:val="000000" w:themeColor="text1"/>
          <w:spacing w:val="-6"/>
          <w:sz w:val="2"/>
        </w:rPr>
      </w:pPr>
    </w:p>
    <w:p w14:paraId="713FFC52" w14:textId="77777777" w:rsidR="005B4C2A" w:rsidRPr="00AF3ED2" w:rsidRDefault="005B4C2A" w:rsidP="005B4C2A">
      <w:pPr>
        <w:tabs>
          <w:tab w:val="left" w:pos="9475"/>
        </w:tabs>
        <w:spacing w:before="120" w:after="40" w:line="264" w:lineRule="auto"/>
        <w:ind w:right="6"/>
        <w:jc w:val="both"/>
        <w:rPr>
          <w:rStyle w:val="Strong"/>
          <w:i/>
          <w:iCs/>
          <w:color w:val="000000" w:themeColor="text1"/>
        </w:rPr>
      </w:pPr>
      <w:r w:rsidRPr="00AF3ED2">
        <w:rPr>
          <w:noProof/>
          <w:color w:val="000000" w:themeColor="text1"/>
          <w:spacing w:val="-2"/>
        </w:rPr>
        <mc:AlternateContent>
          <mc:Choice Requires="wps">
            <w:drawing>
              <wp:anchor distT="0" distB="0" distL="114300" distR="114300" simplePos="0" relativeHeight="251673600" behindDoc="0" locked="0" layoutInCell="1" allowOverlap="1" wp14:anchorId="24CCC402" wp14:editId="5E885937">
                <wp:simplePos x="0" y="0"/>
                <wp:positionH relativeFrom="column">
                  <wp:posOffset>204470</wp:posOffset>
                </wp:positionH>
                <wp:positionV relativeFrom="paragraph">
                  <wp:posOffset>187707</wp:posOffset>
                </wp:positionV>
                <wp:extent cx="3170555" cy="251841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518410"/>
                        </a:xfrm>
                        <a:prstGeom prst="rect">
                          <a:avLst/>
                        </a:prstGeom>
                        <a:solidFill>
                          <a:srgbClr val="FFFFFF"/>
                        </a:solidFill>
                        <a:ln w="9525">
                          <a:noFill/>
                          <a:miter lim="800000"/>
                          <a:headEnd/>
                          <a:tailEnd/>
                        </a:ln>
                      </wps:spPr>
                      <wps:txbx>
                        <w:txbxContent>
                          <w:p w14:paraId="0EC59F2A" w14:textId="77777777" w:rsidR="005B4C2A" w:rsidRDefault="005B4C2A" w:rsidP="005B4C2A">
                            <w:pPr>
                              <w:spacing w:after="12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12</w:t>
                            </w:r>
                            <w:r w:rsidRPr="006822A2">
                              <w:rPr>
                                <w:rFonts w:ascii="Arial" w:hAnsi="Arial" w:cs="Arial"/>
                                <w:b/>
                                <w:bCs/>
                                <w:sz w:val="24"/>
                                <w:szCs w:val="24"/>
                              </w:rPr>
                              <w:t xml:space="preserve">. </w:t>
                            </w:r>
                            <w:r>
                              <w:rPr>
                                <w:rFonts w:ascii="Arial" w:hAnsi="Arial" w:cs="Arial"/>
                                <w:b/>
                                <w:bCs/>
                                <w:sz w:val="24"/>
                                <w:szCs w:val="24"/>
                              </w:rPr>
                              <w:t>Structure of exported goods</w:t>
                            </w:r>
                          </w:p>
                          <w:p w14:paraId="4E77BCB6" w14:textId="77777777" w:rsidR="005B4C2A" w:rsidRPr="00B315BB" w:rsidRDefault="005B4C2A" w:rsidP="005B4C2A">
                            <w:pPr>
                              <w:spacing w:after="120"/>
                              <w:jc w:val="center"/>
                              <w:rPr>
                                <w:rFonts w:ascii="Arial" w:hAnsi="Arial" w:cs="Arial"/>
                                <w:b/>
                                <w:bCs/>
                                <w:sz w:val="24"/>
                                <w:szCs w:val="24"/>
                              </w:rPr>
                            </w:pPr>
                            <w:r>
                              <w:rPr>
                                <w:rFonts w:ascii="Arial" w:hAnsi="Arial" w:cs="Arial"/>
                                <w:b/>
                                <w:bCs/>
                                <w:sz w:val="24"/>
                                <w:szCs w:val="24"/>
                              </w:rPr>
                              <w:t>in four months of</w:t>
                            </w:r>
                            <w:r w:rsidRPr="006822A2">
                              <w:rPr>
                                <w:rFonts w:ascii="Arial" w:hAnsi="Arial" w:cs="Arial"/>
                                <w:b/>
                                <w:bCs/>
                                <w:sz w:val="24"/>
                                <w:szCs w:val="24"/>
                              </w:rPr>
                              <w:t xml:space="preserve"> 202</w:t>
                            </w:r>
                            <w:r>
                              <w:rPr>
                                <w:rFonts w:ascii="Arial" w:hAnsi="Arial" w:cs="Arial"/>
                                <w:b/>
                                <w:bCs/>
                                <w:sz w:val="24"/>
                                <w:szCs w:val="24"/>
                              </w:rPr>
                              <w:t>6</w:t>
                            </w:r>
                          </w:p>
                          <w:p w14:paraId="628F83A2" w14:textId="77777777" w:rsidR="005B4C2A" w:rsidRPr="00271B83" w:rsidRDefault="005B4C2A" w:rsidP="005B4C2A">
                            <w:pPr>
                              <w:spacing w:before="120" w:after="120"/>
                              <w:ind w:left="-142"/>
                              <w:jc w:val="center"/>
                              <w:rPr>
                                <w:rFonts w:ascii="Arial" w:hAnsi="Arial" w:cs="Arial"/>
                                <w:sz w:val="24"/>
                                <w:szCs w:val="24"/>
                              </w:rPr>
                            </w:pPr>
                            <w:r>
                              <w:rPr>
                                <w:noProof/>
                              </w:rPr>
                              <w:drawing>
                                <wp:inline distT="0" distB="0" distL="0" distR="0" wp14:anchorId="0ED9E6B1" wp14:editId="5873BF75">
                                  <wp:extent cx="3089275" cy="1536086"/>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9275" cy="1536086"/>
                                          </a:xfrm>
                                          <a:prstGeom prst="rect">
                                            <a:avLst/>
                                          </a:prstGeom>
                                          <a:noFill/>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CCC402" id="_x0000_t202" coordsize="21600,21600" o:spt="202" path="m,l,21600r21600,l21600,xe">
                <v:stroke joinstyle="miter"/>
                <v:path gradientshapeok="t" o:connecttype="rect"/>
              </v:shapetype>
              <v:shape id="Text Box 2" o:spid="_x0000_s1026" type="#_x0000_t202" style="position:absolute;left:0;text-align:left;margin-left:16.1pt;margin-top:14.8pt;width:249.65pt;height:198.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" stroked="f">
                <v:textbox inset="1mm,1mm,1mm,1mm">
                  <w:txbxContent>
                    <w:p w14:paraId="0EC59F2A" w14:textId="77777777" w:rsidR="005B4C2A" w:rsidRDefault="005B4C2A" w:rsidP="005B4C2A">
                      <w:pPr>
                        <w:spacing w:after="12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12</w:t>
                      </w:r>
                      <w:r w:rsidRPr="006822A2">
                        <w:rPr>
                          <w:rFonts w:ascii="Arial" w:hAnsi="Arial" w:cs="Arial"/>
                          <w:b/>
                          <w:bCs/>
                          <w:sz w:val="24"/>
                          <w:szCs w:val="24"/>
                        </w:rPr>
                        <w:t xml:space="preserve">. </w:t>
                      </w:r>
                      <w:r>
                        <w:rPr>
                          <w:rFonts w:ascii="Arial" w:hAnsi="Arial" w:cs="Arial"/>
                          <w:b/>
                          <w:bCs/>
                          <w:sz w:val="24"/>
                          <w:szCs w:val="24"/>
                        </w:rPr>
                        <w:t>Structure of exported goods</w:t>
                      </w:r>
                    </w:p>
                    <w:p w14:paraId="4E77BCB6" w14:textId="77777777" w:rsidR="005B4C2A" w:rsidRPr="00B315BB" w:rsidRDefault="005B4C2A" w:rsidP="005B4C2A">
                      <w:pPr>
                        <w:spacing w:after="120"/>
                        <w:jc w:val="center"/>
                        <w:rPr>
                          <w:rFonts w:ascii="Arial" w:hAnsi="Arial" w:cs="Arial"/>
                          <w:b/>
                          <w:bCs/>
                          <w:sz w:val="24"/>
                          <w:szCs w:val="24"/>
                        </w:rPr>
                      </w:pPr>
                      <w:r>
                        <w:rPr>
                          <w:rFonts w:ascii="Arial" w:hAnsi="Arial" w:cs="Arial"/>
                          <w:b/>
                          <w:bCs/>
                          <w:sz w:val="24"/>
                          <w:szCs w:val="24"/>
                        </w:rPr>
                        <w:t>in four months of</w:t>
                      </w:r>
                      <w:r w:rsidRPr="006822A2">
                        <w:rPr>
                          <w:rFonts w:ascii="Arial" w:hAnsi="Arial" w:cs="Arial"/>
                          <w:b/>
                          <w:bCs/>
                          <w:sz w:val="24"/>
                          <w:szCs w:val="24"/>
                        </w:rPr>
                        <w:t xml:space="preserve"> 202</w:t>
                      </w:r>
                      <w:r>
                        <w:rPr>
                          <w:rFonts w:ascii="Arial" w:hAnsi="Arial" w:cs="Arial"/>
                          <w:b/>
                          <w:bCs/>
                          <w:sz w:val="24"/>
                          <w:szCs w:val="24"/>
                        </w:rPr>
                        <w:t>6</w:t>
                      </w:r>
                    </w:p>
                    <w:p w14:paraId="628F83A2" w14:textId="77777777" w:rsidR="005B4C2A" w:rsidRPr="00271B83" w:rsidRDefault="005B4C2A" w:rsidP="005B4C2A">
                      <w:pPr>
                        <w:spacing w:before="120" w:after="120"/>
                        <w:ind w:left="-142"/>
                        <w:jc w:val="center"/>
                        <w:rPr>
                          <w:rFonts w:ascii="Arial" w:hAnsi="Arial" w:cs="Arial"/>
                          <w:sz w:val="24"/>
                          <w:szCs w:val="24"/>
                        </w:rPr>
                      </w:pPr>
                      <w:r>
                        <w:rPr>
                          <w:noProof/>
                        </w:rPr>
                        <w:drawing>
                          <wp:inline distT="0" distB="0" distL="0" distR="0" wp14:anchorId="0ED9E6B1" wp14:editId="5873BF75">
                            <wp:extent cx="3089275" cy="1536086"/>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9275" cy="1536086"/>
                                    </a:xfrm>
                                    <a:prstGeom prst="rect">
                                      <a:avLst/>
                                    </a:prstGeom>
                                    <a:noFill/>
                                  </pic:spPr>
                                </pic:pic>
                              </a:graphicData>
                            </a:graphic>
                          </wp:inline>
                        </w:drawing>
                      </w:r>
                    </w:p>
                  </w:txbxContent>
                </v:textbox>
                <w10:wrap type="square"/>
              </v:shape>
            </w:pict>
          </mc:Fallback>
        </mc:AlternateContent>
      </w:r>
      <w:r w:rsidRPr="00AF3ED2">
        <w:rPr>
          <w:rFonts w:eastAsia="Batang"/>
          <w:bCs/>
          <w:i/>
          <w:spacing w:val="-2"/>
        </w:rPr>
        <w:t>Regarding the structure of exported goods in four months of 2026</w:t>
      </w:r>
      <w:r w:rsidRPr="00AF3ED2">
        <w:rPr>
          <w:rFonts w:eastAsia="Batang"/>
          <w:bCs/>
          <w:i/>
          <w:color w:val="000000" w:themeColor="text1"/>
          <w:spacing w:val="-2"/>
        </w:rPr>
        <w:t xml:space="preserve">, </w:t>
      </w:r>
      <w:r w:rsidRPr="00AF3ED2">
        <w:rPr>
          <w:rFonts w:eastAsia="Batang"/>
          <w:bCs/>
          <w:iCs/>
        </w:rPr>
        <w:t>the group of manufactured products</w:t>
      </w:r>
      <w:r w:rsidRPr="00AF3ED2">
        <w:rPr>
          <w:rFonts w:eastAsia="Batang"/>
          <w:bCs/>
          <w:spacing w:val="-2"/>
        </w:rPr>
        <w:t xml:space="preserve"> reached</w:t>
      </w:r>
      <w:r w:rsidRPr="00AF3ED2">
        <w:rPr>
          <w:rFonts w:eastAsia="Batang"/>
          <w:bCs/>
          <w:color w:val="000000" w:themeColor="text1"/>
          <w:spacing w:val="-2"/>
        </w:rPr>
        <w:t xml:space="preserve"> 151.5 billion USD, </w:t>
      </w:r>
      <w:r w:rsidRPr="00AF3ED2">
        <w:rPr>
          <w:rFonts w:eastAsia="Batang"/>
          <w:bCs/>
          <w:spacing w:val="-2"/>
        </w:rPr>
        <w:t>accounting for</w:t>
      </w:r>
      <w:r w:rsidRPr="00AF3ED2">
        <w:rPr>
          <w:rFonts w:eastAsia="Batang"/>
          <w:bCs/>
          <w:color w:val="000000" w:themeColor="text1"/>
          <w:spacing w:val="-2"/>
        </w:rPr>
        <w:t xml:space="preserve"> 89.9%; </w:t>
      </w:r>
      <w:r w:rsidRPr="00AF3ED2">
        <w:rPr>
          <w:rFonts w:eastAsia="Batang"/>
          <w:bCs/>
          <w:spacing w:val="-2"/>
        </w:rPr>
        <w:t>the group of agricultural and forestry products reached</w:t>
      </w:r>
      <w:r w:rsidRPr="00AF3ED2">
        <w:rPr>
          <w:rFonts w:eastAsia="Batang"/>
          <w:bCs/>
          <w:color w:val="000000" w:themeColor="text1"/>
          <w:spacing w:val="-2"/>
        </w:rPr>
        <w:t xml:space="preserve"> 12.68 billion USD, </w:t>
      </w:r>
      <w:r w:rsidRPr="00AF3ED2">
        <w:rPr>
          <w:rFonts w:eastAsia="Batang"/>
          <w:bCs/>
          <w:spacing w:val="-2"/>
        </w:rPr>
        <w:t>accounting for</w:t>
      </w:r>
      <w:r w:rsidRPr="00AF3ED2">
        <w:rPr>
          <w:rFonts w:eastAsia="Batang"/>
          <w:bCs/>
          <w:color w:val="000000" w:themeColor="text1"/>
          <w:spacing w:val="-2"/>
        </w:rPr>
        <w:t xml:space="preserve"> 7.5%; </w:t>
      </w:r>
      <w:r w:rsidRPr="00AF3ED2">
        <w:rPr>
          <w:rFonts w:eastAsia="Batang"/>
          <w:bCs/>
          <w:spacing w:val="-2"/>
        </w:rPr>
        <w:t xml:space="preserve">the group of fishery products </w:t>
      </w:r>
      <w:r w:rsidRPr="00AF3ED2">
        <w:rPr>
          <w:rFonts w:eastAsia="Batang"/>
          <w:bCs/>
          <w:iCs/>
        </w:rPr>
        <w:t>attained</w:t>
      </w:r>
      <w:r w:rsidRPr="00AF3ED2">
        <w:rPr>
          <w:rFonts w:eastAsia="Batang"/>
          <w:bCs/>
          <w:color w:val="000000" w:themeColor="text1"/>
          <w:spacing w:val="-2"/>
        </w:rPr>
        <w:t xml:space="preserve"> 3.55 billion USD, </w:t>
      </w:r>
      <w:r w:rsidRPr="00AF3ED2">
        <w:rPr>
          <w:rFonts w:eastAsia="Batang"/>
          <w:bCs/>
          <w:spacing w:val="-2"/>
        </w:rPr>
        <w:t>accounting for</w:t>
      </w:r>
      <w:r w:rsidRPr="00AF3ED2">
        <w:rPr>
          <w:rFonts w:eastAsia="Batang"/>
          <w:bCs/>
          <w:color w:val="000000" w:themeColor="text1"/>
          <w:spacing w:val="-2"/>
        </w:rPr>
        <w:t xml:space="preserve"> 2.1%; </w:t>
      </w:r>
      <w:r w:rsidRPr="00AF3ED2">
        <w:rPr>
          <w:rFonts w:eastAsia="Batang"/>
          <w:bCs/>
          <w:spacing w:val="-2"/>
        </w:rPr>
        <w:t>and the group of fuels and minerals reached</w:t>
      </w:r>
      <w:r w:rsidRPr="00AF3ED2">
        <w:rPr>
          <w:rFonts w:eastAsia="Batang"/>
          <w:bCs/>
          <w:color w:val="000000" w:themeColor="text1"/>
          <w:spacing w:val="-2"/>
        </w:rPr>
        <w:t xml:space="preserve"> 0.8 billion USD, </w:t>
      </w:r>
      <w:r w:rsidRPr="00AF3ED2">
        <w:rPr>
          <w:rFonts w:eastAsia="Batang"/>
          <w:bCs/>
          <w:spacing w:val="-2"/>
        </w:rPr>
        <w:t>accounting for</w:t>
      </w:r>
      <w:r w:rsidRPr="00AF3ED2">
        <w:rPr>
          <w:rFonts w:eastAsia="Batang"/>
          <w:bCs/>
          <w:color w:val="000000" w:themeColor="text1"/>
          <w:spacing w:val="-2"/>
        </w:rPr>
        <w:t xml:space="preserve"> 0.5%.</w:t>
      </w:r>
      <w:r w:rsidRPr="00AF3ED2">
        <w:rPr>
          <w:rStyle w:val="Strong"/>
          <w:i/>
          <w:iCs/>
          <w:color w:val="000000" w:themeColor="text1"/>
        </w:rPr>
        <w:t xml:space="preserve"> </w:t>
      </w:r>
    </w:p>
    <w:p w14:paraId="3EBFC489" w14:textId="77777777" w:rsidR="005B4C2A" w:rsidRPr="00AF3ED2" w:rsidRDefault="005B4C2A" w:rsidP="005B4C2A">
      <w:pPr>
        <w:tabs>
          <w:tab w:val="left" w:pos="900"/>
          <w:tab w:val="left" w:pos="9475"/>
        </w:tabs>
        <w:spacing w:before="120" w:line="264" w:lineRule="auto"/>
        <w:ind w:firstLine="720"/>
        <w:jc w:val="both"/>
        <w:rPr>
          <w:rStyle w:val="Strong"/>
          <w:i/>
          <w:iCs/>
          <w:color w:val="000000" w:themeColor="text1"/>
        </w:rPr>
      </w:pPr>
      <w:r w:rsidRPr="00AF3ED2">
        <w:rPr>
          <w:b/>
          <w:bCs/>
          <w:i/>
          <w:iCs/>
        </w:rPr>
        <w:t>Import of goods</w:t>
      </w:r>
    </w:p>
    <w:p w14:paraId="5DE3813A" w14:textId="77777777" w:rsidR="005B4C2A" w:rsidRPr="00AF3ED2" w:rsidRDefault="005B4C2A" w:rsidP="005B4C2A">
      <w:pPr>
        <w:tabs>
          <w:tab w:val="num" w:pos="0"/>
          <w:tab w:val="left" w:pos="9475"/>
        </w:tabs>
        <w:spacing w:before="120" w:line="264" w:lineRule="auto"/>
        <w:ind w:firstLine="720"/>
        <w:jc w:val="both"/>
        <w:rPr>
          <w:bCs/>
          <w:color w:val="000000" w:themeColor="text1"/>
        </w:rPr>
      </w:pPr>
      <w:r w:rsidRPr="00AF3ED2">
        <w:rPr>
          <w:bCs/>
        </w:rPr>
        <w:t>Import turnover of goods in</w:t>
      </w:r>
      <w:r w:rsidRPr="00AF3ED2">
        <w:rPr>
          <w:bCs/>
          <w:color w:val="000000" w:themeColor="text1"/>
        </w:rPr>
        <w:t xml:space="preserve"> March 2026 reached 47.11 billion USD</w:t>
      </w:r>
      <w:r w:rsidRPr="00AF3ED2">
        <w:rPr>
          <w:rStyle w:val="FootnoteReference"/>
          <w:bCs/>
          <w:color w:val="000000" w:themeColor="text1"/>
        </w:rPr>
        <w:footnoteReference w:id="20"/>
      </w:r>
      <w:r w:rsidRPr="00AF3ED2">
        <w:rPr>
          <w:bCs/>
          <w:color w:val="000000" w:themeColor="text1"/>
        </w:rPr>
        <w:t>.</w:t>
      </w:r>
    </w:p>
    <w:p w14:paraId="7BE17684" w14:textId="77777777" w:rsidR="005B4C2A" w:rsidRPr="00AF3ED2" w:rsidRDefault="005B4C2A" w:rsidP="005B4C2A">
      <w:pPr>
        <w:tabs>
          <w:tab w:val="num" w:pos="0"/>
          <w:tab w:val="left" w:pos="9475"/>
        </w:tabs>
        <w:spacing w:before="120" w:line="264" w:lineRule="auto"/>
        <w:ind w:firstLine="720"/>
        <w:jc w:val="both"/>
        <w:rPr>
          <w:bCs/>
          <w:color w:val="000000" w:themeColor="text1"/>
        </w:rPr>
      </w:pPr>
      <w:r w:rsidRPr="00AF3ED2">
        <w:rPr>
          <w:bCs/>
        </w:rPr>
        <w:t>Import turnover of goods in April 2026</w:t>
      </w:r>
      <w:r w:rsidRPr="00AF3ED2">
        <w:rPr>
          <w:bCs/>
          <w:color w:val="000000" w:themeColor="text1"/>
        </w:rPr>
        <w:t xml:space="preserve"> reach 48.8 billion USD, </w:t>
      </w:r>
      <w:r w:rsidRPr="00AF3ED2">
        <w:rPr>
          <w:bCs/>
        </w:rPr>
        <w:t>a rise of</w:t>
      </w:r>
      <w:r w:rsidRPr="00AF3ED2">
        <w:rPr>
          <w:bCs/>
          <w:color w:val="000000" w:themeColor="text1"/>
        </w:rPr>
        <w:t xml:space="preserve"> 3.6% </w:t>
      </w:r>
      <w:r w:rsidRPr="00AF3ED2">
        <w:rPr>
          <w:bCs/>
        </w:rPr>
        <w:t>over the previous month</w:t>
      </w:r>
      <w:r w:rsidRPr="00AF3ED2">
        <w:rPr>
          <w:bCs/>
          <w:color w:val="000000" w:themeColor="text1"/>
        </w:rPr>
        <w:t xml:space="preserve">. </w:t>
      </w:r>
      <w:r w:rsidRPr="00AF3ED2">
        <w:rPr>
          <w:bCs/>
        </w:rPr>
        <w:t>Of which, the domestic economic sector reached</w:t>
      </w:r>
      <w:r w:rsidRPr="00AF3ED2">
        <w:rPr>
          <w:bCs/>
          <w:color w:val="000000" w:themeColor="text1"/>
        </w:rPr>
        <w:t xml:space="preserve"> 13.8 billion USD, </w:t>
      </w:r>
      <w:r w:rsidRPr="00AF3ED2">
        <w:rPr>
          <w:bCs/>
        </w:rPr>
        <w:t>increasing by</w:t>
      </w:r>
      <w:r w:rsidRPr="00AF3ED2">
        <w:rPr>
          <w:bCs/>
          <w:color w:val="000000" w:themeColor="text1"/>
        </w:rPr>
        <w:t xml:space="preserve"> 2.6%; </w:t>
      </w:r>
      <w:r w:rsidRPr="00AF3ED2">
        <w:rPr>
          <w:bCs/>
        </w:rPr>
        <w:t>and the FDI sector reached</w:t>
      </w:r>
      <w:r w:rsidRPr="00AF3ED2">
        <w:rPr>
          <w:bCs/>
          <w:color w:val="000000" w:themeColor="text1"/>
        </w:rPr>
        <w:t xml:space="preserve"> 35.0 billion USD, </w:t>
      </w:r>
      <w:r w:rsidRPr="00AF3ED2">
        <w:rPr>
          <w:bCs/>
        </w:rPr>
        <w:t>going up</w:t>
      </w:r>
      <w:r w:rsidRPr="00AF3ED2">
        <w:rPr>
          <w:bCs/>
          <w:color w:val="000000" w:themeColor="text1"/>
        </w:rPr>
        <w:t xml:space="preserve"> 4.0%. </w:t>
      </w:r>
      <w:r w:rsidRPr="00AF3ED2">
        <w:rPr>
          <w:bCs/>
        </w:rPr>
        <w:t>Compared with the same period last year, the import turnover of goods in April</w:t>
      </w:r>
      <w:r w:rsidRPr="00AF3ED2">
        <w:rPr>
          <w:bCs/>
          <w:color w:val="000000" w:themeColor="text1"/>
        </w:rPr>
        <w:t xml:space="preserve"> </w:t>
      </w:r>
      <w:r w:rsidRPr="00AF3ED2">
        <w:rPr>
          <w:bCs/>
        </w:rPr>
        <w:t>increased by</w:t>
      </w:r>
      <w:r w:rsidRPr="00AF3ED2">
        <w:rPr>
          <w:bCs/>
          <w:color w:val="000000" w:themeColor="text1"/>
        </w:rPr>
        <w:t xml:space="preserve"> 32.5%, </w:t>
      </w:r>
      <w:r w:rsidRPr="00AF3ED2">
        <w:rPr>
          <w:bCs/>
        </w:rPr>
        <w:t>of which the domestic economic sector increased by</w:t>
      </w:r>
      <w:r w:rsidRPr="00AF3ED2">
        <w:rPr>
          <w:bCs/>
          <w:color w:val="000000" w:themeColor="text1"/>
        </w:rPr>
        <w:t xml:space="preserve"> 22.7%; </w:t>
      </w:r>
      <w:r w:rsidRPr="00AF3ED2">
        <w:rPr>
          <w:bCs/>
        </w:rPr>
        <w:t>and the FDI sector increased by</w:t>
      </w:r>
      <w:r w:rsidRPr="00AF3ED2">
        <w:rPr>
          <w:bCs/>
          <w:color w:val="000000" w:themeColor="text1"/>
        </w:rPr>
        <w:t xml:space="preserve"> 36.8%. </w:t>
      </w:r>
    </w:p>
    <w:p w14:paraId="138CAE1A" w14:textId="77777777" w:rsidR="005B4C2A" w:rsidRPr="00AF3ED2" w:rsidRDefault="005B4C2A" w:rsidP="005B4C2A">
      <w:pPr>
        <w:tabs>
          <w:tab w:val="num" w:pos="0"/>
          <w:tab w:val="left" w:pos="9475"/>
        </w:tabs>
        <w:spacing w:before="120" w:line="264" w:lineRule="auto"/>
        <w:ind w:firstLine="720"/>
        <w:jc w:val="both"/>
        <w:rPr>
          <w:bCs/>
          <w:color w:val="000000" w:themeColor="text1"/>
        </w:rPr>
      </w:pPr>
      <w:r w:rsidRPr="00AF3ED2">
        <w:rPr>
          <w:bCs/>
        </w:rPr>
        <w:lastRenderedPageBreak/>
        <w:t>Overall, in four months of</w:t>
      </w:r>
      <w:r w:rsidRPr="00AF3ED2">
        <w:rPr>
          <w:bCs/>
          <w:color w:val="000000" w:themeColor="text1"/>
        </w:rPr>
        <w:t xml:space="preserve"> 2026, </w:t>
      </w:r>
      <w:r w:rsidRPr="00AF3ED2">
        <w:rPr>
          <w:bCs/>
          <w:spacing w:val="-4"/>
        </w:rPr>
        <w:t xml:space="preserve">the </w:t>
      </w:r>
      <w:r w:rsidRPr="00AF3ED2">
        <w:t>import turnover of goods</w:t>
      </w:r>
      <w:r w:rsidRPr="00AF3ED2">
        <w:rPr>
          <w:bCs/>
          <w:spacing w:val="-4"/>
        </w:rPr>
        <w:t xml:space="preserve"> reached</w:t>
      </w:r>
      <w:r w:rsidRPr="00AF3ED2">
        <w:rPr>
          <w:bCs/>
          <w:color w:val="000000" w:themeColor="text1"/>
        </w:rPr>
        <w:t xml:space="preserve"> 175.64 billion USD, </w:t>
      </w:r>
      <w:r w:rsidRPr="00AF3ED2">
        <w:t>a year-on-year surge of</w:t>
      </w:r>
      <w:r w:rsidRPr="00AF3ED2">
        <w:rPr>
          <w:bCs/>
          <w:color w:val="000000" w:themeColor="text1"/>
        </w:rPr>
        <w:t xml:space="preserve"> 28.7%. </w:t>
      </w:r>
      <w:r w:rsidRPr="00AF3ED2">
        <w:rPr>
          <w:bCs/>
          <w:spacing w:val="-4"/>
        </w:rPr>
        <w:t>Of which, the domestic economic sector reached</w:t>
      </w:r>
      <w:r w:rsidRPr="00AF3ED2">
        <w:rPr>
          <w:bCs/>
          <w:color w:val="000000" w:themeColor="text1"/>
        </w:rPr>
        <w:t xml:space="preserve"> 49.27 billion USD, an upturn of 20.4%; </w:t>
      </w:r>
      <w:r w:rsidRPr="00AF3ED2">
        <w:rPr>
          <w:bCs/>
          <w:spacing w:val="-4"/>
        </w:rPr>
        <w:t>and the FDI sector reached</w:t>
      </w:r>
      <w:r w:rsidRPr="00AF3ED2">
        <w:rPr>
          <w:bCs/>
          <w:color w:val="000000" w:themeColor="text1"/>
        </w:rPr>
        <w:t xml:space="preserve"> 126.37 billion USD, </w:t>
      </w:r>
      <w:r w:rsidRPr="00AF3ED2">
        <w:t>an expansion of</w:t>
      </w:r>
      <w:r w:rsidRPr="00AF3ED2">
        <w:rPr>
          <w:bCs/>
          <w:color w:val="000000" w:themeColor="text1"/>
        </w:rPr>
        <w:t xml:space="preserve"> 32.3%. </w:t>
      </w:r>
    </w:p>
    <w:p w14:paraId="16FFD093" w14:textId="77777777" w:rsidR="005B4C2A" w:rsidRPr="00AF3ED2" w:rsidRDefault="005B4C2A" w:rsidP="005B4C2A">
      <w:pPr>
        <w:tabs>
          <w:tab w:val="num" w:pos="0"/>
          <w:tab w:val="left" w:pos="9475"/>
        </w:tabs>
        <w:spacing w:before="120" w:line="264" w:lineRule="auto"/>
        <w:ind w:firstLine="720"/>
        <w:jc w:val="both"/>
        <w:rPr>
          <w:rStyle w:val="Strong"/>
          <w:rFonts w:asciiTheme="minorHAnsi" w:eastAsiaTheme="minorHAnsi" w:hAnsiTheme="minorHAnsi" w:cstheme="minorBidi"/>
          <w:b w:val="0"/>
          <w:bCs w:val="0"/>
          <w:color w:val="000000" w:themeColor="text1"/>
          <w:sz w:val="22"/>
          <w:szCs w:val="22"/>
        </w:rPr>
      </w:pPr>
      <w:r w:rsidRPr="00AF3ED2">
        <w:rPr>
          <w:bCs/>
        </w:rPr>
        <w:t>In four months of 2026,</w:t>
      </w:r>
      <w:r w:rsidRPr="00AF3ED2">
        <w:rPr>
          <w:bCs/>
          <w:color w:val="000000" w:themeColor="text1"/>
        </w:rPr>
        <w:t xml:space="preserve"> </w:t>
      </w:r>
      <w:r w:rsidRPr="00AF3ED2">
        <w:rPr>
          <w:bCs/>
        </w:rPr>
        <w:t>there were</w:t>
      </w:r>
      <w:r w:rsidRPr="00AF3ED2">
        <w:rPr>
          <w:bCs/>
          <w:color w:val="000000" w:themeColor="text1"/>
        </w:rPr>
        <w:t xml:space="preserve"> 30 </w:t>
      </w:r>
      <w:r w:rsidRPr="00AF3ED2">
        <w:rPr>
          <w:bCs/>
        </w:rPr>
        <w:t xml:space="preserve">imported </w:t>
      </w:r>
      <w:r w:rsidRPr="00AF3ED2">
        <w:t>products</w:t>
      </w:r>
      <w:r w:rsidRPr="00AF3ED2">
        <w:rPr>
          <w:bCs/>
        </w:rPr>
        <w:t xml:space="preserve"> with a value exceeding 1 billion USD</w:t>
      </w:r>
      <w:r w:rsidRPr="00AF3ED2">
        <w:rPr>
          <w:bCs/>
          <w:color w:val="000000" w:themeColor="text1"/>
        </w:rPr>
        <w:t xml:space="preserve">, </w:t>
      </w:r>
      <w:r w:rsidRPr="00AF3ED2">
        <w:rPr>
          <w:bCs/>
        </w:rPr>
        <w:t>accounting for</w:t>
      </w:r>
      <w:r w:rsidRPr="00AF3ED2">
        <w:rPr>
          <w:bCs/>
          <w:color w:val="000000" w:themeColor="text1"/>
        </w:rPr>
        <w:t xml:space="preserve"> 87.4% </w:t>
      </w:r>
      <w:r w:rsidRPr="00AF3ED2">
        <w:rPr>
          <w:bCs/>
        </w:rPr>
        <w:t xml:space="preserve">of the total import turnover (including 2 </w:t>
      </w:r>
      <w:r w:rsidRPr="00AF3ED2">
        <w:rPr>
          <w:spacing w:val="-2"/>
        </w:rPr>
        <w:t>imported products</w:t>
      </w:r>
      <w:r w:rsidRPr="00AF3ED2">
        <w:rPr>
          <w:bCs/>
        </w:rPr>
        <w:t xml:space="preserve"> with the value of over 5 billion USD, accounting for</w:t>
      </w:r>
      <w:r w:rsidRPr="00AF3ED2">
        <w:rPr>
          <w:bCs/>
          <w:color w:val="000000" w:themeColor="text1"/>
        </w:rPr>
        <w:t xml:space="preserve"> 49.2%)</w:t>
      </w:r>
      <w:r w:rsidRPr="00AF3ED2">
        <w:rPr>
          <w:rStyle w:val="Strong"/>
          <w:b w:val="0"/>
          <w:bCs w:val="0"/>
          <w:color w:val="000000" w:themeColor="text1"/>
        </w:rPr>
        <w:t>.</w:t>
      </w:r>
    </w:p>
    <w:p w14:paraId="6EF1428F" w14:textId="77777777" w:rsidR="005B4C2A" w:rsidRPr="00AF3ED2" w:rsidRDefault="005B4C2A" w:rsidP="005B4C2A">
      <w:pPr>
        <w:tabs>
          <w:tab w:val="left" w:pos="9475"/>
        </w:tabs>
        <w:spacing w:before="120" w:after="120"/>
        <w:ind w:right="6"/>
        <w:jc w:val="center"/>
        <w:rPr>
          <w:rFonts w:ascii="Arial" w:hAnsi="Arial" w:cs="Arial"/>
          <w:b/>
          <w:bCs/>
          <w:color w:val="000000" w:themeColor="text1"/>
          <w:sz w:val="24"/>
          <w:szCs w:val="24"/>
        </w:rPr>
      </w:pPr>
      <w:r w:rsidRPr="00AF3ED2">
        <w:rPr>
          <w:rFonts w:ascii="Arial" w:hAnsi="Arial" w:cs="Arial"/>
          <w:b/>
          <w:color w:val="000000" w:themeColor="text1"/>
          <w:spacing w:val="-2"/>
          <w:sz w:val="24"/>
          <w:szCs w:val="20"/>
        </w:rPr>
        <w:t xml:space="preserve">Table 5. </w:t>
      </w:r>
      <w:r w:rsidRPr="00AF3ED2">
        <w:rPr>
          <w:rFonts w:ascii="Arial" w:hAnsi="Arial" w:cs="Arial"/>
          <w:b/>
          <w:spacing w:val="-2"/>
          <w:sz w:val="24"/>
          <w:szCs w:val="20"/>
        </w:rPr>
        <w:t>Value of some imported goods in four months of</w:t>
      </w:r>
      <w:r w:rsidRPr="00AF3ED2">
        <w:rPr>
          <w:rFonts w:ascii="Arial" w:hAnsi="Arial" w:cs="Arial"/>
          <w:b/>
          <w:bCs/>
          <w:color w:val="000000" w:themeColor="text1"/>
          <w:sz w:val="24"/>
          <w:szCs w:val="24"/>
        </w:rPr>
        <w:t xml:space="preserve"> 2026</w:t>
      </w:r>
    </w:p>
    <w:p w14:paraId="389359C4" w14:textId="77777777" w:rsidR="005B4C2A" w:rsidRPr="00AF3ED2" w:rsidRDefault="005B4C2A" w:rsidP="005B4C2A">
      <w:pPr>
        <w:tabs>
          <w:tab w:val="left" w:pos="9475"/>
        </w:tabs>
        <w:spacing w:before="40" w:after="40" w:line="264" w:lineRule="auto"/>
        <w:ind w:right="6"/>
        <w:jc w:val="center"/>
        <w:rPr>
          <w:rFonts w:ascii="Arial" w:hAnsi="Arial" w:cs="Arial"/>
          <w:b/>
          <w:bCs/>
          <w:color w:val="000000" w:themeColor="text1"/>
          <w:sz w:val="8"/>
          <w:szCs w:val="24"/>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4"/>
        <w:gridCol w:w="68"/>
        <w:gridCol w:w="2483"/>
        <w:gridCol w:w="239"/>
      </w:tblGrid>
      <w:tr w:rsidR="005B4C2A" w:rsidRPr="00AF3ED2" w14:paraId="1FF1094F" w14:textId="77777777" w:rsidTr="00D474E6">
        <w:trPr>
          <w:gridAfter w:val="1"/>
          <w:wAfter w:w="239" w:type="dxa"/>
        </w:trPr>
        <w:tc>
          <w:tcPr>
            <w:tcW w:w="4395" w:type="dxa"/>
          </w:tcPr>
          <w:p w14:paraId="07E78AC0" w14:textId="77777777" w:rsidR="005B4C2A" w:rsidRPr="00AF3ED2" w:rsidRDefault="005B4C2A" w:rsidP="00D474E6">
            <w:pPr>
              <w:tabs>
                <w:tab w:val="num" w:pos="0"/>
                <w:tab w:val="left" w:pos="9475"/>
              </w:tabs>
              <w:spacing w:before="40" w:after="40"/>
              <w:ind w:right="119"/>
              <w:jc w:val="right"/>
              <w:rPr>
                <w:rFonts w:ascii="Arial" w:hAnsi="Arial" w:cs="Arial"/>
                <w:b/>
                <w:bCs/>
                <w:i/>
                <w:iCs/>
                <w:color w:val="000000" w:themeColor="text1"/>
                <w:sz w:val="20"/>
                <w:szCs w:val="20"/>
                <w:lang w:val="en-US"/>
              </w:rPr>
            </w:pPr>
          </w:p>
          <w:p w14:paraId="58C2935B" w14:textId="77777777" w:rsidR="005B4C2A" w:rsidRPr="00AF3ED2" w:rsidRDefault="005B4C2A" w:rsidP="00D474E6">
            <w:pPr>
              <w:tabs>
                <w:tab w:val="num" w:pos="0"/>
                <w:tab w:val="left" w:pos="9475"/>
              </w:tabs>
              <w:spacing w:before="40" w:after="40"/>
              <w:ind w:right="119"/>
              <w:jc w:val="right"/>
              <w:rPr>
                <w:rFonts w:ascii="Arial" w:hAnsi="Arial" w:cs="Arial"/>
                <w:b/>
                <w:bCs/>
                <w:i/>
                <w:iCs/>
                <w:color w:val="000000" w:themeColor="text1"/>
                <w:sz w:val="20"/>
                <w:szCs w:val="20"/>
                <w:lang w:val="en-US"/>
              </w:rPr>
            </w:pPr>
          </w:p>
        </w:tc>
        <w:tc>
          <w:tcPr>
            <w:tcW w:w="1842" w:type="dxa"/>
            <w:gridSpan w:val="2"/>
            <w:tcBorders>
              <w:top w:val="single" w:sz="4" w:space="0" w:color="auto"/>
              <w:bottom w:val="single" w:sz="4" w:space="0" w:color="auto"/>
            </w:tcBorders>
          </w:tcPr>
          <w:p w14:paraId="3B9BFF52" w14:textId="77777777" w:rsidR="005B4C2A" w:rsidRPr="00AF3ED2" w:rsidRDefault="005B4C2A" w:rsidP="00D474E6">
            <w:pPr>
              <w:spacing w:before="40" w:after="40" w:line="288" w:lineRule="auto"/>
              <w:ind w:firstLine="31"/>
              <w:jc w:val="center"/>
              <w:rPr>
                <w:rFonts w:ascii="Arial" w:hAnsi="Arial" w:cs="Arial"/>
                <w:sz w:val="20"/>
                <w:szCs w:val="20"/>
                <w:lang w:val="en-US"/>
              </w:rPr>
            </w:pPr>
            <w:r w:rsidRPr="00AF3ED2">
              <w:rPr>
                <w:rFonts w:ascii="Arial" w:hAnsi="Arial" w:cs="Arial"/>
                <w:sz w:val="20"/>
                <w:szCs w:val="20"/>
                <w:lang w:val="en-US"/>
              </w:rPr>
              <w:t>Value</w:t>
            </w:r>
          </w:p>
          <w:p w14:paraId="6A9ED0E4" w14:textId="77777777" w:rsidR="005B4C2A" w:rsidRPr="00AF3ED2" w:rsidRDefault="005B4C2A" w:rsidP="00D474E6">
            <w:pPr>
              <w:spacing w:before="40" w:after="40"/>
              <w:jc w:val="center"/>
              <w:rPr>
                <w:rFonts w:ascii="Arial" w:hAnsi="Arial" w:cs="Arial"/>
                <w:b/>
                <w:bCs/>
                <w:i/>
                <w:iCs/>
                <w:color w:val="000000" w:themeColor="text1"/>
                <w:sz w:val="20"/>
                <w:szCs w:val="20"/>
                <w:lang w:val="en-US"/>
              </w:rPr>
            </w:pPr>
            <w:r w:rsidRPr="00AF3ED2">
              <w:rPr>
                <w:rFonts w:ascii="Arial" w:hAnsi="Arial" w:cs="Arial"/>
                <w:sz w:val="20"/>
                <w:szCs w:val="20"/>
                <w:lang w:val="en-US"/>
              </w:rPr>
              <w:t>(Mill. USD)</w:t>
            </w:r>
          </w:p>
        </w:tc>
        <w:tc>
          <w:tcPr>
            <w:tcW w:w="2551" w:type="dxa"/>
            <w:gridSpan w:val="2"/>
            <w:tcBorders>
              <w:top w:val="single" w:sz="4" w:space="0" w:color="auto"/>
              <w:bottom w:val="single" w:sz="4" w:space="0" w:color="auto"/>
            </w:tcBorders>
          </w:tcPr>
          <w:p w14:paraId="69C0AE71" w14:textId="77777777" w:rsidR="005B4C2A" w:rsidRPr="00AF3ED2" w:rsidRDefault="005B4C2A" w:rsidP="00D474E6">
            <w:pPr>
              <w:spacing w:before="40" w:after="40"/>
              <w:jc w:val="center"/>
              <w:rPr>
                <w:rFonts w:ascii="Arial" w:hAnsi="Arial" w:cs="Arial"/>
                <w:b/>
                <w:bCs/>
                <w:i/>
                <w:iCs/>
                <w:color w:val="000000" w:themeColor="text1"/>
                <w:sz w:val="20"/>
                <w:szCs w:val="20"/>
                <w:lang w:val="en-US"/>
              </w:rPr>
            </w:pPr>
            <w:r w:rsidRPr="00AF3ED2">
              <w:rPr>
                <w:rFonts w:ascii="Arial" w:hAnsi="Arial" w:cs="Arial"/>
                <w:sz w:val="20"/>
                <w:szCs w:val="20"/>
                <w:lang w:val="en-US"/>
              </w:rPr>
              <w:t>Growth rate year-on-year (%)</w:t>
            </w:r>
          </w:p>
        </w:tc>
      </w:tr>
      <w:tr w:rsidR="005B4C2A" w:rsidRPr="00AF3ED2" w14:paraId="72771320" w14:textId="77777777" w:rsidTr="00D474E6">
        <w:tblPrEx>
          <w:tblBorders>
            <w:bottom w:val="none" w:sz="0" w:space="0" w:color="auto"/>
          </w:tblBorders>
        </w:tblPrEx>
        <w:trPr>
          <w:trHeight w:val="394"/>
        </w:trPr>
        <w:tc>
          <w:tcPr>
            <w:tcW w:w="4443" w:type="dxa"/>
            <w:gridSpan w:val="2"/>
            <w:vAlign w:val="bottom"/>
          </w:tcPr>
          <w:p w14:paraId="7CFED085" w14:textId="77777777" w:rsidR="005B4C2A" w:rsidRPr="00AF3ED2" w:rsidRDefault="005B4C2A" w:rsidP="00D474E6">
            <w:pPr>
              <w:spacing w:before="40" w:after="40"/>
              <w:rPr>
                <w:rFonts w:ascii="Arial" w:hAnsi="Arial" w:cs="Arial"/>
                <w:b/>
                <w:bCs/>
                <w:color w:val="000000" w:themeColor="text1"/>
                <w:sz w:val="20"/>
                <w:szCs w:val="20"/>
                <w:lang w:val="en-US"/>
              </w:rPr>
            </w:pPr>
            <w:r w:rsidRPr="00AF3ED2">
              <w:rPr>
                <w:rFonts w:ascii="Arial Bold" w:hAnsi="Arial Bold" w:cs="Arial"/>
                <w:b/>
                <w:bCs/>
                <w:spacing w:val="-8"/>
                <w:sz w:val="20"/>
                <w:szCs w:val="20"/>
                <w:lang w:val="en-US"/>
              </w:rPr>
              <w:t>Products with a value of over 5 billion USD</w:t>
            </w:r>
          </w:p>
        </w:tc>
        <w:tc>
          <w:tcPr>
            <w:tcW w:w="1862" w:type="dxa"/>
            <w:gridSpan w:val="2"/>
            <w:tcBorders>
              <w:top w:val="single" w:sz="4" w:space="0" w:color="auto"/>
            </w:tcBorders>
          </w:tcPr>
          <w:p w14:paraId="569280B1" w14:textId="77777777" w:rsidR="005B4C2A" w:rsidRPr="00AF3ED2" w:rsidRDefault="005B4C2A" w:rsidP="00D474E6">
            <w:pPr>
              <w:tabs>
                <w:tab w:val="num" w:pos="0"/>
                <w:tab w:val="left" w:pos="9475"/>
              </w:tabs>
              <w:spacing w:before="40" w:after="40"/>
              <w:ind w:right="119"/>
              <w:jc w:val="right"/>
              <w:rPr>
                <w:rFonts w:ascii="Arial" w:hAnsi="Arial" w:cs="Arial"/>
                <w:b/>
                <w:bCs/>
                <w:i/>
                <w:iCs/>
                <w:color w:val="000000" w:themeColor="text1"/>
                <w:sz w:val="20"/>
                <w:szCs w:val="20"/>
                <w:lang w:val="en-US"/>
              </w:rPr>
            </w:pPr>
          </w:p>
        </w:tc>
        <w:tc>
          <w:tcPr>
            <w:tcW w:w="2722" w:type="dxa"/>
            <w:gridSpan w:val="2"/>
            <w:tcBorders>
              <w:top w:val="single" w:sz="4" w:space="0" w:color="auto"/>
            </w:tcBorders>
          </w:tcPr>
          <w:p w14:paraId="4D5FE23D" w14:textId="77777777" w:rsidR="005B4C2A" w:rsidRPr="00AF3ED2" w:rsidRDefault="005B4C2A" w:rsidP="00D474E6">
            <w:pPr>
              <w:tabs>
                <w:tab w:val="num" w:pos="0"/>
                <w:tab w:val="left" w:pos="9475"/>
              </w:tabs>
              <w:spacing w:before="40" w:after="40"/>
              <w:ind w:right="119"/>
              <w:jc w:val="right"/>
              <w:rPr>
                <w:rFonts w:ascii="Arial" w:hAnsi="Arial" w:cs="Arial"/>
                <w:b/>
                <w:bCs/>
                <w:i/>
                <w:iCs/>
                <w:color w:val="000000" w:themeColor="text1"/>
                <w:sz w:val="20"/>
                <w:szCs w:val="20"/>
                <w:lang w:val="en-US"/>
              </w:rPr>
            </w:pPr>
          </w:p>
        </w:tc>
      </w:tr>
      <w:tr w:rsidR="005B4C2A" w:rsidRPr="00AF3ED2" w14:paraId="3DA6A19B" w14:textId="77777777" w:rsidTr="00D474E6">
        <w:trPr>
          <w:gridAfter w:val="1"/>
          <w:wAfter w:w="239" w:type="dxa"/>
        </w:trPr>
        <w:tc>
          <w:tcPr>
            <w:tcW w:w="4395" w:type="dxa"/>
            <w:vAlign w:val="bottom"/>
          </w:tcPr>
          <w:p w14:paraId="5D25B214" w14:textId="77777777" w:rsidR="005B4C2A" w:rsidRPr="00AF3ED2" w:rsidRDefault="005B4C2A" w:rsidP="00D474E6">
            <w:pPr>
              <w:spacing w:before="40" w:after="40"/>
              <w:ind w:firstLine="170"/>
              <w:rPr>
                <w:rFonts w:ascii="Arial" w:hAnsi="Arial" w:cs="Arial"/>
                <w:color w:val="000000" w:themeColor="text1"/>
                <w:sz w:val="20"/>
                <w:szCs w:val="20"/>
                <w:lang w:val="en-US"/>
              </w:rPr>
            </w:pPr>
            <w:r w:rsidRPr="00AF3ED2">
              <w:rPr>
                <w:rFonts w:ascii="Arial" w:hAnsi="Arial" w:cs="Arial"/>
                <w:spacing w:val="-8"/>
                <w:sz w:val="20"/>
                <w:szCs w:val="20"/>
                <w:lang w:val="en-US"/>
              </w:rPr>
              <w:t>Electronic goods, computers and their parts</w:t>
            </w:r>
          </w:p>
        </w:tc>
        <w:tc>
          <w:tcPr>
            <w:tcW w:w="1842" w:type="dxa"/>
            <w:gridSpan w:val="2"/>
            <w:vAlign w:val="bottom"/>
          </w:tcPr>
          <w:p w14:paraId="0A2D820F" w14:textId="77777777" w:rsidR="005B4C2A" w:rsidRPr="00AF3ED2" w:rsidRDefault="005B4C2A" w:rsidP="00D474E6">
            <w:pPr>
              <w:spacing w:before="40" w:after="40"/>
              <w:ind w:right="456"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65,266</w:t>
            </w:r>
          </w:p>
        </w:tc>
        <w:tc>
          <w:tcPr>
            <w:tcW w:w="2551" w:type="dxa"/>
            <w:gridSpan w:val="2"/>
            <w:vAlign w:val="bottom"/>
          </w:tcPr>
          <w:p w14:paraId="0EE3364B" w14:textId="77777777" w:rsidR="005B4C2A" w:rsidRPr="00AF3ED2" w:rsidRDefault="005B4C2A" w:rsidP="00D474E6">
            <w:pPr>
              <w:spacing w:before="40" w:after="40"/>
              <w:ind w:right="880"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52.3</w:t>
            </w:r>
          </w:p>
        </w:tc>
      </w:tr>
      <w:tr w:rsidR="005B4C2A" w:rsidRPr="00AF3ED2" w14:paraId="0AAF43B9" w14:textId="77777777" w:rsidTr="00D474E6">
        <w:trPr>
          <w:gridAfter w:val="1"/>
          <w:wAfter w:w="239" w:type="dxa"/>
        </w:trPr>
        <w:tc>
          <w:tcPr>
            <w:tcW w:w="4395" w:type="dxa"/>
            <w:vAlign w:val="bottom"/>
          </w:tcPr>
          <w:p w14:paraId="3C92804A" w14:textId="77777777" w:rsidR="005B4C2A" w:rsidRPr="00AF3ED2" w:rsidRDefault="005B4C2A" w:rsidP="00D474E6">
            <w:pPr>
              <w:spacing w:before="40" w:after="40"/>
              <w:ind w:firstLine="170"/>
              <w:rPr>
                <w:rFonts w:ascii="Arial" w:hAnsi="Arial" w:cs="Arial"/>
                <w:color w:val="000000" w:themeColor="text1"/>
                <w:sz w:val="20"/>
                <w:szCs w:val="20"/>
                <w:lang w:val="en-US"/>
              </w:rPr>
            </w:pPr>
            <w:r w:rsidRPr="00533690">
              <w:rPr>
                <w:rFonts w:ascii="Arial" w:hAnsi="Arial" w:cs="Arial"/>
                <w:sz w:val="20"/>
                <w:szCs w:val="20"/>
                <w:lang w:val="en-US"/>
              </w:rPr>
              <w:t>Machine, equipment, tools and instruments</w:t>
            </w:r>
          </w:p>
        </w:tc>
        <w:tc>
          <w:tcPr>
            <w:tcW w:w="1842" w:type="dxa"/>
            <w:gridSpan w:val="2"/>
            <w:vAlign w:val="bottom"/>
          </w:tcPr>
          <w:p w14:paraId="5B506D93" w14:textId="77777777" w:rsidR="005B4C2A" w:rsidRPr="00AF3ED2" w:rsidRDefault="005B4C2A" w:rsidP="00D474E6">
            <w:pPr>
              <w:spacing w:before="40" w:after="40"/>
              <w:ind w:right="456"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21,100</w:t>
            </w:r>
          </w:p>
        </w:tc>
        <w:tc>
          <w:tcPr>
            <w:tcW w:w="2551" w:type="dxa"/>
            <w:gridSpan w:val="2"/>
            <w:vAlign w:val="bottom"/>
          </w:tcPr>
          <w:p w14:paraId="37888050" w14:textId="77777777" w:rsidR="005B4C2A" w:rsidRPr="00AF3ED2" w:rsidRDefault="005B4C2A" w:rsidP="00D474E6">
            <w:pPr>
              <w:spacing w:before="40" w:after="40"/>
              <w:ind w:right="880" w:firstLine="170"/>
              <w:jc w:val="right"/>
              <w:rPr>
                <w:rFonts w:ascii="Arial" w:hAnsi="Arial" w:cs="Arial"/>
                <w:color w:val="000000" w:themeColor="text1"/>
                <w:sz w:val="20"/>
                <w:szCs w:val="20"/>
                <w:lang w:val="en-US"/>
              </w:rPr>
            </w:pPr>
            <w:r w:rsidRPr="00AF3ED2">
              <w:rPr>
                <w:rFonts w:ascii="Arial" w:hAnsi="Arial" w:cs="Arial"/>
                <w:color w:val="000000" w:themeColor="text1"/>
                <w:sz w:val="20"/>
                <w:szCs w:val="20"/>
                <w:lang w:val="en-US"/>
              </w:rPr>
              <w:t>20.2</w:t>
            </w:r>
          </w:p>
        </w:tc>
      </w:tr>
    </w:tbl>
    <w:p w14:paraId="00C5CEB4" w14:textId="77777777" w:rsidR="005B4C2A" w:rsidRPr="00AF3ED2" w:rsidRDefault="005B4C2A" w:rsidP="005B4C2A">
      <w:pPr>
        <w:tabs>
          <w:tab w:val="num" w:pos="0"/>
          <w:tab w:val="left" w:pos="9475"/>
        </w:tabs>
        <w:spacing w:before="40" w:after="40" w:line="264" w:lineRule="auto"/>
        <w:ind w:right="187" w:firstLine="567"/>
        <w:jc w:val="right"/>
        <w:rPr>
          <w:rFonts w:ascii="Arial" w:hAnsi="Arial" w:cs="Arial"/>
          <w:b/>
          <w:bCs/>
          <w:i/>
          <w:iCs/>
          <w:color w:val="000000" w:themeColor="text1"/>
          <w:sz w:val="2"/>
          <w:szCs w:val="20"/>
        </w:rPr>
      </w:pPr>
    </w:p>
    <w:p w14:paraId="3F976F3C" w14:textId="77777777" w:rsidR="005B4C2A" w:rsidRPr="00AF3ED2" w:rsidRDefault="005B4C2A" w:rsidP="005B4C2A">
      <w:pPr>
        <w:tabs>
          <w:tab w:val="num" w:pos="0"/>
          <w:tab w:val="left" w:pos="9475"/>
        </w:tabs>
        <w:spacing w:before="240" w:after="40" w:line="288" w:lineRule="auto"/>
        <w:ind w:right="6"/>
        <w:jc w:val="both"/>
        <w:rPr>
          <w:rFonts w:eastAsia="Batang"/>
          <w:bCs/>
          <w:iCs/>
          <w:color w:val="000000" w:themeColor="text1"/>
        </w:rPr>
      </w:pPr>
      <w:r w:rsidRPr="00AF3ED2">
        <w:rPr>
          <w:noProof/>
          <w:color w:val="000000" w:themeColor="text1"/>
          <w:spacing w:val="2"/>
        </w:rPr>
        <mc:AlternateContent>
          <mc:Choice Requires="wps">
            <w:drawing>
              <wp:anchor distT="0" distB="0" distL="114300" distR="114300" simplePos="0" relativeHeight="251674624" behindDoc="0" locked="0" layoutInCell="1" allowOverlap="1" wp14:anchorId="2FD380AD" wp14:editId="5FFC43B0">
                <wp:simplePos x="0" y="0"/>
                <wp:positionH relativeFrom="column">
                  <wp:posOffset>80010</wp:posOffset>
                </wp:positionH>
                <wp:positionV relativeFrom="paragraph">
                  <wp:posOffset>196850</wp:posOffset>
                </wp:positionV>
                <wp:extent cx="3527425" cy="285877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7425" cy="2858770"/>
                        </a:xfrm>
                        <a:prstGeom prst="rect">
                          <a:avLst/>
                        </a:prstGeom>
                        <a:solidFill>
                          <a:srgbClr val="FFFFFF"/>
                        </a:solidFill>
                        <a:ln w="9525">
                          <a:noFill/>
                          <a:miter lim="800000"/>
                          <a:headEnd/>
                          <a:tailEnd/>
                        </a:ln>
                      </wps:spPr>
                      <wps:txbx>
                        <w:txbxContent>
                          <w:p w14:paraId="6B84DD51" w14:textId="77777777" w:rsidR="005B4C2A" w:rsidRPr="00CE2D53" w:rsidRDefault="005B4C2A" w:rsidP="005B4C2A">
                            <w:pPr>
                              <w:spacing w:after="120"/>
                              <w:ind w:left="-284" w:firstLine="142"/>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13</w:t>
                            </w:r>
                            <w:r w:rsidRPr="006822A2">
                              <w:rPr>
                                <w:rFonts w:ascii="Arial" w:hAnsi="Arial" w:cs="Arial"/>
                                <w:b/>
                                <w:bCs/>
                                <w:sz w:val="24"/>
                                <w:szCs w:val="24"/>
                              </w:rPr>
                              <w:t xml:space="preserve">. </w:t>
                            </w:r>
                            <w:r w:rsidRPr="00CE2D53">
                              <w:rPr>
                                <w:rFonts w:ascii="Arial" w:hAnsi="Arial" w:cs="Arial"/>
                                <w:b/>
                                <w:bCs/>
                                <w:sz w:val="24"/>
                                <w:szCs w:val="24"/>
                              </w:rPr>
                              <w:t xml:space="preserve">Structure of </w:t>
                            </w:r>
                            <w:r>
                              <w:rPr>
                                <w:rFonts w:ascii="Arial" w:hAnsi="Arial" w:cs="Arial"/>
                                <w:b/>
                                <w:bCs/>
                                <w:sz w:val="24"/>
                                <w:szCs w:val="24"/>
                              </w:rPr>
                              <w:t>im</w:t>
                            </w:r>
                            <w:r w:rsidRPr="00CE2D53">
                              <w:rPr>
                                <w:rFonts w:ascii="Arial" w:hAnsi="Arial" w:cs="Arial"/>
                                <w:b/>
                                <w:bCs/>
                                <w:sz w:val="24"/>
                                <w:szCs w:val="24"/>
                              </w:rPr>
                              <w:t>ported goods</w:t>
                            </w:r>
                          </w:p>
                          <w:p w14:paraId="632B6941" w14:textId="77777777" w:rsidR="005B4C2A" w:rsidRPr="00FF25D5" w:rsidRDefault="005B4C2A" w:rsidP="005B4C2A">
                            <w:pPr>
                              <w:spacing w:after="120"/>
                              <w:ind w:left="-284" w:firstLine="142"/>
                              <w:jc w:val="center"/>
                              <w:rPr>
                                <w:rFonts w:asciiTheme="minorHAnsi" w:eastAsiaTheme="minorHAnsi" w:hAnsiTheme="minorHAnsi" w:cstheme="minorBidi"/>
                                <w:sz w:val="22"/>
                                <w:szCs w:val="22"/>
                              </w:rPr>
                            </w:pPr>
                            <w:r w:rsidRPr="00CE2D53">
                              <w:rPr>
                                <w:rFonts w:ascii="Arial" w:hAnsi="Arial" w:cs="Arial"/>
                                <w:b/>
                                <w:bCs/>
                                <w:sz w:val="24"/>
                                <w:szCs w:val="24"/>
                              </w:rPr>
                              <w:t>in four months of 2026</w:t>
                            </w:r>
                          </w:p>
                          <w:p w14:paraId="1371D422" w14:textId="77777777" w:rsidR="005B4C2A" w:rsidRPr="00F66505" w:rsidRDefault="005B4C2A" w:rsidP="005B4C2A">
                            <w:pPr>
                              <w:ind w:left="-284"/>
                              <w:jc w:val="right"/>
                              <w:rPr>
                                <w:rFonts w:ascii="Arial" w:hAnsi="Arial" w:cs="Arial"/>
                                <w:b/>
                                <w:bCs/>
                                <w:sz w:val="14"/>
                                <w:szCs w:val="24"/>
                              </w:rPr>
                            </w:pPr>
                            <w:r>
                              <w:rPr>
                                <w:noProof/>
                              </w:rPr>
                              <w:drawing>
                                <wp:inline distT="0" distB="0" distL="0" distR="0" wp14:anchorId="0FB9DD68" wp14:editId="686F89F0">
                                  <wp:extent cx="3335655" cy="2169843"/>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35655" cy="2169843"/>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D380AD" id="_x0000_s1027" type="#_x0000_t202" style="position:absolute;left:0;text-align:left;margin-left:6.3pt;margin-top:15.5pt;width:277.75pt;height:22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" stroked="f">
                <v:textbox>
                  <w:txbxContent>
                    <w:p w14:paraId="6B84DD51" w14:textId="77777777" w:rsidR="005B4C2A" w:rsidRPr="00CE2D53" w:rsidRDefault="005B4C2A" w:rsidP="005B4C2A">
                      <w:pPr>
                        <w:spacing w:after="120"/>
                        <w:ind w:left="-284" w:firstLine="142"/>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13</w:t>
                      </w:r>
                      <w:r w:rsidRPr="006822A2">
                        <w:rPr>
                          <w:rFonts w:ascii="Arial" w:hAnsi="Arial" w:cs="Arial"/>
                          <w:b/>
                          <w:bCs/>
                          <w:sz w:val="24"/>
                          <w:szCs w:val="24"/>
                        </w:rPr>
                        <w:t xml:space="preserve">. </w:t>
                      </w:r>
                      <w:r w:rsidRPr="00CE2D53">
                        <w:rPr>
                          <w:rFonts w:ascii="Arial" w:hAnsi="Arial" w:cs="Arial"/>
                          <w:b/>
                          <w:bCs/>
                          <w:sz w:val="24"/>
                          <w:szCs w:val="24"/>
                        </w:rPr>
                        <w:t xml:space="preserve">Structure of </w:t>
                      </w:r>
                      <w:r>
                        <w:rPr>
                          <w:rFonts w:ascii="Arial" w:hAnsi="Arial" w:cs="Arial"/>
                          <w:b/>
                          <w:bCs/>
                          <w:sz w:val="24"/>
                          <w:szCs w:val="24"/>
                        </w:rPr>
                        <w:t>im</w:t>
                      </w:r>
                      <w:r w:rsidRPr="00CE2D53">
                        <w:rPr>
                          <w:rFonts w:ascii="Arial" w:hAnsi="Arial" w:cs="Arial"/>
                          <w:b/>
                          <w:bCs/>
                          <w:sz w:val="24"/>
                          <w:szCs w:val="24"/>
                        </w:rPr>
                        <w:t>ported goods</w:t>
                      </w:r>
                    </w:p>
                    <w:p w14:paraId="632B6941" w14:textId="77777777" w:rsidR="005B4C2A" w:rsidRPr="00FF25D5" w:rsidRDefault="005B4C2A" w:rsidP="005B4C2A">
                      <w:pPr>
                        <w:spacing w:after="120"/>
                        <w:ind w:left="-284" w:firstLine="142"/>
                        <w:jc w:val="center"/>
                        <w:rPr>
                          <w:rFonts w:asciiTheme="minorHAnsi" w:eastAsiaTheme="minorHAnsi" w:hAnsiTheme="minorHAnsi" w:cstheme="minorBidi"/>
                          <w:sz w:val="22"/>
                          <w:szCs w:val="22"/>
                        </w:rPr>
                      </w:pPr>
                      <w:r w:rsidRPr="00CE2D53">
                        <w:rPr>
                          <w:rFonts w:ascii="Arial" w:hAnsi="Arial" w:cs="Arial"/>
                          <w:b/>
                          <w:bCs/>
                          <w:sz w:val="24"/>
                          <w:szCs w:val="24"/>
                        </w:rPr>
                        <w:t>in four months of 2026</w:t>
                      </w:r>
                    </w:p>
                    <w:p w14:paraId="1371D422" w14:textId="77777777" w:rsidR="005B4C2A" w:rsidRPr="00F66505" w:rsidRDefault="005B4C2A" w:rsidP="005B4C2A">
                      <w:pPr>
                        <w:ind w:left="-284"/>
                        <w:jc w:val="right"/>
                        <w:rPr>
                          <w:rFonts w:ascii="Arial" w:hAnsi="Arial" w:cs="Arial"/>
                          <w:b/>
                          <w:bCs/>
                          <w:sz w:val="14"/>
                          <w:szCs w:val="24"/>
                        </w:rPr>
                      </w:pPr>
                      <w:r>
                        <w:rPr>
                          <w:noProof/>
                        </w:rPr>
                        <w:drawing>
                          <wp:inline distT="0" distB="0" distL="0" distR="0" wp14:anchorId="0FB9DD68" wp14:editId="686F89F0">
                            <wp:extent cx="3335655" cy="2169843"/>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5655" cy="2169843"/>
                                    </a:xfrm>
                                    <a:prstGeom prst="rect">
                                      <a:avLst/>
                                    </a:prstGeom>
                                    <a:noFill/>
                                  </pic:spPr>
                                </pic:pic>
                              </a:graphicData>
                            </a:graphic>
                          </wp:inline>
                        </w:drawing>
                      </w:r>
                    </w:p>
                  </w:txbxContent>
                </v:textbox>
                <w10:wrap type="square"/>
              </v:shape>
            </w:pict>
          </mc:Fallback>
        </mc:AlternateContent>
      </w:r>
      <w:r w:rsidRPr="00AF3ED2">
        <w:rPr>
          <w:rFonts w:eastAsia="Batang"/>
          <w:i/>
          <w:iCs/>
        </w:rPr>
        <w:t>Regarding the structure of imported goods in four months of 2026</w:t>
      </w:r>
      <w:r w:rsidRPr="00AF3ED2">
        <w:rPr>
          <w:rFonts w:eastAsia="Batang"/>
          <w:i/>
          <w:iCs/>
          <w:color w:val="000000" w:themeColor="text1"/>
        </w:rPr>
        <w:t xml:space="preserve">, </w:t>
      </w:r>
      <w:r w:rsidRPr="00AF3ED2">
        <w:rPr>
          <w:rFonts w:eastAsia="Batang"/>
          <w:iCs/>
        </w:rPr>
        <w:t>the group of capital goods reached</w:t>
      </w:r>
      <w:r w:rsidRPr="00AF3ED2">
        <w:rPr>
          <w:rFonts w:eastAsia="Batang"/>
          <w:bCs/>
          <w:iCs/>
          <w:color w:val="000000" w:themeColor="text1"/>
        </w:rPr>
        <w:t xml:space="preserve"> 165.37 billion USD, </w:t>
      </w:r>
      <w:r w:rsidRPr="00AF3ED2">
        <w:rPr>
          <w:rFonts w:eastAsia="Batang"/>
          <w:iCs/>
        </w:rPr>
        <w:t>accounting for</w:t>
      </w:r>
      <w:r w:rsidRPr="00AF3ED2">
        <w:rPr>
          <w:rFonts w:eastAsia="Batang"/>
          <w:bCs/>
          <w:iCs/>
          <w:color w:val="000000" w:themeColor="text1"/>
        </w:rPr>
        <w:t xml:space="preserve"> 94.2%, </w:t>
      </w:r>
      <w:r w:rsidRPr="00AF3ED2">
        <w:rPr>
          <w:rFonts w:eastAsia="Batang"/>
          <w:iCs/>
        </w:rPr>
        <w:t xml:space="preserve">of which </w:t>
      </w:r>
      <w:r w:rsidRPr="00AF3ED2">
        <w:rPr>
          <w:rFonts w:eastAsia="Batang"/>
          <w:bCs/>
          <w:spacing w:val="-6"/>
        </w:rPr>
        <w:t xml:space="preserve">the group of </w:t>
      </w:r>
      <w:r>
        <w:rPr>
          <w:rFonts w:eastAsia="Batang"/>
          <w:bCs/>
          <w:spacing w:val="-6"/>
        </w:rPr>
        <w:t>m</w:t>
      </w:r>
      <w:r w:rsidRPr="009902CD">
        <w:rPr>
          <w:rFonts w:eastAsia="Batang"/>
          <w:bCs/>
          <w:spacing w:val="-6"/>
        </w:rPr>
        <w:t>achine, equipment, tools and instruments</w:t>
      </w:r>
      <w:r w:rsidRPr="00AF3ED2">
        <w:rPr>
          <w:rFonts w:eastAsia="Batang"/>
          <w:iCs/>
        </w:rPr>
        <w:t xml:space="preserve"> accounted for</w:t>
      </w:r>
      <w:r w:rsidRPr="00AF3ED2">
        <w:rPr>
          <w:rFonts w:eastAsia="Batang"/>
          <w:bCs/>
          <w:iCs/>
          <w:color w:val="000000" w:themeColor="text1"/>
        </w:rPr>
        <w:t xml:space="preserve"> 54.8%;</w:t>
      </w:r>
      <w:r w:rsidRPr="00AF3ED2">
        <w:rPr>
          <w:rFonts w:eastAsia="Batang"/>
          <w:bCs/>
          <w:spacing w:val="-6"/>
        </w:rPr>
        <w:t xml:space="preserve"> the group of</w:t>
      </w:r>
      <w:r w:rsidRPr="00AF3ED2">
        <w:rPr>
          <w:rFonts w:eastAsia="Batang"/>
          <w:bCs/>
          <w:iCs/>
          <w:color w:val="000000" w:themeColor="text1"/>
        </w:rPr>
        <w:t xml:space="preserve"> </w:t>
      </w:r>
      <w:r w:rsidRPr="00AF3ED2">
        <w:rPr>
          <w:rFonts w:eastAsia="Batang"/>
          <w:iCs/>
        </w:rPr>
        <w:t>fuels, raw materials accounted for</w:t>
      </w:r>
      <w:r w:rsidRPr="00AF3ED2">
        <w:rPr>
          <w:rFonts w:eastAsia="Batang"/>
          <w:bCs/>
          <w:iCs/>
          <w:color w:val="000000" w:themeColor="text1"/>
        </w:rPr>
        <w:t xml:space="preserve"> 39.4%. </w:t>
      </w:r>
      <w:r w:rsidRPr="00AF3ED2">
        <w:rPr>
          <w:rFonts w:eastAsia="Batang"/>
          <w:iCs/>
        </w:rPr>
        <w:t>The group of consumer goods reached</w:t>
      </w:r>
      <w:r w:rsidRPr="00AF3ED2">
        <w:rPr>
          <w:rFonts w:eastAsia="Batang"/>
          <w:bCs/>
          <w:iCs/>
          <w:color w:val="000000" w:themeColor="text1"/>
        </w:rPr>
        <w:t xml:space="preserve"> 10.27 billion USD, </w:t>
      </w:r>
      <w:r w:rsidRPr="00AF3ED2">
        <w:rPr>
          <w:rFonts w:eastAsia="Batang"/>
          <w:iCs/>
        </w:rPr>
        <w:t>accounting for</w:t>
      </w:r>
      <w:r w:rsidRPr="00AF3ED2">
        <w:rPr>
          <w:rFonts w:eastAsia="Batang"/>
          <w:bCs/>
          <w:iCs/>
          <w:color w:val="000000" w:themeColor="text1"/>
        </w:rPr>
        <w:t xml:space="preserve"> 5.8%.</w:t>
      </w:r>
    </w:p>
    <w:p w14:paraId="2F933235" w14:textId="77777777" w:rsidR="005B4C2A" w:rsidRPr="00AF3ED2" w:rsidRDefault="005B4C2A" w:rsidP="005B4C2A">
      <w:pPr>
        <w:tabs>
          <w:tab w:val="num" w:pos="0"/>
          <w:tab w:val="left" w:pos="9475"/>
        </w:tabs>
        <w:spacing w:after="120" w:line="264" w:lineRule="auto"/>
        <w:ind w:right="6" w:firstLine="720"/>
        <w:jc w:val="both"/>
        <w:rPr>
          <w:bCs/>
          <w:iCs/>
          <w:color w:val="000000" w:themeColor="text1"/>
          <w:spacing w:val="-4"/>
        </w:rPr>
      </w:pPr>
      <w:r w:rsidRPr="00AF3ED2">
        <w:rPr>
          <w:bCs/>
          <w:i/>
          <w:spacing w:val="-4"/>
        </w:rPr>
        <w:t>Regarding export and import markets of goods in four months of 2026</w:t>
      </w:r>
      <w:r w:rsidRPr="00AF3ED2">
        <w:rPr>
          <w:bCs/>
          <w:i/>
          <w:color w:val="000000" w:themeColor="text1"/>
          <w:spacing w:val="-4"/>
        </w:rPr>
        <w:t>,</w:t>
      </w:r>
      <w:r w:rsidRPr="00AF3ED2">
        <w:rPr>
          <w:bCs/>
          <w:iCs/>
          <w:color w:val="000000" w:themeColor="text1"/>
          <w:spacing w:val="-4"/>
        </w:rPr>
        <w:t xml:space="preserve"> </w:t>
      </w:r>
      <w:r w:rsidRPr="00AF3ED2">
        <w:rPr>
          <w:bCs/>
          <w:spacing w:val="-4"/>
        </w:rPr>
        <w:t>the United States was Viet Nam’s largest export market with a turnover of</w:t>
      </w:r>
      <w:r w:rsidRPr="00AF3ED2">
        <w:rPr>
          <w:bCs/>
          <w:iCs/>
          <w:color w:val="000000" w:themeColor="text1"/>
          <w:spacing w:val="-4"/>
        </w:rPr>
        <w:t xml:space="preserve"> 53.9 billion USD. </w:t>
      </w:r>
      <w:r w:rsidRPr="00AF3ED2">
        <w:rPr>
          <w:bCs/>
          <w:spacing w:val="-4"/>
        </w:rPr>
        <w:t>China remained Viet Nam’s largest import market with a turnover of</w:t>
      </w:r>
      <w:r w:rsidRPr="00AF3ED2">
        <w:rPr>
          <w:bCs/>
          <w:iCs/>
          <w:color w:val="000000" w:themeColor="text1"/>
          <w:spacing w:val="-4"/>
        </w:rPr>
        <w:t xml:space="preserve"> 69.0 billion USD. </w:t>
      </w:r>
      <w:r w:rsidRPr="00AF3ED2">
        <w:rPr>
          <w:iCs/>
          <w:spacing w:val="-4"/>
        </w:rPr>
        <w:t>In four months of 2026</w:t>
      </w:r>
      <w:r w:rsidRPr="00AF3ED2">
        <w:rPr>
          <w:bCs/>
          <w:iCs/>
          <w:color w:val="000000" w:themeColor="text1"/>
          <w:spacing w:val="-4"/>
        </w:rPr>
        <w:t xml:space="preserve">, </w:t>
      </w:r>
      <w:r w:rsidRPr="00AF3ED2">
        <w:rPr>
          <w:bCs/>
          <w:spacing w:val="-4"/>
        </w:rPr>
        <w:t>the trade surplus to the United States and EU reached</w:t>
      </w:r>
      <w:r w:rsidRPr="00AF3ED2">
        <w:rPr>
          <w:bCs/>
          <w:iCs/>
          <w:color w:val="000000" w:themeColor="text1"/>
          <w:spacing w:val="-4"/>
        </w:rPr>
        <w:t xml:space="preserve"> 46.9 billion USD and 14.2 billion USD, </w:t>
      </w:r>
      <w:r w:rsidRPr="00AF3ED2">
        <w:rPr>
          <w:bCs/>
          <w:spacing w:val="-4"/>
        </w:rPr>
        <w:t>respectively, with the corresponding year</w:t>
      </w:r>
      <w:r w:rsidRPr="00AF3ED2">
        <w:rPr>
          <w:bCs/>
          <w:iCs/>
          <w:spacing w:val="-2"/>
        </w:rPr>
        <w:t>-on-year surge of</w:t>
      </w:r>
      <w:r w:rsidRPr="00AF3ED2">
        <w:rPr>
          <w:bCs/>
          <w:iCs/>
          <w:color w:val="000000" w:themeColor="text1"/>
          <w:spacing w:val="-4"/>
        </w:rPr>
        <w:t xml:space="preserve"> 24.4% and 6.7%; </w:t>
      </w:r>
      <w:r w:rsidRPr="00AF3ED2">
        <w:rPr>
          <w:bCs/>
          <w:spacing w:val="-4"/>
        </w:rPr>
        <w:t>the trade surplus to Japan reached</w:t>
      </w:r>
      <w:r w:rsidRPr="00AF3ED2">
        <w:rPr>
          <w:bCs/>
          <w:iCs/>
          <w:color w:val="000000" w:themeColor="text1"/>
          <w:spacing w:val="-4"/>
        </w:rPr>
        <w:t xml:space="preserve"> 0.5 billion USD, </w:t>
      </w:r>
      <w:r w:rsidRPr="00AF3ED2">
        <w:rPr>
          <w:bCs/>
          <w:iCs/>
          <w:spacing w:val="-2"/>
        </w:rPr>
        <w:t>a downturn of</w:t>
      </w:r>
      <w:r w:rsidRPr="00AF3ED2">
        <w:rPr>
          <w:bCs/>
          <w:iCs/>
          <w:color w:val="000000" w:themeColor="text1"/>
          <w:spacing w:val="-4"/>
        </w:rPr>
        <w:t xml:space="preserve"> 28.0%; </w:t>
      </w:r>
      <w:r w:rsidRPr="00AF3ED2">
        <w:rPr>
          <w:bCs/>
          <w:spacing w:val="-4"/>
        </w:rPr>
        <w:t>the trade deficit to China, South Korea, ASEAN was</w:t>
      </w:r>
      <w:r w:rsidRPr="00AF3ED2">
        <w:rPr>
          <w:bCs/>
          <w:iCs/>
          <w:color w:val="000000" w:themeColor="text1"/>
          <w:spacing w:val="-4"/>
        </w:rPr>
        <w:t xml:space="preserve"> 46.4 billion USD, 15.0 billion USD, 7.6 billion USD, </w:t>
      </w:r>
      <w:r w:rsidRPr="00AF3ED2">
        <w:rPr>
          <w:bCs/>
          <w:spacing w:val="-4"/>
        </w:rPr>
        <w:t>respectively, gaining</w:t>
      </w:r>
      <w:r w:rsidRPr="00AF3ED2">
        <w:rPr>
          <w:bCs/>
          <w:iCs/>
          <w:spacing w:val="-2"/>
        </w:rPr>
        <w:t xml:space="preserve"> an equivalent expansion of</w:t>
      </w:r>
      <w:r w:rsidRPr="00AF3ED2">
        <w:rPr>
          <w:bCs/>
          <w:iCs/>
          <w:color w:val="000000" w:themeColor="text1"/>
          <w:spacing w:val="-4"/>
        </w:rPr>
        <w:t xml:space="preserve"> 33.4%, 57.8%,</w:t>
      </w:r>
      <w:r>
        <w:rPr>
          <w:bCs/>
          <w:iCs/>
          <w:color w:val="000000" w:themeColor="text1"/>
          <w:spacing w:val="-4"/>
        </w:rPr>
        <w:t xml:space="preserve"> and</w:t>
      </w:r>
      <w:r w:rsidRPr="00AF3ED2">
        <w:rPr>
          <w:bCs/>
          <w:iCs/>
          <w:color w:val="000000" w:themeColor="text1"/>
          <w:spacing w:val="-4"/>
        </w:rPr>
        <w:t xml:space="preserve"> 44.3%.</w:t>
      </w:r>
    </w:p>
    <w:p w14:paraId="3CF9DF4A" w14:textId="77777777" w:rsidR="005B4C2A" w:rsidRPr="00AF3ED2" w:rsidRDefault="005B4C2A" w:rsidP="005B4C2A">
      <w:pPr>
        <w:tabs>
          <w:tab w:val="num" w:pos="0"/>
          <w:tab w:val="left" w:pos="9475"/>
        </w:tabs>
        <w:spacing w:before="120" w:after="120" w:line="288" w:lineRule="auto"/>
        <w:ind w:right="6"/>
        <w:jc w:val="center"/>
        <w:rPr>
          <w:rFonts w:asciiTheme="minorHAnsi" w:eastAsiaTheme="minorHAnsi" w:hAnsiTheme="minorHAnsi" w:cstheme="minorBidi"/>
          <w:color w:val="000000" w:themeColor="text1"/>
          <w:sz w:val="22"/>
          <w:szCs w:val="22"/>
          <w:highlight w:val="yellow"/>
        </w:rPr>
      </w:pPr>
      <w:r w:rsidRPr="00AF3ED2">
        <w:rPr>
          <w:rFonts w:ascii="Arial" w:hAnsi="Arial" w:cs="Arial"/>
          <w:b/>
          <w:iCs/>
          <w:color w:val="000000" w:themeColor="text1"/>
          <w:spacing w:val="-2"/>
          <w:sz w:val="24"/>
        </w:rPr>
        <w:lastRenderedPageBreak/>
        <w:t xml:space="preserve">Figure 14. </w:t>
      </w:r>
      <w:r w:rsidRPr="00AF3ED2">
        <w:rPr>
          <w:rFonts w:ascii="Arial Bold" w:hAnsi="Arial Bold"/>
          <w:b/>
          <w:spacing w:val="-8"/>
          <w:sz w:val="24"/>
        </w:rPr>
        <w:t xml:space="preserve">Major commodity </w:t>
      </w:r>
      <w:r w:rsidRPr="00AF3ED2">
        <w:rPr>
          <w:rFonts w:ascii="Arial Bold" w:hAnsi="Arial Bold" w:cs="Arial"/>
          <w:b/>
          <w:iCs/>
          <w:spacing w:val="-8"/>
          <w:sz w:val="24"/>
          <w:szCs w:val="24"/>
        </w:rPr>
        <w:t xml:space="preserve">export and </w:t>
      </w:r>
      <w:r w:rsidRPr="00AF3ED2">
        <w:rPr>
          <w:rFonts w:ascii="Arial Bold" w:hAnsi="Arial Bold"/>
          <w:b/>
          <w:spacing w:val="-8"/>
          <w:sz w:val="24"/>
        </w:rPr>
        <w:t xml:space="preserve">import markets </w:t>
      </w:r>
      <w:r>
        <w:rPr>
          <w:rFonts w:ascii="Arial Bold" w:hAnsi="Arial Bold"/>
          <w:b/>
          <w:spacing w:val="-8"/>
          <w:sz w:val="24"/>
        </w:rPr>
        <w:br/>
      </w:r>
      <w:r w:rsidRPr="00AF3ED2">
        <w:rPr>
          <w:rFonts w:ascii="Arial Bold" w:hAnsi="Arial Bold"/>
          <w:b/>
          <w:spacing w:val="-8"/>
          <w:sz w:val="24"/>
        </w:rPr>
        <w:t>in four months of</w:t>
      </w:r>
      <w:r w:rsidRPr="00AF3ED2">
        <w:rPr>
          <w:rFonts w:ascii="Arial Bold" w:hAnsi="Arial Bold" w:cs="Arial"/>
          <w:b/>
          <w:iCs/>
          <w:spacing w:val="-8"/>
          <w:sz w:val="24"/>
        </w:rPr>
        <w:t xml:space="preserve"> 2026</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5B4C2A" w:rsidRPr="00AF3ED2" w14:paraId="31929A11" w14:textId="77777777" w:rsidTr="00D474E6">
        <w:trPr>
          <w:trHeight w:val="3151"/>
          <w:jc w:val="center"/>
        </w:trPr>
        <w:tc>
          <w:tcPr>
            <w:tcW w:w="4675" w:type="dxa"/>
            <w:gridSpan w:val="3"/>
          </w:tcPr>
          <w:p w14:paraId="58F7F106" w14:textId="77777777" w:rsidR="005B4C2A" w:rsidRPr="00AF3ED2" w:rsidRDefault="005B4C2A" w:rsidP="00D474E6">
            <w:pPr>
              <w:tabs>
                <w:tab w:val="num" w:pos="0"/>
                <w:tab w:val="left" w:pos="9475"/>
              </w:tabs>
              <w:spacing w:before="40" w:after="40" w:line="288" w:lineRule="auto"/>
              <w:ind w:right="-118"/>
              <w:jc w:val="both"/>
              <w:rPr>
                <w:iCs/>
                <w:color w:val="000000" w:themeColor="text1"/>
                <w:highlight w:val="yellow"/>
                <w:lang w:val="en-US"/>
              </w:rPr>
            </w:pPr>
            <w:r w:rsidRPr="00AF3ED2">
              <w:rPr>
                <w:noProof/>
              </w:rPr>
              <w:drawing>
                <wp:inline distT="0" distB="0" distL="0" distR="0" wp14:anchorId="6BBDA4C8" wp14:editId="6567716F">
                  <wp:extent cx="2886075" cy="2038350"/>
                  <wp:effectExtent l="0" t="0" r="9525" b="0"/>
                  <wp:docPr id="25" name="Chart 2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818" w:type="dxa"/>
            <w:gridSpan w:val="3"/>
          </w:tcPr>
          <w:p w14:paraId="3AE65689" w14:textId="77777777" w:rsidR="005B4C2A" w:rsidRPr="00AF3ED2" w:rsidRDefault="005B4C2A" w:rsidP="00D474E6">
            <w:pPr>
              <w:tabs>
                <w:tab w:val="num" w:pos="0"/>
                <w:tab w:val="left" w:pos="9475"/>
              </w:tabs>
              <w:spacing w:before="40" w:after="40" w:line="288" w:lineRule="auto"/>
              <w:ind w:right="6" w:firstLine="35"/>
              <w:jc w:val="both"/>
              <w:rPr>
                <w:iCs/>
                <w:color w:val="000000" w:themeColor="text1"/>
                <w:highlight w:val="yellow"/>
                <w:lang w:val="en-US"/>
              </w:rPr>
            </w:pPr>
            <w:r w:rsidRPr="00AF3ED2">
              <w:rPr>
                <w:noProof/>
              </w:rPr>
              <w:drawing>
                <wp:inline distT="0" distB="0" distL="0" distR="0" wp14:anchorId="4C779500" wp14:editId="229C0D80">
                  <wp:extent cx="2941320" cy="2047875"/>
                  <wp:effectExtent l="0" t="0" r="11430" b="9525"/>
                  <wp:docPr id="26" name="Chart 2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5B4C2A" w:rsidRPr="00AF3ED2" w14:paraId="4CDFD30D" w14:textId="77777777" w:rsidTr="00D474E6">
        <w:trPr>
          <w:gridAfter w:val="1"/>
          <w:wAfter w:w="532" w:type="dxa"/>
          <w:trHeight w:val="176"/>
          <w:jc w:val="center"/>
        </w:trPr>
        <w:tc>
          <w:tcPr>
            <w:tcW w:w="1791" w:type="dxa"/>
          </w:tcPr>
          <w:p w14:paraId="602D3EEA" w14:textId="77777777" w:rsidR="005B4C2A" w:rsidRPr="00AF3ED2" w:rsidRDefault="005B4C2A" w:rsidP="00D474E6">
            <w:pPr>
              <w:spacing w:before="40" w:after="40" w:line="288" w:lineRule="auto"/>
              <w:ind w:firstLine="567"/>
              <w:jc w:val="both"/>
              <w:rPr>
                <w:color w:val="000000" w:themeColor="text1"/>
                <w:highlight w:val="yellow"/>
                <w:lang w:val="en-US"/>
              </w:rPr>
            </w:pPr>
          </w:p>
        </w:tc>
        <w:tc>
          <w:tcPr>
            <w:tcW w:w="619" w:type="dxa"/>
          </w:tcPr>
          <w:p w14:paraId="42D36E73" w14:textId="77777777" w:rsidR="005B4C2A" w:rsidRPr="00AF3ED2" w:rsidRDefault="005B4C2A" w:rsidP="00D474E6">
            <w:pPr>
              <w:spacing w:before="40" w:after="40" w:line="288" w:lineRule="auto"/>
              <w:ind w:firstLine="567"/>
              <w:jc w:val="both"/>
              <w:rPr>
                <w:b/>
                <w:bCs/>
                <w:i/>
                <w:iCs/>
                <w:color w:val="000000" w:themeColor="text1"/>
                <w:highlight w:val="yellow"/>
                <w:lang w:val="en-US"/>
              </w:rPr>
            </w:pPr>
          </w:p>
        </w:tc>
        <w:tc>
          <w:tcPr>
            <w:tcW w:w="2265" w:type="dxa"/>
          </w:tcPr>
          <w:p w14:paraId="44410AA4" w14:textId="77777777" w:rsidR="005B4C2A" w:rsidRPr="00AF3ED2" w:rsidRDefault="005B4C2A" w:rsidP="00D474E6">
            <w:pPr>
              <w:spacing w:before="40" w:after="40" w:line="288" w:lineRule="auto"/>
              <w:ind w:firstLine="567"/>
              <w:jc w:val="both"/>
              <w:rPr>
                <w:b/>
                <w:bCs/>
                <w:i/>
                <w:iCs/>
                <w:color w:val="000000" w:themeColor="text1"/>
                <w:lang w:val="en-US"/>
              </w:rPr>
            </w:pPr>
            <w:r w:rsidRPr="00AF3ED2">
              <w:rPr>
                <w:noProof/>
                <w:color w:val="000000" w:themeColor="text1"/>
              </w:rPr>
              <mc:AlternateContent>
                <mc:Choice Requires="wps">
                  <w:drawing>
                    <wp:anchor distT="0" distB="0" distL="114300" distR="114300" simplePos="0" relativeHeight="251675648" behindDoc="0" locked="0" layoutInCell="1" allowOverlap="1" wp14:anchorId="57BE9B93" wp14:editId="46633975">
                      <wp:simplePos x="0" y="0"/>
                      <wp:positionH relativeFrom="column">
                        <wp:posOffset>98425</wp:posOffset>
                      </wp:positionH>
                      <wp:positionV relativeFrom="paragraph">
                        <wp:posOffset>36195</wp:posOffset>
                      </wp:positionV>
                      <wp:extent cx="125730" cy="90170"/>
                      <wp:effectExtent l="0" t="0" r="7620" b="5080"/>
                      <wp:wrapNone/>
                      <wp:docPr id="2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D8A37A" id="Rectangle 28" o:spid="_x0000_s1026" style="position:absolute;margin-left:7.75pt;margin-top:2.85pt;width:9.9pt;height: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" fillcolor="#00b050" stroked="f" strokeweight="1pt">
                      <v:path arrowok="t"/>
                    </v:rect>
                  </w:pict>
                </mc:Fallback>
              </mc:AlternateContent>
            </w:r>
            <w:r w:rsidRPr="00AF3ED2">
              <w:rPr>
                <w:rFonts w:ascii="Arial" w:hAnsi="Arial" w:cs="Arial"/>
                <w:iCs/>
                <w:color w:val="000000" w:themeColor="text1"/>
                <w:sz w:val="16"/>
                <w:szCs w:val="16"/>
                <w:lang w:val="en-US"/>
              </w:rPr>
              <w:t xml:space="preserve"> </w:t>
            </w:r>
            <w:r w:rsidRPr="00AF3ED2">
              <w:rPr>
                <w:rFonts w:ascii="Arial" w:hAnsi="Arial" w:cs="Arial"/>
                <w:iCs/>
                <w:sz w:val="16"/>
                <w:szCs w:val="16"/>
                <w:lang w:val="en-US"/>
              </w:rPr>
              <w:t>Export of goods</w:t>
            </w:r>
          </w:p>
        </w:tc>
        <w:tc>
          <w:tcPr>
            <w:tcW w:w="2838" w:type="dxa"/>
          </w:tcPr>
          <w:p w14:paraId="0E421FC1" w14:textId="77777777" w:rsidR="005B4C2A" w:rsidRPr="00AF3ED2" w:rsidRDefault="005B4C2A" w:rsidP="00D474E6">
            <w:pPr>
              <w:spacing w:before="40" w:after="40" w:line="288" w:lineRule="auto"/>
              <w:ind w:firstLine="567"/>
              <w:jc w:val="both"/>
              <w:rPr>
                <w:b/>
                <w:bCs/>
                <w:i/>
                <w:iCs/>
                <w:color w:val="000000" w:themeColor="text1"/>
                <w:lang w:val="en-US"/>
              </w:rPr>
            </w:pPr>
            <w:r w:rsidRPr="00AF3ED2">
              <w:rPr>
                <w:noProof/>
                <w:color w:val="000000" w:themeColor="text1"/>
              </w:rPr>
              <mc:AlternateContent>
                <mc:Choice Requires="wps">
                  <w:drawing>
                    <wp:anchor distT="0" distB="0" distL="114300" distR="114300" simplePos="0" relativeHeight="251676672" behindDoc="0" locked="0" layoutInCell="1" allowOverlap="1" wp14:anchorId="67A01C49" wp14:editId="046A141C">
                      <wp:simplePos x="0" y="0"/>
                      <wp:positionH relativeFrom="column">
                        <wp:posOffset>414655</wp:posOffset>
                      </wp:positionH>
                      <wp:positionV relativeFrom="paragraph">
                        <wp:posOffset>36195</wp:posOffset>
                      </wp:positionV>
                      <wp:extent cx="125730" cy="90170"/>
                      <wp:effectExtent l="0" t="0" r="26670" b="24130"/>
                      <wp:wrapNone/>
                      <wp:docPr id="2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C0F9D0" id="Rectangle 29" o:spid="_x0000_s1026" style="position:absolute;margin-left:32.65pt;margin-top:2.85pt;width:9.9pt;height: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" fillcolor="#7030a0" strokecolor="#3b3838" strokeweight=".5pt">
                      <v:path arrowok="t"/>
                    </v:rect>
                  </w:pict>
                </mc:Fallback>
              </mc:AlternateContent>
            </w:r>
            <w:r w:rsidRPr="00AF3ED2">
              <w:rPr>
                <w:rFonts w:ascii="Arial" w:hAnsi="Arial" w:cs="Arial"/>
                <w:iCs/>
                <w:color w:val="000000" w:themeColor="text1"/>
                <w:sz w:val="16"/>
                <w:szCs w:val="16"/>
                <w:lang w:val="en-US"/>
              </w:rPr>
              <w:t xml:space="preserve">          </w:t>
            </w:r>
            <w:r w:rsidRPr="00AF3ED2">
              <w:rPr>
                <w:rFonts w:ascii="Arial" w:hAnsi="Arial" w:cs="Arial"/>
                <w:iCs/>
                <w:sz w:val="16"/>
                <w:szCs w:val="16"/>
                <w:lang w:val="en-US"/>
              </w:rPr>
              <w:t>Import of goods</w:t>
            </w:r>
          </w:p>
        </w:tc>
        <w:tc>
          <w:tcPr>
            <w:tcW w:w="1448" w:type="dxa"/>
          </w:tcPr>
          <w:p w14:paraId="19C8F15A" w14:textId="77777777" w:rsidR="005B4C2A" w:rsidRPr="00AF3ED2" w:rsidRDefault="005B4C2A" w:rsidP="00D474E6">
            <w:pPr>
              <w:spacing w:before="40" w:after="40" w:line="288" w:lineRule="auto"/>
              <w:ind w:firstLine="567"/>
              <w:jc w:val="both"/>
              <w:rPr>
                <w:b/>
                <w:bCs/>
                <w:i/>
                <w:iCs/>
                <w:color w:val="000000" w:themeColor="text1"/>
                <w:lang w:val="en-US"/>
              </w:rPr>
            </w:pPr>
          </w:p>
        </w:tc>
      </w:tr>
    </w:tbl>
    <w:p w14:paraId="41B06CE5" w14:textId="77777777" w:rsidR="005B4C2A" w:rsidRPr="00AF3ED2" w:rsidRDefault="005B4C2A" w:rsidP="005B4C2A">
      <w:pPr>
        <w:spacing w:before="40" w:after="40" w:line="252" w:lineRule="auto"/>
        <w:ind w:firstLine="567"/>
        <w:jc w:val="both"/>
      </w:pPr>
      <w:r w:rsidRPr="00AF3ED2">
        <w:rPr>
          <w:iCs/>
          <w:spacing w:val="8"/>
        </w:rPr>
        <w:t>According to preliminary data, the trade balance of goods recorded a</w:t>
      </w:r>
      <w:r w:rsidRPr="00AF3ED2">
        <w:rPr>
          <w:iCs/>
          <w:color w:val="000000" w:themeColor="text1"/>
          <w:spacing w:val="8"/>
        </w:rPr>
        <w:t xml:space="preserve"> deficit of 0.68 billion USD</w:t>
      </w:r>
      <w:r w:rsidRPr="00AF3ED2">
        <w:rPr>
          <w:iCs/>
          <w:color w:val="000000" w:themeColor="text1"/>
          <w:vertAlign w:val="superscript"/>
        </w:rPr>
        <w:footnoteReference w:id="21"/>
      </w:r>
      <w:r w:rsidRPr="00AF3ED2">
        <w:rPr>
          <w:iCs/>
          <w:color w:val="000000" w:themeColor="text1"/>
        </w:rPr>
        <w:t xml:space="preserve"> </w:t>
      </w:r>
      <w:r w:rsidRPr="00AF3ED2">
        <w:rPr>
          <w:iCs/>
          <w:spacing w:val="8"/>
        </w:rPr>
        <w:t>in March,</w:t>
      </w:r>
      <w:r w:rsidRPr="00AF3ED2">
        <w:rPr>
          <w:iCs/>
        </w:rPr>
        <w:t xml:space="preserve"> </w:t>
      </w:r>
      <w:r w:rsidRPr="00AF3ED2">
        <w:rPr>
          <w:iCs/>
          <w:color w:val="000000" w:themeColor="text1"/>
        </w:rPr>
        <w:t xml:space="preserve">3.83 billion USD in the </w:t>
      </w:r>
      <w:r>
        <w:rPr>
          <w:iCs/>
          <w:color w:val="000000" w:themeColor="text1"/>
        </w:rPr>
        <w:t>Q1</w:t>
      </w:r>
      <w:r w:rsidRPr="00AF3ED2">
        <w:rPr>
          <w:iCs/>
          <w:color w:val="000000" w:themeColor="text1"/>
        </w:rPr>
        <w:t xml:space="preserve"> 2026 </w:t>
      </w:r>
      <w:r w:rsidRPr="00AF3ED2">
        <w:rPr>
          <w:iCs/>
        </w:rPr>
        <w:t xml:space="preserve">and </w:t>
      </w:r>
      <w:r w:rsidRPr="00AF3ED2">
        <w:rPr>
          <w:iCs/>
          <w:color w:val="000000" w:themeColor="text1"/>
        </w:rPr>
        <w:t xml:space="preserve">3.28 billion USD in April. </w:t>
      </w:r>
      <w:r w:rsidRPr="00AF3ED2">
        <w:rPr>
          <w:iCs/>
        </w:rPr>
        <w:t>Overall, in four months of</w:t>
      </w:r>
      <w:r w:rsidRPr="00AF3ED2">
        <w:rPr>
          <w:iCs/>
          <w:color w:val="000000" w:themeColor="text1"/>
        </w:rPr>
        <w:t xml:space="preserve"> 2026, </w:t>
      </w:r>
      <w:r w:rsidRPr="00AF3ED2">
        <w:rPr>
          <w:iCs/>
        </w:rPr>
        <w:t>the trade balance of goods posted a deficit of</w:t>
      </w:r>
      <w:r w:rsidRPr="00AF3ED2">
        <w:rPr>
          <w:iCs/>
          <w:color w:val="000000" w:themeColor="text1"/>
        </w:rPr>
        <w:t xml:space="preserve"> 7.11 billion USD (</w:t>
      </w:r>
      <w:r w:rsidRPr="00AF3ED2">
        <w:rPr>
          <w:iCs/>
        </w:rPr>
        <w:t xml:space="preserve">a surplus of </w:t>
      </w:r>
      <w:r w:rsidRPr="00AF3ED2">
        <w:rPr>
          <w:iCs/>
          <w:color w:val="000000" w:themeColor="text1"/>
        </w:rPr>
        <w:t>4.3 billion USD</w:t>
      </w:r>
      <w:r w:rsidRPr="00AF3ED2">
        <w:rPr>
          <w:iCs/>
        </w:rPr>
        <w:t xml:space="preserve"> in the same period last year</w:t>
      </w:r>
      <w:r w:rsidRPr="00AF3ED2">
        <w:rPr>
          <w:iCs/>
          <w:color w:val="000000" w:themeColor="text1"/>
        </w:rPr>
        <w:t xml:space="preserve">). </w:t>
      </w:r>
      <w:r w:rsidRPr="00AF3ED2">
        <w:rPr>
          <w:iCs/>
        </w:rPr>
        <w:t>Of which, the domestic economic sector r</w:t>
      </w:r>
      <w:r>
        <w:rPr>
          <w:iCs/>
        </w:rPr>
        <w:t>ecorded</w:t>
      </w:r>
      <w:r w:rsidRPr="00AF3ED2">
        <w:rPr>
          <w:iCs/>
        </w:rPr>
        <w:t xml:space="preserve"> a trade deficit of</w:t>
      </w:r>
      <w:r w:rsidRPr="00AF3ED2">
        <w:rPr>
          <w:iCs/>
          <w:color w:val="000000" w:themeColor="text1"/>
        </w:rPr>
        <w:t xml:space="preserve"> 15.61 billion USD; </w:t>
      </w:r>
      <w:r w:rsidRPr="00AF3ED2">
        <w:rPr>
          <w:iCs/>
        </w:rPr>
        <w:t>while the FDI sector (including crude oil) recorded a trade surplus of</w:t>
      </w:r>
      <w:r w:rsidRPr="00AF3ED2">
        <w:rPr>
          <w:iCs/>
          <w:color w:val="000000" w:themeColor="text1"/>
        </w:rPr>
        <w:t xml:space="preserve"> 8.5 billion USD.</w:t>
      </w:r>
    </w:p>
    <w:p w14:paraId="284E587F" w14:textId="77777777" w:rsidR="005B4C2A" w:rsidRPr="00AF3ED2" w:rsidRDefault="005B4C2A" w:rsidP="005B4C2A">
      <w:pPr>
        <w:spacing w:after="120" w:line="264" w:lineRule="auto"/>
        <w:ind w:firstLine="720"/>
        <w:jc w:val="both"/>
        <w:rPr>
          <w:b/>
          <w:i/>
          <w:color w:val="000000" w:themeColor="text1"/>
        </w:rPr>
      </w:pPr>
      <w:r w:rsidRPr="00AF3ED2">
        <w:rPr>
          <w:b/>
          <w:i/>
          <w:color w:val="000000" w:themeColor="text1"/>
        </w:rPr>
        <w:t>c) Consumer price index, gold and US dollar price index</w:t>
      </w:r>
    </w:p>
    <w:p w14:paraId="60A5C8AA" w14:textId="77777777" w:rsidR="005B4C2A" w:rsidRPr="00AF3ED2" w:rsidRDefault="005B4C2A" w:rsidP="005B4C2A">
      <w:pPr>
        <w:pStyle w:val="NormalWeb"/>
        <w:spacing w:before="0" w:beforeAutospacing="0" w:after="120" w:afterAutospacing="0" w:line="264" w:lineRule="auto"/>
        <w:ind w:firstLine="720"/>
        <w:jc w:val="both"/>
        <w:rPr>
          <w:i/>
          <w:color w:val="000000" w:themeColor="text1"/>
          <w:sz w:val="28"/>
          <w:szCs w:val="28"/>
          <w:lang w:val="en-US"/>
        </w:rPr>
      </w:pPr>
      <w:r w:rsidRPr="00AF3ED2">
        <w:rPr>
          <w:i/>
          <w:color w:val="000000" w:themeColor="text1"/>
          <w:sz w:val="28"/>
          <w:szCs w:val="28"/>
          <w:lang w:val="en-US"/>
        </w:rPr>
        <w:t xml:space="preserve">The Consumer Price Index (CPI) in April witnessed a month-on-month increase of 0.84% </w:t>
      </w:r>
      <w:r w:rsidRPr="00AF3ED2">
        <w:rPr>
          <w:rFonts w:ascii="Times New Roman Italic" w:hAnsi="Times New Roman Italic"/>
          <w:i/>
          <w:color w:val="000000" w:themeColor="text1"/>
          <w:spacing w:val="-4"/>
          <w:sz w:val="28"/>
          <w:szCs w:val="28"/>
          <w:lang w:val="en-US"/>
        </w:rPr>
        <w:t xml:space="preserve">as result of </w:t>
      </w:r>
      <w:r w:rsidRPr="00AF3ED2">
        <w:rPr>
          <w:i/>
          <w:color w:val="000000" w:themeColor="text1"/>
          <w:sz w:val="28"/>
          <w:szCs w:val="28"/>
          <w:lang w:val="en-US"/>
        </w:rPr>
        <w:t xml:space="preserve">a rise in the prices of domestic gas in line with the prices of fuel global, as well as an expansion in the prices of eating out and construction materials resulting from the higher costs of raw material and transport. The CPI in April rose by 3.31%, 5.46% compared to that in December 2025 and the same period last year, respectively. </w:t>
      </w:r>
    </w:p>
    <w:p w14:paraId="53101B5E" w14:textId="77777777" w:rsidR="005B4C2A" w:rsidRPr="00AF3ED2" w:rsidRDefault="005B4C2A" w:rsidP="005B4C2A">
      <w:pPr>
        <w:pStyle w:val="NormalWeb"/>
        <w:spacing w:before="0" w:beforeAutospacing="0" w:after="120" w:afterAutospacing="0" w:line="264" w:lineRule="auto"/>
        <w:ind w:firstLine="720"/>
        <w:jc w:val="both"/>
        <w:rPr>
          <w:i/>
          <w:color w:val="000000" w:themeColor="text1"/>
          <w:spacing w:val="4"/>
          <w:sz w:val="28"/>
          <w:szCs w:val="28"/>
          <w:lang w:val="en-US"/>
        </w:rPr>
      </w:pPr>
      <w:r w:rsidRPr="00AF3ED2">
        <w:rPr>
          <w:i/>
          <w:color w:val="000000" w:themeColor="text1"/>
          <w:spacing w:val="4"/>
          <w:sz w:val="28"/>
          <w:szCs w:val="28"/>
          <w:lang w:val="en-US"/>
        </w:rPr>
        <w:t>In general, the CPI in four months of 2026 saw a year-on-year increase of 3.99%; core inflation edged up 3.89%.</w:t>
      </w:r>
    </w:p>
    <w:p w14:paraId="2BF6B76C" w14:textId="062EA9D7" w:rsidR="005B4C2A" w:rsidRPr="00AF3ED2" w:rsidRDefault="005B4C2A" w:rsidP="005B4C2A">
      <w:pPr>
        <w:spacing w:after="120" w:line="264" w:lineRule="auto"/>
        <w:ind w:firstLine="720"/>
        <w:jc w:val="both"/>
        <w:rPr>
          <w:rFonts w:eastAsia="Calibri"/>
          <w:color w:val="000000" w:themeColor="text1"/>
        </w:rPr>
      </w:pPr>
      <w:r w:rsidRPr="00AF3ED2">
        <w:rPr>
          <w:rFonts w:eastAsia="Calibri"/>
          <w:color w:val="000000" w:themeColor="text1"/>
        </w:rPr>
        <w:t xml:space="preserve">In the month-on-month increase of 0.84% in the CPI in April 2026, </w:t>
      </w:r>
      <w:r w:rsidR="007A3686">
        <w:rPr>
          <w:rFonts w:eastAsia="Calibri"/>
          <w:color w:val="000000" w:themeColor="text1"/>
        </w:rPr>
        <w:t>10</w:t>
      </w:r>
      <w:r w:rsidRPr="00AF3ED2">
        <w:rPr>
          <w:rFonts w:eastAsia="Calibri"/>
          <w:color w:val="000000" w:themeColor="text1"/>
        </w:rPr>
        <w:t xml:space="preserve"> groups of goods experienced an increase in </w:t>
      </w:r>
      <w:r w:rsidRPr="00AF3ED2">
        <w:t>the CPI</w:t>
      </w:r>
      <w:r w:rsidRPr="00AF3ED2">
        <w:rPr>
          <w:rFonts w:eastAsia="Calibri"/>
          <w:color w:val="000000" w:themeColor="text1"/>
        </w:rPr>
        <w:t xml:space="preserve"> but the CPI of transport group </w:t>
      </w:r>
      <w:r w:rsidRPr="00AF3ED2">
        <w:t>possessed a decrease</w:t>
      </w:r>
      <w:r w:rsidRPr="00AF3ED2">
        <w:rPr>
          <w:rFonts w:eastAsia="Calibri"/>
          <w:color w:val="000000" w:themeColor="text1"/>
        </w:rPr>
        <w:t xml:space="preserve">. </w:t>
      </w:r>
    </w:p>
    <w:p w14:paraId="32E76EA5" w14:textId="74D743ED" w:rsidR="005B4C2A" w:rsidRPr="00AF3ED2" w:rsidRDefault="005B4C2A" w:rsidP="005B4C2A">
      <w:pPr>
        <w:spacing w:after="120" w:line="264" w:lineRule="auto"/>
        <w:ind w:firstLine="720"/>
        <w:jc w:val="both"/>
        <w:rPr>
          <w:rFonts w:eastAsia="Calibri"/>
          <w:color w:val="000000" w:themeColor="text1"/>
        </w:rPr>
      </w:pPr>
      <w:r w:rsidRPr="00AF3ED2">
        <w:rPr>
          <w:color w:val="000000" w:themeColor="text1"/>
        </w:rPr>
        <w:t xml:space="preserve">(1) </w:t>
      </w:r>
      <w:r w:rsidR="007A3686">
        <w:t>10</w:t>
      </w:r>
      <w:r w:rsidRPr="00AF3ED2">
        <w:t xml:space="preserve"> </w:t>
      </w:r>
      <w:r w:rsidRPr="00AF3ED2">
        <w:rPr>
          <w:color w:val="000000" w:themeColor="text1"/>
        </w:rPr>
        <w:t>groups of goods and services recorded an upturn in CPI, including</w:t>
      </w:r>
    </w:p>
    <w:p w14:paraId="738C838F" w14:textId="77777777" w:rsidR="005B4C2A" w:rsidRPr="00AF3ED2" w:rsidRDefault="005B4C2A" w:rsidP="005B4C2A">
      <w:pPr>
        <w:pStyle w:val="Normal1"/>
        <w:spacing w:before="0" w:beforeAutospacing="0" w:after="120" w:afterAutospacing="0" w:line="264" w:lineRule="auto"/>
        <w:ind w:firstLine="720"/>
        <w:jc w:val="both"/>
        <w:rPr>
          <w:rFonts w:ascii="Times New Roman" w:hAnsi="Times New Roman" w:cs="Times New Roman"/>
          <w:color w:val="000000" w:themeColor="text1"/>
          <w:spacing w:val="-4"/>
          <w:sz w:val="28"/>
          <w:szCs w:val="28"/>
          <w:shd w:val="clear" w:color="auto" w:fill="FFFFFF"/>
        </w:rPr>
      </w:pPr>
      <w:r w:rsidRPr="00AF3ED2">
        <w:rPr>
          <w:rFonts w:ascii="Times New Roman" w:hAnsi="Times New Roman" w:cs="Times New Roman"/>
          <w:color w:val="000000" w:themeColor="text1"/>
          <w:spacing w:val="-4"/>
          <w:sz w:val="28"/>
          <w:szCs w:val="28"/>
          <w:shd w:val="clear" w:color="auto" w:fill="FFFFFF"/>
        </w:rPr>
        <w:t xml:space="preserve">- </w:t>
      </w:r>
      <w:r w:rsidRPr="00AF3ED2">
        <w:rPr>
          <w:rFonts w:ascii="Times New Roman" w:hAnsi="Times New Roman" w:cs="Times New Roman"/>
          <w:i/>
          <w:color w:val="000000" w:themeColor="text1"/>
          <w:spacing w:val="-4"/>
          <w:sz w:val="28"/>
          <w:szCs w:val="28"/>
          <w:shd w:val="clear" w:color="auto" w:fill="FFFFFF"/>
        </w:rPr>
        <w:t>The group of housing, electricity, water, fuel, and construction materials</w:t>
      </w:r>
      <w:r w:rsidRPr="00AF3ED2">
        <w:rPr>
          <w:rStyle w:val="FootnoteReference"/>
          <w:rFonts w:ascii="Times New Roman" w:hAnsi="Times New Roman" w:cs="Times New Roman"/>
          <w:i/>
          <w:color w:val="000000" w:themeColor="text1"/>
          <w:spacing w:val="-4"/>
          <w:sz w:val="28"/>
          <w:szCs w:val="28"/>
          <w:shd w:val="clear" w:color="auto" w:fill="FFFFFF"/>
        </w:rPr>
        <w:footnoteReference w:id="22"/>
      </w:r>
      <w:r w:rsidRPr="00AF3ED2">
        <w:rPr>
          <w:rFonts w:ascii="Times New Roman" w:hAnsi="Times New Roman" w:cs="Times New Roman"/>
          <w:color w:val="000000" w:themeColor="text1"/>
          <w:spacing w:val="-4"/>
          <w:sz w:val="28"/>
          <w:szCs w:val="28"/>
          <w:shd w:val="clear" w:color="auto" w:fill="FFFFFF"/>
        </w:rPr>
        <w:t xml:space="preserve"> increased by 2.59% (contributing to </w:t>
      </w:r>
      <w:r w:rsidRPr="00AF3ED2">
        <w:rPr>
          <w:rFonts w:ascii="Times New Roman" w:hAnsi="Times New Roman" w:cs="Times New Roman"/>
          <w:sz w:val="28"/>
          <w:szCs w:val="28"/>
        </w:rPr>
        <w:t>an expansion of</w:t>
      </w:r>
      <w:r w:rsidRPr="00AF3ED2">
        <w:rPr>
          <w:rFonts w:ascii="Times New Roman" w:hAnsi="Times New Roman" w:cs="Times New Roman"/>
          <w:color w:val="000000" w:themeColor="text1"/>
          <w:spacing w:val="-4"/>
          <w:sz w:val="28"/>
          <w:szCs w:val="28"/>
          <w:shd w:val="clear" w:color="auto" w:fill="FFFFFF"/>
        </w:rPr>
        <w:t xml:space="preserve"> 0.59 percentage points in the overall CPI), </w:t>
      </w:r>
      <w:r w:rsidRPr="00AF3ED2">
        <w:rPr>
          <w:rFonts w:ascii="Times New Roman" w:hAnsi="Times New Roman" w:cs="Times New Roman"/>
          <w:color w:val="000000" w:themeColor="text1"/>
          <w:sz w:val="28"/>
          <w:szCs w:val="28"/>
        </w:rPr>
        <w:t xml:space="preserve">focusing on a rise in the </w:t>
      </w:r>
      <w:r w:rsidRPr="00AF3ED2">
        <w:rPr>
          <w:rFonts w:ascii="Times New Roman" w:hAnsi="Times New Roman" w:cs="Times New Roman"/>
          <w:color w:val="000000" w:themeColor="text1"/>
          <w:spacing w:val="-4"/>
          <w:sz w:val="28"/>
          <w:szCs w:val="28"/>
          <w:shd w:val="clear" w:color="auto" w:fill="FFFFFF"/>
        </w:rPr>
        <w:t>prices of the items</w:t>
      </w:r>
      <w:r w:rsidRPr="00AF3ED2">
        <w:rPr>
          <w:rFonts w:ascii="Times New Roman" w:hAnsi="Times New Roman" w:cs="Times New Roman"/>
          <w:color w:val="000000" w:themeColor="text1"/>
          <w:sz w:val="28"/>
          <w:szCs w:val="28"/>
        </w:rPr>
        <w:t xml:space="preserve"> as follows</w:t>
      </w:r>
      <w:r w:rsidRPr="00AF3ED2">
        <w:rPr>
          <w:rFonts w:ascii="Times New Roman" w:hAnsi="Times New Roman" w:cs="Times New Roman"/>
          <w:color w:val="000000" w:themeColor="text1"/>
          <w:spacing w:val="-4"/>
          <w:sz w:val="28"/>
          <w:szCs w:val="28"/>
          <w:shd w:val="clear" w:color="auto" w:fill="FFFFFF"/>
        </w:rPr>
        <w:t xml:space="preserve">: Gas prices </w:t>
      </w:r>
      <w:r w:rsidRPr="00AF3ED2">
        <w:rPr>
          <w:rFonts w:ascii="Times New Roman" w:hAnsi="Times New Roman" w:cs="Times New Roman"/>
          <w:color w:val="000000" w:themeColor="text1"/>
          <w:spacing w:val="-4"/>
          <w:sz w:val="28"/>
          <w:szCs w:val="28"/>
          <w:shd w:val="clear" w:color="auto" w:fill="FFFFFF"/>
        </w:rPr>
        <w:lastRenderedPageBreak/>
        <w:t xml:space="preserve">rocketed by 35.3% (contributing to a rise of 0.46 percentage points in the overall CPI); kerosene prices shot up 26.95%; the prices of environmental sanitation service; housing maintenance material; tap water services; household electricity; household electricity services; </w:t>
      </w:r>
      <w:r w:rsidRPr="00AF3ED2">
        <w:rPr>
          <w:rFonts w:ascii="Times New Roman" w:hAnsi="Times New Roman" w:cs="Times New Roman"/>
          <w:sz w:val="28"/>
          <w:szCs w:val="28"/>
        </w:rPr>
        <w:t>house rental soared by</w:t>
      </w:r>
      <w:r w:rsidRPr="00AF3ED2">
        <w:rPr>
          <w:rFonts w:ascii="Times New Roman" w:hAnsi="Times New Roman" w:cs="Times New Roman"/>
          <w:color w:val="000000" w:themeColor="text1"/>
          <w:spacing w:val="-4"/>
          <w:sz w:val="28"/>
          <w:szCs w:val="28"/>
          <w:shd w:val="clear" w:color="auto" w:fill="FFFFFF"/>
        </w:rPr>
        <w:t xml:space="preserve"> 4.28%; 4.11%</w:t>
      </w:r>
      <w:r w:rsidRPr="00AF3ED2">
        <w:rPr>
          <w:rStyle w:val="FootnoteReference"/>
          <w:rFonts w:ascii="Times New Roman" w:hAnsi="Times New Roman" w:cs="Times New Roman"/>
          <w:color w:val="000000" w:themeColor="text1"/>
          <w:spacing w:val="-4"/>
          <w:sz w:val="28"/>
          <w:szCs w:val="28"/>
          <w:shd w:val="clear" w:color="auto" w:fill="FFFFFF"/>
        </w:rPr>
        <w:footnoteReference w:id="23"/>
      </w:r>
      <w:r w:rsidRPr="00AF3ED2">
        <w:rPr>
          <w:rFonts w:ascii="Times New Roman" w:hAnsi="Times New Roman" w:cs="Times New Roman"/>
          <w:color w:val="000000" w:themeColor="text1"/>
          <w:spacing w:val="-4"/>
          <w:sz w:val="28"/>
          <w:szCs w:val="28"/>
          <w:shd w:val="clear" w:color="auto" w:fill="FFFFFF"/>
        </w:rPr>
        <w:t xml:space="preserve">; 1.24%; 1.06%; 0.84%; 0.79%, respectively. Of which, the price of house repair service jumped up 1.93%. In contrast, tap water prices decreased by 1.11% as the result of decreasing consumption. </w:t>
      </w:r>
    </w:p>
    <w:p w14:paraId="709FFA0F" w14:textId="77777777" w:rsidR="005B4C2A" w:rsidRPr="00AF3ED2" w:rsidRDefault="005B4C2A" w:rsidP="005B4C2A">
      <w:pPr>
        <w:pStyle w:val="Normal1"/>
        <w:spacing w:before="0" w:beforeAutospacing="0" w:after="120" w:afterAutospacing="0" w:line="264" w:lineRule="auto"/>
        <w:ind w:firstLine="720"/>
        <w:jc w:val="both"/>
        <w:rPr>
          <w:rFonts w:ascii="Times New Roman" w:hAnsi="Times New Roman" w:cs="Times New Roman"/>
          <w:color w:val="000000" w:themeColor="text1"/>
          <w:spacing w:val="-2"/>
          <w:sz w:val="28"/>
          <w:szCs w:val="28"/>
        </w:rPr>
      </w:pPr>
      <w:r w:rsidRPr="00AF3ED2">
        <w:rPr>
          <w:rFonts w:ascii="Times New Roman" w:hAnsi="Times New Roman" w:cs="Times New Roman"/>
          <w:i/>
          <w:color w:val="000000" w:themeColor="text1"/>
          <w:spacing w:val="-2"/>
          <w:sz w:val="28"/>
          <w:szCs w:val="28"/>
        </w:rPr>
        <w:t>- The group of beverages and tobacco</w:t>
      </w:r>
      <w:r w:rsidRPr="00AF3ED2">
        <w:rPr>
          <w:rFonts w:ascii="Times New Roman" w:hAnsi="Times New Roman" w:cs="Times New Roman"/>
          <w:color w:val="000000" w:themeColor="text1"/>
          <w:spacing w:val="-2"/>
          <w:sz w:val="28"/>
          <w:szCs w:val="28"/>
        </w:rPr>
        <w:t xml:space="preserve"> accelerated by 0.85% due to rising costs of import, production, and distribution. Of which, the price of bottled, canned, and boxed energy drinks witnessed a month-on-month increase of 1.50%; the prices of carbonated soft drinks; cigarettes; alcohol and beer; and fruit juices climbed up 1.29%; 1.25%; 0.64%; and 0.45%, respectively.</w:t>
      </w:r>
    </w:p>
    <w:p w14:paraId="44490E0E" w14:textId="77777777" w:rsidR="005B4C2A" w:rsidRPr="00AF3ED2" w:rsidRDefault="005B4C2A" w:rsidP="005B4C2A">
      <w:pPr>
        <w:pStyle w:val="Normal1"/>
        <w:spacing w:before="0" w:beforeAutospacing="0" w:after="120" w:afterAutospacing="0" w:line="264" w:lineRule="auto"/>
        <w:ind w:firstLine="720"/>
        <w:jc w:val="both"/>
        <w:rPr>
          <w:rFonts w:ascii="Times New Roman" w:hAnsi="Times New Roman" w:cs="Times New Roman"/>
          <w:color w:val="000000" w:themeColor="text1"/>
          <w:spacing w:val="-2"/>
          <w:sz w:val="28"/>
          <w:szCs w:val="28"/>
        </w:rPr>
      </w:pPr>
      <w:r w:rsidRPr="004F5083">
        <w:rPr>
          <w:rFonts w:ascii="Times New Roman" w:hAnsi="Times New Roman" w:cs="Times New Roman"/>
          <w:i/>
          <w:color w:val="000000" w:themeColor="text1"/>
          <w:sz w:val="28"/>
          <w:szCs w:val="28"/>
        </w:rPr>
        <w:t>- The group of household equipment and goods</w:t>
      </w:r>
      <w:r w:rsidRPr="00AF3ED2">
        <w:rPr>
          <w:rFonts w:ascii="Times New Roman" w:hAnsi="Times New Roman" w:cs="Times New Roman"/>
          <w:color w:val="000000" w:themeColor="text1"/>
          <w:sz w:val="28"/>
          <w:szCs w:val="28"/>
        </w:rPr>
        <w:t xml:space="preserve"> accelerated by 0.78% stemming from the rising costs of raw materials, labor, and transport. Of which, some items witnessed an increase in prices: the prices of household equipment repair; lighting fixtures and beds, wardrobes, tables, and chairs; glassware, ceramic and porcelain products; electric fans; electric rice cookers; soap and detergents; refrigerators; microwave, ovens, and induction cookers; air conditioners expanded by 1.40%; 0.99%; 0.97%; 0.79%; 0.75%; 0.72%; 0.62%; 0.47%; 0.33%, respectively. On the other hand, the hiring cost of a housekeeper declined by 0.11% due to reducing demand for cleaning and domestic work after the peak of Lunar New Year. </w:t>
      </w:r>
    </w:p>
    <w:p w14:paraId="41AD0B9F" w14:textId="77777777" w:rsidR="005B4C2A" w:rsidRPr="00AF3ED2" w:rsidRDefault="005B4C2A" w:rsidP="005B4C2A">
      <w:pPr>
        <w:pStyle w:val="NormalWeb"/>
        <w:spacing w:before="0" w:beforeAutospacing="0" w:after="120" w:afterAutospacing="0" w:line="264" w:lineRule="auto"/>
        <w:ind w:firstLine="720"/>
        <w:jc w:val="both"/>
        <w:rPr>
          <w:color w:val="000000" w:themeColor="text1"/>
          <w:sz w:val="28"/>
          <w:szCs w:val="28"/>
          <w:lang w:val="en-US"/>
        </w:rPr>
      </w:pPr>
      <w:r>
        <w:rPr>
          <w:color w:val="000000" w:themeColor="text1"/>
          <w:sz w:val="28"/>
          <w:szCs w:val="28"/>
          <w:lang w:val="en-US"/>
        </w:rPr>
        <w:t xml:space="preserve">- </w:t>
      </w:r>
      <w:r w:rsidRPr="00847C82">
        <w:rPr>
          <w:i/>
          <w:color w:val="000000" w:themeColor="text1"/>
          <w:sz w:val="28"/>
          <w:szCs w:val="28"/>
          <w:lang w:val="en-US"/>
        </w:rPr>
        <w:t>The group of other goods and services</w:t>
      </w:r>
      <w:r w:rsidRPr="00AF3ED2">
        <w:rPr>
          <w:color w:val="000000" w:themeColor="text1"/>
          <w:sz w:val="28"/>
          <w:szCs w:val="28"/>
          <w:lang w:val="en-US"/>
        </w:rPr>
        <w:t xml:space="preserve"> grew by 0.64%, focusing on a rise of 1.04%; 0.77%; 0.72% in the CPI of funeral and wedding services; personal services; and personal items, respectively. In contrast, the price of jewelry fell by 4.11% in line with domestic gold price. </w:t>
      </w:r>
    </w:p>
    <w:p w14:paraId="26A3B91E" w14:textId="77777777" w:rsidR="005B4C2A" w:rsidRPr="00AF3ED2" w:rsidRDefault="005B4C2A" w:rsidP="005B4C2A">
      <w:pPr>
        <w:pStyle w:val="NormalWeb"/>
        <w:spacing w:before="0" w:beforeAutospacing="0" w:after="120" w:afterAutospacing="0" w:line="264" w:lineRule="auto"/>
        <w:ind w:firstLine="720"/>
        <w:jc w:val="both"/>
        <w:rPr>
          <w:color w:val="000000" w:themeColor="text1"/>
          <w:sz w:val="28"/>
          <w:szCs w:val="28"/>
          <w:lang w:val="en-US"/>
        </w:rPr>
      </w:pPr>
      <w:r w:rsidRPr="00AF3ED2">
        <w:rPr>
          <w:color w:val="000000" w:themeColor="text1"/>
          <w:sz w:val="28"/>
          <w:szCs w:val="28"/>
          <w:lang w:val="en-US"/>
        </w:rPr>
        <w:t xml:space="preserve">- </w:t>
      </w:r>
      <w:r w:rsidRPr="00847C82">
        <w:rPr>
          <w:i/>
          <w:color w:val="000000" w:themeColor="text1"/>
          <w:sz w:val="28"/>
          <w:szCs w:val="28"/>
          <w:lang w:val="en-US"/>
        </w:rPr>
        <w:t xml:space="preserve">The group of culture, entertainment, and tourism </w:t>
      </w:r>
      <w:r w:rsidRPr="00AF3ED2">
        <w:rPr>
          <w:color w:val="000000" w:themeColor="text1"/>
          <w:sz w:val="28"/>
          <w:szCs w:val="28"/>
          <w:lang w:val="en-US"/>
        </w:rPr>
        <w:t xml:space="preserve">increased by 0.63%, focusing on items as follows: the prices of package tour went up 1.71% (an upturn of 1.78%; 1.25% in domestic tourism; outbound tourism, respectively); pets related services; sports services; both hotels, guesthouses, and children's toys; fitness equipment edged up 1.02%; 0.89%; 0.69%; 0.61%, respectively. </w:t>
      </w:r>
    </w:p>
    <w:p w14:paraId="72016C04" w14:textId="77777777" w:rsidR="005B4C2A" w:rsidRPr="00AF3ED2" w:rsidRDefault="005B4C2A" w:rsidP="005B4C2A">
      <w:pPr>
        <w:pStyle w:val="NormalWeb"/>
        <w:spacing w:before="0" w:beforeAutospacing="0" w:after="120" w:afterAutospacing="0" w:line="264" w:lineRule="auto"/>
        <w:ind w:firstLine="720"/>
        <w:jc w:val="both"/>
        <w:rPr>
          <w:color w:val="000000" w:themeColor="text1"/>
          <w:sz w:val="28"/>
          <w:szCs w:val="28"/>
          <w:lang w:val="en-US"/>
        </w:rPr>
      </w:pPr>
      <w:r w:rsidRPr="00AF3ED2">
        <w:rPr>
          <w:color w:val="000000" w:themeColor="text1"/>
          <w:sz w:val="28"/>
          <w:szCs w:val="28"/>
          <w:lang w:val="en-US"/>
        </w:rPr>
        <w:t xml:space="preserve">- </w:t>
      </w:r>
      <w:r w:rsidRPr="00847C82">
        <w:rPr>
          <w:i/>
          <w:color w:val="000000" w:themeColor="text1"/>
          <w:sz w:val="28"/>
          <w:szCs w:val="28"/>
          <w:lang w:val="en-US"/>
        </w:rPr>
        <w:t xml:space="preserve">The group of food and foodstuff service </w:t>
      </w:r>
      <w:r w:rsidRPr="00AF3ED2">
        <w:rPr>
          <w:color w:val="000000" w:themeColor="text1"/>
          <w:sz w:val="28"/>
          <w:szCs w:val="28"/>
          <w:lang w:val="en-US"/>
        </w:rPr>
        <w:t xml:space="preserve">rose by 0.58% (contributing to an increase of 0.21 percentage point in the overall CPI), of which: Food; eating </w:t>
      </w:r>
      <w:r w:rsidRPr="00AF3ED2">
        <w:rPr>
          <w:color w:val="000000" w:themeColor="text1"/>
          <w:sz w:val="28"/>
          <w:szCs w:val="28"/>
          <w:lang w:val="en-US"/>
        </w:rPr>
        <w:lastRenderedPageBreak/>
        <w:t>out added up 0.67%</w:t>
      </w:r>
      <w:r w:rsidRPr="00AF3ED2">
        <w:rPr>
          <w:sz w:val="28"/>
          <w:szCs w:val="28"/>
          <w:lang w:val="en-US"/>
        </w:rPr>
        <w:footnoteReference w:id="24"/>
      </w:r>
      <w:r w:rsidRPr="00AF3ED2">
        <w:rPr>
          <w:color w:val="000000" w:themeColor="text1"/>
          <w:sz w:val="28"/>
          <w:szCs w:val="28"/>
          <w:lang w:val="en-US"/>
        </w:rPr>
        <w:t>; 1.94%</w:t>
      </w:r>
      <w:r w:rsidRPr="00AF3ED2">
        <w:rPr>
          <w:sz w:val="28"/>
          <w:szCs w:val="28"/>
          <w:lang w:val="en-US"/>
        </w:rPr>
        <w:footnoteReference w:id="25"/>
      </w:r>
      <w:r w:rsidRPr="00AF3ED2">
        <w:rPr>
          <w:color w:val="000000" w:themeColor="text1"/>
          <w:sz w:val="28"/>
          <w:szCs w:val="28"/>
          <w:lang w:val="en-US"/>
        </w:rPr>
        <w:t>, respectively (contributing to an expansion of 0.18 percentage point); the CPI of foodstuff</w:t>
      </w:r>
      <w:r w:rsidRPr="00623201">
        <w:rPr>
          <w:sz w:val="28"/>
          <w:szCs w:val="28"/>
          <w:vertAlign w:val="superscript"/>
          <w:lang w:val="en-US"/>
        </w:rPr>
        <w:footnoteReference w:id="26"/>
      </w:r>
      <w:r w:rsidRPr="00623201">
        <w:rPr>
          <w:color w:val="000000" w:themeColor="text1"/>
          <w:sz w:val="28"/>
          <w:szCs w:val="28"/>
          <w:vertAlign w:val="superscript"/>
          <w:lang w:val="en-US"/>
        </w:rPr>
        <w:t xml:space="preserve"> </w:t>
      </w:r>
      <w:r w:rsidRPr="00AF3ED2">
        <w:rPr>
          <w:color w:val="000000" w:themeColor="text1"/>
          <w:sz w:val="28"/>
          <w:szCs w:val="28"/>
          <w:lang w:val="en-US"/>
        </w:rPr>
        <w:t xml:space="preserve">group unchanged. </w:t>
      </w:r>
    </w:p>
    <w:p w14:paraId="3B99D787" w14:textId="77777777" w:rsidR="005B4C2A" w:rsidRPr="00AF3ED2" w:rsidRDefault="005B4C2A" w:rsidP="005B4C2A">
      <w:pPr>
        <w:pStyle w:val="NormalWeb"/>
        <w:spacing w:before="0" w:beforeAutospacing="0" w:after="120" w:afterAutospacing="0" w:line="264" w:lineRule="auto"/>
        <w:ind w:firstLine="720"/>
        <w:jc w:val="both"/>
        <w:rPr>
          <w:color w:val="000000" w:themeColor="text1"/>
          <w:sz w:val="28"/>
          <w:szCs w:val="28"/>
          <w:lang w:val="en-US"/>
        </w:rPr>
      </w:pPr>
      <w:r w:rsidRPr="00AF3ED2">
        <w:rPr>
          <w:color w:val="000000" w:themeColor="text1"/>
          <w:sz w:val="28"/>
          <w:szCs w:val="28"/>
          <w:lang w:val="en-US"/>
        </w:rPr>
        <w:t xml:space="preserve">- </w:t>
      </w:r>
      <w:r w:rsidRPr="00623201">
        <w:rPr>
          <w:i/>
          <w:color w:val="000000" w:themeColor="text1"/>
          <w:sz w:val="28"/>
          <w:szCs w:val="28"/>
          <w:lang w:val="en-US"/>
        </w:rPr>
        <w:t>The group of garment, hat and footwear</w:t>
      </w:r>
      <w:r w:rsidRPr="00AF3ED2">
        <w:rPr>
          <w:color w:val="000000" w:themeColor="text1"/>
          <w:sz w:val="28"/>
          <w:szCs w:val="28"/>
          <w:lang w:val="en-US"/>
        </w:rPr>
        <w:t xml:space="preserve"> added up 0.52% due to rising costs of raw material, transport and labor. Of which, the CPI of footwear services; tailoring services; hats; fabrics of all kinds; other garments;  ready-made clothes jumped up 1.20%; 1.19%; 0.74%; 0.62%; 0.61%; 0.45%, respectively due to rising costs of input. </w:t>
      </w:r>
    </w:p>
    <w:p w14:paraId="17EE3C79" w14:textId="5DA37D38" w:rsidR="005B4C2A" w:rsidRPr="00AF3ED2" w:rsidRDefault="005B4C2A" w:rsidP="005B4C2A">
      <w:pPr>
        <w:pStyle w:val="NormalWeb"/>
        <w:spacing w:before="0" w:beforeAutospacing="0" w:after="120" w:afterAutospacing="0" w:line="264" w:lineRule="auto"/>
        <w:ind w:firstLine="720"/>
        <w:jc w:val="both"/>
        <w:rPr>
          <w:color w:val="000000" w:themeColor="text1"/>
          <w:sz w:val="28"/>
          <w:szCs w:val="28"/>
          <w:lang w:val="en-US"/>
        </w:rPr>
      </w:pPr>
      <w:r w:rsidRPr="00AF3ED2">
        <w:rPr>
          <w:color w:val="000000" w:themeColor="text1"/>
          <w:sz w:val="28"/>
          <w:szCs w:val="28"/>
          <w:lang w:val="en-US"/>
        </w:rPr>
        <w:t xml:space="preserve">- </w:t>
      </w:r>
      <w:r w:rsidRPr="00C860A0">
        <w:rPr>
          <w:i/>
          <w:color w:val="000000" w:themeColor="text1"/>
          <w:sz w:val="28"/>
          <w:szCs w:val="28"/>
          <w:lang w:val="en-US"/>
        </w:rPr>
        <w:t>The group of information and communication</w:t>
      </w:r>
      <w:r w:rsidRPr="00AF3ED2">
        <w:rPr>
          <w:color w:val="000000" w:themeColor="text1"/>
          <w:sz w:val="28"/>
          <w:szCs w:val="28"/>
          <w:lang w:val="en-US"/>
        </w:rPr>
        <w:t xml:space="preserve"> accelerated by 0.17%, of which the price of </w:t>
      </w:r>
      <w:r>
        <w:rPr>
          <w:color w:val="000000" w:themeColor="text1"/>
          <w:sz w:val="28"/>
          <w:szCs w:val="28"/>
          <w:lang w:val="en-US"/>
        </w:rPr>
        <w:t xml:space="preserve">feature </w:t>
      </w:r>
      <w:r w:rsidRPr="00AF3ED2">
        <w:rPr>
          <w:color w:val="000000" w:themeColor="text1"/>
          <w:sz w:val="28"/>
          <w:szCs w:val="28"/>
          <w:lang w:val="en-US"/>
        </w:rPr>
        <w:t xml:space="preserve">phones; computers and its accessories; phone repair services; printers, projectors, and scanners; television and internet services expanded by 1.19%; 1.14%; 0.87%; 0.36%; 0.11%, respectively. In contrast, the price of </w:t>
      </w:r>
      <w:r w:rsidRPr="00FB174F">
        <w:rPr>
          <w:color w:val="000000" w:themeColor="text1"/>
          <w:sz w:val="28"/>
          <w:szCs w:val="28"/>
          <w:lang w:val="en-US"/>
        </w:rPr>
        <w:t>audio equipment</w:t>
      </w:r>
      <w:r>
        <w:rPr>
          <w:color w:val="000000" w:themeColor="text1"/>
          <w:sz w:val="28"/>
          <w:szCs w:val="28"/>
          <w:lang w:val="en-US"/>
        </w:rPr>
        <w:t>,</w:t>
      </w:r>
      <w:r w:rsidRPr="00AF3ED2">
        <w:rPr>
          <w:color w:val="000000" w:themeColor="text1"/>
          <w:sz w:val="28"/>
          <w:szCs w:val="28"/>
          <w:lang w:val="en-US"/>
        </w:rPr>
        <w:t xml:space="preserve"> and landline telephones reduced by 0.40%; 0.04%, respectively.</w:t>
      </w:r>
    </w:p>
    <w:p w14:paraId="2992AD0C" w14:textId="77777777" w:rsidR="005B4C2A" w:rsidRPr="00AF3ED2" w:rsidRDefault="005B4C2A" w:rsidP="005B4C2A">
      <w:pPr>
        <w:pStyle w:val="NormalWeb"/>
        <w:spacing w:before="0" w:beforeAutospacing="0" w:after="120" w:afterAutospacing="0" w:line="264" w:lineRule="auto"/>
        <w:ind w:firstLine="720"/>
        <w:jc w:val="both"/>
        <w:rPr>
          <w:color w:val="000000" w:themeColor="text1"/>
          <w:sz w:val="28"/>
          <w:szCs w:val="28"/>
          <w:lang w:val="en-US"/>
        </w:rPr>
      </w:pPr>
      <w:r w:rsidRPr="00AF3ED2">
        <w:rPr>
          <w:color w:val="000000" w:themeColor="text1"/>
          <w:sz w:val="28"/>
          <w:szCs w:val="28"/>
          <w:lang w:val="en-US"/>
        </w:rPr>
        <w:t xml:space="preserve">- </w:t>
      </w:r>
      <w:r w:rsidRPr="00690E75">
        <w:rPr>
          <w:i/>
          <w:color w:val="000000" w:themeColor="text1"/>
          <w:sz w:val="28"/>
          <w:szCs w:val="28"/>
          <w:lang w:val="en-US"/>
        </w:rPr>
        <w:t>The group of medicines and health care services</w:t>
      </w:r>
      <w:r w:rsidRPr="00AF3ED2">
        <w:rPr>
          <w:color w:val="000000" w:themeColor="text1"/>
          <w:sz w:val="28"/>
          <w:szCs w:val="28"/>
          <w:lang w:val="en-US"/>
        </w:rPr>
        <w:t xml:space="preserve"> climbed up 0.13%, mainly due to rising import costs of pharmaceutical raw materials, production and distribution. Of which, the prices of anti-allergy drugs and pain relief and fever reducing drugs both grew up 0.57%; respiratory drugs; hormones and drugs affecting the endocrine system; cardiovascular drugs; and anti-infective and antiparasitic drugs jumped up 0.46%; 0.43%; 0.42%; 0.33%, respectively.</w:t>
      </w:r>
    </w:p>
    <w:p w14:paraId="7B057CF3" w14:textId="77777777" w:rsidR="005B4C2A" w:rsidRPr="00AF3ED2" w:rsidRDefault="005B4C2A" w:rsidP="005B4C2A">
      <w:pPr>
        <w:pStyle w:val="NormalWeb"/>
        <w:spacing w:before="0" w:beforeAutospacing="0" w:after="120" w:afterAutospacing="0" w:line="264" w:lineRule="auto"/>
        <w:ind w:firstLine="720"/>
        <w:jc w:val="both"/>
        <w:rPr>
          <w:bCs/>
          <w:color w:val="000000" w:themeColor="text1"/>
          <w:sz w:val="28"/>
          <w:szCs w:val="28"/>
          <w:lang w:val="en-US"/>
        </w:rPr>
      </w:pPr>
      <w:r w:rsidRPr="00AF3ED2">
        <w:rPr>
          <w:bCs/>
          <w:color w:val="000000" w:themeColor="text1"/>
          <w:sz w:val="28"/>
          <w:szCs w:val="28"/>
          <w:lang w:val="en-US"/>
        </w:rPr>
        <w:t xml:space="preserve">- </w:t>
      </w:r>
      <w:r w:rsidRPr="00690E75">
        <w:rPr>
          <w:bCs/>
          <w:i/>
          <w:color w:val="000000" w:themeColor="text1"/>
          <w:sz w:val="28"/>
          <w:szCs w:val="28"/>
          <w:lang w:val="en-US"/>
        </w:rPr>
        <w:t>The education group</w:t>
      </w:r>
      <w:r w:rsidRPr="00AF3ED2">
        <w:rPr>
          <w:bCs/>
          <w:color w:val="000000" w:themeColor="text1"/>
          <w:sz w:val="28"/>
          <w:szCs w:val="28"/>
          <w:lang w:val="en-US"/>
        </w:rPr>
        <w:t xml:space="preserve"> accelerated by 0.08%, of which educational services added up 0.04% on account of the adjustments of tuition fee in some supplementary education centers. Besides, paper products; pens of all kinds; and stationery and other school supplies rose by 0.82%; 0.71%; 0.66%, respectively.</w:t>
      </w:r>
    </w:p>
    <w:p w14:paraId="1C975D15" w14:textId="77777777" w:rsidR="005B4C2A" w:rsidRPr="00AF3ED2" w:rsidRDefault="005B4C2A" w:rsidP="005B4C2A">
      <w:pPr>
        <w:pStyle w:val="NormalWeb"/>
        <w:spacing w:before="0" w:beforeAutospacing="0" w:after="120" w:afterAutospacing="0" w:line="264" w:lineRule="auto"/>
        <w:ind w:firstLine="720"/>
        <w:jc w:val="both"/>
        <w:rPr>
          <w:color w:val="000000" w:themeColor="text1"/>
          <w:sz w:val="28"/>
          <w:szCs w:val="28"/>
          <w:lang w:val="en-US"/>
        </w:rPr>
      </w:pPr>
      <w:r w:rsidRPr="00AF3ED2">
        <w:rPr>
          <w:color w:val="000000" w:themeColor="text1"/>
          <w:sz w:val="28"/>
          <w:szCs w:val="28"/>
          <w:lang w:val="en-US"/>
        </w:rPr>
        <w:t xml:space="preserve"> (2) </w:t>
      </w:r>
      <w:r w:rsidRPr="002A660F">
        <w:rPr>
          <w:i/>
          <w:color w:val="000000" w:themeColor="text1"/>
          <w:sz w:val="28"/>
          <w:szCs w:val="28"/>
          <w:lang w:val="en-US"/>
        </w:rPr>
        <w:t>The transport group</w:t>
      </w:r>
      <w:r w:rsidRPr="00AF3ED2">
        <w:rPr>
          <w:color w:val="000000" w:themeColor="text1"/>
          <w:sz w:val="28"/>
          <w:szCs w:val="28"/>
          <w:lang w:val="en-US"/>
        </w:rPr>
        <w:t xml:space="preserve"> reduced by 0.81% (contributing to a decrease of 0.08 percentage points in the overall CPI), mainly due to a fall of 3.19% in gasoline prices in line with world prices. In contrast, some transport goods and services witnessed an upturn as follows: The CPI of diesel oil rocketed by </w:t>
      </w:r>
      <w:r w:rsidRPr="00AF3ED2">
        <w:rPr>
          <w:color w:val="000000" w:themeColor="text1"/>
          <w:sz w:val="28"/>
          <w:szCs w:val="28"/>
          <w:lang w:val="en-US"/>
        </w:rPr>
        <w:lastRenderedPageBreak/>
        <w:t>18.55%; the CPI of public transport service spiked by 12.43%; the CPI of vehicle maintenance; spare parts; spare parts; car washing and tire pumping services; bicycle; new car; motorbike soared by 1.35%; 1.17%; 1.22%; 0.93%; 0.82%; 0.42%; 0.23%, respective.</w:t>
      </w:r>
    </w:p>
    <w:p w14:paraId="75DAAA32" w14:textId="77777777" w:rsidR="005B4C2A" w:rsidRPr="00AF3ED2" w:rsidRDefault="005B4C2A" w:rsidP="005B4C2A">
      <w:pPr>
        <w:spacing w:after="120" w:line="264" w:lineRule="auto"/>
        <w:ind w:firstLine="720"/>
        <w:jc w:val="both"/>
        <w:rPr>
          <w:b/>
          <w:bCs/>
          <w:i/>
        </w:rPr>
      </w:pPr>
      <w:r w:rsidRPr="004A3074">
        <w:rPr>
          <w:b/>
          <w:bCs/>
          <w:i/>
        </w:rPr>
        <w:t xml:space="preserve">d) </w:t>
      </w:r>
      <w:r w:rsidRPr="004A3074">
        <w:rPr>
          <w:b/>
          <w:bCs/>
          <w:i/>
          <w:iCs/>
        </w:rPr>
        <w:t>Passenger and cargo transport</w:t>
      </w:r>
    </w:p>
    <w:p w14:paraId="60C02983" w14:textId="77777777" w:rsidR="005B4C2A" w:rsidRPr="00AF3ED2" w:rsidRDefault="005B4C2A" w:rsidP="005B4C2A">
      <w:pPr>
        <w:tabs>
          <w:tab w:val="left" w:pos="567"/>
        </w:tabs>
        <w:spacing w:after="120" w:line="268" w:lineRule="auto"/>
        <w:ind w:firstLine="720"/>
        <w:jc w:val="both"/>
        <w:rPr>
          <w:rFonts w:eastAsia="Calibri"/>
          <w:bCs/>
          <w:i/>
        </w:rPr>
      </w:pPr>
      <w:r w:rsidRPr="00AF3ED2">
        <w:rPr>
          <w:bCs/>
          <w:i/>
        </w:rPr>
        <w:t xml:space="preserve">Transport activities in April 2026 continued to be dynamic, meeting the travel demand of domestic residents as well as international visitors to Viet Nam, and supporting production and the import and export of goods. Compared to the same period last year, passenger </w:t>
      </w:r>
      <w:r w:rsidRPr="00AF3ED2">
        <w:rPr>
          <w:rFonts w:ascii="Times New Roman Italic" w:eastAsiaTheme="minorHAnsi" w:hAnsi="Times New Roman Italic"/>
          <w:bCs/>
          <w:i/>
          <w:spacing w:val="-2"/>
        </w:rPr>
        <w:t>carried</w:t>
      </w:r>
      <w:r w:rsidRPr="00AF3ED2">
        <w:rPr>
          <w:bCs/>
          <w:i/>
        </w:rPr>
        <w:t xml:space="preserve"> </w:t>
      </w:r>
      <w:r w:rsidRPr="00AF3ED2">
        <w:rPr>
          <w:rFonts w:ascii="Times New Roman Italic" w:eastAsiaTheme="minorHAnsi" w:hAnsi="Times New Roman Italic"/>
          <w:bCs/>
          <w:i/>
          <w:spacing w:val="-2"/>
        </w:rPr>
        <w:t xml:space="preserve">and passenger carried (passenger-kilometers) </w:t>
      </w:r>
      <w:r w:rsidRPr="00AF3ED2">
        <w:rPr>
          <w:bCs/>
          <w:i/>
        </w:rPr>
        <w:t xml:space="preserve">in April 2026 </w:t>
      </w:r>
      <w:r w:rsidRPr="00AF3ED2">
        <w:rPr>
          <w:rFonts w:ascii="Times New Roman Italic" w:eastAsiaTheme="minorHAnsi" w:hAnsi="Times New Roman Italic"/>
          <w:bCs/>
          <w:i/>
          <w:spacing w:val="-2"/>
        </w:rPr>
        <w:t xml:space="preserve">saw a year-on-year increase of </w:t>
      </w:r>
      <w:r w:rsidRPr="00AF3ED2">
        <w:rPr>
          <w:rFonts w:ascii="Times New Roman Italic" w:hAnsi="Times New Roman Italic"/>
          <w:i/>
          <w:spacing w:val="-2"/>
        </w:rPr>
        <w:t>17.3</w:t>
      </w:r>
      <w:r w:rsidRPr="00AF3ED2">
        <w:rPr>
          <w:bCs/>
          <w:i/>
        </w:rPr>
        <w:t>%</w:t>
      </w:r>
      <w:r w:rsidRPr="00AF3ED2">
        <w:rPr>
          <w:rFonts w:ascii="Times New Roman Italic" w:eastAsiaTheme="minorHAnsi" w:hAnsi="Times New Roman Italic"/>
          <w:bCs/>
          <w:i/>
          <w:spacing w:val="-2"/>
        </w:rPr>
        <w:t xml:space="preserve"> and </w:t>
      </w:r>
      <w:r w:rsidRPr="00AF3ED2">
        <w:rPr>
          <w:rFonts w:ascii="Times New Roman Italic" w:hAnsi="Times New Roman Italic"/>
          <w:i/>
          <w:spacing w:val="-2"/>
        </w:rPr>
        <w:t>15.8</w:t>
      </w:r>
      <w:r w:rsidRPr="00AF3ED2">
        <w:rPr>
          <w:bCs/>
          <w:i/>
        </w:rPr>
        <w:t>%</w:t>
      </w:r>
      <w:r w:rsidRPr="00AF3ED2">
        <w:rPr>
          <w:rFonts w:ascii="Times New Roman Italic" w:eastAsiaTheme="minorHAnsi" w:hAnsi="Times New Roman Italic"/>
          <w:bCs/>
          <w:i/>
          <w:spacing w:val="-2"/>
        </w:rPr>
        <w:t>, respectively</w:t>
      </w:r>
      <w:r w:rsidRPr="00AF3ED2">
        <w:rPr>
          <w:bCs/>
          <w:i/>
        </w:rPr>
        <w:t>; freight</w:t>
      </w:r>
      <w:r w:rsidRPr="00AF3ED2">
        <w:rPr>
          <w:rFonts w:ascii="Times New Roman Italic" w:eastAsiaTheme="minorHAnsi" w:hAnsi="Times New Roman Italic"/>
          <w:bCs/>
          <w:i/>
          <w:spacing w:val="-2"/>
        </w:rPr>
        <w:t xml:space="preserve"> transported and freight transported (ton-kilometers) recorded a year-on-year rise of </w:t>
      </w:r>
      <w:r w:rsidRPr="00AF3ED2">
        <w:rPr>
          <w:rFonts w:ascii="Times New Roman Italic" w:hAnsi="Times New Roman Italic"/>
          <w:i/>
          <w:spacing w:val="-2"/>
        </w:rPr>
        <w:t>14.0</w:t>
      </w:r>
      <w:r w:rsidRPr="00AF3ED2">
        <w:rPr>
          <w:bCs/>
          <w:i/>
        </w:rPr>
        <w:t>%</w:t>
      </w:r>
      <w:r w:rsidRPr="00AF3ED2">
        <w:rPr>
          <w:rFonts w:ascii="Times New Roman Italic" w:eastAsiaTheme="minorHAnsi" w:hAnsi="Times New Roman Italic"/>
          <w:bCs/>
          <w:i/>
          <w:spacing w:val="-2"/>
        </w:rPr>
        <w:t xml:space="preserve"> and </w:t>
      </w:r>
      <w:r w:rsidRPr="00AF3ED2">
        <w:rPr>
          <w:rFonts w:ascii="Times New Roman Italic" w:hAnsi="Times New Roman Italic"/>
          <w:i/>
          <w:spacing w:val="-2"/>
        </w:rPr>
        <w:t>10.4</w:t>
      </w:r>
      <w:r w:rsidRPr="00AF3ED2">
        <w:rPr>
          <w:bCs/>
          <w:i/>
        </w:rPr>
        <w:t>%</w:t>
      </w:r>
      <w:r w:rsidRPr="00AF3ED2">
        <w:rPr>
          <w:rFonts w:ascii="Times New Roman Italic" w:eastAsiaTheme="minorHAnsi" w:hAnsi="Times New Roman Italic"/>
          <w:bCs/>
          <w:i/>
          <w:spacing w:val="-2"/>
        </w:rPr>
        <w:t>, respectively</w:t>
      </w:r>
      <w:r w:rsidRPr="00AF3ED2">
        <w:rPr>
          <w:bCs/>
          <w:i/>
        </w:rPr>
        <w:t xml:space="preserve">. </w:t>
      </w:r>
      <w:r w:rsidRPr="00AF3ED2">
        <w:rPr>
          <w:bCs/>
          <w:i/>
          <w:iCs/>
        </w:rPr>
        <w:t xml:space="preserve">Overall, in four months of 2026, </w:t>
      </w:r>
      <w:r w:rsidRPr="00AF3ED2">
        <w:rPr>
          <w:bCs/>
          <w:i/>
        </w:rPr>
        <w:t xml:space="preserve">passenger </w:t>
      </w:r>
      <w:r w:rsidRPr="00AF3ED2">
        <w:rPr>
          <w:rFonts w:ascii="Times New Roman Italic" w:eastAsiaTheme="minorHAnsi" w:hAnsi="Times New Roman Italic"/>
          <w:bCs/>
          <w:i/>
          <w:spacing w:val="-2"/>
        </w:rPr>
        <w:t>carried</w:t>
      </w:r>
      <w:r w:rsidRPr="00AF3ED2">
        <w:rPr>
          <w:bCs/>
          <w:i/>
        </w:rPr>
        <w:t xml:space="preserve"> </w:t>
      </w:r>
      <w:r w:rsidRPr="00AF3ED2">
        <w:rPr>
          <w:rFonts w:ascii="Times New Roman Italic" w:eastAsiaTheme="minorHAnsi" w:hAnsi="Times New Roman Italic"/>
          <w:bCs/>
          <w:i/>
          <w:spacing w:val="-2"/>
        </w:rPr>
        <w:t xml:space="preserve">and passenger carried (passenger-kilometers) </w:t>
      </w:r>
      <w:r w:rsidRPr="00AF3ED2">
        <w:rPr>
          <w:bCs/>
          <w:i/>
          <w:iCs/>
        </w:rPr>
        <w:t xml:space="preserve">experienced a year-on-year rise of </w:t>
      </w:r>
      <w:r w:rsidRPr="00AF3ED2">
        <w:rPr>
          <w:rFonts w:ascii="Times New Roman Italic" w:hAnsi="Times New Roman Italic"/>
          <w:i/>
          <w:spacing w:val="-2"/>
        </w:rPr>
        <w:t>15.0</w:t>
      </w:r>
      <w:r w:rsidRPr="00AF3ED2">
        <w:rPr>
          <w:bCs/>
          <w:i/>
          <w:iCs/>
        </w:rPr>
        <w:t xml:space="preserve">% and </w:t>
      </w:r>
      <w:r w:rsidRPr="00AF3ED2">
        <w:rPr>
          <w:rFonts w:ascii="Times New Roman Italic" w:hAnsi="Times New Roman Italic"/>
          <w:i/>
          <w:spacing w:val="-2"/>
        </w:rPr>
        <w:t>12.7</w:t>
      </w:r>
      <w:r w:rsidRPr="00AF3ED2">
        <w:rPr>
          <w:bCs/>
          <w:i/>
          <w:iCs/>
        </w:rPr>
        <w:t xml:space="preserve">%, respectively; </w:t>
      </w:r>
      <w:r w:rsidRPr="00AF3ED2">
        <w:rPr>
          <w:bCs/>
          <w:i/>
        </w:rPr>
        <w:t>freight</w:t>
      </w:r>
      <w:r w:rsidRPr="00AF3ED2">
        <w:rPr>
          <w:rFonts w:ascii="Times New Roman Italic" w:eastAsiaTheme="minorHAnsi" w:hAnsi="Times New Roman Italic"/>
          <w:bCs/>
          <w:i/>
          <w:spacing w:val="-2"/>
        </w:rPr>
        <w:t xml:space="preserve"> transported and freight transported (ton-kilometers)</w:t>
      </w:r>
      <w:r w:rsidRPr="00AF3ED2">
        <w:rPr>
          <w:bCs/>
          <w:i/>
          <w:iCs/>
        </w:rPr>
        <w:t xml:space="preserve"> recorded a year-on-year increase of </w:t>
      </w:r>
      <w:r w:rsidRPr="00AF3ED2">
        <w:rPr>
          <w:rFonts w:ascii="Times New Roman Italic" w:hAnsi="Times New Roman Italic"/>
          <w:i/>
          <w:spacing w:val="-2"/>
        </w:rPr>
        <w:t>14.2</w:t>
      </w:r>
      <w:r w:rsidRPr="00AF3ED2">
        <w:rPr>
          <w:bCs/>
          <w:i/>
          <w:iCs/>
        </w:rPr>
        <w:t xml:space="preserve">% and </w:t>
      </w:r>
      <w:r w:rsidRPr="00AF3ED2">
        <w:rPr>
          <w:rFonts w:ascii="Times New Roman Italic" w:hAnsi="Times New Roman Italic"/>
          <w:i/>
          <w:spacing w:val="-2"/>
        </w:rPr>
        <w:t>10.2</w:t>
      </w:r>
      <w:r w:rsidRPr="00AF3ED2">
        <w:rPr>
          <w:bCs/>
          <w:i/>
          <w:iCs/>
        </w:rPr>
        <w:t xml:space="preserve">%, respectively. </w:t>
      </w:r>
    </w:p>
    <w:p w14:paraId="47056F6A" w14:textId="77777777" w:rsidR="005B4C2A" w:rsidRPr="00AF3ED2" w:rsidRDefault="005B4C2A" w:rsidP="005B4C2A">
      <w:pPr>
        <w:spacing w:after="120" w:line="264" w:lineRule="auto"/>
        <w:ind w:firstLine="720"/>
        <w:jc w:val="both"/>
        <w:rPr>
          <w:iCs/>
        </w:rPr>
      </w:pPr>
      <w:r w:rsidRPr="00AF3ED2">
        <w:rPr>
          <w:i/>
        </w:rPr>
        <w:t xml:space="preserve">Passenger carried </w:t>
      </w:r>
      <w:r w:rsidRPr="00AF3ED2">
        <w:t xml:space="preserve">in April 2026 was estimated at </w:t>
      </w:r>
      <w:r w:rsidRPr="00AF3ED2">
        <w:rPr>
          <w:iCs/>
        </w:rPr>
        <w:t xml:space="preserve">509.5 </w:t>
      </w:r>
      <w:r w:rsidRPr="00AF3ED2">
        <w:t xml:space="preserve">million turns of passengers, </w:t>
      </w:r>
      <w:r w:rsidRPr="00AF3ED2">
        <w:rPr>
          <w:bCs/>
        </w:rPr>
        <w:t>a month-on-month</w:t>
      </w:r>
      <w:r w:rsidRPr="00AF3ED2">
        <w:t xml:space="preserve"> increase of </w:t>
      </w:r>
      <w:r w:rsidRPr="00AF3ED2">
        <w:rPr>
          <w:iCs/>
        </w:rPr>
        <w:t>5.6</w:t>
      </w:r>
      <w:r w:rsidRPr="00AF3ED2">
        <w:t xml:space="preserve">%, and passenger carried (passenger-kilometers) reached </w:t>
      </w:r>
      <w:r w:rsidRPr="00AF3ED2">
        <w:rPr>
          <w:iCs/>
        </w:rPr>
        <w:t xml:space="preserve">28.4 </w:t>
      </w:r>
      <w:r w:rsidRPr="00AF3ED2">
        <w:t xml:space="preserve">billion passenger-kilometer, </w:t>
      </w:r>
      <w:r w:rsidRPr="00AF3ED2">
        <w:rPr>
          <w:bCs/>
        </w:rPr>
        <w:t>a month-on-month</w:t>
      </w:r>
      <w:r w:rsidRPr="00AF3ED2">
        <w:t xml:space="preserve"> rise of </w:t>
      </w:r>
      <w:r w:rsidRPr="00AF3ED2">
        <w:rPr>
          <w:iCs/>
        </w:rPr>
        <w:t>4.8</w:t>
      </w:r>
      <w:r w:rsidRPr="00AF3ED2">
        <w:t xml:space="preserve">%. Overall, in </w:t>
      </w:r>
      <w:r w:rsidRPr="00AF3ED2">
        <w:rPr>
          <w:bCs/>
          <w:iCs/>
        </w:rPr>
        <w:t>four months of</w:t>
      </w:r>
      <w:r w:rsidRPr="00AF3ED2">
        <w:t xml:space="preserve"> 2026, the passenger </w:t>
      </w:r>
      <w:r w:rsidRPr="00AF3ED2">
        <w:rPr>
          <w:bCs/>
        </w:rPr>
        <w:t>carried</w:t>
      </w:r>
      <w:r w:rsidRPr="00AF3ED2">
        <w:t xml:space="preserve"> was estimated at </w:t>
      </w:r>
      <w:r w:rsidRPr="00AF3ED2">
        <w:rPr>
          <w:iCs/>
        </w:rPr>
        <w:t xml:space="preserve">2,102.3 </w:t>
      </w:r>
      <w:r w:rsidRPr="00AF3ED2">
        <w:t xml:space="preserve">million </w:t>
      </w:r>
      <w:r w:rsidRPr="00AF3ED2">
        <w:rPr>
          <w:bCs/>
        </w:rPr>
        <w:t>turns of</w:t>
      </w:r>
      <w:r w:rsidRPr="00AF3ED2">
        <w:t xml:space="preserve"> passengers, a year-on-year increase of </w:t>
      </w:r>
      <w:r w:rsidRPr="00AF3ED2">
        <w:rPr>
          <w:iCs/>
        </w:rPr>
        <w:t>15.0</w:t>
      </w:r>
      <w:r w:rsidRPr="00AF3ED2">
        <w:t xml:space="preserve">% and passenger carried (passenger-kilometers) reached </w:t>
      </w:r>
      <w:r w:rsidRPr="00AF3ED2">
        <w:rPr>
          <w:iCs/>
        </w:rPr>
        <w:t xml:space="preserve">113.2 </w:t>
      </w:r>
      <w:r w:rsidRPr="00AF3ED2">
        <w:t xml:space="preserve">billion passenger-kilometer, a rise of </w:t>
      </w:r>
      <w:r w:rsidRPr="00AF3ED2">
        <w:rPr>
          <w:iCs/>
        </w:rPr>
        <w:t>12.7</w:t>
      </w:r>
      <w:r w:rsidRPr="00AF3ED2">
        <w:t xml:space="preserve">%. Of which, domestic </w:t>
      </w:r>
      <w:r w:rsidRPr="00AF3ED2">
        <w:rPr>
          <w:bCs/>
          <w:iCs/>
        </w:rPr>
        <w:t>passenger carried</w:t>
      </w:r>
      <w:r w:rsidRPr="00AF3ED2">
        <w:t xml:space="preserve"> was estimated at </w:t>
      </w:r>
      <w:r w:rsidRPr="00AF3ED2">
        <w:rPr>
          <w:iCs/>
        </w:rPr>
        <w:t xml:space="preserve">2,095.4 </w:t>
      </w:r>
      <w:r w:rsidRPr="00AF3ED2">
        <w:t xml:space="preserve">million </w:t>
      </w:r>
      <w:r w:rsidRPr="00AF3ED2">
        <w:rPr>
          <w:bCs/>
        </w:rPr>
        <w:t>turns of</w:t>
      </w:r>
      <w:r w:rsidRPr="00AF3ED2">
        <w:rPr>
          <w:spacing w:val="-4"/>
        </w:rPr>
        <w:t xml:space="preserve"> passengers</w:t>
      </w:r>
      <w:r w:rsidRPr="00AF3ED2">
        <w:t xml:space="preserve">, </w:t>
      </w:r>
      <w:r w:rsidRPr="00AF3ED2">
        <w:rPr>
          <w:bCs/>
        </w:rPr>
        <w:t>a year-on-year increase of</w:t>
      </w:r>
      <w:r w:rsidRPr="00AF3ED2">
        <w:t xml:space="preserve"> </w:t>
      </w:r>
      <w:r w:rsidRPr="00AF3ED2">
        <w:rPr>
          <w:iCs/>
        </w:rPr>
        <w:t>15.0</w:t>
      </w:r>
      <w:r w:rsidRPr="00AF3ED2">
        <w:t xml:space="preserve">%, </w:t>
      </w:r>
      <w:r w:rsidRPr="00AF3ED2">
        <w:rPr>
          <w:bCs/>
        </w:rPr>
        <w:t>domestic passenger carried (passenger-kilometers) was</w:t>
      </w:r>
      <w:r w:rsidRPr="00AF3ED2">
        <w:t xml:space="preserve"> </w:t>
      </w:r>
      <w:r w:rsidRPr="00AF3ED2">
        <w:rPr>
          <w:iCs/>
        </w:rPr>
        <w:t xml:space="preserve">91.0 </w:t>
      </w:r>
      <w:r w:rsidRPr="00AF3ED2">
        <w:t xml:space="preserve">billion passenger-kilometer, </w:t>
      </w:r>
      <w:r w:rsidRPr="00AF3ED2">
        <w:rPr>
          <w:bCs/>
        </w:rPr>
        <w:t>a year-on-year upturn of</w:t>
      </w:r>
      <w:r w:rsidRPr="00AF3ED2">
        <w:t xml:space="preserve"> </w:t>
      </w:r>
      <w:r w:rsidRPr="00AF3ED2">
        <w:rPr>
          <w:iCs/>
        </w:rPr>
        <w:t>14.4</w:t>
      </w:r>
      <w:r w:rsidRPr="00AF3ED2">
        <w:t xml:space="preserve">%; </w:t>
      </w:r>
      <w:r w:rsidRPr="00AF3ED2">
        <w:rPr>
          <w:bCs/>
        </w:rPr>
        <w:t xml:space="preserve">oversea </w:t>
      </w:r>
      <w:r w:rsidRPr="00AF3ED2">
        <w:rPr>
          <w:bCs/>
          <w:iCs/>
        </w:rPr>
        <w:t>passenger carried</w:t>
      </w:r>
      <w:r w:rsidRPr="00AF3ED2">
        <w:t xml:space="preserve"> was estimated at </w:t>
      </w:r>
      <w:r w:rsidRPr="00AF3ED2">
        <w:rPr>
          <w:iCs/>
        </w:rPr>
        <w:t xml:space="preserve">6.9 </w:t>
      </w:r>
      <w:r w:rsidRPr="00AF3ED2">
        <w:t xml:space="preserve">million </w:t>
      </w:r>
      <w:r w:rsidRPr="00AF3ED2">
        <w:rPr>
          <w:bCs/>
        </w:rPr>
        <w:t>turns of</w:t>
      </w:r>
      <w:r w:rsidRPr="00AF3ED2">
        <w:rPr>
          <w:spacing w:val="-4"/>
        </w:rPr>
        <w:t xml:space="preserve"> passengers</w:t>
      </w:r>
      <w:r w:rsidRPr="00AF3ED2">
        <w:t xml:space="preserve">, </w:t>
      </w:r>
      <w:r w:rsidRPr="00AF3ED2">
        <w:rPr>
          <w:bCs/>
        </w:rPr>
        <w:t>a year-on-year expansion of</w:t>
      </w:r>
      <w:r w:rsidRPr="00AF3ED2">
        <w:t xml:space="preserve"> </w:t>
      </w:r>
      <w:r w:rsidRPr="00AF3ED2">
        <w:rPr>
          <w:iCs/>
        </w:rPr>
        <w:t>7.0</w:t>
      </w:r>
      <w:r w:rsidRPr="00AF3ED2">
        <w:t xml:space="preserve">%, </w:t>
      </w:r>
      <w:r w:rsidRPr="00AF3ED2">
        <w:rPr>
          <w:spacing w:val="-4"/>
        </w:rPr>
        <w:t>and</w:t>
      </w:r>
      <w:r w:rsidRPr="00AF3ED2">
        <w:rPr>
          <w:bCs/>
        </w:rPr>
        <w:t xml:space="preserve"> overseas passengers carried (passenger-kilometers) reached</w:t>
      </w:r>
      <w:r w:rsidRPr="00AF3ED2">
        <w:t xml:space="preserve"> </w:t>
      </w:r>
      <w:r w:rsidRPr="00AF3ED2">
        <w:rPr>
          <w:iCs/>
        </w:rPr>
        <w:t xml:space="preserve">22.2 </w:t>
      </w:r>
      <w:r w:rsidRPr="00AF3ED2">
        <w:t xml:space="preserve">billion passenger-kilometer, </w:t>
      </w:r>
      <w:r w:rsidRPr="00AF3ED2">
        <w:rPr>
          <w:bCs/>
        </w:rPr>
        <w:t>going up by</w:t>
      </w:r>
      <w:r w:rsidRPr="00AF3ED2">
        <w:t xml:space="preserve"> </w:t>
      </w:r>
      <w:r w:rsidRPr="00AF3ED2">
        <w:rPr>
          <w:iCs/>
        </w:rPr>
        <w:t>6.1</w:t>
      </w:r>
      <w:r w:rsidRPr="00AF3ED2">
        <w:t>%</w:t>
      </w:r>
      <w:r w:rsidRPr="00AF3ED2">
        <w:rPr>
          <w:iCs/>
        </w:rPr>
        <w:t>.</w:t>
      </w:r>
    </w:p>
    <w:p w14:paraId="369013C5" w14:textId="77777777" w:rsidR="005B4C2A" w:rsidRPr="00AF3ED2" w:rsidRDefault="005B4C2A" w:rsidP="005B4C2A">
      <w:pPr>
        <w:spacing w:after="160" w:line="259" w:lineRule="auto"/>
        <w:rPr>
          <w:iCs/>
        </w:rPr>
      </w:pPr>
      <w:r w:rsidRPr="00AF3ED2">
        <w:rPr>
          <w:iCs/>
        </w:rPr>
        <w:br w:type="page"/>
      </w:r>
    </w:p>
    <w:p w14:paraId="5053335F" w14:textId="77777777" w:rsidR="005B4C2A" w:rsidRPr="00AF3ED2" w:rsidRDefault="005B4C2A" w:rsidP="005B4C2A">
      <w:pPr>
        <w:tabs>
          <w:tab w:val="left" w:pos="567"/>
        </w:tabs>
        <w:spacing w:before="120" w:after="120"/>
        <w:jc w:val="center"/>
        <w:rPr>
          <w:rFonts w:ascii="Arial" w:hAnsi="Arial" w:cs="Arial"/>
          <w:b/>
          <w:bCs/>
          <w:sz w:val="24"/>
          <w:szCs w:val="24"/>
        </w:rPr>
      </w:pPr>
      <w:r w:rsidRPr="00AF3ED2">
        <w:rPr>
          <w:rFonts w:ascii="Arial" w:hAnsi="Arial" w:cs="Arial"/>
          <w:b/>
          <w:spacing w:val="-2"/>
          <w:sz w:val="24"/>
          <w:szCs w:val="20"/>
        </w:rPr>
        <w:lastRenderedPageBreak/>
        <w:t xml:space="preserve">Table 6. </w:t>
      </w:r>
      <w:r w:rsidRPr="00AF3ED2">
        <w:rPr>
          <w:rFonts w:ascii="Arial" w:hAnsi="Arial" w:cs="Arial"/>
          <w:b/>
          <w:bCs/>
          <w:iCs/>
          <w:sz w:val="24"/>
          <w:szCs w:val="24"/>
        </w:rPr>
        <w:t>Passenger carried in four months of</w:t>
      </w:r>
      <w:r w:rsidRPr="00AF3ED2">
        <w:rPr>
          <w:rFonts w:ascii="Arial" w:hAnsi="Arial" w:cs="Arial"/>
          <w:b/>
          <w:bCs/>
          <w:sz w:val="24"/>
          <w:szCs w:val="24"/>
        </w:rPr>
        <w:t xml:space="preserve"> 2026 by type of transport </w:t>
      </w:r>
    </w:p>
    <w:tbl>
      <w:tblPr>
        <w:tblW w:w="9267" w:type="dxa"/>
        <w:jc w:val="center"/>
        <w:tblLook w:val="04A0" w:firstRow="1" w:lastRow="0" w:firstColumn="1" w:lastColumn="0" w:noHBand="0" w:noVBand="1"/>
      </w:tblPr>
      <w:tblGrid>
        <w:gridCol w:w="2180"/>
        <w:gridCol w:w="1787"/>
        <w:gridCol w:w="1848"/>
        <w:gridCol w:w="222"/>
        <w:gridCol w:w="1751"/>
        <w:gridCol w:w="1479"/>
      </w:tblGrid>
      <w:tr w:rsidR="005B4C2A" w:rsidRPr="00AF3ED2" w14:paraId="4F62210D" w14:textId="77777777" w:rsidTr="00D474E6">
        <w:trPr>
          <w:trHeight w:val="388"/>
          <w:jc w:val="center"/>
        </w:trPr>
        <w:tc>
          <w:tcPr>
            <w:tcW w:w="2180" w:type="dxa"/>
            <w:tcBorders>
              <w:top w:val="single" w:sz="4" w:space="0" w:color="auto"/>
            </w:tcBorders>
            <w:vAlign w:val="center"/>
            <w:hideMark/>
          </w:tcPr>
          <w:p w14:paraId="22E6B64E" w14:textId="77777777" w:rsidR="005B4C2A" w:rsidRPr="00AF3ED2" w:rsidRDefault="005B4C2A" w:rsidP="00D474E6">
            <w:pPr>
              <w:jc w:val="center"/>
              <w:rPr>
                <w:rFonts w:ascii="Arial" w:hAnsi="Arial" w:cs="Arial"/>
                <w:sz w:val="20"/>
                <w:szCs w:val="20"/>
                <w:lang w:eastAsia="vi-VN"/>
              </w:rPr>
            </w:pPr>
          </w:p>
        </w:tc>
        <w:tc>
          <w:tcPr>
            <w:tcW w:w="3635" w:type="dxa"/>
            <w:gridSpan w:val="2"/>
            <w:tcBorders>
              <w:top w:val="single" w:sz="4" w:space="0" w:color="auto"/>
              <w:bottom w:val="single" w:sz="4" w:space="0" w:color="auto"/>
            </w:tcBorders>
            <w:vAlign w:val="center"/>
            <w:hideMark/>
          </w:tcPr>
          <w:p w14:paraId="07EC8C4E"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Number of passengers</w:t>
            </w:r>
          </w:p>
        </w:tc>
        <w:tc>
          <w:tcPr>
            <w:tcW w:w="222" w:type="dxa"/>
            <w:tcBorders>
              <w:top w:val="single" w:sz="4" w:space="0" w:color="auto"/>
            </w:tcBorders>
          </w:tcPr>
          <w:p w14:paraId="18CF4822" w14:textId="77777777" w:rsidR="005B4C2A" w:rsidRPr="00AF3ED2" w:rsidRDefault="005B4C2A" w:rsidP="00D474E6">
            <w:pPr>
              <w:jc w:val="center"/>
              <w:rPr>
                <w:rFonts w:ascii="Arial" w:hAnsi="Arial" w:cs="Arial"/>
                <w:sz w:val="20"/>
                <w:szCs w:val="20"/>
                <w:lang w:eastAsia="vi-VN"/>
              </w:rPr>
            </w:pPr>
          </w:p>
        </w:tc>
        <w:tc>
          <w:tcPr>
            <w:tcW w:w="3230" w:type="dxa"/>
            <w:gridSpan w:val="2"/>
            <w:tcBorders>
              <w:top w:val="single" w:sz="4" w:space="0" w:color="auto"/>
              <w:bottom w:val="single" w:sz="4" w:space="0" w:color="auto"/>
            </w:tcBorders>
            <w:vAlign w:val="center"/>
            <w:hideMark/>
          </w:tcPr>
          <w:p w14:paraId="630EF1E1"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Year-on-year growth rate (%)</w:t>
            </w:r>
          </w:p>
        </w:tc>
      </w:tr>
      <w:tr w:rsidR="005B4C2A" w:rsidRPr="00AF3ED2" w14:paraId="6F956929" w14:textId="77777777" w:rsidTr="00D474E6">
        <w:trPr>
          <w:trHeight w:val="381"/>
          <w:jc w:val="center"/>
        </w:trPr>
        <w:tc>
          <w:tcPr>
            <w:tcW w:w="2180" w:type="dxa"/>
            <w:vAlign w:val="center"/>
            <w:hideMark/>
          </w:tcPr>
          <w:p w14:paraId="029AC12C" w14:textId="77777777" w:rsidR="005B4C2A" w:rsidRPr="00AF3ED2" w:rsidRDefault="005B4C2A" w:rsidP="00D474E6">
            <w:pPr>
              <w:jc w:val="center"/>
              <w:rPr>
                <w:rFonts w:ascii="Arial" w:hAnsi="Arial" w:cs="Arial"/>
                <w:sz w:val="20"/>
                <w:szCs w:val="20"/>
                <w:lang w:eastAsia="vi-VN"/>
              </w:rPr>
            </w:pPr>
          </w:p>
        </w:tc>
        <w:tc>
          <w:tcPr>
            <w:tcW w:w="1787" w:type="dxa"/>
            <w:tcBorders>
              <w:top w:val="single" w:sz="4" w:space="0" w:color="auto"/>
              <w:bottom w:val="single" w:sz="4" w:space="0" w:color="auto"/>
            </w:tcBorders>
            <w:vAlign w:val="center"/>
            <w:hideMark/>
          </w:tcPr>
          <w:p w14:paraId="05F17979"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Carried</w:t>
            </w:r>
          </w:p>
          <w:p w14:paraId="1BCDCB30"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(Mill. Passengers)</w:t>
            </w:r>
          </w:p>
        </w:tc>
        <w:tc>
          <w:tcPr>
            <w:tcW w:w="1848" w:type="dxa"/>
            <w:tcBorders>
              <w:top w:val="single" w:sz="4" w:space="0" w:color="auto"/>
              <w:bottom w:val="single" w:sz="4" w:space="0" w:color="auto"/>
            </w:tcBorders>
            <w:vAlign w:val="center"/>
            <w:hideMark/>
          </w:tcPr>
          <w:p w14:paraId="40F8ABB2"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 xml:space="preserve">Carried (passenger-kilometers) </w:t>
            </w:r>
            <w:r w:rsidRPr="00AF3ED2">
              <w:rPr>
                <w:rFonts w:ascii="Arial" w:hAnsi="Arial" w:cs="Arial"/>
                <w:sz w:val="20"/>
                <w:szCs w:val="20"/>
                <w:lang w:eastAsia="vi-VN"/>
              </w:rPr>
              <w:br/>
              <w:t>(Bill. passenger-km)</w:t>
            </w:r>
          </w:p>
        </w:tc>
        <w:tc>
          <w:tcPr>
            <w:tcW w:w="222" w:type="dxa"/>
          </w:tcPr>
          <w:p w14:paraId="1EDFB042" w14:textId="77777777" w:rsidR="005B4C2A" w:rsidRPr="00AF3ED2" w:rsidRDefault="005B4C2A" w:rsidP="00D474E6">
            <w:pPr>
              <w:jc w:val="center"/>
              <w:rPr>
                <w:rFonts w:ascii="Arial" w:hAnsi="Arial" w:cs="Arial"/>
                <w:sz w:val="20"/>
                <w:szCs w:val="20"/>
                <w:lang w:eastAsia="vi-VN"/>
              </w:rPr>
            </w:pPr>
          </w:p>
        </w:tc>
        <w:tc>
          <w:tcPr>
            <w:tcW w:w="1751" w:type="dxa"/>
            <w:tcBorders>
              <w:top w:val="single" w:sz="4" w:space="0" w:color="auto"/>
              <w:bottom w:val="single" w:sz="4" w:space="0" w:color="auto"/>
            </w:tcBorders>
            <w:vAlign w:val="center"/>
            <w:hideMark/>
          </w:tcPr>
          <w:p w14:paraId="06799505"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Carried</w:t>
            </w:r>
          </w:p>
        </w:tc>
        <w:tc>
          <w:tcPr>
            <w:tcW w:w="1479" w:type="dxa"/>
            <w:tcBorders>
              <w:top w:val="single" w:sz="4" w:space="0" w:color="auto"/>
              <w:bottom w:val="single" w:sz="4" w:space="0" w:color="auto"/>
            </w:tcBorders>
            <w:vAlign w:val="center"/>
            <w:hideMark/>
          </w:tcPr>
          <w:p w14:paraId="01568769"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Carried (passenger-kilometers)</w:t>
            </w:r>
          </w:p>
        </w:tc>
      </w:tr>
      <w:tr w:rsidR="005B4C2A" w:rsidRPr="00AF3ED2" w14:paraId="6D306CDD" w14:textId="77777777" w:rsidTr="00D474E6">
        <w:trPr>
          <w:trHeight w:val="345"/>
          <w:jc w:val="center"/>
        </w:trPr>
        <w:tc>
          <w:tcPr>
            <w:tcW w:w="2180" w:type="dxa"/>
            <w:noWrap/>
            <w:vAlign w:val="center"/>
            <w:hideMark/>
          </w:tcPr>
          <w:p w14:paraId="51F03591" w14:textId="77777777" w:rsidR="005B4C2A" w:rsidRPr="00AF3ED2" w:rsidRDefault="005B4C2A" w:rsidP="00D474E6">
            <w:pPr>
              <w:spacing w:before="120" w:after="40"/>
              <w:rPr>
                <w:rFonts w:ascii="Arial" w:hAnsi="Arial" w:cs="Arial"/>
                <w:b/>
                <w:bCs/>
                <w:sz w:val="20"/>
                <w:szCs w:val="20"/>
                <w:lang w:eastAsia="vi-VN"/>
              </w:rPr>
            </w:pPr>
            <w:r w:rsidRPr="00AF3ED2">
              <w:rPr>
                <w:rFonts w:ascii="Arial" w:hAnsi="Arial" w:cs="Arial"/>
                <w:b/>
                <w:bCs/>
                <w:sz w:val="20"/>
                <w:szCs w:val="20"/>
                <w:lang w:eastAsia="vi-VN"/>
              </w:rPr>
              <w:t>Total</w:t>
            </w:r>
          </w:p>
        </w:tc>
        <w:tc>
          <w:tcPr>
            <w:tcW w:w="1787" w:type="dxa"/>
            <w:tcBorders>
              <w:top w:val="single" w:sz="4" w:space="0" w:color="auto"/>
            </w:tcBorders>
            <w:noWrap/>
            <w:vAlign w:val="bottom"/>
          </w:tcPr>
          <w:p w14:paraId="0743E1CF" w14:textId="77777777" w:rsidR="005B4C2A" w:rsidRPr="00AF3ED2" w:rsidRDefault="005B4C2A" w:rsidP="00D474E6">
            <w:pPr>
              <w:spacing w:before="120" w:after="40"/>
              <w:ind w:right="394"/>
              <w:jc w:val="right"/>
              <w:rPr>
                <w:rFonts w:ascii="Arial" w:hAnsi="Arial" w:cs="Arial"/>
                <w:b/>
                <w:bCs/>
                <w:sz w:val="20"/>
                <w:szCs w:val="20"/>
              </w:rPr>
            </w:pPr>
            <w:r w:rsidRPr="00AF3ED2">
              <w:rPr>
                <w:rFonts w:ascii="Arial" w:hAnsi="Arial" w:cs="Arial"/>
                <w:b/>
                <w:bCs/>
                <w:sz w:val="20"/>
                <w:szCs w:val="20"/>
              </w:rPr>
              <w:t>2,102.3</w:t>
            </w:r>
          </w:p>
        </w:tc>
        <w:tc>
          <w:tcPr>
            <w:tcW w:w="1848" w:type="dxa"/>
            <w:tcBorders>
              <w:top w:val="single" w:sz="4" w:space="0" w:color="auto"/>
            </w:tcBorders>
            <w:noWrap/>
            <w:vAlign w:val="bottom"/>
          </w:tcPr>
          <w:p w14:paraId="523A656A" w14:textId="77777777" w:rsidR="005B4C2A" w:rsidRPr="00AF3ED2" w:rsidRDefault="005B4C2A" w:rsidP="00D474E6">
            <w:pPr>
              <w:spacing w:before="120" w:after="40"/>
              <w:ind w:right="579"/>
              <w:jc w:val="right"/>
              <w:rPr>
                <w:rFonts w:ascii="Arial" w:hAnsi="Arial" w:cs="Arial"/>
                <w:b/>
                <w:bCs/>
                <w:sz w:val="20"/>
                <w:szCs w:val="20"/>
              </w:rPr>
            </w:pPr>
            <w:r w:rsidRPr="00AF3ED2">
              <w:rPr>
                <w:rFonts w:ascii="Arial" w:hAnsi="Arial" w:cs="Arial"/>
                <w:b/>
                <w:bCs/>
                <w:sz w:val="20"/>
                <w:szCs w:val="20"/>
              </w:rPr>
              <w:t>113.2</w:t>
            </w:r>
          </w:p>
        </w:tc>
        <w:tc>
          <w:tcPr>
            <w:tcW w:w="222" w:type="dxa"/>
          </w:tcPr>
          <w:p w14:paraId="25517B96" w14:textId="77777777" w:rsidR="005B4C2A" w:rsidRPr="00AF3ED2" w:rsidRDefault="005B4C2A" w:rsidP="00D474E6">
            <w:pPr>
              <w:spacing w:before="120" w:after="40"/>
              <w:ind w:right="520"/>
              <w:jc w:val="right"/>
              <w:rPr>
                <w:rFonts w:ascii="Arial" w:hAnsi="Arial" w:cs="Arial"/>
                <w:b/>
                <w:bCs/>
                <w:sz w:val="20"/>
                <w:szCs w:val="20"/>
              </w:rPr>
            </w:pPr>
          </w:p>
        </w:tc>
        <w:tc>
          <w:tcPr>
            <w:tcW w:w="1751" w:type="dxa"/>
            <w:tcBorders>
              <w:top w:val="single" w:sz="4" w:space="0" w:color="auto"/>
            </w:tcBorders>
            <w:noWrap/>
            <w:vAlign w:val="bottom"/>
          </w:tcPr>
          <w:p w14:paraId="41FEE86F" w14:textId="77777777" w:rsidR="005B4C2A" w:rsidRPr="00AF3ED2" w:rsidRDefault="005B4C2A" w:rsidP="00D474E6">
            <w:pPr>
              <w:spacing w:before="120" w:after="40"/>
              <w:ind w:right="520"/>
              <w:jc w:val="right"/>
              <w:rPr>
                <w:rFonts w:ascii="Arial" w:hAnsi="Arial" w:cs="Arial"/>
                <w:b/>
                <w:bCs/>
                <w:sz w:val="20"/>
                <w:szCs w:val="20"/>
              </w:rPr>
            </w:pPr>
            <w:r w:rsidRPr="00AF3ED2">
              <w:rPr>
                <w:rFonts w:ascii="Arial" w:hAnsi="Arial" w:cs="Arial"/>
                <w:b/>
                <w:bCs/>
                <w:sz w:val="20"/>
                <w:szCs w:val="20"/>
              </w:rPr>
              <w:t>15.0</w:t>
            </w:r>
          </w:p>
        </w:tc>
        <w:tc>
          <w:tcPr>
            <w:tcW w:w="1479" w:type="dxa"/>
            <w:tcBorders>
              <w:top w:val="single" w:sz="4" w:space="0" w:color="auto"/>
            </w:tcBorders>
            <w:noWrap/>
            <w:vAlign w:val="bottom"/>
          </w:tcPr>
          <w:p w14:paraId="6B27B3FA" w14:textId="77777777" w:rsidR="005B4C2A" w:rsidRPr="00AF3ED2" w:rsidRDefault="005B4C2A" w:rsidP="00D474E6">
            <w:pPr>
              <w:spacing w:before="120" w:after="40"/>
              <w:ind w:right="322"/>
              <w:jc w:val="right"/>
              <w:rPr>
                <w:rFonts w:ascii="Arial" w:hAnsi="Arial" w:cs="Arial"/>
                <w:b/>
                <w:bCs/>
                <w:sz w:val="20"/>
                <w:szCs w:val="20"/>
              </w:rPr>
            </w:pPr>
            <w:r w:rsidRPr="00AF3ED2">
              <w:rPr>
                <w:rFonts w:ascii="Arial" w:hAnsi="Arial" w:cs="Arial"/>
                <w:b/>
                <w:bCs/>
                <w:sz w:val="20"/>
                <w:szCs w:val="20"/>
              </w:rPr>
              <w:t>12.7</w:t>
            </w:r>
          </w:p>
        </w:tc>
      </w:tr>
      <w:tr w:rsidR="005B4C2A" w:rsidRPr="00AF3ED2" w14:paraId="3B861D06" w14:textId="77777777" w:rsidTr="00D474E6">
        <w:trPr>
          <w:trHeight w:val="289"/>
          <w:jc w:val="center"/>
        </w:trPr>
        <w:tc>
          <w:tcPr>
            <w:tcW w:w="2180" w:type="dxa"/>
            <w:noWrap/>
            <w:vAlign w:val="center"/>
            <w:hideMark/>
          </w:tcPr>
          <w:p w14:paraId="75CD3B9D" w14:textId="77777777" w:rsidR="005B4C2A" w:rsidRPr="00AF3ED2" w:rsidRDefault="005B4C2A" w:rsidP="00D474E6">
            <w:pPr>
              <w:tabs>
                <w:tab w:val="left" w:pos="407"/>
              </w:tabs>
              <w:spacing w:before="40" w:after="40"/>
              <w:ind w:firstLine="182"/>
              <w:rPr>
                <w:rFonts w:ascii="Arial" w:hAnsi="Arial" w:cs="Arial"/>
                <w:sz w:val="20"/>
                <w:szCs w:val="20"/>
                <w:lang w:eastAsia="vi-VN"/>
              </w:rPr>
            </w:pPr>
            <w:r w:rsidRPr="00AF3ED2">
              <w:rPr>
                <w:rFonts w:ascii="Arial" w:hAnsi="Arial" w:cs="Arial"/>
                <w:sz w:val="20"/>
                <w:szCs w:val="20"/>
                <w:lang w:eastAsia="vi-VN"/>
              </w:rPr>
              <w:t>Rail way</w:t>
            </w:r>
          </w:p>
        </w:tc>
        <w:tc>
          <w:tcPr>
            <w:tcW w:w="1787" w:type="dxa"/>
            <w:noWrap/>
            <w:vAlign w:val="bottom"/>
          </w:tcPr>
          <w:p w14:paraId="5D74F470" w14:textId="77777777" w:rsidR="005B4C2A" w:rsidRPr="00AF3ED2" w:rsidRDefault="005B4C2A" w:rsidP="00D474E6">
            <w:pPr>
              <w:spacing w:before="40" w:after="40"/>
              <w:ind w:right="394"/>
              <w:jc w:val="right"/>
              <w:rPr>
                <w:rFonts w:ascii="Arial" w:hAnsi="Arial" w:cs="Arial"/>
                <w:sz w:val="20"/>
                <w:szCs w:val="20"/>
              </w:rPr>
            </w:pPr>
            <w:r w:rsidRPr="00AF3ED2">
              <w:rPr>
                <w:rFonts w:ascii="Arial" w:hAnsi="Arial" w:cs="Arial"/>
                <w:sz w:val="20"/>
                <w:szCs w:val="20"/>
              </w:rPr>
              <w:t>16.3</w:t>
            </w:r>
          </w:p>
        </w:tc>
        <w:tc>
          <w:tcPr>
            <w:tcW w:w="1848" w:type="dxa"/>
            <w:noWrap/>
            <w:vAlign w:val="bottom"/>
          </w:tcPr>
          <w:p w14:paraId="6AD25702" w14:textId="77777777" w:rsidR="005B4C2A" w:rsidRPr="00AF3ED2" w:rsidRDefault="005B4C2A" w:rsidP="00D474E6">
            <w:pPr>
              <w:spacing w:before="40" w:after="40"/>
              <w:ind w:right="579"/>
              <w:jc w:val="right"/>
              <w:rPr>
                <w:rFonts w:ascii="Arial" w:hAnsi="Arial" w:cs="Arial"/>
                <w:sz w:val="20"/>
                <w:szCs w:val="20"/>
              </w:rPr>
            </w:pPr>
            <w:r w:rsidRPr="00AF3ED2">
              <w:rPr>
                <w:rFonts w:ascii="Arial" w:hAnsi="Arial" w:cs="Arial"/>
                <w:sz w:val="20"/>
                <w:szCs w:val="20"/>
              </w:rPr>
              <w:t>1.1</w:t>
            </w:r>
          </w:p>
        </w:tc>
        <w:tc>
          <w:tcPr>
            <w:tcW w:w="222" w:type="dxa"/>
          </w:tcPr>
          <w:p w14:paraId="2260DE44" w14:textId="77777777" w:rsidR="005B4C2A" w:rsidRPr="00AF3ED2" w:rsidRDefault="005B4C2A" w:rsidP="00D474E6">
            <w:pPr>
              <w:spacing w:before="40" w:after="40"/>
              <w:ind w:right="520"/>
              <w:jc w:val="right"/>
              <w:rPr>
                <w:rFonts w:ascii="Arial" w:hAnsi="Arial" w:cs="Arial"/>
                <w:sz w:val="20"/>
                <w:szCs w:val="20"/>
              </w:rPr>
            </w:pPr>
          </w:p>
        </w:tc>
        <w:tc>
          <w:tcPr>
            <w:tcW w:w="1751" w:type="dxa"/>
            <w:noWrap/>
            <w:vAlign w:val="bottom"/>
          </w:tcPr>
          <w:p w14:paraId="793B97F6" w14:textId="77777777" w:rsidR="005B4C2A" w:rsidRPr="00AF3ED2" w:rsidRDefault="005B4C2A" w:rsidP="00D474E6">
            <w:pPr>
              <w:spacing w:before="40" w:after="40"/>
              <w:ind w:right="520"/>
              <w:jc w:val="right"/>
              <w:rPr>
                <w:rFonts w:ascii="Arial" w:hAnsi="Arial" w:cs="Arial"/>
                <w:sz w:val="20"/>
                <w:szCs w:val="20"/>
              </w:rPr>
            </w:pPr>
            <w:r w:rsidRPr="00AF3ED2">
              <w:rPr>
                <w:rFonts w:ascii="Arial" w:hAnsi="Arial" w:cs="Arial"/>
                <w:sz w:val="20"/>
                <w:szCs w:val="20"/>
              </w:rPr>
              <w:t>11.6</w:t>
            </w:r>
          </w:p>
        </w:tc>
        <w:tc>
          <w:tcPr>
            <w:tcW w:w="1479" w:type="dxa"/>
            <w:noWrap/>
            <w:vAlign w:val="bottom"/>
          </w:tcPr>
          <w:p w14:paraId="7E41C095" w14:textId="77777777" w:rsidR="005B4C2A" w:rsidRPr="00AF3ED2" w:rsidRDefault="005B4C2A" w:rsidP="00D474E6">
            <w:pPr>
              <w:spacing w:before="40" w:after="40"/>
              <w:ind w:right="322"/>
              <w:jc w:val="right"/>
              <w:rPr>
                <w:rFonts w:ascii="Arial" w:hAnsi="Arial" w:cs="Arial"/>
                <w:sz w:val="20"/>
                <w:szCs w:val="20"/>
              </w:rPr>
            </w:pPr>
            <w:r w:rsidRPr="00AF3ED2">
              <w:rPr>
                <w:rFonts w:ascii="Arial" w:hAnsi="Arial" w:cs="Arial"/>
                <w:sz w:val="20"/>
                <w:szCs w:val="20"/>
              </w:rPr>
              <w:t>4.1</w:t>
            </w:r>
          </w:p>
        </w:tc>
      </w:tr>
      <w:tr w:rsidR="005B4C2A" w:rsidRPr="00AF3ED2" w14:paraId="61E52E9C" w14:textId="77777777" w:rsidTr="00D474E6">
        <w:trPr>
          <w:trHeight w:val="289"/>
          <w:jc w:val="center"/>
        </w:trPr>
        <w:tc>
          <w:tcPr>
            <w:tcW w:w="2180" w:type="dxa"/>
            <w:noWrap/>
            <w:vAlign w:val="center"/>
            <w:hideMark/>
          </w:tcPr>
          <w:p w14:paraId="231443A0" w14:textId="77777777" w:rsidR="005B4C2A" w:rsidRPr="00AF3ED2" w:rsidRDefault="005B4C2A" w:rsidP="00D474E6">
            <w:pPr>
              <w:tabs>
                <w:tab w:val="left" w:pos="407"/>
              </w:tabs>
              <w:spacing w:before="40" w:after="40"/>
              <w:ind w:firstLine="182"/>
              <w:rPr>
                <w:rFonts w:ascii="Arial" w:hAnsi="Arial" w:cs="Arial"/>
                <w:sz w:val="20"/>
                <w:szCs w:val="20"/>
                <w:lang w:eastAsia="vi-VN"/>
              </w:rPr>
            </w:pPr>
            <w:r w:rsidRPr="00AF3ED2">
              <w:rPr>
                <w:rFonts w:ascii="Arial" w:hAnsi="Arial" w:cs="Arial"/>
                <w:sz w:val="20"/>
                <w:szCs w:val="20"/>
                <w:lang w:eastAsia="vi-VN"/>
              </w:rPr>
              <w:t>Sea way</w:t>
            </w:r>
            <w:r w:rsidRPr="00AF3ED2">
              <w:rPr>
                <w:rStyle w:val="FootnoteReference"/>
                <w:rFonts w:ascii="Arial" w:hAnsi="Arial"/>
                <w:sz w:val="20"/>
                <w:szCs w:val="20"/>
                <w:lang w:eastAsia="vi-VN"/>
              </w:rPr>
              <w:footnoteReference w:id="27"/>
            </w:r>
          </w:p>
        </w:tc>
        <w:tc>
          <w:tcPr>
            <w:tcW w:w="1787" w:type="dxa"/>
            <w:noWrap/>
            <w:vAlign w:val="bottom"/>
          </w:tcPr>
          <w:p w14:paraId="5B731FCC" w14:textId="77777777" w:rsidR="005B4C2A" w:rsidRPr="00AF3ED2" w:rsidRDefault="005B4C2A" w:rsidP="00D474E6">
            <w:pPr>
              <w:spacing w:before="40" w:after="40"/>
              <w:ind w:right="394"/>
              <w:jc w:val="right"/>
              <w:rPr>
                <w:rFonts w:ascii="Arial" w:hAnsi="Arial" w:cs="Arial"/>
                <w:sz w:val="20"/>
                <w:szCs w:val="20"/>
              </w:rPr>
            </w:pPr>
            <w:r w:rsidRPr="00AF3ED2">
              <w:rPr>
                <w:rFonts w:ascii="Arial" w:hAnsi="Arial" w:cs="Arial"/>
                <w:sz w:val="20"/>
                <w:szCs w:val="20"/>
              </w:rPr>
              <w:t>4.0</w:t>
            </w:r>
          </w:p>
        </w:tc>
        <w:tc>
          <w:tcPr>
            <w:tcW w:w="1848" w:type="dxa"/>
            <w:noWrap/>
            <w:vAlign w:val="bottom"/>
          </w:tcPr>
          <w:p w14:paraId="6A97CAAB" w14:textId="77777777" w:rsidR="005B4C2A" w:rsidRPr="00AF3ED2" w:rsidRDefault="005B4C2A" w:rsidP="00D474E6">
            <w:pPr>
              <w:spacing w:before="40" w:after="40"/>
              <w:ind w:right="579"/>
              <w:jc w:val="right"/>
              <w:rPr>
                <w:rFonts w:ascii="Arial" w:hAnsi="Arial" w:cs="Arial"/>
                <w:sz w:val="20"/>
                <w:szCs w:val="20"/>
              </w:rPr>
            </w:pPr>
            <w:r w:rsidRPr="00AF3ED2">
              <w:rPr>
                <w:rFonts w:ascii="Arial" w:hAnsi="Arial" w:cs="Arial"/>
                <w:sz w:val="20"/>
                <w:szCs w:val="20"/>
              </w:rPr>
              <w:t>0.3</w:t>
            </w:r>
          </w:p>
        </w:tc>
        <w:tc>
          <w:tcPr>
            <w:tcW w:w="222" w:type="dxa"/>
          </w:tcPr>
          <w:p w14:paraId="5C470219" w14:textId="77777777" w:rsidR="005B4C2A" w:rsidRPr="00AF3ED2" w:rsidRDefault="005B4C2A" w:rsidP="00D474E6">
            <w:pPr>
              <w:spacing w:before="40" w:after="40"/>
              <w:ind w:right="520"/>
              <w:jc w:val="right"/>
              <w:rPr>
                <w:rFonts w:ascii="Arial" w:hAnsi="Arial" w:cs="Arial"/>
                <w:sz w:val="20"/>
                <w:szCs w:val="20"/>
              </w:rPr>
            </w:pPr>
          </w:p>
        </w:tc>
        <w:tc>
          <w:tcPr>
            <w:tcW w:w="1751" w:type="dxa"/>
            <w:noWrap/>
            <w:vAlign w:val="bottom"/>
          </w:tcPr>
          <w:p w14:paraId="2B285C37" w14:textId="77777777" w:rsidR="005B4C2A" w:rsidRPr="00AF3ED2" w:rsidRDefault="005B4C2A" w:rsidP="00D474E6">
            <w:pPr>
              <w:spacing w:before="40" w:after="40"/>
              <w:ind w:right="520"/>
              <w:jc w:val="right"/>
              <w:rPr>
                <w:rFonts w:ascii="Arial" w:hAnsi="Arial" w:cs="Arial"/>
                <w:sz w:val="20"/>
                <w:szCs w:val="20"/>
              </w:rPr>
            </w:pPr>
            <w:r w:rsidRPr="00AF3ED2">
              <w:rPr>
                <w:rFonts w:ascii="Arial" w:hAnsi="Arial" w:cs="Arial"/>
                <w:sz w:val="20"/>
                <w:szCs w:val="20"/>
              </w:rPr>
              <w:t>-13.9</w:t>
            </w:r>
          </w:p>
        </w:tc>
        <w:tc>
          <w:tcPr>
            <w:tcW w:w="1479" w:type="dxa"/>
            <w:noWrap/>
            <w:vAlign w:val="bottom"/>
          </w:tcPr>
          <w:p w14:paraId="4666695F" w14:textId="77777777" w:rsidR="005B4C2A" w:rsidRPr="00AF3ED2" w:rsidRDefault="005B4C2A" w:rsidP="00D474E6">
            <w:pPr>
              <w:spacing w:before="40" w:after="40"/>
              <w:ind w:right="322"/>
              <w:jc w:val="right"/>
              <w:rPr>
                <w:rFonts w:ascii="Arial" w:hAnsi="Arial" w:cs="Arial"/>
                <w:sz w:val="20"/>
                <w:szCs w:val="20"/>
              </w:rPr>
            </w:pPr>
            <w:r w:rsidRPr="00AF3ED2">
              <w:rPr>
                <w:rFonts w:ascii="Arial" w:hAnsi="Arial" w:cs="Arial"/>
                <w:sz w:val="20"/>
                <w:szCs w:val="20"/>
              </w:rPr>
              <w:t>0.4</w:t>
            </w:r>
          </w:p>
        </w:tc>
      </w:tr>
      <w:tr w:rsidR="005B4C2A" w:rsidRPr="00AF3ED2" w14:paraId="5DA5FCEF" w14:textId="77777777" w:rsidTr="00D474E6">
        <w:trPr>
          <w:trHeight w:val="289"/>
          <w:jc w:val="center"/>
        </w:trPr>
        <w:tc>
          <w:tcPr>
            <w:tcW w:w="2180" w:type="dxa"/>
            <w:noWrap/>
            <w:vAlign w:val="center"/>
            <w:hideMark/>
          </w:tcPr>
          <w:p w14:paraId="303A135B" w14:textId="77777777" w:rsidR="005B4C2A" w:rsidRPr="00AF3ED2" w:rsidRDefault="005B4C2A" w:rsidP="00D474E6">
            <w:pPr>
              <w:tabs>
                <w:tab w:val="left" w:pos="407"/>
              </w:tabs>
              <w:spacing w:before="40" w:after="40"/>
              <w:ind w:firstLine="182"/>
              <w:rPr>
                <w:rFonts w:ascii="Arial" w:hAnsi="Arial" w:cs="Arial"/>
                <w:sz w:val="20"/>
                <w:szCs w:val="20"/>
                <w:lang w:eastAsia="vi-VN"/>
              </w:rPr>
            </w:pPr>
            <w:r w:rsidRPr="00AF3ED2">
              <w:rPr>
                <w:rFonts w:ascii="Arial" w:hAnsi="Arial" w:cs="Arial"/>
                <w:sz w:val="20"/>
                <w:szCs w:val="20"/>
                <w:lang w:eastAsia="vi-VN"/>
              </w:rPr>
              <w:t>Inland water way</w:t>
            </w:r>
          </w:p>
        </w:tc>
        <w:tc>
          <w:tcPr>
            <w:tcW w:w="1787" w:type="dxa"/>
            <w:noWrap/>
            <w:vAlign w:val="bottom"/>
          </w:tcPr>
          <w:p w14:paraId="3F054720" w14:textId="77777777" w:rsidR="005B4C2A" w:rsidRPr="00AF3ED2" w:rsidRDefault="005B4C2A" w:rsidP="00D474E6">
            <w:pPr>
              <w:spacing w:before="40" w:after="40"/>
              <w:ind w:right="394"/>
              <w:jc w:val="right"/>
              <w:rPr>
                <w:rFonts w:ascii="Arial" w:hAnsi="Arial" w:cs="Arial"/>
                <w:sz w:val="20"/>
                <w:szCs w:val="20"/>
              </w:rPr>
            </w:pPr>
            <w:r w:rsidRPr="00AF3ED2">
              <w:rPr>
                <w:rFonts w:ascii="Arial" w:hAnsi="Arial" w:cs="Arial"/>
                <w:sz w:val="20"/>
                <w:szCs w:val="20"/>
              </w:rPr>
              <w:t>156.8</w:t>
            </w:r>
          </w:p>
        </w:tc>
        <w:tc>
          <w:tcPr>
            <w:tcW w:w="1848" w:type="dxa"/>
            <w:noWrap/>
            <w:vAlign w:val="bottom"/>
          </w:tcPr>
          <w:p w14:paraId="488671E3" w14:textId="77777777" w:rsidR="005B4C2A" w:rsidRPr="00AF3ED2" w:rsidRDefault="005B4C2A" w:rsidP="00D474E6">
            <w:pPr>
              <w:spacing w:before="40" w:after="40"/>
              <w:ind w:right="579"/>
              <w:jc w:val="right"/>
              <w:rPr>
                <w:rFonts w:ascii="Arial" w:hAnsi="Arial" w:cs="Arial"/>
                <w:sz w:val="20"/>
                <w:szCs w:val="20"/>
              </w:rPr>
            </w:pPr>
            <w:r w:rsidRPr="00AF3ED2">
              <w:rPr>
                <w:rFonts w:ascii="Arial" w:hAnsi="Arial" w:cs="Arial"/>
                <w:sz w:val="20"/>
                <w:szCs w:val="20"/>
              </w:rPr>
              <w:t>3.1</w:t>
            </w:r>
          </w:p>
        </w:tc>
        <w:tc>
          <w:tcPr>
            <w:tcW w:w="222" w:type="dxa"/>
          </w:tcPr>
          <w:p w14:paraId="68CBF471" w14:textId="77777777" w:rsidR="005B4C2A" w:rsidRPr="00AF3ED2" w:rsidRDefault="005B4C2A" w:rsidP="00D474E6">
            <w:pPr>
              <w:spacing w:before="40" w:after="40"/>
              <w:ind w:right="520"/>
              <w:jc w:val="right"/>
              <w:rPr>
                <w:rFonts w:ascii="Arial" w:hAnsi="Arial" w:cs="Arial"/>
                <w:sz w:val="20"/>
                <w:szCs w:val="20"/>
              </w:rPr>
            </w:pPr>
          </w:p>
        </w:tc>
        <w:tc>
          <w:tcPr>
            <w:tcW w:w="1751" w:type="dxa"/>
            <w:noWrap/>
            <w:vAlign w:val="bottom"/>
          </w:tcPr>
          <w:p w14:paraId="736D913A" w14:textId="77777777" w:rsidR="005B4C2A" w:rsidRPr="00AF3ED2" w:rsidRDefault="005B4C2A" w:rsidP="00D474E6">
            <w:pPr>
              <w:spacing w:before="40" w:after="40"/>
              <w:ind w:right="520"/>
              <w:jc w:val="right"/>
              <w:rPr>
                <w:rFonts w:ascii="Arial" w:hAnsi="Arial" w:cs="Arial"/>
                <w:sz w:val="20"/>
                <w:szCs w:val="20"/>
              </w:rPr>
            </w:pPr>
            <w:r w:rsidRPr="00AF3ED2">
              <w:rPr>
                <w:rFonts w:ascii="Arial" w:hAnsi="Arial" w:cs="Arial"/>
                <w:sz w:val="20"/>
                <w:szCs w:val="20"/>
              </w:rPr>
              <w:t>4.1</w:t>
            </w:r>
          </w:p>
        </w:tc>
        <w:tc>
          <w:tcPr>
            <w:tcW w:w="1479" w:type="dxa"/>
            <w:noWrap/>
            <w:vAlign w:val="bottom"/>
          </w:tcPr>
          <w:p w14:paraId="4D6959C7" w14:textId="77777777" w:rsidR="005B4C2A" w:rsidRPr="00AF3ED2" w:rsidRDefault="005B4C2A" w:rsidP="00D474E6">
            <w:pPr>
              <w:spacing w:before="40" w:after="40"/>
              <w:ind w:right="322"/>
              <w:jc w:val="right"/>
              <w:rPr>
                <w:rFonts w:ascii="Arial" w:hAnsi="Arial" w:cs="Arial"/>
                <w:sz w:val="20"/>
                <w:szCs w:val="20"/>
              </w:rPr>
            </w:pPr>
            <w:r w:rsidRPr="00AF3ED2">
              <w:rPr>
                <w:rFonts w:ascii="Arial" w:hAnsi="Arial" w:cs="Arial"/>
                <w:sz w:val="20"/>
                <w:szCs w:val="20"/>
              </w:rPr>
              <w:t>14.6</w:t>
            </w:r>
          </w:p>
        </w:tc>
      </w:tr>
      <w:tr w:rsidR="005B4C2A" w:rsidRPr="00AF3ED2" w14:paraId="5A79EF80" w14:textId="77777777" w:rsidTr="00D474E6">
        <w:trPr>
          <w:trHeight w:val="289"/>
          <w:jc w:val="center"/>
        </w:trPr>
        <w:tc>
          <w:tcPr>
            <w:tcW w:w="2180" w:type="dxa"/>
            <w:noWrap/>
            <w:vAlign w:val="center"/>
            <w:hideMark/>
          </w:tcPr>
          <w:p w14:paraId="43E54E44" w14:textId="77777777" w:rsidR="005B4C2A" w:rsidRPr="00AF3ED2" w:rsidRDefault="005B4C2A" w:rsidP="00D474E6">
            <w:pPr>
              <w:tabs>
                <w:tab w:val="left" w:pos="407"/>
              </w:tabs>
              <w:spacing w:before="40" w:after="40"/>
              <w:ind w:firstLine="182"/>
              <w:rPr>
                <w:rFonts w:ascii="Arial" w:hAnsi="Arial" w:cs="Arial"/>
                <w:sz w:val="20"/>
                <w:szCs w:val="20"/>
                <w:lang w:eastAsia="vi-VN"/>
              </w:rPr>
            </w:pPr>
            <w:r w:rsidRPr="00AF3ED2">
              <w:rPr>
                <w:rFonts w:ascii="Arial" w:hAnsi="Arial" w:cs="Arial"/>
                <w:sz w:val="20"/>
                <w:szCs w:val="20"/>
                <w:lang w:eastAsia="vi-VN"/>
              </w:rPr>
              <w:t>Road</w:t>
            </w:r>
          </w:p>
        </w:tc>
        <w:tc>
          <w:tcPr>
            <w:tcW w:w="1787" w:type="dxa"/>
            <w:noWrap/>
            <w:vAlign w:val="bottom"/>
          </w:tcPr>
          <w:p w14:paraId="4EF860B1" w14:textId="77777777" w:rsidR="005B4C2A" w:rsidRPr="00AF3ED2" w:rsidRDefault="005B4C2A" w:rsidP="00D474E6">
            <w:pPr>
              <w:spacing w:before="40" w:after="40"/>
              <w:ind w:right="394"/>
              <w:jc w:val="right"/>
              <w:rPr>
                <w:rFonts w:ascii="Arial" w:hAnsi="Arial" w:cs="Arial"/>
                <w:sz w:val="20"/>
                <w:szCs w:val="20"/>
              </w:rPr>
            </w:pPr>
            <w:r w:rsidRPr="00AF3ED2">
              <w:rPr>
                <w:rFonts w:ascii="Arial" w:hAnsi="Arial" w:cs="Arial"/>
                <w:sz w:val="20"/>
                <w:szCs w:val="20"/>
              </w:rPr>
              <w:t>1,904.6</w:t>
            </w:r>
          </w:p>
        </w:tc>
        <w:tc>
          <w:tcPr>
            <w:tcW w:w="1848" w:type="dxa"/>
            <w:noWrap/>
            <w:vAlign w:val="bottom"/>
          </w:tcPr>
          <w:p w14:paraId="29A245E9" w14:textId="77777777" w:rsidR="005B4C2A" w:rsidRPr="00AF3ED2" w:rsidRDefault="005B4C2A" w:rsidP="00D474E6">
            <w:pPr>
              <w:spacing w:before="40" w:after="40"/>
              <w:ind w:right="579"/>
              <w:jc w:val="right"/>
              <w:rPr>
                <w:rFonts w:ascii="Arial" w:hAnsi="Arial" w:cs="Arial"/>
                <w:sz w:val="20"/>
                <w:szCs w:val="20"/>
              </w:rPr>
            </w:pPr>
            <w:r w:rsidRPr="00AF3ED2">
              <w:rPr>
                <w:rFonts w:ascii="Arial" w:hAnsi="Arial" w:cs="Arial"/>
                <w:sz w:val="20"/>
                <w:szCs w:val="20"/>
              </w:rPr>
              <w:t>74.1</w:t>
            </w:r>
          </w:p>
        </w:tc>
        <w:tc>
          <w:tcPr>
            <w:tcW w:w="222" w:type="dxa"/>
          </w:tcPr>
          <w:p w14:paraId="5160CCCB" w14:textId="77777777" w:rsidR="005B4C2A" w:rsidRPr="00AF3ED2" w:rsidRDefault="005B4C2A" w:rsidP="00D474E6">
            <w:pPr>
              <w:spacing w:before="40" w:after="40"/>
              <w:ind w:right="520"/>
              <w:jc w:val="right"/>
              <w:rPr>
                <w:rFonts w:ascii="Arial" w:hAnsi="Arial" w:cs="Arial"/>
                <w:sz w:val="20"/>
                <w:szCs w:val="20"/>
              </w:rPr>
            </w:pPr>
          </w:p>
        </w:tc>
        <w:tc>
          <w:tcPr>
            <w:tcW w:w="1751" w:type="dxa"/>
            <w:noWrap/>
            <w:vAlign w:val="bottom"/>
          </w:tcPr>
          <w:p w14:paraId="099D56B9" w14:textId="77777777" w:rsidR="005B4C2A" w:rsidRPr="00AF3ED2" w:rsidRDefault="005B4C2A" w:rsidP="00D474E6">
            <w:pPr>
              <w:spacing w:before="40" w:after="40"/>
              <w:ind w:right="520"/>
              <w:jc w:val="right"/>
              <w:rPr>
                <w:rFonts w:ascii="Arial" w:hAnsi="Arial" w:cs="Arial"/>
                <w:sz w:val="20"/>
                <w:szCs w:val="20"/>
              </w:rPr>
            </w:pPr>
            <w:r w:rsidRPr="00AF3ED2">
              <w:rPr>
                <w:rFonts w:ascii="Arial" w:hAnsi="Arial" w:cs="Arial"/>
                <w:sz w:val="20"/>
                <w:szCs w:val="20"/>
              </w:rPr>
              <w:t>16.1</w:t>
            </w:r>
          </w:p>
        </w:tc>
        <w:tc>
          <w:tcPr>
            <w:tcW w:w="1479" w:type="dxa"/>
            <w:noWrap/>
            <w:vAlign w:val="bottom"/>
          </w:tcPr>
          <w:p w14:paraId="7414BBEA" w14:textId="77777777" w:rsidR="005B4C2A" w:rsidRPr="00AF3ED2" w:rsidRDefault="005B4C2A" w:rsidP="00D474E6">
            <w:pPr>
              <w:spacing w:before="40" w:after="40"/>
              <w:ind w:right="322"/>
              <w:jc w:val="right"/>
              <w:rPr>
                <w:rFonts w:ascii="Arial" w:hAnsi="Arial" w:cs="Arial"/>
                <w:sz w:val="20"/>
                <w:szCs w:val="20"/>
              </w:rPr>
            </w:pPr>
            <w:r w:rsidRPr="00AF3ED2">
              <w:rPr>
                <w:rFonts w:ascii="Arial" w:hAnsi="Arial" w:cs="Arial"/>
                <w:sz w:val="20"/>
                <w:szCs w:val="20"/>
              </w:rPr>
              <w:t>14.3</w:t>
            </w:r>
          </w:p>
        </w:tc>
      </w:tr>
      <w:tr w:rsidR="005B4C2A" w:rsidRPr="00AF3ED2" w14:paraId="4A5E19DB" w14:textId="77777777" w:rsidTr="00D474E6">
        <w:trPr>
          <w:trHeight w:val="289"/>
          <w:jc w:val="center"/>
        </w:trPr>
        <w:tc>
          <w:tcPr>
            <w:tcW w:w="2180" w:type="dxa"/>
            <w:tcBorders>
              <w:bottom w:val="single" w:sz="4" w:space="0" w:color="auto"/>
            </w:tcBorders>
            <w:noWrap/>
            <w:vAlign w:val="center"/>
            <w:hideMark/>
          </w:tcPr>
          <w:p w14:paraId="12E5E622" w14:textId="77777777" w:rsidR="005B4C2A" w:rsidRPr="00AF3ED2" w:rsidRDefault="005B4C2A" w:rsidP="00D474E6">
            <w:pPr>
              <w:tabs>
                <w:tab w:val="left" w:pos="407"/>
              </w:tabs>
              <w:spacing w:before="40" w:after="40"/>
              <w:ind w:firstLine="182"/>
              <w:rPr>
                <w:rFonts w:ascii="Arial" w:hAnsi="Arial" w:cs="Arial"/>
                <w:sz w:val="20"/>
                <w:szCs w:val="20"/>
                <w:lang w:eastAsia="vi-VN"/>
              </w:rPr>
            </w:pPr>
            <w:r w:rsidRPr="00AF3ED2">
              <w:rPr>
                <w:rFonts w:ascii="Arial" w:hAnsi="Arial" w:cs="Arial"/>
                <w:sz w:val="20"/>
                <w:szCs w:val="20"/>
                <w:lang w:eastAsia="vi-VN"/>
              </w:rPr>
              <w:t>Airway</w:t>
            </w:r>
          </w:p>
        </w:tc>
        <w:tc>
          <w:tcPr>
            <w:tcW w:w="1787" w:type="dxa"/>
            <w:tcBorders>
              <w:bottom w:val="single" w:sz="4" w:space="0" w:color="auto"/>
            </w:tcBorders>
            <w:noWrap/>
            <w:vAlign w:val="bottom"/>
          </w:tcPr>
          <w:p w14:paraId="18BA57A8" w14:textId="77777777" w:rsidR="005B4C2A" w:rsidRPr="00AF3ED2" w:rsidRDefault="005B4C2A" w:rsidP="00D474E6">
            <w:pPr>
              <w:spacing w:before="40" w:after="40"/>
              <w:ind w:right="394"/>
              <w:jc w:val="right"/>
              <w:rPr>
                <w:rFonts w:ascii="Arial" w:hAnsi="Arial" w:cs="Arial"/>
                <w:sz w:val="20"/>
                <w:szCs w:val="20"/>
              </w:rPr>
            </w:pPr>
            <w:r w:rsidRPr="00AF3ED2">
              <w:rPr>
                <w:rFonts w:ascii="Arial" w:hAnsi="Arial" w:cs="Arial"/>
                <w:sz w:val="20"/>
                <w:szCs w:val="20"/>
              </w:rPr>
              <w:t>20.6</w:t>
            </w:r>
          </w:p>
        </w:tc>
        <w:tc>
          <w:tcPr>
            <w:tcW w:w="1848" w:type="dxa"/>
            <w:tcBorders>
              <w:bottom w:val="single" w:sz="4" w:space="0" w:color="auto"/>
            </w:tcBorders>
            <w:noWrap/>
            <w:vAlign w:val="bottom"/>
          </w:tcPr>
          <w:p w14:paraId="3FC18F70" w14:textId="77777777" w:rsidR="005B4C2A" w:rsidRPr="00AF3ED2" w:rsidRDefault="005B4C2A" w:rsidP="00D474E6">
            <w:pPr>
              <w:spacing w:before="40" w:after="40"/>
              <w:ind w:right="579"/>
              <w:jc w:val="right"/>
              <w:rPr>
                <w:rFonts w:ascii="Arial" w:hAnsi="Arial" w:cs="Arial"/>
                <w:sz w:val="20"/>
                <w:szCs w:val="20"/>
              </w:rPr>
            </w:pPr>
            <w:r w:rsidRPr="00AF3ED2">
              <w:rPr>
                <w:rFonts w:ascii="Arial" w:hAnsi="Arial" w:cs="Arial"/>
                <w:sz w:val="20"/>
                <w:szCs w:val="20"/>
              </w:rPr>
              <w:t>34.6</w:t>
            </w:r>
          </w:p>
        </w:tc>
        <w:tc>
          <w:tcPr>
            <w:tcW w:w="222" w:type="dxa"/>
            <w:tcBorders>
              <w:bottom w:val="single" w:sz="4" w:space="0" w:color="auto"/>
            </w:tcBorders>
          </w:tcPr>
          <w:p w14:paraId="7FA8997F" w14:textId="77777777" w:rsidR="005B4C2A" w:rsidRPr="00AF3ED2" w:rsidRDefault="005B4C2A" w:rsidP="00D474E6">
            <w:pPr>
              <w:spacing w:before="40" w:after="40"/>
              <w:ind w:right="520"/>
              <w:jc w:val="right"/>
              <w:rPr>
                <w:rFonts w:ascii="Arial" w:hAnsi="Arial" w:cs="Arial"/>
                <w:sz w:val="20"/>
                <w:szCs w:val="20"/>
              </w:rPr>
            </w:pPr>
          </w:p>
        </w:tc>
        <w:tc>
          <w:tcPr>
            <w:tcW w:w="1751" w:type="dxa"/>
            <w:tcBorders>
              <w:bottom w:val="single" w:sz="4" w:space="0" w:color="auto"/>
            </w:tcBorders>
            <w:noWrap/>
            <w:vAlign w:val="bottom"/>
          </w:tcPr>
          <w:p w14:paraId="021586DD" w14:textId="77777777" w:rsidR="005B4C2A" w:rsidRPr="00AF3ED2" w:rsidRDefault="005B4C2A" w:rsidP="00D474E6">
            <w:pPr>
              <w:spacing w:before="40" w:after="40"/>
              <w:ind w:right="520"/>
              <w:jc w:val="right"/>
              <w:rPr>
                <w:rFonts w:ascii="Arial" w:hAnsi="Arial" w:cs="Arial"/>
                <w:sz w:val="20"/>
                <w:szCs w:val="20"/>
              </w:rPr>
            </w:pPr>
            <w:r w:rsidRPr="00AF3ED2">
              <w:rPr>
                <w:rFonts w:ascii="Arial" w:hAnsi="Arial" w:cs="Arial"/>
                <w:sz w:val="20"/>
                <w:szCs w:val="20"/>
              </w:rPr>
              <w:t>11.3</w:t>
            </w:r>
          </w:p>
        </w:tc>
        <w:tc>
          <w:tcPr>
            <w:tcW w:w="1479" w:type="dxa"/>
            <w:tcBorders>
              <w:bottom w:val="single" w:sz="4" w:space="0" w:color="auto"/>
            </w:tcBorders>
            <w:noWrap/>
            <w:vAlign w:val="bottom"/>
          </w:tcPr>
          <w:p w14:paraId="0EE38B27" w14:textId="77777777" w:rsidR="005B4C2A" w:rsidRPr="00AF3ED2" w:rsidRDefault="005B4C2A" w:rsidP="00D474E6">
            <w:pPr>
              <w:spacing w:before="40" w:after="40"/>
              <w:ind w:right="322"/>
              <w:jc w:val="right"/>
              <w:rPr>
                <w:rFonts w:ascii="Arial" w:hAnsi="Arial" w:cs="Arial"/>
                <w:sz w:val="20"/>
                <w:szCs w:val="20"/>
              </w:rPr>
            </w:pPr>
            <w:r w:rsidRPr="00AF3ED2">
              <w:rPr>
                <w:rFonts w:ascii="Arial" w:hAnsi="Arial" w:cs="Arial"/>
                <w:sz w:val="20"/>
                <w:szCs w:val="20"/>
              </w:rPr>
              <w:t>9.7</w:t>
            </w:r>
          </w:p>
        </w:tc>
      </w:tr>
    </w:tbl>
    <w:p w14:paraId="1712CA5E" w14:textId="77777777" w:rsidR="005B4C2A" w:rsidRPr="00AF3ED2" w:rsidRDefault="005B4C2A" w:rsidP="005B4C2A">
      <w:pPr>
        <w:spacing w:before="40" w:after="40" w:line="288" w:lineRule="auto"/>
        <w:ind w:firstLine="567"/>
        <w:jc w:val="both"/>
        <w:rPr>
          <w:bCs/>
          <w:i/>
          <w:iCs/>
          <w:spacing w:val="-2"/>
          <w:sz w:val="6"/>
        </w:rPr>
      </w:pPr>
    </w:p>
    <w:p w14:paraId="46EA2987" w14:textId="77777777" w:rsidR="005B4C2A" w:rsidRPr="00AF3ED2" w:rsidRDefault="005B4C2A" w:rsidP="005B4C2A">
      <w:pPr>
        <w:spacing w:before="40" w:after="120" w:line="264" w:lineRule="auto"/>
        <w:ind w:firstLine="720"/>
        <w:jc w:val="both"/>
      </w:pPr>
      <w:r w:rsidRPr="00AF3ED2">
        <w:rPr>
          <w:i/>
        </w:rPr>
        <w:t xml:space="preserve">Freight transported </w:t>
      </w:r>
      <w:r w:rsidRPr="00AF3ED2">
        <w:t xml:space="preserve">in April 2026 was estimated at </w:t>
      </w:r>
      <w:r w:rsidRPr="00AF3ED2">
        <w:rPr>
          <w:iCs/>
          <w:spacing w:val="-4"/>
        </w:rPr>
        <w:t xml:space="preserve">274.2 </w:t>
      </w:r>
      <w:r w:rsidRPr="00AF3ED2">
        <w:t xml:space="preserve">million tons, </w:t>
      </w:r>
      <w:r w:rsidRPr="00AF3ED2">
        <w:rPr>
          <w:bCs/>
        </w:rPr>
        <w:t>month-on-month increase of</w:t>
      </w:r>
      <w:r w:rsidRPr="00AF3ED2">
        <w:t xml:space="preserve"> </w:t>
      </w:r>
      <w:r w:rsidRPr="00AF3ED2">
        <w:rPr>
          <w:iCs/>
          <w:spacing w:val="-4"/>
        </w:rPr>
        <w:t>1.4</w:t>
      </w:r>
      <w:r w:rsidRPr="00AF3ED2">
        <w:t xml:space="preserve">% and freight transported (ton-kilometers) reached </w:t>
      </w:r>
      <w:r w:rsidRPr="00AF3ED2">
        <w:rPr>
          <w:iCs/>
          <w:spacing w:val="-4"/>
        </w:rPr>
        <w:t xml:space="preserve">53.3 </w:t>
      </w:r>
      <w:r w:rsidRPr="00AF3ED2">
        <w:t xml:space="preserve">billion ton-kilometer, </w:t>
      </w:r>
      <w:r w:rsidRPr="00AF3ED2">
        <w:rPr>
          <w:bCs/>
        </w:rPr>
        <w:t>a month-on-month upturn of</w:t>
      </w:r>
      <w:r w:rsidRPr="00AF3ED2">
        <w:t xml:space="preserve"> </w:t>
      </w:r>
      <w:r w:rsidRPr="00AF3ED2">
        <w:rPr>
          <w:iCs/>
          <w:spacing w:val="-4"/>
        </w:rPr>
        <w:t>2.3</w:t>
      </w:r>
      <w:r w:rsidRPr="00AF3ED2">
        <w:t xml:space="preserve">%. Overall, in four months of 2026, freight transported was estimated at </w:t>
      </w:r>
      <w:r w:rsidRPr="00AF3ED2">
        <w:rPr>
          <w:iCs/>
          <w:spacing w:val="-4"/>
        </w:rPr>
        <w:t xml:space="preserve">1,082.9 </w:t>
      </w:r>
      <w:r w:rsidRPr="00AF3ED2">
        <w:t xml:space="preserve">million tons, </w:t>
      </w:r>
      <w:r w:rsidRPr="00AF3ED2">
        <w:rPr>
          <w:bCs/>
        </w:rPr>
        <w:t>a year-on-year increase of</w:t>
      </w:r>
      <w:r w:rsidRPr="00AF3ED2">
        <w:t xml:space="preserve"> </w:t>
      </w:r>
      <w:r w:rsidRPr="00AF3ED2">
        <w:rPr>
          <w:iCs/>
          <w:spacing w:val="-4"/>
        </w:rPr>
        <w:t>14.2</w:t>
      </w:r>
      <w:r w:rsidRPr="00AF3ED2">
        <w:t xml:space="preserve">% and freight transported (ton-kilometers) reached </w:t>
      </w:r>
      <w:r w:rsidRPr="00AF3ED2">
        <w:rPr>
          <w:iCs/>
          <w:spacing w:val="-4"/>
        </w:rPr>
        <w:t xml:space="preserve">208.2 </w:t>
      </w:r>
      <w:r w:rsidRPr="00AF3ED2">
        <w:t xml:space="preserve">billion ton-kilometer, </w:t>
      </w:r>
      <w:r w:rsidRPr="00AF3ED2">
        <w:rPr>
          <w:bCs/>
        </w:rPr>
        <w:t xml:space="preserve">a </w:t>
      </w:r>
      <w:r w:rsidRPr="00AF3ED2">
        <w:rPr>
          <w:bCs/>
          <w:iCs/>
        </w:rPr>
        <w:t>year-on-year</w:t>
      </w:r>
      <w:r w:rsidRPr="00AF3ED2">
        <w:rPr>
          <w:bCs/>
        </w:rPr>
        <w:t xml:space="preserve"> increase of</w:t>
      </w:r>
      <w:r w:rsidRPr="00AF3ED2">
        <w:t xml:space="preserve"> </w:t>
      </w:r>
      <w:r w:rsidRPr="00AF3ED2">
        <w:rPr>
          <w:iCs/>
          <w:spacing w:val="-4"/>
        </w:rPr>
        <w:t>10.2</w:t>
      </w:r>
      <w:r w:rsidRPr="00AF3ED2">
        <w:t xml:space="preserve">%. Of which, domestic </w:t>
      </w:r>
      <w:r w:rsidRPr="00AF3ED2">
        <w:rPr>
          <w:bCs/>
        </w:rPr>
        <w:t>freight</w:t>
      </w:r>
      <w:r w:rsidRPr="00AF3ED2">
        <w:t xml:space="preserve"> transported was estimated at </w:t>
      </w:r>
      <w:r w:rsidRPr="00AF3ED2">
        <w:rPr>
          <w:iCs/>
          <w:spacing w:val="-4"/>
        </w:rPr>
        <w:t xml:space="preserve">1,063.4 </w:t>
      </w:r>
      <w:r w:rsidRPr="00AF3ED2">
        <w:t xml:space="preserve">million tons, </w:t>
      </w:r>
      <w:r w:rsidRPr="00AF3ED2">
        <w:rPr>
          <w:bCs/>
        </w:rPr>
        <w:t>an upturn of</w:t>
      </w:r>
      <w:r w:rsidRPr="00AF3ED2">
        <w:t xml:space="preserve"> </w:t>
      </w:r>
      <w:r w:rsidRPr="00AF3ED2">
        <w:rPr>
          <w:iCs/>
          <w:spacing w:val="-4"/>
        </w:rPr>
        <w:t>14.2</w:t>
      </w:r>
      <w:r w:rsidRPr="00AF3ED2">
        <w:t xml:space="preserve">%, domestic freight transported (ton-kilometers) </w:t>
      </w:r>
      <w:r w:rsidRPr="00AF3ED2">
        <w:rPr>
          <w:bCs/>
        </w:rPr>
        <w:t>reached</w:t>
      </w:r>
      <w:r w:rsidRPr="00AF3ED2">
        <w:t xml:space="preserve"> </w:t>
      </w:r>
      <w:r w:rsidRPr="00AF3ED2">
        <w:rPr>
          <w:iCs/>
          <w:spacing w:val="-4"/>
        </w:rPr>
        <w:t xml:space="preserve">121.3 </w:t>
      </w:r>
      <w:r w:rsidRPr="00AF3ED2">
        <w:t xml:space="preserve">billion ton-kilometer, up by </w:t>
      </w:r>
      <w:r w:rsidRPr="00AF3ED2">
        <w:rPr>
          <w:iCs/>
          <w:spacing w:val="-4"/>
        </w:rPr>
        <w:t>10.7</w:t>
      </w:r>
      <w:r w:rsidRPr="00AF3ED2">
        <w:t xml:space="preserve">%; </w:t>
      </w:r>
      <w:r w:rsidRPr="00AF3ED2">
        <w:rPr>
          <w:bCs/>
        </w:rPr>
        <w:t>overseas</w:t>
      </w:r>
      <w:r w:rsidRPr="00AF3ED2">
        <w:t xml:space="preserve"> </w:t>
      </w:r>
      <w:r w:rsidRPr="00AF3ED2">
        <w:rPr>
          <w:bCs/>
        </w:rPr>
        <w:t>freight</w:t>
      </w:r>
      <w:r w:rsidRPr="00AF3ED2">
        <w:t xml:space="preserve"> transported was estimated at </w:t>
      </w:r>
      <w:r w:rsidRPr="00AF3ED2">
        <w:rPr>
          <w:iCs/>
          <w:spacing w:val="-4"/>
        </w:rPr>
        <w:t xml:space="preserve">19.5 </w:t>
      </w:r>
      <w:r w:rsidRPr="00AF3ED2">
        <w:t xml:space="preserve">million tons, increasing by </w:t>
      </w:r>
      <w:r w:rsidRPr="00AF3ED2">
        <w:rPr>
          <w:iCs/>
          <w:spacing w:val="-4"/>
        </w:rPr>
        <w:t>14.7</w:t>
      </w:r>
      <w:r w:rsidRPr="00AF3ED2">
        <w:t xml:space="preserve">%, and overseas </w:t>
      </w:r>
      <w:r w:rsidRPr="00AF3ED2">
        <w:rPr>
          <w:bCs/>
        </w:rPr>
        <w:t>freight</w:t>
      </w:r>
      <w:r w:rsidRPr="00AF3ED2">
        <w:t xml:space="preserve"> transported (ton-kilometers) was </w:t>
      </w:r>
      <w:r w:rsidRPr="00AF3ED2">
        <w:rPr>
          <w:iCs/>
          <w:spacing w:val="-4"/>
        </w:rPr>
        <w:t xml:space="preserve">86.9 </w:t>
      </w:r>
      <w:r w:rsidRPr="00AF3ED2">
        <w:t xml:space="preserve">billion ton-kilometer, up </w:t>
      </w:r>
      <w:r w:rsidRPr="00AF3ED2">
        <w:rPr>
          <w:iCs/>
          <w:spacing w:val="-4"/>
        </w:rPr>
        <w:t>9.3</w:t>
      </w:r>
      <w:r w:rsidRPr="00AF3ED2">
        <w:t>%.</w:t>
      </w:r>
    </w:p>
    <w:p w14:paraId="2047EE6C" w14:textId="77777777" w:rsidR="005B4C2A" w:rsidRPr="00AF3ED2" w:rsidRDefault="005B4C2A" w:rsidP="005B4C2A">
      <w:pPr>
        <w:spacing w:before="120" w:after="120"/>
        <w:jc w:val="center"/>
        <w:rPr>
          <w:rFonts w:ascii="Arial" w:hAnsi="Arial" w:cs="Arial"/>
          <w:b/>
          <w:bCs/>
          <w:spacing w:val="-6"/>
          <w:sz w:val="24"/>
          <w:szCs w:val="24"/>
        </w:rPr>
      </w:pPr>
      <w:r w:rsidRPr="00AF3ED2">
        <w:rPr>
          <w:rFonts w:ascii="Arial" w:hAnsi="Arial" w:cs="Arial"/>
          <w:b/>
          <w:spacing w:val="-6"/>
          <w:sz w:val="24"/>
          <w:szCs w:val="24"/>
        </w:rPr>
        <w:t xml:space="preserve">Table 7. </w:t>
      </w:r>
      <w:r w:rsidRPr="00AF3ED2">
        <w:rPr>
          <w:rFonts w:ascii="Arial" w:hAnsi="Arial" w:cs="Arial"/>
          <w:b/>
          <w:bCs/>
          <w:iCs/>
          <w:spacing w:val="-6"/>
          <w:sz w:val="24"/>
          <w:szCs w:val="24"/>
        </w:rPr>
        <w:t>Freight transported in four months of</w:t>
      </w:r>
      <w:r w:rsidRPr="00AF3ED2">
        <w:rPr>
          <w:rFonts w:ascii="Arial" w:hAnsi="Arial" w:cs="Arial"/>
          <w:b/>
          <w:bCs/>
          <w:spacing w:val="-6"/>
          <w:sz w:val="24"/>
          <w:szCs w:val="24"/>
        </w:rPr>
        <w:t xml:space="preserve"> 2026 </w:t>
      </w:r>
      <w:r w:rsidRPr="00AF3ED2">
        <w:rPr>
          <w:rFonts w:ascii="Arial" w:hAnsi="Arial" w:cs="Arial"/>
          <w:b/>
          <w:bCs/>
          <w:iCs/>
          <w:spacing w:val="-6"/>
          <w:sz w:val="24"/>
          <w:szCs w:val="24"/>
        </w:rPr>
        <w:t>by type of transport</w:t>
      </w:r>
    </w:p>
    <w:tbl>
      <w:tblPr>
        <w:tblW w:w="9059" w:type="dxa"/>
        <w:jc w:val="center"/>
        <w:tblLook w:val="04A0" w:firstRow="1" w:lastRow="0" w:firstColumn="1" w:lastColumn="0" w:noHBand="0" w:noVBand="1"/>
      </w:tblPr>
      <w:tblGrid>
        <w:gridCol w:w="2127"/>
        <w:gridCol w:w="1723"/>
        <w:gridCol w:w="1788"/>
        <w:gridCol w:w="301"/>
        <w:gridCol w:w="1690"/>
        <w:gridCol w:w="1430"/>
      </w:tblGrid>
      <w:tr w:rsidR="005B4C2A" w:rsidRPr="00AF3ED2" w14:paraId="1370BED9" w14:textId="77777777" w:rsidTr="00D474E6">
        <w:trPr>
          <w:trHeight w:val="510"/>
          <w:jc w:val="center"/>
        </w:trPr>
        <w:tc>
          <w:tcPr>
            <w:tcW w:w="2127" w:type="dxa"/>
            <w:tcBorders>
              <w:top w:val="single" w:sz="4" w:space="0" w:color="auto"/>
            </w:tcBorders>
            <w:vAlign w:val="center"/>
            <w:hideMark/>
          </w:tcPr>
          <w:p w14:paraId="02925890" w14:textId="77777777" w:rsidR="005B4C2A" w:rsidRPr="00AF3ED2" w:rsidRDefault="005B4C2A" w:rsidP="00D474E6">
            <w:pPr>
              <w:jc w:val="center"/>
              <w:rPr>
                <w:rFonts w:ascii="Arial" w:hAnsi="Arial" w:cs="Arial"/>
                <w:sz w:val="20"/>
                <w:szCs w:val="20"/>
                <w:lang w:eastAsia="vi-VN"/>
              </w:rPr>
            </w:pPr>
          </w:p>
        </w:tc>
        <w:tc>
          <w:tcPr>
            <w:tcW w:w="3511" w:type="dxa"/>
            <w:gridSpan w:val="2"/>
            <w:tcBorders>
              <w:top w:val="single" w:sz="4" w:space="0" w:color="auto"/>
              <w:bottom w:val="single" w:sz="4" w:space="0" w:color="auto"/>
            </w:tcBorders>
            <w:vAlign w:val="center"/>
            <w:hideMark/>
          </w:tcPr>
          <w:p w14:paraId="435C500C"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rPr>
              <w:t>Volume of freight</w:t>
            </w:r>
          </w:p>
        </w:tc>
        <w:tc>
          <w:tcPr>
            <w:tcW w:w="301" w:type="dxa"/>
            <w:tcBorders>
              <w:top w:val="single" w:sz="4" w:space="0" w:color="auto"/>
            </w:tcBorders>
          </w:tcPr>
          <w:p w14:paraId="4777BDFE" w14:textId="77777777" w:rsidR="005B4C2A" w:rsidRPr="00AF3ED2" w:rsidRDefault="005B4C2A" w:rsidP="00D474E6">
            <w:pPr>
              <w:jc w:val="center"/>
              <w:rPr>
                <w:rFonts w:ascii="Arial" w:hAnsi="Arial" w:cs="Arial"/>
                <w:sz w:val="20"/>
                <w:szCs w:val="20"/>
                <w:lang w:eastAsia="vi-VN"/>
              </w:rPr>
            </w:pPr>
          </w:p>
        </w:tc>
        <w:tc>
          <w:tcPr>
            <w:tcW w:w="3120" w:type="dxa"/>
            <w:gridSpan w:val="2"/>
            <w:tcBorders>
              <w:top w:val="single" w:sz="4" w:space="0" w:color="auto"/>
              <w:bottom w:val="single" w:sz="4" w:space="0" w:color="auto"/>
            </w:tcBorders>
            <w:vAlign w:val="center"/>
            <w:hideMark/>
          </w:tcPr>
          <w:p w14:paraId="57C09DC0"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rPr>
              <w:t>Year-on-year growth rate</w:t>
            </w:r>
            <w:r w:rsidRPr="00AF3ED2">
              <w:rPr>
                <w:rFonts w:ascii="Arial" w:hAnsi="Arial" w:cs="Arial"/>
                <w:sz w:val="20"/>
                <w:szCs w:val="20"/>
                <w:lang w:eastAsia="vi-VN"/>
              </w:rPr>
              <w:t xml:space="preserve"> (%)</w:t>
            </w:r>
          </w:p>
        </w:tc>
      </w:tr>
      <w:tr w:rsidR="005B4C2A" w:rsidRPr="00AF3ED2" w14:paraId="49308928" w14:textId="77777777" w:rsidTr="00D474E6">
        <w:trPr>
          <w:trHeight w:val="569"/>
          <w:jc w:val="center"/>
        </w:trPr>
        <w:tc>
          <w:tcPr>
            <w:tcW w:w="2127" w:type="dxa"/>
            <w:vAlign w:val="center"/>
            <w:hideMark/>
          </w:tcPr>
          <w:p w14:paraId="6756341E" w14:textId="77777777" w:rsidR="005B4C2A" w:rsidRPr="00AF3ED2" w:rsidRDefault="005B4C2A" w:rsidP="00D474E6">
            <w:pPr>
              <w:jc w:val="center"/>
              <w:rPr>
                <w:rFonts w:ascii="Arial" w:hAnsi="Arial" w:cs="Arial"/>
                <w:sz w:val="20"/>
                <w:szCs w:val="20"/>
                <w:lang w:eastAsia="vi-VN"/>
              </w:rPr>
            </w:pPr>
          </w:p>
        </w:tc>
        <w:tc>
          <w:tcPr>
            <w:tcW w:w="1723" w:type="dxa"/>
            <w:tcBorders>
              <w:top w:val="single" w:sz="4" w:space="0" w:color="auto"/>
              <w:bottom w:val="single" w:sz="4" w:space="0" w:color="auto"/>
            </w:tcBorders>
            <w:vAlign w:val="center"/>
            <w:hideMark/>
          </w:tcPr>
          <w:p w14:paraId="711A3FF5"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Transported</w:t>
            </w:r>
            <w:r w:rsidRPr="00AF3ED2">
              <w:rPr>
                <w:rFonts w:ascii="Arial" w:hAnsi="Arial" w:cs="Arial"/>
                <w:sz w:val="20"/>
                <w:szCs w:val="20"/>
                <w:lang w:eastAsia="vi-VN"/>
              </w:rPr>
              <w:br/>
            </w:r>
            <w:r w:rsidRPr="00AF3ED2">
              <w:rPr>
                <w:rFonts w:ascii="Arial" w:hAnsi="Arial" w:cs="Arial"/>
                <w:sz w:val="20"/>
                <w:szCs w:val="20"/>
              </w:rPr>
              <w:t>(Mill. tons)</w:t>
            </w:r>
          </w:p>
        </w:tc>
        <w:tc>
          <w:tcPr>
            <w:tcW w:w="1788" w:type="dxa"/>
            <w:tcBorders>
              <w:top w:val="single" w:sz="4" w:space="0" w:color="auto"/>
              <w:bottom w:val="single" w:sz="4" w:space="0" w:color="auto"/>
            </w:tcBorders>
            <w:vAlign w:val="center"/>
            <w:hideMark/>
          </w:tcPr>
          <w:p w14:paraId="17148AC6"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 xml:space="preserve">Transported </w:t>
            </w:r>
            <w:r w:rsidRPr="00AF3ED2">
              <w:rPr>
                <w:rFonts w:ascii="Arial" w:hAnsi="Arial" w:cs="Arial"/>
                <w:sz w:val="20"/>
                <w:szCs w:val="20"/>
                <w:lang w:eastAsia="vi-VN"/>
              </w:rPr>
              <w:br/>
              <w:t xml:space="preserve">(ton-kilometers) </w:t>
            </w:r>
            <w:r w:rsidRPr="00AF3ED2">
              <w:rPr>
                <w:rFonts w:ascii="Arial" w:hAnsi="Arial" w:cs="Arial"/>
                <w:sz w:val="20"/>
                <w:szCs w:val="20"/>
                <w:lang w:eastAsia="vi-VN"/>
              </w:rPr>
              <w:br/>
            </w:r>
            <w:r w:rsidRPr="00AF3ED2">
              <w:rPr>
                <w:rFonts w:ascii="Arial" w:hAnsi="Arial" w:cs="Arial"/>
                <w:sz w:val="20"/>
                <w:szCs w:val="20"/>
              </w:rPr>
              <w:t>(Bill. ton-km)</w:t>
            </w:r>
          </w:p>
        </w:tc>
        <w:tc>
          <w:tcPr>
            <w:tcW w:w="301" w:type="dxa"/>
          </w:tcPr>
          <w:p w14:paraId="0A1C8FA5" w14:textId="77777777" w:rsidR="005B4C2A" w:rsidRPr="00AF3ED2" w:rsidRDefault="005B4C2A" w:rsidP="00D474E6">
            <w:pPr>
              <w:jc w:val="center"/>
              <w:rPr>
                <w:rFonts w:ascii="Arial" w:hAnsi="Arial" w:cs="Arial"/>
                <w:sz w:val="20"/>
                <w:szCs w:val="20"/>
                <w:lang w:eastAsia="vi-VN"/>
              </w:rPr>
            </w:pPr>
          </w:p>
        </w:tc>
        <w:tc>
          <w:tcPr>
            <w:tcW w:w="1690" w:type="dxa"/>
            <w:tcBorders>
              <w:top w:val="single" w:sz="4" w:space="0" w:color="auto"/>
              <w:bottom w:val="single" w:sz="4" w:space="0" w:color="auto"/>
            </w:tcBorders>
            <w:vAlign w:val="center"/>
            <w:hideMark/>
          </w:tcPr>
          <w:p w14:paraId="04BF6BE3"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Transported</w:t>
            </w:r>
          </w:p>
        </w:tc>
        <w:tc>
          <w:tcPr>
            <w:tcW w:w="1430" w:type="dxa"/>
            <w:tcBorders>
              <w:top w:val="single" w:sz="4" w:space="0" w:color="auto"/>
              <w:bottom w:val="single" w:sz="4" w:space="0" w:color="auto"/>
            </w:tcBorders>
            <w:vAlign w:val="center"/>
            <w:hideMark/>
          </w:tcPr>
          <w:p w14:paraId="3E9A86C2" w14:textId="77777777" w:rsidR="005B4C2A" w:rsidRPr="00AF3ED2" w:rsidRDefault="005B4C2A" w:rsidP="00D474E6">
            <w:pPr>
              <w:jc w:val="center"/>
              <w:rPr>
                <w:rFonts w:ascii="Arial" w:hAnsi="Arial" w:cs="Arial"/>
                <w:sz w:val="20"/>
                <w:szCs w:val="20"/>
                <w:lang w:eastAsia="vi-VN"/>
              </w:rPr>
            </w:pPr>
            <w:r w:rsidRPr="00AF3ED2">
              <w:rPr>
                <w:rFonts w:ascii="Arial" w:hAnsi="Arial" w:cs="Arial"/>
                <w:sz w:val="20"/>
                <w:szCs w:val="20"/>
                <w:lang w:eastAsia="vi-VN"/>
              </w:rPr>
              <w:t>Transported (ton-kilometers)</w:t>
            </w:r>
          </w:p>
        </w:tc>
      </w:tr>
      <w:tr w:rsidR="005B4C2A" w:rsidRPr="00AF3ED2" w14:paraId="570625A9" w14:textId="77777777" w:rsidTr="00D474E6">
        <w:trPr>
          <w:trHeight w:val="355"/>
          <w:jc w:val="center"/>
        </w:trPr>
        <w:tc>
          <w:tcPr>
            <w:tcW w:w="2127" w:type="dxa"/>
            <w:noWrap/>
            <w:vAlign w:val="center"/>
            <w:hideMark/>
          </w:tcPr>
          <w:p w14:paraId="660AA4B6" w14:textId="77777777" w:rsidR="005B4C2A" w:rsidRPr="00AF3ED2" w:rsidRDefault="005B4C2A" w:rsidP="00D474E6">
            <w:pPr>
              <w:rPr>
                <w:rFonts w:ascii="Arial" w:hAnsi="Arial" w:cs="Arial"/>
                <w:b/>
                <w:bCs/>
                <w:sz w:val="20"/>
                <w:szCs w:val="20"/>
                <w:lang w:eastAsia="vi-VN"/>
              </w:rPr>
            </w:pPr>
            <w:r w:rsidRPr="00AF3ED2">
              <w:rPr>
                <w:rFonts w:ascii="Arial" w:hAnsi="Arial" w:cs="Arial"/>
                <w:b/>
                <w:bCs/>
                <w:sz w:val="20"/>
                <w:szCs w:val="20"/>
                <w:lang w:eastAsia="vi-VN"/>
              </w:rPr>
              <w:t>Total</w:t>
            </w:r>
          </w:p>
        </w:tc>
        <w:tc>
          <w:tcPr>
            <w:tcW w:w="1723" w:type="dxa"/>
            <w:tcBorders>
              <w:top w:val="single" w:sz="4" w:space="0" w:color="auto"/>
            </w:tcBorders>
            <w:noWrap/>
            <w:vAlign w:val="bottom"/>
          </w:tcPr>
          <w:p w14:paraId="415DCA83" w14:textId="77777777" w:rsidR="005B4C2A" w:rsidRPr="00AF3ED2" w:rsidRDefault="005B4C2A" w:rsidP="00D474E6">
            <w:pPr>
              <w:ind w:right="484"/>
              <w:jc w:val="right"/>
              <w:rPr>
                <w:rFonts w:ascii="Arial" w:hAnsi="Arial" w:cs="Arial"/>
                <w:b/>
                <w:bCs/>
                <w:sz w:val="20"/>
                <w:szCs w:val="20"/>
              </w:rPr>
            </w:pPr>
            <w:r w:rsidRPr="00AF3ED2">
              <w:rPr>
                <w:rFonts w:ascii="Arial" w:hAnsi="Arial" w:cs="Arial"/>
                <w:b/>
                <w:bCs/>
                <w:sz w:val="20"/>
                <w:szCs w:val="20"/>
              </w:rPr>
              <w:t>1,082.9</w:t>
            </w:r>
          </w:p>
        </w:tc>
        <w:tc>
          <w:tcPr>
            <w:tcW w:w="1788" w:type="dxa"/>
            <w:tcBorders>
              <w:top w:val="single" w:sz="4" w:space="0" w:color="auto"/>
            </w:tcBorders>
            <w:noWrap/>
            <w:vAlign w:val="bottom"/>
          </w:tcPr>
          <w:p w14:paraId="462EC8C0" w14:textId="77777777" w:rsidR="005B4C2A" w:rsidRPr="00AF3ED2" w:rsidRDefault="005B4C2A" w:rsidP="00D474E6">
            <w:pPr>
              <w:ind w:right="484"/>
              <w:jc w:val="right"/>
              <w:rPr>
                <w:rFonts w:ascii="Arial" w:hAnsi="Arial" w:cs="Arial"/>
                <w:b/>
                <w:bCs/>
                <w:sz w:val="20"/>
                <w:szCs w:val="20"/>
              </w:rPr>
            </w:pPr>
            <w:r w:rsidRPr="00AF3ED2">
              <w:rPr>
                <w:rFonts w:ascii="Arial" w:hAnsi="Arial" w:cs="Arial"/>
                <w:b/>
                <w:bCs/>
                <w:sz w:val="20"/>
                <w:szCs w:val="20"/>
              </w:rPr>
              <w:t>208.2</w:t>
            </w:r>
          </w:p>
        </w:tc>
        <w:tc>
          <w:tcPr>
            <w:tcW w:w="301" w:type="dxa"/>
          </w:tcPr>
          <w:p w14:paraId="0BD83A55" w14:textId="77777777" w:rsidR="005B4C2A" w:rsidRPr="00AF3ED2" w:rsidRDefault="005B4C2A" w:rsidP="00D474E6">
            <w:pPr>
              <w:ind w:right="484"/>
              <w:jc w:val="right"/>
              <w:rPr>
                <w:rFonts w:ascii="Arial" w:hAnsi="Arial" w:cs="Arial"/>
                <w:b/>
                <w:bCs/>
                <w:sz w:val="20"/>
                <w:szCs w:val="20"/>
              </w:rPr>
            </w:pPr>
          </w:p>
        </w:tc>
        <w:tc>
          <w:tcPr>
            <w:tcW w:w="1690" w:type="dxa"/>
            <w:tcBorders>
              <w:top w:val="single" w:sz="4" w:space="0" w:color="auto"/>
            </w:tcBorders>
            <w:noWrap/>
            <w:vAlign w:val="bottom"/>
          </w:tcPr>
          <w:p w14:paraId="0142746C" w14:textId="77777777" w:rsidR="005B4C2A" w:rsidRPr="00AF3ED2" w:rsidRDefault="005B4C2A" w:rsidP="00D474E6">
            <w:pPr>
              <w:ind w:right="484"/>
              <w:jc w:val="right"/>
              <w:rPr>
                <w:rFonts w:ascii="Arial" w:hAnsi="Arial" w:cs="Arial"/>
                <w:b/>
                <w:bCs/>
                <w:sz w:val="20"/>
                <w:szCs w:val="20"/>
              </w:rPr>
            </w:pPr>
            <w:r w:rsidRPr="00AF3ED2">
              <w:rPr>
                <w:rFonts w:ascii="Arial" w:hAnsi="Arial" w:cs="Arial"/>
                <w:b/>
                <w:bCs/>
                <w:sz w:val="20"/>
                <w:szCs w:val="20"/>
              </w:rPr>
              <w:t>14.2</w:t>
            </w:r>
          </w:p>
        </w:tc>
        <w:tc>
          <w:tcPr>
            <w:tcW w:w="1430" w:type="dxa"/>
            <w:tcBorders>
              <w:top w:val="single" w:sz="4" w:space="0" w:color="auto"/>
            </w:tcBorders>
            <w:noWrap/>
            <w:vAlign w:val="bottom"/>
          </w:tcPr>
          <w:p w14:paraId="6D7906C8" w14:textId="77777777" w:rsidR="005B4C2A" w:rsidRPr="00AF3ED2" w:rsidRDefault="005B4C2A" w:rsidP="00D474E6">
            <w:pPr>
              <w:ind w:right="484"/>
              <w:jc w:val="right"/>
              <w:rPr>
                <w:rFonts w:ascii="Arial" w:hAnsi="Arial" w:cs="Arial"/>
                <w:b/>
                <w:bCs/>
                <w:sz w:val="20"/>
                <w:szCs w:val="20"/>
              </w:rPr>
            </w:pPr>
            <w:r w:rsidRPr="00AF3ED2">
              <w:rPr>
                <w:rFonts w:ascii="Arial" w:hAnsi="Arial" w:cs="Arial"/>
                <w:b/>
                <w:bCs/>
                <w:sz w:val="20"/>
                <w:szCs w:val="20"/>
              </w:rPr>
              <w:t>10.2</w:t>
            </w:r>
          </w:p>
        </w:tc>
      </w:tr>
      <w:tr w:rsidR="005B4C2A" w:rsidRPr="00AF3ED2" w14:paraId="6204CA9F" w14:textId="77777777" w:rsidTr="00D474E6">
        <w:trPr>
          <w:trHeight w:val="298"/>
          <w:jc w:val="center"/>
        </w:trPr>
        <w:tc>
          <w:tcPr>
            <w:tcW w:w="2127" w:type="dxa"/>
            <w:noWrap/>
            <w:vAlign w:val="center"/>
            <w:hideMark/>
          </w:tcPr>
          <w:p w14:paraId="21DFA547" w14:textId="77777777" w:rsidR="005B4C2A" w:rsidRPr="00AF3ED2" w:rsidRDefault="005B4C2A" w:rsidP="00D474E6">
            <w:pPr>
              <w:tabs>
                <w:tab w:val="left" w:pos="407"/>
              </w:tabs>
              <w:ind w:firstLine="182"/>
              <w:rPr>
                <w:rFonts w:ascii="Arial" w:hAnsi="Arial" w:cs="Arial"/>
                <w:sz w:val="20"/>
                <w:szCs w:val="20"/>
                <w:lang w:eastAsia="vi-VN"/>
              </w:rPr>
            </w:pPr>
            <w:r w:rsidRPr="00AF3ED2">
              <w:rPr>
                <w:rFonts w:ascii="Arial" w:hAnsi="Arial" w:cs="Arial"/>
                <w:sz w:val="20"/>
                <w:szCs w:val="20"/>
                <w:lang w:eastAsia="vi-VN"/>
              </w:rPr>
              <w:t>Rail way</w:t>
            </w:r>
          </w:p>
        </w:tc>
        <w:tc>
          <w:tcPr>
            <w:tcW w:w="1723" w:type="dxa"/>
            <w:noWrap/>
            <w:vAlign w:val="bottom"/>
          </w:tcPr>
          <w:p w14:paraId="1BD46951"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1.6</w:t>
            </w:r>
          </w:p>
        </w:tc>
        <w:tc>
          <w:tcPr>
            <w:tcW w:w="1788" w:type="dxa"/>
            <w:noWrap/>
            <w:vAlign w:val="bottom"/>
          </w:tcPr>
          <w:p w14:paraId="3ED8F7B5"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1.3</w:t>
            </w:r>
          </w:p>
        </w:tc>
        <w:tc>
          <w:tcPr>
            <w:tcW w:w="301" w:type="dxa"/>
          </w:tcPr>
          <w:p w14:paraId="24A3A5D6" w14:textId="77777777" w:rsidR="005B4C2A" w:rsidRPr="00AF3ED2" w:rsidRDefault="005B4C2A" w:rsidP="00D474E6">
            <w:pPr>
              <w:ind w:right="484"/>
              <w:jc w:val="right"/>
              <w:rPr>
                <w:rFonts w:ascii="Arial" w:hAnsi="Arial" w:cs="Arial"/>
                <w:sz w:val="20"/>
                <w:szCs w:val="20"/>
              </w:rPr>
            </w:pPr>
          </w:p>
        </w:tc>
        <w:tc>
          <w:tcPr>
            <w:tcW w:w="1690" w:type="dxa"/>
            <w:noWrap/>
            <w:vAlign w:val="bottom"/>
          </w:tcPr>
          <w:p w14:paraId="351DB65E"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-6.8</w:t>
            </w:r>
          </w:p>
        </w:tc>
        <w:tc>
          <w:tcPr>
            <w:tcW w:w="1430" w:type="dxa"/>
            <w:noWrap/>
            <w:vAlign w:val="bottom"/>
          </w:tcPr>
          <w:p w14:paraId="4FEA13C2"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1.6</w:t>
            </w:r>
          </w:p>
        </w:tc>
      </w:tr>
      <w:tr w:rsidR="005B4C2A" w:rsidRPr="00AF3ED2" w14:paraId="0691FE7E" w14:textId="77777777" w:rsidTr="00D474E6">
        <w:trPr>
          <w:trHeight w:val="298"/>
          <w:jc w:val="center"/>
        </w:trPr>
        <w:tc>
          <w:tcPr>
            <w:tcW w:w="2127" w:type="dxa"/>
            <w:noWrap/>
            <w:vAlign w:val="center"/>
            <w:hideMark/>
          </w:tcPr>
          <w:p w14:paraId="6CDE2B19" w14:textId="77777777" w:rsidR="005B4C2A" w:rsidRPr="00AF3ED2" w:rsidRDefault="005B4C2A" w:rsidP="00D474E6">
            <w:pPr>
              <w:tabs>
                <w:tab w:val="left" w:pos="407"/>
              </w:tabs>
              <w:ind w:firstLine="182"/>
              <w:rPr>
                <w:rFonts w:ascii="Arial" w:hAnsi="Arial" w:cs="Arial"/>
                <w:sz w:val="20"/>
                <w:szCs w:val="20"/>
                <w:lang w:eastAsia="vi-VN"/>
              </w:rPr>
            </w:pPr>
            <w:r w:rsidRPr="00AF3ED2">
              <w:rPr>
                <w:rFonts w:ascii="Arial" w:hAnsi="Arial" w:cs="Arial"/>
                <w:sz w:val="20"/>
                <w:szCs w:val="20"/>
                <w:lang w:eastAsia="vi-VN"/>
              </w:rPr>
              <w:t>Sea way</w:t>
            </w:r>
          </w:p>
        </w:tc>
        <w:tc>
          <w:tcPr>
            <w:tcW w:w="1723" w:type="dxa"/>
            <w:noWrap/>
            <w:vAlign w:val="bottom"/>
          </w:tcPr>
          <w:p w14:paraId="22284928"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52.2</w:t>
            </w:r>
          </w:p>
        </w:tc>
        <w:tc>
          <w:tcPr>
            <w:tcW w:w="1788" w:type="dxa"/>
            <w:noWrap/>
            <w:vAlign w:val="bottom"/>
          </w:tcPr>
          <w:p w14:paraId="7E8B4CBC"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112.0</w:t>
            </w:r>
          </w:p>
        </w:tc>
        <w:tc>
          <w:tcPr>
            <w:tcW w:w="301" w:type="dxa"/>
          </w:tcPr>
          <w:p w14:paraId="410BB3E5" w14:textId="77777777" w:rsidR="005B4C2A" w:rsidRPr="00AF3ED2" w:rsidRDefault="005B4C2A" w:rsidP="00D474E6">
            <w:pPr>
              <w:ind w:right="484"/>
              <w:jc w:val="right"/>
              <w:rPr>
                <w:rFonts w:ascii="Arial" w:hAnsi="Arial" w:cs="Arial"/>
                <w:sz w:val="20"/>
                <w:szCs w:val="20"/>
              </w:rPr>
            </w:pPr>
          </w:p>
        </w:tc>
        <w:tc>
          <w:tcPr>
            <w:tcW w:w="1690" w:type="dxa"/>
            <w:noWrap/>
            <w:vAlign w:val="bottom"/>
          </w:tcPr>
          <w:p w14:paraId="79012BBC"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8.3</w:t>
            </w:r>
          </w:p>
        </w:tc>
        <w:tc>
          <w:tcPr>
            <w:tcW w:w="1430" w:type="dxa"/>
            <w:noWrap/>
            <w:vAlign w:val="bottom"/>
          </w:tcPr>
          <w:p w14:paraId="3CF7B971"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8.3</w:t>
            </w:r>
          </w:p>
        </w:tc>
      </w:tr>
      <w:tr w:rsidR="005B4C2A" w:rsidRPr="00AF3ED2" w14:paraId="3FC6843C" w14:textId="77777777" w:rsidTr="00D474E6">
        <w:trPr>
          <w:trHeight w:val="298"/>
          <w:jc w:val="center"/>
        </w:trPr>
        <w:tc>
          <w:tcPr>
            <w:tcW w:w="2127" w:type="dxa"/>
            <w:noWrap/>
            <w:vAlign w:val="center"/>
            <w:hideMark/>
          </w:tcPr>
          <w:p w14:paraId="29DCE478" w14:textId="77777777" w:rsidR="005B4C2A" w:rsidRPr="00AF3ED2" w:rsidRDefault="005B4C2A" w:rsidP="00D474E6">
            <w:pPr>
              <w:tabs>
                <w:tab w:val="left" w:pos="407"/>
              </w:tabs>
              <w:ind w:firstLine="182"/>
              <w:rPr>
                <w:rFonts w:ascii="Arial" w:hAnsi="Arial" w:cs="Arial"/>
                <w:sz w:val="20"/>
                <w:szCs w:val="20"/>
                <w:lang w:eastAsia="vi-VN"/>
              </w:rPr>
            </w:pPr>
            <w:r w:rsidRPr="00AF3ED2">
              <w:rPr>
                <w:rFonts w:ascii="Arial" w:hAnsi="Arial" w:cs="Arial"/>
                <w:sz w:val="20"/>
                <w:szCs w:val="20"/>
                <w:lang w:eastAsia="vi-VN"/>
              </w:rPr>
              <w:t>Inland water way</w:t>
            </w:r>
          </w:p>
        </w:tc>
        <w:tc>
          <w:tcPr>
            <w:tcW w:w="1723" w:type="dxa"/>
            <w:noWrap/>
            <w:vAlign w:val="bottom"/>
          </w:tcPr>
          <w:p w14:paraId="1A358804"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228.6</w:t>
            </w:r>
          </w:p>
        </w:tc>
        <w:tc>
          <w:tcPr>
            <w:tcW w:w="1788" w:type="dxa"/>
            <w:noWrap/>
            <w:vAlign w:val="bottom"/>
          </w:tcPr>
          <w:p w14:paraId="12AFD2AE"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44.5</w:t>
            </w:r>
          </w:p>
        </w:tc>
        <w:tc>
          <w:tcPr>
            <w:tcW w:w="301" w:type="dxa"/>
          </w:tcPr>
          <w:p w14:paraId="7E320CC9" w14:textId="77777777" w:rsidR="005B4C2A" w:rsidRPr="00AF3ED2" w:rsidRDefault="005B4C2A" w:rsidP="00D474E6">
            <w:pPr>
              <w:ind w:right="484"/>
              <w:jc w:val="right"/>
              <w:rPr>
                <w:rFonts w:ascii="Arial" w:hAnsi="Arial" w:cs="Arial"/>
                <w:sz w:val="20"/>
                <w:szCs w:val="20"/>
              </w:rPr>
            </w:pPr>
          </w:p>
        </w:tc>
        <w:tc>
          <w:tcPr>
            <w:tcW w:w="1690" w:type="dxa"/>
            <w:noWrap/>
            <w:vAlign w:val="bottom"/>
          </w:tcPr>
          <w:p w14:paraId="61218855"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14.5</w:t>
            </w:r>
          </w:p>
        </w:tc>
        <w:tc>
          <w:tcPr>
            <w:tcW w:w="1430" w:type="dxa"/>
            <w:noWrap/>
            <w:vAlign w:val="bottom"/>
          </w:tcPr>
          <w:p w14:paraId="5E7814E5"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13.1</w:t>
            </w:r>
          </w:p>
        </w:tc>
      </w:tr>
      <w:tr w:rsidR="005B4C2A" w:rsidRPr="00AF3ED2" w14:paraId="17CEF5CE" w14:textId="77777777" w:rsidTr="00D474E6">
        <w:trPr>
          <w:trHeight w:val="298"/>
          <w:jc w:val="center"/>
        </w:trPr>
        <w:tc>
          <w:tcPr>
            <w:tcW w:w="2127" w:type="dxa"/>
            <w:noWrap/>
            <w:vAlign w:val="center"/>
            <w:hideMark/>
          </w:tcPr>
          <w:p w14:paraId="3DCBD2FB" w14:textId="77777777" w:rsidR="005B4C2A" w:rsidRPr="00AF3ED2" w:rsidRDefault="005B4C2A" w:rsidP="00D474E6">
            <w:pPr>
              <w:tabs>
                <w:tab w:val="left" w:pos="407"/>
              </w:tabs>
              <w:ind w:firstLine="182"/>
              <w:rPr>
                <w:rFonts w:ascii="Arial" w:hAnsi="Arial" w:cs="Arial"/>
                <w:sz w:val="20"/>
                <w:szCs w:val="20"/>
                <w:lang w:eastAsia="vi-VN"/>
              </w:rPr>
            </w:pPr>
            <w:r w:rsidRPr="00AF3ED2">
              <w:rPr>
                <w:rFonts w:ascii="Arial" w:hAnsi="Arial" w:cs="Arial"/>
                <w:sz w:val="20"/>
                <w:szCs w:val="20"/>
                <w:lang w:eastAsia="vi-VN"/>
              </w:rPr>
              <w:t>Road</w:t>
            </w:r>
          </w:p>
        </w:tc>
        <w:tc>
          <w:tcPr>
            <w:tcW w:w="1723" w:type="dxa"/>
            <w:noWrap/>
            <w:vAlign w:val="bottom"/>
          </w:tcPr>
          <w:p w14:paraId="4F69B136"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800.3</w:t>
            </w:r>
          </w:p>
        </w:tc>
        <w:tc>
          <w:tcPr>
            <w:tcW w:w="1788" w:type="dxa"/>
            <w:noWrap/>
            <w:vAlign w:val="bottom"/>
          </w:tcPr>
          <w:p w14:paraId="24C05024"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46.9</w:t>
            </w:r>
          </w:p>
        </w:tc>
        <w:tc>
          <w:tcPr>
            <w:tcW w:w="301" w:type="dxa"/>
          </w:tcPr>
          <w:p w14:paraId="00CF41A9" w14:textId="77777777" w:rsidR="005B4C2A" w:rsidRPr="00AF3ED2" w:rsidRDefault="005B4C2A" w:rsidP="00D474E6">
            <w:pPr>
              <w:ind w:right="484"/>
              <w:jc w:val="right"/>
              <w:rPr>
                <w:rFonts w:ascii="Arial" w:hAnsi="Arial" w:cs="Arial"/>
                <w:sz w:val="20"/>
                <w:szCs w:val="20"/>
              </w:rPr>
            </w:pPr>
          </w:p>
        </w:tc>
        <w:tc>
          <w:tcPr>
            <w:tcW w:w="1690" w:type="dxa"/>
            <w:noWrap/>
            <w:vAlign w:val="bottom"/>
          </w:tcPr>
          <w:p w14:paraId="2A1695EF"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14.5</w:t>
            </w:r>
          </w:p>
        </w:tc>
        <w:tc>
          <w:tcPr>
            <w:tcW w:w="1430" w:type="dxa"/>
            <w:noWrap/>
            <w:vAlign w:val="bottom"/>
          </w:tcPr>
          <w:p w14:paraId="3F82CBBD"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12.6</w:t>
            </w:r>
          </w:p>
        </w:tc>
      </w:tr>
      <w:tr w:rsidR="005B4C2A" w:rsidRPr="00AF3ED2" w14:paraId="3DAC9747" w14:textId="77777777" w:rsidTr="00D474E6">
        <w:trPr>
          <w:trHeight w:val="298"/>
          <w:jc w:val="center"/>
        </w:trPr>
        <w:tc>
          <w:tcPr>
            <w:tcW w:w="2127" w:type="dxa"/>
            <w:tcBorders>
              <w:bottom w:val="single" w:sz="4" w:space="0" w:color="auto"/>
            </w:tcBorders>
            <w:noWrap/>
            <w:vAlign w:val="center"/>
            <w:hideMark/>
          </w:tcPr>
          <w:p w14:paraId="79B89D6C" w14:textId="77777777" w:rsidR="005B4C2A" w:rsidRPr="00AF3ED2" w:rsidRDefault="005B4C2A" w:rsidP="00D474E6">
            <w:pPr>
              <w:tabs>
                <w:tab w:val="left" w:pos="407"/>
              </w:tabs>
              <w:ind w:firstLine="182"/>
              <w:rPr>
                <w:rFonts w:ascii="Arial" w:hAnsi="Arial" w:cs="Arial"/>
                <w:sz w:val="20"/>
                <w:szCs w:val="20"/>
                <w:lang w:eastAsia="vi-VN"/>
              </w:rPr>
            </w:pPr>
            <w:r w:rsidRPr="00AF3ED2">
              <w:rPr>
                <w:rFonts w:ascii="Arial" w:hAnsi="Arial" w:cs="Arial"/>
                <w:sz w:val="20"/>
                <w:szCs w:val="20"/>
                <w:lang w:eastAsia="vi-VN"/>
              </w:rPr>
              <w:t>Airway</w:t>
            </w:r>
          </w:p>
        </w:tc>
        <w:tc>
          <w:tcPr>
            <w:tcW w:w="1723" w:type="dxa"/>
            <w:tcBorders>
              <w:bottom w:val="single" w:sz="4" w:space="0" w:color="auto"/>
            </w:tcBorders>
            <w:noWrap/>
            <w:vAlign w:val="bottom"/>
          </w:tcPr>
          <w:p w14:paraId="3A7C4447"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0.2</w:t>
            </w:r>
          </w:p>
        </w:tc>
        <w:tc>
          <w:tcPr>
            <w:tcW w:w="1788" w:type="dxa"/>
            <w:tcBorders>
              <w:bottom w:val="single" w:sz="4" w:space="0" w:color="auto"/>
            </w:tcBorders>
            <w:noWrap/>
            <w:vAlign w:val="bottom"/>
          </w:tcPr>
          <w:p w14:paraId="4C541E00"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3.5</w:t>
            </w:r>
          </w:p>
        </w:tc>
        <w:tc>
          <w:tcPr>
            <w:tcW w:w="301" w:type="dxa"/>
            <w:tcBorders>
              <w:bottom w:val="single" w:sz="4" w:space="0" w:color="auto"/>
            </w:tcBorders>
          </w:tcPr>
          <w:p w14:paraId="520FC768" w14:textId="77777777" w:rsidR="005B4C2A" w:rsidRPr="00AF3ED2" w:rsidRDefault="005B4C2A" w:rsidP="00D474E6">
            <w:pPr>
              <w:ind w:right="484"/>
              <w:jc w:val="right"/>
              <w:rPr>
                <w:rFonts w:ascii="Arial" w:hAnsi="Arial" w:cs="Arial"/>
                <w:sz w:val="20"/>
                <w:szCs w:val="20"/>
              </w:rPr>
            </w:pPr>
          </w:p>
        </w:tc>
        <w:tc>
          <w:tcPr>
            <w:tcW w:w="1690" w:type="dxa"/>
            <w:tcBorders>
              <w:bottom w:val="single" w:sz="4" w:space="0" w:color="auto"/>
            </w:tcBorders>
            <w:noWrap/>
            <w:vAlign w:val="bottom"/>
          </w:tcPr>
          <w:p w14:paraId="4261BFB7"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2.6</w:t>
            </w:r>
          </w:p>
        </w:tc>
        <w:tc>
          <w:tcPr>
            <w:tcW w:w="1430" w:type="dxa"/>
            <w:tcBorders>
              <w:bottom w:val="single" w:sz="4" w:space="0" w:color="auto"/>
            </w:tcBorders>
            <w:noWrap/>
            <w:vAlign w:val="bottom"/>
          </w:tcPr>
          <w:p w14:paraId="3B04AEA4" w14:textId="77777777" w:rsidR="005B4C2A" w:rsidRPr="00AF3ED2" w:rsidRDefault="005B4C2A" w:rsidP="00D474E6">
            <w:pPr>
              <w:ind w:right="484"/>
              <w:jc w:val="right"/>
              <w:rPr>
                <w:rFonts w:ascii="Arial" w:hAnsi="Arial" w:cs="Arial"/>
                <w:sz w:val="20"/>
                <w:szCs w:val="20"/>
              </w:rPr>
            </w:pPr>
            <w:r w:rsidRPr="00AF3ED2">
              <w:rPr>
                <w:rFonts w:ascii="Arial" w:hAnsi="Arial" w:cs="Arial"/>
                <w:sz w:val="20"/>
                <w:szCs w:val="20"/>
              </w:rPr>
              <w:t>6.4</w:t>
            </w:r>
          </w:p>
        </w:tc>
      </w:tr>
    </w:tbl>
    <w:p w14:paraId="2134667F" w14:textId="77777777" w:rsidR="005B4C2A" w:rsidRPr="00AF3ED2" w:rsidRDefault="005B4C2A" w:rsidP="005B4C2A">
      <w:pPr>
        <w:spacing w:before="120" w:after="120" w:line="252" w:lineRule="auto"/>
        <w:ind w:firstLine="720"/>
        <w:jc w:val="both"/>
        <w:rPr>
          <w:b/>
          <w:bCs/>
          <w:i/>
        </w:rPr>
      </w:pPr>
      <w:r w:rsidRPr="00AF3ED2">
        <w:rPr>
          <w:b/>
          <w:bCs/>
          <w:i/>
          <w:iCs/>
        </w:rPr>
        <w:t xml:space="preserve">đ) </w:t>
      </w:r>
      <w:r w:rsidRPr="00AF3ED2">
        <w:rPr>
          <w:b/>
          <w:i/>
        </w:rPr>
        <w:t>International visitors to Viet Nam</w:t>
      </w:r>
      <w:r w:rsidRPr="00AF3ED2">
        <w:rPr>
          <w:rStyle w:val="FootnoteReference"/>
          <w:rFonts w:eastAsia="Calibri"/>
          <w:b/>
          <w:bCs/>
          <w:i/>
          <w:iCs/>
        </w:rPr>
        <w:footnoteReference w:id="28"/>
      </w:r>
    </w:p>
    <w:p w14:paraId="724CD898" w14:textId="77777777" w:rsidR="005B4C2A" w:rsidRPr="00AF3ED2" w:rsidRDefault="005B4C2A" w:rsidP="005B4C2A">
      <w:pPr>
        <w:spacing w:after="120" w:line="252" w:lineRule="auto"/>
        <w:ind w:firstLine="720"/>
        <w:jc w:val="both"/>
        <w:rPr>
          <w:rFonts w:eastAsia="Calibri"/>
          <w:i/>
          <w:iCs/>
          <w:spacing w:val="-4"/>
        </w:rPr>
      </w:pPr>
      <w:r w:rsidRPr="00AF3ED2">
        <w:rPr>
          <w:rFonts w:ascii="Times New Roman Italic" w:eastAsia="Calibri" w:hAnsi="Times New Roman Italic"/>
          <w:i/>
          <w:iCs/>
          <w:spacing w:val="-2"/>
        </w:rPr>
        <w:t xml:space="preserve">A stable and safe socio-political environment; increasingly open visa policies; more professional promotion and marketing activities; together with a diverse range of products aligned with trends and continuously improving </w:t>
      </w:r>
      <w:r w:rsidRPr="00AF3ED2">
        <w:rPr>
          <w:rFonts w:ascii="Times New Roman Italic" w:eastAsia="Calibri" w:hAnsi="Times New Roman Italic"/>
          <w:i/>
          <w:iCs/>
          <w:spacing w:val="-2"/>
        </w:rPr>
        <w:lastRenderedPageBreak/>
        <w:t>service quality, have created an important foundation for attracting international visitors to Viet Nam</w:t>
      </w:r>
      <w:r w:rsidRPr="00AF3ED2">
        <w:rPr>
          <w:rFonts w:eastAsia="Calibri"/>
          <w:i/>
          <w:iCs/>
          <w:spacing w:val="-4"/>
        </w:rPr>
        <w:t>.</w:t>
      </w:r>
    </w:p>
    <w:p w14:paraId="091E43D8" w14:textId="77777777" w:rsidR="005B4C2A" w:rsidRPr="00AF3ED2" w:rsidRDefault="005B4C2A" w:rsidP="005B4C2A">
      <w:pPr>
        <w:spacing w:after="120"/>
        <w:ind w:firstLine="720"/>
        <w:jc w:val="both"/>
        <w:rPr>
          <w:rFonts w:eastAsia="Calibri"/>
        </w:rPr>
      </w:pPr>
      <w:r w:rsidRPr="00AF3ED2">
        <w:rPr>
          <w:rFonts w:eastAsia="Calibri"/>
        </w:rPr>
        <w:t>In April 2026</w:t>
      </w:r>
      <w:r w:rsidRPr="00AF3ED2">
        <w:rPr>
          <w:rFonts w:eastAsia="Calibri"/>
          <w:vertAlign w:val="superscript"/>
        </w:rPr>
        <w:footnoteReference w:id="29"/>
      </w:r>
      <w:r w:rsidRPr="00AF3ED2">
        <w:rPr>
          <w:rFonts w:eastAsia="Calibri"/>
        </w:rPr>
        <w:t xml:space="preserve">, international visitors to Viet Nam reached 2.03 million arrivals, </w:t>
      </w:r>
      <w:r w:rsidRPr="00AF3ED2">
        <w:rPr>
          <w:bCs/>
          <w:iCs/>
          <w:spacing w:val="-2"/>
        </w:rPr>
        <w:t>a year-on-year increase of</w:t>
      </w:r>
      <w:r w:rsidRPr="00AF3ED2">
        <w:rPr>
          <w:rFonts w:eastAsia="Calibri"/>
        </w:rPr>
        <w:t xml:space="preserve"> 22.8%. Overall, in four months of 2026, international visitors to Viet Nam amounted to 8.8 million arrivals, an increase of 14.6% over that in the same period last year, marking the highest</w:t>
      </w:r>
      <w:r w:rsidRPr="00AF3ED2">
        <w:t xml:space="preserve"> level for four months on record</w:t>
      </w:r>
      <w:r w:rsidRPr="00AF3ED2">
        <w:rPr>
          <w:rFonts w:eastAsia="Calibri"/>
        </w:rPr>
        <w:t>. Of which, arrivals by airway reached 7.3 million</w:t>
      </w:r>
      <w:r w:rsidRPr="00AF3ED2">
        <w:rPr>
          <w:bCs/>
          <w:iCs/>
          <w:spacing w:val="-2"/>
        </w:rPr>
        <w:t xml:space="preserve"> arrivals</w:t>
      </w:r>
      <w:r w:rsidRPr="00AF3ED2">
        <w:rPr>
          <w:rFonts w:eastAsia="Calibri"/>
        </w:rPr>
        <w:t>, accounting for 82.5% of total international visitors to Viet Nam and rising by 10.1% year-on-year; arrivals by road reached 1.4 million</w:t>
      </w:r>
      <w:r w:rsidRPr="00AF3ED2">
        <w:rPr>
          <w:bCs/>
          <w:iCs/>
          <w:spacing w:val="-2"/>
        </w:rPr>
        <w:t xml:space="preserve"> arrivals</w:t>
      </w:r>
      <w:r w:rsidRPr="00AF3ED2">
        <w:rPr>
          <w:rFonts w:eastAsia="Calibri"/>
        </w:rPr>
        <w:t>, accounting for 15.5% and increasing by 47.6%; arrivals by seaway reached 174.3 thousand arrivals, accounting for 2.0% and rising by 10.1%.</w:t>
      </w:r>
    </w:p>
    <w:p w14:paraId="691D7C6C" w14:textId="77777777" w:rsidR="005B4C2A" w:rsidRPr="00AF3ED2" w:rsidRDefault="005B4C2A" w:rsidP="005B4C2A">
      <w:pPr>
        <w:shd w:val="clear" w:color="auto" w:fill="FFFFFF"/>
        <w:jc w:val="center"/>
        <w:rPr>
          <w:rFonts w:ascii="Arial" w:hAnsi="Arial" w:cs="Arial"/>
          <w:b/>
          <w:sz w:val="24"/>
          <w:szCs w:val="24"/>
        </w:rPr>
      </w:pPr>
      <w:r w:rsidRPr="00AF3ED2">
        <w:rPr>
          <w:noProof/>
        </w:rPr>
        <w:drawing>
          <wp:anchor distT="0" distB="0" distL="114300" distR="114300" simplePos="0" relativeHeight="251677696" behindDoc="0" locked="0" layoutInCell="1" allowOverlap="1" wp14:anchorId="749225C0" wp14:editId="25BF1DB4">
            <wp:simplePos x="0" y="0"/>
            <wp:positionH relativeFrom="column">
              <wp:posOffset>394335</wp:posOffset>
            </wp:positionH>
            <wp:positionV relativeFrom="paragraph">
              <wp:posOffset>272415</wp:posOffset>
            </wp:positionV>
            <wp:extent cx="5003165" cy="2506980"/>
            <wp:effectExtent l="0" t="0" r="6985" b="7620"/>
            <wp:wrapTopAndBottom/>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003165" cy="2506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3ED2">
        <w:rPr>
          <w:rFonts w:ascii="Arial" w:hAnsi="Arial" w:cs="Arial"/>
          <w:b/>
          <w:sz w:val="24"/>
          <w:szCs w:val="24"/>
        </w:rPr>
        <w:t xml:space="preserve">Figure 16. </w:t>
      </w:r>
      <w:r w:rsidRPr="00AF3ED2">
        <w:rPr>
          <w:rFonts w:ascii="Arial" w:hAnsi="Arial" w:cs="Arial"/>
          <w:b/>
          <w:bCs/>
          <w:iCs/>
          <w:sz w:val="24"/>
          <w:szCs w:val="24"/>
        </w:rPr>
        <w:t>International visitors to Viet Nam in four months of</w:t>
      </w:r>
      <w:r w:rsidRPr="00AF3ED2">
        <w:rPr>
          <w:rFonts w:ascii="Arial" w:hAnsi="Arial" w:cs="Arial"/>
          <w:b/>
          <w:sz w:val="24"/>
          <w:szCs w:val="24"/>
        </w:rPr>
        <w:t xml:space="preserve"> 2026 </w:t>
      </w:r>
      <w:r w:rsidRPr="00AF3ED2">
        <w:rPr>
          <w:rFonts w:ascii="Arial" w:hAnsi="Arial" w:cs="Arial"/>
          <w:b/>
          <w:bCs/>
          <w:iCs/>
          <w:sz w:val="24"/>
          <w:szCs w:val="24"/>
        </w:rPr>
        <w:t>by territory</w:t>
      </w:r>
    </w:p>
    <w:p w14:paraId="2B3B3BF6" w14:textId="77777777" w:rsidR="005B4C2A" w:rsidRPr="00AF3ED2" w:rsidRDefault="005B4C2A" w:rsidP="005B4C2A">
      <w:pPr>
        <w:spacing w:after="120" w:line="264" w:lineRule="auto"/>
        <w:ind w:firstLine="720"/>
        <w:jc w:val="both"/>
        <w:rPr>
          <w:b/>
          <w:bCs/>
          <w:color w:val="000000" w:themeColor="text1"/>
        </w:rPr>
      </w:pPr>
      <w:r w:rsidRPr="00AF3ED2">
        <w:rPr>
          <w:b/>
          <w:bCs/>
          <w:color w:val="000000" w:themeColor="text1"/>
        </w:rPr>
        <w:t>7. Social situation</w:t>
      </w:r>
    </w:p>
    <w:p w14:paraId="1A782875" w14:textId="77777777" w:rsidR="005B4C2A" w:rsidRPr="00AF3ED2" w:rsidRDefault="005B4C2A" w:rsidP="005B4C2A">
      <w:pPr>
        <w:tabs>
          <w:tab w:val="left" w:pos="709"/>
          <w:tab w:val="left" w:pos="1134"/>
        </w:tabs>
        <w:spacing w:after="120" w:line="264" w:lineRule="auto"/>
        <w:ind w:firstLine="720"/>
        <w:jc w:val="both"/>
        <w:rPr>
          <w:b/>
          <w:i/>
          <w:color w:val="000000" w:themeColor="text1"/>
        </w:rPr>
      </w:pPr>
      <w:r w:rsidRPr="00AF3ED2">
        <w:rPr>
          <w:b/>
          <w:i/>
          <w:color w:val="000000" w:themeColor="text1"/>
        </w:rPr>
        <w:t xml:space="preserve">a) People's living conditions </w:t>
      </w:r>
    </w:p>
    <w:p w14:paraId="0EB4CD0D" w14:textId="3FBDCDC6" w:rsidR="005B4C2A" w:rsidRPr="00AF3ED2" w:rsidRDefault="005B4C2A" w:rsidP="005B4C2A">
      <w:pPr>
        <w:tabs>
          <w:tab w:val="left" w:pos="851"/>
        </w:tabs>
        <w:spacing w:after="120" w:line="264" w:lineRule="auto"/>
        <w:ind w:firstLine="720"/>
        <w:jc w:val="both"/>
        <w:rPr>
          <w:bCs/>
          <w:snapToGrid w:val="0"/>
          <w:color w:val="000000" w:themeColor="text1"/>
        </w:rPr>
      </w:pPr>
      <w:r w:rsidRPr="00AF3ED2">
        <w:t xml:space="preserve">According to preliminary </w:t>
      </w:r>
      <w:r w:rsidR="00BD5AE8" w:rsidRPr="00AF3ED2">
        <w:t xml:space="preserve">Labour </w:t>
      </w:r>
      <w:r w:rsidR="00BD5AE8">
        <w:t>Force</w:t>
      </w:r>
      <w:r w:rsidR="00BD5AE8" w:rsidRPr="00AF3ED2">
        <w:t xml:space="preserve"> Survey </w:t>
      </w:r>
      <w:r w:rsidRPr="00AF3ED2">
        <w:t>results, 96.0% of households reported that their income in the month remained unchanged or increased compared to the same period last year (a month-on-month decrease of 0.6 percentage points and a year-on-year fall of 0.1 percentage points); 4.0% of households said that their income decreased or undetermined.</w:t>
      </w:r>
    </w:p>
    <w:p w14:paraId="492B1635" w14:textId="77777777" w:rsidR="005B4C2A" w:rsidRPr="00AF3ED2" w:rsidRDefault="005B4C2A" w:rsidP="005B4C2A">
      <w:pPr>
        <w:tabs>
          <w:tab w:val="left" w:pos="851"/>
        </w:tabs>
        <w:spacing w:after="120" w:line="264" w:lineRule="auto"/>
        <w:ind w:firstLine="720"/>
        <w:jc w:val="both"/>
        <w:rPr>
          <w:bCs/>
          <w:snapToGrid w:val="0"/>
          <w:color w:val="000000" w:themeColor="text1"/>
        </w:rPr>
      </w:pPr>
      <w:r w:rsidRPr="00AF3ED2">
        <w:t>Among households reporting an increase in income, 68.6% attributed it to increased wages and salaries of household members; 35.3% reported growth in income from agriculture, forestry, and fishery activities; and 22.7% identified increased income from non-agricultural, forestry, and fishery production, business, and service activities</w:t>
      </w:r>
      <w:r w:rsidRPr="00AF3ED2">
        <w:rPr>
          <w:rStyle w:val="FootnoteReference"/>
        </w:rPr>
        <w:footnoteReference w:id="30"/>
      </w:r>
      <w:r w:rsidRPr="00AF3ED2">
        <w:t xml:space="preserve">. </w:t>
      </w:r>
    </w:p>
    <w:p w14:paraId="14FFC8B9" w14:textId="77777777" w:rsidR="005B4C2A" w:rsidRPr="00AF3ED2" w:rsidRDefault="005B4C2A" w:rsidP="005B4C2A">
      <w:pPr>
        <w:tabs>
          <w:tab w:val="left" w:pos="851"/>
        </w:tabs>
        <w:spacing w:after="120" w:line="264" w:lineRule="auto"/>
        <w:ind w:firstLine="720"/>
        <w:jc w:val="both"/>
        <w:rPr>
          <w:rStyle w:val="fontstyle01"/>
          <w:color w:val="000000" w:themeColor="text1"/>
          <w:spacing w:val="-2"/>
        </w:rPr>
      </w:pPr>
      <w:r w:rsidRPr="00AF3ED2">
        <w:t xml:space="preserve">Of the households with decreased income, 36.9% pointed to rising input costs for their production and business activities; 25.7% indicated a decline in </w:t>
      </w:r>
      <w:r w:rsidRPr="00AF3ED2">
        <w:lastRenderedPageBreak/>
        <w:t xml:space="preserve">the selling prices of products </w:t>
      </w:r>
      <w:r w:rsidRPr="00AF3ED2">
        <w:rPr>
          <w:bCs/>
          <w:snapToGrid w:val="0"/>
        </w:rPr>
        <w:t>from household production and business activities</w:t>
      </w:r>
      <w:r w:rsidRPr="00AF3ED2">
        <w:t xml:space="preserve">; 21.9% noted that household members suffered from </w:t>
      </w:r>
      <w:r w:rsidRPr="00AF3ED2">
        <w:rPr>
          <w:bCs/>
          <w:snapToGrid w:val="0"/>
        </w:rPr>
        <w:t>severe</w:t>
      </w:r>
      <w:r w:rsidRPr="00AF3ED2">
        <w:t xml:space="preserve"> illness, injury, or death; 18.4% cited a reduction in the scale of their production and business activities; and 18.1% identified that a household member was temporarily out of work. </w:t>
      </w:r>
    </w:p>
    <w:p w14:paraId="33C4100A" w14:textId="77777777" w:rsidR="005B4C2A" w:rsidRPr="00AF3ED2" w:rsidRDefault="005B4C2A" w:rsidP="005B4C2A">
      <w:pPr>
        <w:tabs>
          <w:tab w:val="left" w:pos="851"/>
        </w:tabs>
        <w:spacing w:after="120" w:line="264" w:lineRule="auto"/>
        <w:ind w:firstLine="720"/>
        <w:jc w:val="both"/>
        <w:rPr>
          <w:bCs/>
          <w:snapToGrid w:val="0"/>
          <w:color w:val="000000" w:themeColor="text1"/>
        </w:rPr>
      </w:pPr>
      <w:r w:rsidRPr="00AF3ED2">
        <w:t>Regarding the impact of negative events on people’s living conditions in four months of 2026, households evaluated: 34.5% of households were impacted by rising prices of goods and services; 8.0% by natural disasters and climate change; 3.9% by epidemics in livestock or crops; 2.9% by human epidemics; 2.2% by household members suffering from severe illness, injury, or death; and 0.6% by fires or explosions.</w:t>
      </w:r>
    </w:p>
    <w:p w14:paraId="03A81745" w14:textId="77777777" w:rsidR="005B4C2A" w:rsidRPr="00AF3ED2" w:rsidRDefault="005B4C2A" w:rsidP="005B4C2A">
      <w:pPr>
        <w:tabs>
          <w:tab w:val="left" w:pos="851"/>
        </w:tabs>
        <w:spacing w:after="120" w:line="264" w:lineRule="auto"/>
        <w:ind w:firstLine="720"/>
        <w:jc w:val="both"/>
        <w:rPr>
          <w:bCs/>
          <w:snapToGrid w:val="0"/>
          <w:color w:val="000000" w:themeColor="text1"/>
        </w:rPr>
      </w:pPr>
      <w:r w:rsidRPr="00AF3ED2">
        <w:t>In April, 19.0% of interviewed households received assistance from various sources. Specifically, the proportion of households receiving support from national programs and policies was 9.7%; from local programs and policies was 7.6%; from relatives and family members was 10.0%; from charitable activities of organizations or individuals was 2.7%; and from other sources was 0.1%.</w:t>
      </w:r>
    </w:p>
    <w:p w14:paraId="6291580E" w14:textId="77777777" w:rsidR="005B4C2A" w:rsidRPr="00AF3ED2" w:rsidRDefault="005B4C2A" w:rsidP="005B4C2A">
      <w:pPr>
        <w:pStyle w:val="BodyTextIndent"/>
        <w:tabs>
          <w:tab w:val="left" w:pos="0"/>
          <w:tab w:val="left" w:pos="720"/>
        </w:tabs>
        <w:spacing w:after="120" w:line="264" w:lineRule="auto"/>
        <w:ind w:left="0" w:firstLine="720"/>
        <w:jc w:val="both"/>
        <w:rPr>
          <w:rFonts w:ascii="Times New Roman" w:hAnsi="Times New Roman"/>
          <w:snapToGrid w:val="0"/>
          <w:color w:val="000000" w:themeColor="text1"/>
          <w:spacing w:val="-4"/>
        </w:rPr>
      </w:pPr>
      <w:r w:rsidRPr="00AF3ED2">
        <w:rPr>
          <w:rFonts w:ascii="Times New Roman" w:hAnsi="Times New Roman"/>
          <w:snapToGrid w:val="0"/>
          <w:color w:val="000000" w:themeColor="text1"/>
          <w:spacing w:val="-4"/>
        </w:rPr>
        <w:t>Social security activities were implemented in a timely manner to support the people's lives. From the beginning of the year to April 25</w:t>
      </w:r>
      <w:r w:rsidRPr="00AF3ED2">
        <w:rPr>
          <w:rFonts w:ascii="Times New Roman" w:hAnsi="Times New Roman"/>
          <w:snapToGrid w:val="0"/>
          <w:color w:val="000000" w:themeColor="text1"/>
          <w:spacing w:val="-4"/>
          <w:vertAlign w:val="superscript"/>
        </w:rPr>
        <w:t>th</w:t>
      </w:r>
      <w:r w:rsidRPr="00AF3ED2">
        <w:rPr>
          <w:rFonts w:ascii="Times New Roman" w:hAnsi="Times New Roman"/>
          <w:snapToGrid w:val="0"/>
          <w:color w:val="000000" w:themeColor="text1"/>
          <w:spacing w:val="-4"/>
        </w:rPr>
        <w:t>, 2026, the Government provided 15.3 thousand tons of rice to the people, of which: nearly 9.1 thousand tons for hunger relief during the Lunar New Year for 604.6 thousand persons; 5.6 thousand tons for pre-harvest hunger relief for 372.9 thousand persons; and over 604 tons for natural disaster and flood relief for 40.3 thousand persons.</w:t>
      </w:r>
    </w:p>
    <w:p w14:paraId="7CEBEE71" w14:textId="63C9E23D" w:rsidR="005B4C2A" w:rsidRPr="00AF3ED2" w:rsidRDefault="005B4C2A" w:rsidP="005B4C2A">
      <w:pPr>
        <w:spacing w:before="40" w:after="40" w:line="252" w:lineRule="auto"/>
        <w:ind w:firstLine="567"/>
        <w:jc w:val="both"/>
      </w:pPr>
      <w:r w:rsidRPr="00AF3ED2">
        <w:rPr>
          <w:bCs/>
          <w:iCs/>
          <w:snapToGrid w:val="0"/>
          <w:color w:val="000000" w:themeColor="text1"/>
        </w:rPr>
        <w:t>Regarding support for policy beneficiaries and national devotees on the occasion of the April 30</w:t>
      </w:r>
      <w:r w:rsidRPr="00AF3ED2">
        <w:rPr>
          <w:bCs/>
          <w:iCs/>
          <w:snapToGrid w:val="0"/>
          <w:color w:val="000000" w:themeColor="text1"/>
          <w:vertAlign w:val="superscript"/>
        </w:rPr>
        <w:t>th</w:t>
      </w:r>
      <w:r w:rsidRPr="00AF3ED2">
        <w:rPr>
          <w:bCs/>
          <w:iCs/>
          <w:snapToGrid w:val="0"/>
          <w:color w:val="000000" w:themeColor="text1"/>
        </w:rPr>
        <w:t xml:space="preserve"> holiday, on April 22</w:t>
      </w:r>
      <w:r w:rsidRPr="00AF3ED2">
        <w:rPr>
          <w:bCs/>
          <w:iCs/>
          <w:snapToGrid w:val="0"/>
          <w:color w:val="000000" w:themeColor="text1"/>
          <w:vertAlign w:val="superscript"/>
        </w:rPr>
        <w:t>nd</w:t>
      </w:r>
      <w:r w:rsidRPr="00AF3ED2">
        <w:rPr>
          <w:bCs/>
          <w:iCs/>
          <w:snapToGrid w:val="0"/>
          <w:color w:val="000000" w:themeColor="text1"/>
        </w:rPr>
        <w:t xml:space="preserve">, 2026, the Prime Minister issued </w:t>
      </w:r>
      <w:r w:rsidR="00F90273">
        <w:rPr>
          <w:bCs/>
          <w:iCs/>
          <w:snapToGrid w:val="0"/>
          <w:color w:val="000000" w:themeColor="text1"/>
        </w:rPr>
        <w:t xml:space="preserve">the </w:t>
      </w:r>
      <w:r w:rsidRPr="00AF3ED2">
        <w:rPr>
          <w:bCs/>
          <w:iCs/>
          <w:snapToGrid w:val="0"/>
          <w:color w:val="000000" w:themeColor="text1"/>
        </w:rPr>
        <w:t>Official Dispatch No. 431/TTg-KGVX on continuing to improve the welfare of national devotees on the 51</w:t>
      </w:r>
      <w:r w:rsidRPr="00AF3ED2">
        <w:rPr>
          <w:bCs/>
          <w:iCs/>
          <w:snapToGrid w:val="0"/>
          <w:color w:val="000000" w:themeColor="text1"/>
          <w:vertAlign w:val="superscript"/>
        </w:rPr>
        <w:t>st</w:t>
      </w:r>
      <w:r w:rsidRPr="00AF3ED2">
        <w:rPr>
          <w:bCs/>
          <w:iCs/>
          <w:snapToGrid w:val="0"/>
          <w:color w:val="000000" w:themeColor="text1"/>
        </w:rPr>
        <w:t xml:space="preserve"> anniversary of </w:t>
      </w:r>
      <w:r w:rsidR="00F90273">
        <w:rPr>
          <w:bCs/>
          <w:iCs/>
          <w:snapToGrid w:val="0"/>
          <w:color w:val="000000" w:themeColor="text1"/>
        </w:rPr>
        <w:t xml:space="preserve">the </w:t>
      </w:r>
      <w:r w:rsidRPr="00AF3ED2">
        <w:rPr>
          <w:bCs/>
          <w:iCs/>
          <w:snapToGrid w:val="0"/>
          <w:color w:val="000000" w:themeColor="text1"/>
        </w:rPr>
        <w:t>Southern Liberation and National Reunification Day (April 30</w:t>
      </w:r>
      <w:r w:rsidRPr="00AF3ED2">
        <w:rPr>
          <w:bCs/>
          <w:iCs/>
          <w:snapToGrid w:val="0"/>
          <w:color w:val="000000" w:themeColor="text1"/>
          <w:vertAlign w:val="superscript"/>
        </w:rPr>
        <w:t>th</w:t>
      </w:r>
      <w:r w:rsidRPr="00AF3ED2">
        <w:rPr>
          <w:bCs/>
          <w:iCs/>
          <w:snapToGrid w:val="0"/>
          <w:color w:val="000000" w:themeColor="text1"/>
        </w:rPr>
        <w:t>, 1975 - April 30</w:t>
      </w:r>
      <w:r w:rsidRPr="00AF3ED2">
        <w:rPr>
          <w:bCs/>
          <w:iCs/>
          <w:snapToGrid w:val="0"/>
          <w:color w:val="000000" w:themeColor="text1"/>
          <w:vertAlign w:val="superscript"/>
        </w:rPr>
        <w:t>th</w:t>
      </w:r>
      <w:r w:rsidRPr="00AF3ED2">
        <w:rPr>
          <w:bCs/>
          <w:iCs/>
          <w:snapToGrid w:val="0"/>
          <w:color w:val="000000" w:themeColor="text1"/>
        </w:rPr>
        <w:t>, 2026) and towards the 80</w:t>
      </w:r>
      <w:r w:rsidRPr="00AF3ED2">
        <w:rPr>
          <w:bCs/>
          <w:iCs/>
          <w:snapToGrid w:val="0"/>
          <w:color w:val="000000" w:themeColor="text1"/>
          <w:vertAlign w:val="superscript"/>
        </w:rPr>
        <w:t>th</w:t>
      </w:r>
      <w:r w:rsidRPr="00AF3ED2">
        <w:rPr>
          <w:bCs/>
          <w:iCs/>
          <w:snapToGrid w:val="0"/>
          <w:color w:val="000000" w:themeColor="text1"/>
        </w:rPr>
        <w:t xml:space="preserve"> anniversary of Invalids and Martyrs Day (July 27</w:t>
      </w:r>
      <w:r w:rsidRPr="00AF3ED2">
        <w:rPr>
          <w:bCs/>
          <w:iCs/>
          <w:snapToGrid w:val="0"/>
          <w:color w:val="000000" w:themeColor="text1"/>
          <w:vertAlign w:val="superscript"/>
        </w:rPr>
        <w:t>th</w:t>
      </w:r>
      <w:r w:rsidRPr="00AF3ED2">
        <w:rPr>
          <w:bCs/>
          <w:iCs/>
          <w:snapToGrid w:val="0"/>
          <w:color w:val="000000" w:themeColor="text1"/>
        </w:rPr>
        <w:t>, 1947 - July 27</w:t>
      </w:r>
      <w:r w:rsidRPr="00AF3ED2">
        <w:rPr>
          <w:bCs/>
          <w:iCs/>
          <w:snapToGrid w:val="0"/>
          <w:color w:val="000000" w:themeColor="text1"/>
          <w:vertAlign w:val="superscript"/>
        </w:rPr>
        <w:t>th</w:t>
      </w:r>
      <w:r w:rsidRPr="00AF3ED2">
        <w:rPr>
          <w:bCs/>
          <w:iCs/>
          <w:snapToGrid w:val="0"/>
          <w:color w:val="000000" w:themeColor="text1"/>
        </w:rPr>
        <w:t>, 2027).</w:t>
      </w:r>
    </w:p>
    <w:p w14:paraId="022771B2" w14:textId="77777777" w:rsidR="005B4C2A" w:rsidRPr="00AF3ED2" w:rsidRDefault="005B4C2A" w:rsidP="005B4C2A">
      <w:pPr>
        <w:pStyle w:val="BodyTextIndent"/>
        <w:tabs>
          <w:tab w:val="left" w:pos="0"/>
          <w:tab w:val="left" w:pos="720"/>
        </w:tabs>
        <w:spacing w:after="120" w:line="264" w:lineRule="auto"/>
        <w:ind w:left="0" w:firstLine="720"/>
        <w:jc w:val="both"/>
        <w:rPr>
          <w:rStyle w:val="normalchar"/>
          <w:rFonts w:ascii="Times New Roman" w:hAnsi="Times New Roman"/>
          <w:b/>
          <w:bCs/>
          <w:i/>
          <w:iCs/>
        </w:rPr>
      </w:pPr>
      <w:r w:rsidRPr="00AF3ED2">
        <w:rPr>
          <w:rStyle w:val="normalchar"/>
          <w:rFonts w:ascii="Times New Roman" w:hAnsi="Times New Roman"/>
          <w:b/>
          <w:bCs/>
          <w:i/>
          <w:iCs/>
        </w:rPr>
        <w:t xml:space="preserve">b) </w:t>
      </w:r>
      <w:r w:rsidRPr="00AF3ED2">
        <w:rPr>
          <w:rStyle w:val="normalchar"/>
          <w:rFonts w:ascii="Times New Roman" w:hAnsi="Times New Roman"/>
          <w:b/>
          <w:i/>
        </w:rPr>
        <w:t>Epidemic, food poisoning</w:t>
      </w:r>
      <w:r w:rsidRPr="00AF3ED2">
        <w:rPr>
          <w:b/>
          <w:bCs/>
          <w:i/>
          <w:iCs/>
        </w:rPr>
        <w:t xml:space="preserve"> </w:t>
      </w:r>
    </w:p>
    <w:p w14:paraId="3E416AE4" w14:textId="68C21893" w:rsidR="005B4C2A" w:rsidRPr="00AF3ED2" w:rsidRDefault="005B4C2A" w:rsidP="005B4C2A">
      <w:pPr>
        <w:spacing w:after="120" w:line="264" w:lineRule="auto"/>
        <w:ind w:firstLine="720"/>
        <w:jc w:val="both"/>
      </w:pPr>
      <w:r w:rsidRPr="00AF3ED2">
        <w:t>According to the report of the Ministry of Health, in the month (March 18</w:t>
      </w:r>
      <w:r w:rsidRPr="00C827CE">
        <w:rPr>
          <w:vertAlign w:val="superscript"/>
        </w:rPr>
        <w:t>th</w:t>
      </w:r>
      <w:r w:rsidRPr="00AF3ED2">
        <w:t xml:space="preserve"> - April 17</w:t>
      </w:r>
      <w:r w:rsidRPr="00C827CE">
        <w:rPr>
          <w:vertAlign w:val="superscript"/>
        </w:rPr>
        <w:t>th</w:t>
      </w:r>
      <w:r w:rsidRPr="00AF3ED2">
        <w:t>, 2026), there were 6,408 cases of dengue fever (1 death); 11.8 thousand</w:t>
      </w:r>
      <w:r w:rsidRPr="00AF3ED2">
        <w:rPr>
          <w:iCs/>
        </w:rPr>
        <w:t xml:space="preserve"> cases of </w:t>
      </w:r>
      <w:r w:rsidRPr="00AF3ED2">
        <w:t xml:space="preserve">hand, foot and mouth disease (3 deaths); 697 cases of rash fever suspected of measles; 25 cases of viral encephalitis; 05 cases of meningococcal meningitis </w:t>
      </w:r>
      <w:r w:rsidRPr="00AF3ED2">
        <w:rPr>
          <w:iCs/>
          <w:snapToGrid w:val="0"/>
        </w:rPr>
        <w:t xml:space="preserve">(2 deaths); and 10 </w:t>
      </w:r>
      <w:r w:rsidRPr="00AF3ED2">
        <w:t xml:space="preserve">deaths </w:t>
      </w:r>
      <w:r w:rsidRPr="00AF3ED2">
        <w:rPr>
          <w:iCs/>
          <w:snapToGrid w:val="0"/>
        </w:rPr>
        <w:t xml:space="preserve">from rabies. </w:t>
      </w:r>
      <w:r w:rsidRPr="00AF3ED2">
        <w:rPr>
          <w:rFonts w:eastAsia="Calibri"/>
        </w:rPr>
        <w:t>Overall, in four months of 2026</w:t>
      </w:r>
      <w:r w:rsidRPr="00AF3ED2">
        <w:t xml:space="preserve">, there were 45 thousand cases of dengue fever (5 deaths); 34.4 thousand cases of hand, foot and mouth disease (8 deaths); 3,127 cases of </w:t>
      </w:r>
      <w:r w:rsidRPr="00AF3ED2">
        <w:lastRenderedPageBreak/>
        <w:t>rash fever suspected of measles; 106 cases of viral encephalitis (1 death); 26 cases of meningococcal meningitis (4 deaths);</w:t>
      </w:r>
      <w:r>
        <w:t xml:space="preserve"> and</w:t>
      </w:r>
      <w:r w:rsidRPr="00AF3ED2">
        <w:t xml:space="preserve"> 20 deaths from rabies in the whole country.</w:t>
      </w:r>
    </w:p>
    <w:p w14:paraId="6EAE93A1" w14:textId="77777777" w:rsidR="005B4C2A" w:rsidRPr="00AF3ED2" w:rsidRDefault="005B4C2A" w:rsidP="005B4C2A">
      <w:pPr>
        <w:spacing w:after="120"/>
        <w:ind w:firstLine="720"/>
        <w:jc w:val="both"/>
      </w:pPr>
      <w:r w:rsidRPr="00AF3ED2">
        <w:t>As of April 17</w:t>
      </w:r>
      <w:r w:rsidRPr="00AF3ED2">
        <w:rPr>
          <w:vertAlign w:val="superscript"/>
        </w:rPr>
        <w:t>th</w:t>
      </w:r>
      <w:r w:rsidRPr="00AF3ED2">
        <w:t xml:space="preserve">, 2026, the total number of people living with HIV nationwide was </w:t>
      </w:r>
      <w:r w:rsidRPr="00AF3ED2">
        <w:rPr>
          <w:iCs/>
          <w:snapToGrid w:val="0"/>
        </w:rPr>
        <w:t>256.2</w:t>
      </w:r>
      <w:r w:rsidRPr="00AF3ED2">
        <w:t xml:space="preserve"> thousand persons; the number of deaths from HIV/AIDS was </w:t>
      </w:r>
      <w:r w:rsidRPr="00AF3ED2">
        <w:rPr>
          <w:iCs/>
          <w:snapToGrid w:val="0"/>
        </w:rPr>
        <w:t>118.3</w:t>
      </w:r>
      <w:r w:rsidRPr="00AF3ED2">
        <w:rPr>
          <w:shd w:val="clear" w:color="auto" w:fill="FFFFFF"/>
        </w:rPr>
        <w:t xml:space="preserve"> </w:t>
      </w:r>
      <w:r w:rsidRPr="00AF3ED2">
        <w:t xml:space="preserve">thousand persons. </w:t>
      </w:r>
    </w:p>
    <w:p w14:paraId="3A62806C" w14:textId="52F92735" w:rsidR="005B4C2A" w:rsidRPr="00AF3ED2" w:rsidRDefault="005B4C2A" w:rsidP="005B4C2A">
      <w:pPr>
        <w:spacing w:after="120"/>
        <w:ind w:firstLine="720"/>
        <w:jc w:val="both"/>
      </w:pPr>
      <w:r w:rsidRPr="00AF3ED2">
        <w:rPr>
          <w:spacing w:val="-4"/>
        </w:rPr>
        <w:t xml:space="preserve">Regarding food poisoning, in </w:t>
      </w:r>
      <w:r w:rsidRPr="00AF3ED2">
        <w:t>April</w:t>
      </w:r>
      <w:r w:rsidRPr="00AF3ED2">
        <w:rPr>
          <w:spacing w:val="-4"/>
        </w:rPr>
        <w:t xml:space="preserve">, there were 7 cases of poisoning, causing </w:t>
      </w:r>
      <w:r w:rsidRPr="00AF3ED2">
        <w:rPr>
          <w:iCs/>
          <w:snapToGrid w:val="0"/>
          <w:spacing w:val="-4"/>
        </w:rPr>
        <w:t>349</w:t>
      </w:r>
      <w:r w:rsidRPr="00AF3ED2">
        <w:rPr>
          <w:spacing w:val="-4"/>
        </w:rPr>
        <w:t xml:space="preserve"> </w:t>
      </w:r>
      <w:r w:rsidRPr="00AF3ED2">
        <w:t>persons poisoned</w:t>
      </w:r>
      <w:r w:rsidRPr="00AF3ED2">
        <w:rPr>
          <w:spacing w:val="-4"/>
        </w:rPr>
        <w:t>. Overall, in fourth months of 2026 (from December 18</w:t>
      </w:r>
      <w:r w:rsidRPr="00AF3ED2">
        <w:rPr>
          <w:spacing w:val="-4"/>
          <w:vertAlign w:val="superscript"/>
        </w:rPr>
        <w:t>th</w:t>
      </w:r>
      <w:r w:rsidRPr="00AF3ED2">
        <w:rPr>
          <w:spacing w:val="-4"/>
        </w:rPr>
        <w:t>, 2025 to April 17</w:t>
      </w:r>
      <w:r w:rsidRPr="00AF3ED2">
        <w:rPr>
          <w:spacing w:val="-4"/>
          <w:vertAlign w:val="superscript"/>
        </w:rPr>
        <w:t>th</w:t>
      </w:r>
      <w:r w:rsidRPr="00AF3ED2">
        <w:rPr>
          <w:spacing w:val="-4"/>
        </w:rPr>
        <w:t xml:space="preserve">, 2026), there were 27 cases with </w:t>
      </w:r>
      <w:r w:rsidRPr="00AF3ED2">
        <w:rPr>
          <w:iCs/>
          <w:snapToGrid w:val="0"/>
          <w:spacing w:val="-4"/>
        </w:rPr>
        <w:t xml:space="preserve">849 </w:t>
      </w:r>
      <w:r w:rsidRPr="00AF3ED2">
        <w:t xml:space="preserve">persons poisoned </w:t>
      </w:r>
      <w:r w:rsidRPr="00AF3ED2">
        <w:rPr>
          <w:spacing w:val="-4"/>
        </w:rPr>
        <w:t>(</w:t>
      </w:r>
      <w:r w:rsidRPr="00AF3ED2">
        <w:rPr>
          <w:bCs/>
        </w:rPr>
        <w:t>3</w:t>
      </w:r>
      <w:r w:rsidRPr="00AF3ED2">
        <w:rPr>
          <w:spacing w:val="-4"/>
        </w:rPr>
        <w:t xml:space="preserve"> deaths) </w:t>
      </w:r>
      <w:r w:rsidRPr="00AF3ED2">
        <w:t>nationwide.</w:t>
      </w:r>
    </w:p>
    <w:p w14:paraId="6FE58FAA" w14:textId="77777777" w:rsidR="005B4C2A" w:rsidRPr="00AF3ED2" w:rsidRDefault="005B4C2A" w:rsidP="005B4C2A">
      <w:pPr>
        <w:spacing w:after="120" w:line="264" w:lineRule="auto"/>
        <w:ind w:firstLine="720"/>
        <w:jc w:val="both"/>
        <w:outlineLvl w:val="0"/>
        <w:rPr>
          <w:rStyle w:val="normalchar"/>
          <w:b/>
          <w:i/>
          <w:iCs/>
        </w:rPr>
      </w:pPr>
      <w:r w:rsidRPr="00AF3ED2">
        <w:rPr>
          <w:b/>
          <w:bCs/>
          <w:i/>
          <w:iCs/>
        </w:rPr>
        <w:t xml:space="preserve">c) </w:t>
      </w:r>
      <w:r w:rsidRPr="00AF3ED2">
        <w:rPr>
          <w:rStyle w:val="normalchar"/>
          <w:rFonts w:eastAsiaTheme="majorEastAsia"/>
          <w:b/>
          <w:bCs/>
          <w:i/>
        </w:rPr>
        <w:t>Culture and sports</w:t>
      </w:r>
      <w:r w:rsidRPr="00AF3ED2">
        <w:rPr>
          <w:rStyle w:val="normalchar"/>
          <w:rFonts w:eastAsiaTheme="majorEastAsia"/>
          <w:b/>
          <w:bCs/>
        </w:rPr>
        <w:t xml:space="preserve"> </w:t>
      </w:r>
    </w:p>
    <w:p w14:paraId="54C56431" w14:textId="30EDB4CD" w:rsidR="005B4C2A" w:rsidRPr="00AF3ED2" w:rsidRDefault="005B4C2A" w:rsidP="005B4C2A">
      <w:pPr>
        <w:tabs>
          <w:tab w:val="left" w:pos="567"/>
          <w:tab w:val="num" w:pos="720"/>
        </w:tabs>
        <w:spacing w:after="120" w:line="264" w:lineRule="auto"/>
        <w:ind w:firstLine="720"/>
        <w:jc w:val="both"/>
      </w:pPr>
      <w:r w:rsidRPr="00AF3ED2">
        <w:rPr>
          <w:bCs/>
          <w:i/>
        </w:rPr>
        <w:t xml:space="preserve">Regarding </w:t>
      </w:r>
      <w:r w:rsidRPr="00AF3ED2">
        <w:rPr>
          <w:rStyle w:val="normalchar"/>
          <w:rFonts w:eastAsiaTheme="majorEastAsia"/>
          <w:bCs/>
          <w:i/>
        </w:rPr>
        <w:t>culture</w:t>
      </w:r>
      <w:r w:rsidRPr="00AF3ED2">
        <w:rPr>
          <w:i/>
        </w:rPr>
        <w:t>,</w:t>
      </w:r>
      <w:r w:rsidRPr="00AF3ED2">
        <w:t xml:space="preserve"> in April, </w:t>
      </w:r>
      <w:r w:rsidR="00F7170E">
        <w:t>dynamic</w:t>
      </w:r>
      <w:r w:rsidRPr="00AF3ED2">
        <w:t xml:space="preserve"> cultural activities were held nationwide to commemorate major national events, such as the Viet Nam ethnic </w:t>
      </w:r>
      <w:r w:rsidR="00B6191E" w:rsidRPr="00AF3ED2">
        <w:t>groups ‘culture</w:t>
      </w:r>
      <w:r w:rsidRPr="00AF3ED2">
        <w:t xml:space="preserve"> Day (April 19</w:t>
      </w:r>
      <w:r w:rsidRPr="00AF3ED2">
        <w:rPr>
          <w:vertAlign w:val="superscript"/>
        </w:rPr>
        <w:t>th</w:t>
      </w:r>
      <w:r w:rsidRPr="00AF3ED2">
        <w:t>)</w:t>
      </w:r>
      <w:r w:rsidRPr="00AF3ED2">
        <w:rPr>
          <w:rStyle w:val="FootnoteReference"/>
        </w:rPr>
        <w:footnoteReference w:id="31"/>
      </w:r>
      <w:r>
        <w:t>; The Hung Kings C</w:t>
      </w:r>
      <w:r w:rsidRPr="00AF3ED2">
        <w:t xml:space="preserve">ommemoration Day – Hung Temple Festival and the “Ancestral </w:t>
      </w:r>
      <w:r>
        <w:t>Land” C</w:t>
      </w:r>
      <w:r w:rsidRPr="00AF3ED2">
        <w:t xml:space="preserve">ulture and </w:t>
      </w:r>
      <w:r>
        <w:t>T</w:t>
      </w:r>
      <w:r w:rsidRPr="00AF3ED2">
        <w:t>ourism Week in the Year of the Horse (Binh Ngo 2026) took place from April 17</w:t>
      </w:r>
      <w:r w:rsidRPr="00AF3ED2">
        <w:rPr>
          <w:vertAlign w:val="superscript"/>
        </w:rPr>
        <w:t>th</w:t>
      </w:r>
      <w:r w:rsidRPr="00AF3ED2">
        <w:t xml:space="preserve"> to 26</w:t>
      </w:r>
      <w:r w:rsidRPr="00AF3ED2">
        <w:rPr>
          <w:vertAlign w:val="superscript"/>
        </w:rPr>
        <w:t>th</w:t>
      </w:r>
      <w:r w:rsidRPr="00AF3ED2">
        <w:t xml:space="preserve"> in Phu Tho. To mark the Liberation of the South and National Reunification Day and International Workers’ Day, more than 20 cultural activities, exhibitions, and art performances were held in Ha Noi. Highlights included a series of traditional craft experience activities in the Old Quarter; exhibitions such as “Echoes of Lacquer Heritage” and “The flow of Vietnamese Lacquer – from heritage to contemporary”; as well as the event “Weaving new into old hues” held at the Ha Noi Museum; and large-scale artistic programmes such as “Symphony of the Nation” and “Echoes of the Fatherland”.</w:t>
      </w:r>
    </w:p>
    <w:p w14:paraId="33A19A52" w14:textId="77777777" w:rsidR="005B4C2A" w:rsidRPr="00AF3ED2" w:rsidRDefault="005B4C2A" w:rsidP="005B4C2A">
      <w:pPr>
        <w:spacing w:after="120" w:line="264" w:lineRule="auto"/>
        <w:ind w:firstLine="720"/>
        <w:jc w:val="both"/>
        <w:outlineLvl w:val="0"/>
        <w:rPr>
          <w:bCs/>
          <w:iCs/>
        </w:rPr>
      </w:pPr>
      <w:r w:rsidRPr="00AF3ED2">
        <w:rPr>
          <w:bCs/>
          <w:i/>
        </w:rPr>
        <w:t xml:space="preserve">Regarding mass </w:t>
      </w:r>
      <w:r w:rsidRPr="00AF3ED2">
        <w:rPr>
          <w:bCs/>
          <w:i/>
          <w:iCs/>
        </w:rPr>
        <w:t xml:space="preserve">sport, </w:t>
      </w:r>
      <w:r w:rsidRPr="00AF3ED2">
        <w:rPr>
          <w:bCs/>
          <w:iCs/>
        </w:rPr>
        <w:t>in April, numerous dynamic sports activities took place nationwide, particularly in connection with a series of events celebrating the Liberation of the South and National Reunification Day (April 30</w:t>
      </w:r>
      <w:r w:rsidRPr="00AF3ED2">
        <w:rPr>
          <w:bCs/>
          <w:iCs/>
          <w:vertAlign w:val="superscript"/>
        </w:rPr>
        <w:t>th</w:t>
      </w:r>
      <w:r w:rsidRPr="00AF3ED2">
        <w:rPr>
          <w:bCs/>
          <w:iCs/>
        </w:rPr>
        <w:t>) and International Workers’ Day (May 1</w:t>
      </w:r>
      <w:r w:rsidRPr="00AF3ED2">
        <w:rPr>
          <w:bCs/>
          <w:iCs/>
          <w:vertAlign w:val="superscript"/>
        </w:rPr>
        <w:t>st</w:t>
      </w:r>
      <w:r w:rsidRPr="00AF3ED2">
        <w:rPr>
          <w:bCs/>
          <w:iCs/>
        </w:rPr>
        <w:t>), including marathon and half-marathon races</w:t>
      </w:r>
      <w:r w:rsidRPr="00AF3ED2">
        <w:rPr>
          <w:rStyle w:val="FootnoteReference"/>
          <w:spacing w:val="2"/>
        </w:rPr>
        <w:footnoteReference w:id="32"/>
      </w:r>
      <w:r w:rsidRPr="00AF3ED2">
        <w:rPr>
          <w:bCs/>
          <w:iCs/>
        </w:rPr>
        <w:t>; The 1</w:t>
      </w:r>
      <w:r w:rsidRPr="00AF3ED2">
        <w:rPr>
          <w:bCs/>
          <w:iCs/>
          <w:vertAlign w:val="superscript"/>
        </w:rPr>
        <w:t>st</w:t>
      </w:r>
      <w:r w:rsidRPr="00AF3ED2">
        <w:rPr>
          <w:bCs/>
          <w:iCs/>
        </w:rPr>
        <w:t xml:space="preserve"> Ho Chi Minh City Sports Games in 2026… In addition, the online running movement (Online Run) continued to be strongly maintained on digital platforms, attracting people from all regions to participate in response to the special emulation campaign towards the 80th anniversary of the Sports sector’s traditional day.</w:t>
      </w:r>
    </w:p>
    <w:p w14:paraId="59AA128E" w14:textId="775EFAA0" w:rsidR="005B4C2A" w:rsidRPr="00AF3ED2" w:rsidRDefault="005B4C2A" w:rsidP="005B4C2A">
      <w:pPr>
        <w:spacing w:after="120" w:line="264" w:lineRule="auto"/>
        <w:ind w:firstLine="720"/>
        <w:jc w:val="both"/>
        <w:outlineLvl w:val="0"/>
        <w:rPr>
          <w:spacing w:val="2"/>
        </w:rPr>
      </w:pPr>
      <w:r w:rsidRPr="00AF3ED2">
        <w:rPr>
          <w:i/>
          <w:iCs/>
        </w:rPr>
        <w:lastRenderedPageBreak/>
        <w:t xml:space="preserve">Regarding elite sport, </w:t>
      </w:r>
      <w:r w:rsidRPr="00AF3ED2">
        <w:rPr>
          <w:bCs/>
          <w:iCs/>
        </w:rPr>
        <w:t xml:space="preserve">in April, several sports activities took place in a </w:t>
      </w:r>
      <w:r w:rsidR="00F7170E">
        <w:rPr>
          <w:bCs/>
          <w:iCs/>
        </w:rPr>
        <w:t>dynamic</w:t>
      </w:r>
      <w:r w:rsidRPr="00AF3ED2">
        <w:rPr>
          <w:bCs/>
          <w:iCs/>
        </w:rPr>
        <w:t xml:space="preserve"> manner, including: the National Kickboxing Championship </w:t>
      </w:r>
      <w:r>
        <w:rPr>
          <w:bCs/>
          <w:iCs/>
        </w:rPr>
        <w:t>for S</w:t>
      </w:r>
      <w:r w:rsidRPr="00406AC1">
        <w:rPr>
          <w:bCs/>
          <w:iCs/>
        </w:rPr>
        <w:t xml:space="preserve">tandout </w:t>
      </w:r>
      <w:r>
        <w:rPr>
          <w:bCs/>
          <w:iCs/>
        </w:rPr>
        <w:t>T</w:t>
      </w:r>
      <w:r w:rsidRPr="00AF3ED2">
        <w:rPr>
          <w:bCs/>
          <w:iCs/>
        </w:rPr>
        <w:t>eams from April 2</w:t>
      </w:r>
      <w:r w:rsidRPr="00AF3ED2">
        <w:rPr>
          <w:bCs/>
          <w:iCs/>
          <w:vertAlign w:val="superscript"/>
        </w:rPr>
        <w:t>nd</w:t>
      </w:r>
      <w:r w:rsidRPr="00AF3ED2">
        <w:rPr>
          <w:bCs/>
          <w:iCs/>
        </w:rPr>
        <w:t xml:space="preserve"> to 11</w:t>
      </w:r>
      <w:r w:rsidRPr="00AF3ED2">
        <w:rPr>
          <w:bCs/>
          <w:iCs/>
          <w:vertAlign w:val="superscript"/>
        </w:rPr>
        <w:t>th</w:t>
      </w:r>
      <w:r w:rsidRPr="00AF3ED2">
        <w:rPr>
          <w:bCs/>
          <w:iCs/>
        </w:rPr>
        <w:t>, 2026 in Ha Noi; the National top shuttlecock Championship from April 18</w:t>
      </w:r>
      <w:r w:rsidRPr="00AF3ED2">
        <w:rPr>
          <w:bCs/>
          <w:iCs/>
          <w:vertAlign w:val="superscript"/>
        </w:rPr>
        <w:t>th</w:t>
      </w:r>
      <w:r w:rsidRPr="00AF3ED2">
        <w:rPr>
          <w:bCs/>
          <w:iCs/>
        </w:rPr>
        <w:t xml:space="preserve"> to 23</w:t>
      </w:r>
      <w:r w:rsidRPr="00AF3ED2">
        <w:rPr>
          <w:bCs/>
          <w:iCs/>
          <w:vertAlign w:val="superscript"/>
        </w:rPr>
        <w:t>rd</w:t>
      </w:r>
      <w:r w:rsidRPr="00AF3ED2">
        <w:rPr>
          <w:bCs/>
          <w:iCs/>
        </w:rPr>
        <w:t>, 2026 in Hue, bringing together nearly 170 outstanding athletes from 10 provinces, cities and sectors nationwide; and the Ho Chi Minh City Television Cup Cycling Race (HTV Cup) from April 3</w:t>
      </w:r>
      <w:r w:rsidRPr="00AF3ED2">
        <w:rPr>
          <w:bCs/>
          <w:iCs/>
          <w:vertAlign w:val="superscript"/>
        </w:rPr>
        <w:t>rd</w:t>
      </w:r>
      <w:r w:rsidRPr="00AF3ED2">
        <w:rPr>
          <w:bCs/>
          <w:iCs/>
        </w:rPr>
        <w:t xml:space="preserve"> – 30</w:t>
      </w:r>
      <w:r w:rsidRPr="00AF3ED2">
        <w:rPr>
          <w:bCs/>
          <w:iCs/>
          <w:vertAlign w:val="superscript"/>
        </w:rPr>
        <w:t>th</w:t>
      </w:r>
      <w:r w:rsidRPr="00AF3ED2">
        <w:rPr>
          <w:bCs/>
          <w:iCs/>
        </w:rPr>
        <w:t>, 2026, starting at Van Lang Park (Viet Tri, Phu Tho) and finishing at the Reunification Hall, Ho Chi Minh City.</w:t>
      </w:r>
    </w:p>
    <w:p w14:paraId="6C96B876" w14:textId="77777777" w:rsidR="005B4C2A" w:rsidRPr="00AF3ED2" w:rsidRDefault="005B4C2A" w:rsidP="005B4C2A">
      <w:pPr>
        <w:spacing w:after="120" w:line="264" w:lineRule="auto"/>
        <w:ind w:firstLine="720"/>
        <w:jc w:val="both"/>
        <w:outlineLvl w:val="0"/>
        <w:rPr>
          <w:b/>
          <w:i/>
        </w:rPr>
      </w:pPr>
      <w:r w:rsidRPr="00AF3ED2">
        <w:rPr>
          <w:b/>
          <w:i/>
        </w:rPr>
        <w:t xml:space="preserve">d) </w:t>
      </w:r>
      <w:r w:rsidRPr="00AF3ED2">
        <w:rPr>
          <w:rFonts w:eastAsia="Calibri"/>
          <w:b/>
          <w:i/>
        </w:rPr>
        <w:t>Traffic accidents</w:t>
      </w:r>
      <w:r w:rsidRPr="00AF3ED2">
        <w:rPr>
          <w:b/>
          <w:bCs/>
          <w:iCs/>
          <w:vertAlign w:val="superscript"/>
        </w:rPr>
        <w:footnoteReference w:id="33"/>
      </w:r>
    </w:p>
    <w:p w14:paraId="6D2F6FC4" w14:textId="77777777" w:rsidR="005B4C2A" w:rsidRPr="00AF3ED2" w:rsidRDefault="005B4C2A" w:rsidP="005B4C2A">
      <w:pPr>
        <w:spacing w:after="160" w:line="256" w:lineRule="auto"/>
        <w:ind w:firstLine="720"/>
        <w:jc w:val="both"/>
        <w:rPr>
          <w:rFonts w:eastAsia="Calibri"/>
        </w:rPr>
      </w:pPr>
      <w:r w:rsidRPr="00AF3ED2">
        <w:rPr>
          <w:rFonts w:eastAsia="Calibri"/>
        </w:rPr>
        <w:t>In April (from March 15</w:t>
      </w:r>
      <w:r w:rsidRPr="00AF3ED2">
        <w:rPr>
          <w:rFonts w:eastAsia="Calibri"/>
          <w:vertAlign w:val="superscript"/>
        </w:rPr>
        <w:t>th</w:t>
      </w:r>
      <w:r w:rsidRPr="00AF3ED2">
        <w:rPr>
          <w:rFonts w:eastAsia="Calibri"/>
        </w:rPr>
        <w:t xml:space="preserve"> to April 14</w:t>
      </w:r>
      <w:r w:rsidRPr="00AF3ED2">
        <w:rPr>
          <w:rFonts w:eastAsia="Calibri"/>
          <w:vertAlign w:val="superscript"/>
        </w:rPr>
        <w:t>th</w:t>
      </w:r>
      <w:r w:rsidRPr="00AF3ED2">
        <w:rPr>
          <w:rFonts w:eastAsia="Calibri"/>
        </w:rPr>
        <w:t xml:space="preserve">, 2026), there were </w:t>
      </w:r>
      <w:r w:rsidRPr="00AF3ED2">
        <w:t>1,199</w:t>
      </w:r>
      <w:r w:rsidRPr="00AF3ED2">
        <w:rPr>
          <w:rFonts w:eastAsia="Calibri"/>
        </w:rPr>
        <w:t xml:space="preserve"> traffic accidents nationwide, causing </w:t>
      </w:r>
      <w:r w:rsidRPr="00AF3ED2">
        <w:t>754</w:t>
      </w:r>
      <w:r w:rsidRPr="00AF3ED2">
        <w:rPr>
          <w:rFonts w:eastAsia="Calibri"/>
        </w:rPr>
        <w:t xml:space="preserve"> deaths and </w:t>
      </w:r>
      <w:r w:rsidRPr="00AF3ED2">
        <w:t>682</w:t>
      </w:r>
      <w:r w:rsidRPr="00AF3ED2">
        <w:rPr>
          <w:rFonts w:eastAsia="Calibri"/>
        </w:rPr>
        <w:t xml:space="preserve"> injuries. Compared to the figures of </w:t>
      </w:r>
      <w:r w:rsidRPr="00AF3ED2">
        <w:t xml:space="preserve">March </w:t>
      </w:r>
      <w:r w:rsidRPr="00AF3ED2">
        <w:rPr>
          <w:rFonts w:eastAsia="Calibri"/>
        </w:rPr>
        <w:t xml:space="preserve">2026, the number of traffic accidents, deaths and injuries saw an increase of </w:t>
      </w:r>
      <w:r w:rsidRPr="00AF3ED2">
        <w:t>13.0</w:t>
      </w:r>
      <w:r w:rsidRPr="00AF3ED2">
        <w:rPr>
          <w:rFonts w:eastAsia="Calibri"/>
        </w:rPr>
        <w:t xml:space="preserve">%, </w:t>
      </w:r>
      <w:r w:rsidRPr="00AF3ED2">
        <w:t>7.6</w:t>
      </w:r>
      <w:r w:rsidRPr="00AF3ED2">
        <w:rPr>
          <w:rFonts w:eastAsia="Calibri"/>
        </w:rPr>
        <w:t xml:space="preserve">% and </w:t>
      </w:r>
      <w:r w:rsidRPr="00AF3ED2">
        <w:t>12.7</w:t>
      </w:r>
      <w:r w:rsidRPr="00AF3ED2">
        <w:rPr>
          <w:rFonts w:eastAsia="Calibri"/>
        </w:rPr>
        <w:t xml:space="preserve">%, respectively. Compared to the figures of the same period in 2025, the number of accidents, deaths, and injuries decreased by </w:t>
      </w:r>
      <w:r w:rsidRPr="00AF3ED2">
        <w:t>24.1</w:t>
      </w:r>
      <w:r w:rsidRPr="00AF3ED2">
        <w:rPr>
          <w:rFonts w:eastAsia="Calibri"/>
        </w:rPr>
        <w:t xml:space="preserve">%, </w:t>
      </w:r>
      <w:r w:rsidRPr="00AF3ED2">
        <w:t>14.2</w:t>
      </w:r>
      <w:r w:rsidRPr="00AF3ED2">
        <w:rPr>
          <w:rFonts w:eastAsia="Calibri"/>
        </w:rPr>
        <w:t xml:space="preserve">%, </w:t>
      </w:r>
      <w:r w:rsidRPr="00AF3ED2">
        <w:t>35.4</w:t>
      </w:r>
      <w:r w:rsidRPr="00AF3ED2">
        <w:rPr>
          <w:rFonts w:eastAsia="Calibri"/>
        </w:rPr>
        <w:t xml:space="preserve">%, respectively.  </w:t>
      </w:r>
    </w:p>
    <w:p w14:paraId="4FDF976E" w14:textId="77777777" w:rsidR="005B4C2A" w:rsidRPr="00AF3ED2" w:rsidRDefault="005B4C2A" w:rsidP="005B4C2A">
      <w:pPr>
        <w:tabs>
          <w:tab w:val="left" w:pos="426"/>
          <w:tab w:val="left" w:pos="900"/>
        </w:tabs>
        <w:spacing w:after="120" w:line="264" w:lineRule="auto"/>
        <w:ind w:firstLine="720"/>
        <w:jc w:val="both"/>
        <w:rPr>
          <w:rFonts w:eastAsia="Calibri"/>
          <w:shd w:val="clear" w:color="auto" w:fill="FFFFFF"/>
        </w:rPr>
      </w:pPr>
      <w:r w:rsidRPr="00AF3ED2">
        <w:rPr>
          <w:rFonts w:eastAsia="Calibri"/>
        </w:rPr>
        <w:t xml:space="preserve">Overall, in four months of 2026, there were </w:t>
      </w:r>
      <w:r w:rsidRPr="00AF3ED2">
        <w:t xml:space="preserve">5,278 </w:t>
      </w:r>
      <w:r w:rsidRPr="00AF3ED2">
        <w:rPr>
          <w:rFonts w:eastAsia="Calibri"/>
        </w:rPr>
        <w:t xml:space="preserve">traffic accidents nationwide, causing </w:t>
      </w:r>
      <w:r w:rsidRPr="00AF3ED2">
        <w:t xml:space="preserve">3,259 </w:t>
      </w:r>
      <w:r w:rsidRPr="00AF3ED2">
        <w:rPr>
          <w:rFonts w:eastAsia="Calibri"/>
        </w:rPr>
        <w:t xml:space="preserve">deaths and </w:t>
      </w:r>
      <w:r w:rsidRPr="00AF3ED2">
        <w:t xml:space="preserve">3,118 </w:t>
      </w:r>
      <w:r w:rsidRPr="00AF3ED2">
        <w:rPr>
          <w:rFonts w:eastAsia="Calibri"/>
        </w:rPr>
        <w:t xml:space="preserve">injuries. Compared to the figures of the same period last year, the number of traffic accidents cases, deaths, and injuries decreased by </w:t>
      </w:r>
      <w:r w:rsidRPr="00AF3ED2">
        <w:t>16.9</w:t>
      </w:r>
      <w:r w:rsidRPr="00AF3ED2">
        <w:rPr>
          <w:rFonts w:eastAsia="Calibri"/>
        </w:rPr>
        <w:t xml:space="preserve">%, </w:t>
      </w:r>
      <w:r w:rsidRPr="00AF3ED2">
        <w:t>7.8</w:t>
      </w:r>
      <w:r w:rsidRPr="00AF3ED2">
        <w:rPr>
          <w:rFonts w:eastAsia="Calibri"/>
        </w:rPr>
        <w:t xml:space="preserve">%, and </w:t>
      </w:r>
      <w:r w:rsidRPr="00AF3ED2">
        <w:t>26.2</w:t>
      </w:r>
      <w:r w:rsidRPr="00AF3ED2">
        <w:rPr>
          <w:rFonts w:eastAsia="Calibri"/>
        </w:rPr>
        <w:t xml:space="preserve">%, respectively. On average, in four months of 2026, there were </w:t>
      </w:r>
      <w:r w:rsidRPr="00AF3ED2">
        <w:t>44</w:t>
      </w:r>
      <w:r w:rsidRPr="00AF3ED2">
        <w:rPr>
          <w:rFonts w:eastAsia="Calibri"/>
        </w:rPr>
        <w:t xml:space="preserve"> traffic accidents occurred a day, causing </w:t>
      </w:r>
      <w:r w:rsidRPr="00AF3ED2">
        <w:t>27</w:t>
      </w:r>
      <w:r w:rsidRPr="00AF3ED2">
        <w:rPr>
          <w:rFonts w:eastAsia="Calibri"/>
        </w:rPr>
        <w:t xml:space="preserve"> deaths and </w:t>
      </w:r>
      <w:r w:rsidRPr="00AF3ED2">
        <w:t>26</w:t>
      </w:r>
      <w:r w:rsidRPr="00AF3ED2">
        <w:rPr>
          <w:rFonts w:eastAsia="Calibri"/>
        </w:rPr>
        <w:t xml:space="preserve"> injuries.</w:t>
      </w:r>
    </w:p>
    <w:p w14:paraId="4FC14016" w14:textId="77777777" w:rsidR="005B4C2A" w:rsidRPr="00AF3ED2" w:rsidRDefault="005B4C2A" w:rsidP="005B4C2A">
      <w:pPr>
        <w:pStyle w:val="Normal11"/>
        <w:spacing w:before="0" w:beforeAutospacing="0" w:after="120" w:afterAutospacing="0" w:line="264" w:lineRule="auto"/>
        <w:ind w:firstLine="720"/>
        <w:jc w:val="both"/>
        <w:rPr>
          <w:rFonts w:ascii="Times New Roman" w:hAnsi="Times New Roman" w:cs="Times New Roman"/>
          <w:b/>
          <w:i/>
          <w:sz w:val="28"/>
          <w:szCs w:val="28"/>
        </w:rPr>
      </w:pPr>
      <w:r w:rsidRPr="00AF3ED2">
        <w:rPr>
          <w:rFonts w:ascii="Times New Roman" w:hAnsi="Times New Roman" w:cs="Times New Roman"/>
          <w:b/>
          <w:i/>
          <w:sz w:val="28"/>
          <w:szCs w:val="28"/>
        </w:rPr>
        <w:t xml:space="preserve">đ) </w:t>
      </w:r>
      <w:r w:rsidRPr="00AF3ED2">
        <w:rPr>
          <w:rFonts w:ascii="Times New Roman" w:hAnsi="Times New Roman" w:cs="Times New Roman"/>
          <w:b/>
          <w:i/>
          <w:spacing w:val="-2"/>
          <w:sz w:val="28"/>
          <w:szCs w:val="28"/>
        </w:rPr>
        <w:t>Disaster-induced loss</w:t>
      </w:r>
      <w:r w:rsidRPr="00AF3ED2">
        <w:rPr>
          <w:rStyle w:val="FootnoteReference"/>
          <w:rFonts w:ascii="Times New Roman" w:eastAsia="Calibri" w:hAnsi="Times New Roman" w:cs="Times New Roman"/>
          <w:b/>
          <w:bCs/>
          <w:i/>
          <w:sz w:val="28"/>
          <w:szCs w:val="28"/>
        </w:rPr>
        <w:footnoteReference w:id="34"/>
      </w:r>
    </w:p>
    <w:p w14:paraId="43C45FC3" w14:textId="77777777" w:rsidR="005B4C2A" w:rsidRPr="00AF3ED2" w:rsidRDefault="005B4C2A" w:rsidP="005B4C2A">
      <w:pPr>
        <w:pStyle w:val="Normal11"/>
        <w:spacing w:before="0" w:beforeAutospacing="0" w:after="120" w:afterAutospacing="0" w:line="264" w:lineRule="auto"/>
        <w:ind w:firstLine="720"/>
        <w:jc w:val="both"/>
        <w:rPr>
          <w:rFonts w:ascii="Times New Roman" w:hAnsi="Times New Roman" w:cs="Times New Roman"/>
          <w:sz w:val="28"/>
          <w:szCs w:val="28"/>
        </w:rPr>
      </w:pPr>
      <w:r w:rsidRPr="00AF3ED2">
        <w:rPr>
          <w:rFonts w:ascii="Times New Roman" w:hAnsi="Times New Roman" w:cs="Times New Roman"/>
          <w:sz w:val="28"/>
          <w:szCs w:val="28"/>
        </w:rPr>
        <w:t xml:space="preserve">Damage caused by natural disasters in April was mainly due to the impacts of heavy rain, whirlwinds, and thunderstorms with lightning, causing </w:t>
      </w:r>
      <w:r w:rsidRPr="00AF3ED2">
        <w:rPr>
          <w:rFonts w:ascii="Times New Roman" w:eastAsia="Calibri" w:hAnsi="Times New Roman" w:cs="Times New Roman"/>
          <w:sz w:val="28"/>
          <w:szCs w:val="28"/>
        </w:rPr>
        <w:t>5</w:t>
      </w:r>
      <w:r w:rsidRPr="00AF3ED2">
        <w:rPr>
          <w:rFonts w:ascii="Times New Roman" w:hAnsi="Times New Roman" w:cs="Times New Roman"/>
          <w:sz w:val="28"/>
          <w:szCs w:val="28"/>
        </w:rPr>
        <w:t xml:space="preserve"> death and </w:t>
      </w:r>
      <w:r w:rsidRPr="00AF3ED2">
        <w:rPr>
          <w:rFonts w:ascii="Times New Roman" w:eastAsia="Calibri" w:hAnsi="Times New Roman" w:cs="Times New Roman"/>
          <w:sz w:val="28"/>
          <w:szCs w:val="28"/>
        </w:rPr>
        <w:t>16</w:t>
      </w:r>
      <w:r w:rsidRPr="00AF3ED2">
        <w:rPr>
          <w:rFonts w:ascii="Times New Roman" w:hAnsi="Times New Roman" w:cs="Times New Roman"/>
          <w:sz w:val="28"/>
          <w:szCs w:val="28"/>
        </w:rPr>
        <w:t xml:space="preserve"> injuries; damaged more than </w:t>
      </w:r>
      <w:r w:rsidRPr="00AF3ED2">
        <w:rPr>
          <w:rFonts w:ascii="Times New Roman" w:eastAsia="Calibri" w:hAnsi="Times New Roman" w:cs="Times New Roman"/>
          <w:sz w:val="28"/>
          <w:szCs w:val="28"/>
        </w:rPr>
        <w:t>6.4</w:t>
      </w:r>
      <w:r w:rsidRPr="00AF3ED2">
        <w:t xml:space="preserve"> </w:t>
      </w:r>
      <w:r w:rsidRPr="00AF3ED2">
        <w:rPr>
          <w:rFonts w:ascii="Times New Roman" w:hAnsi="Times New Roman" w:cs="Times New Roman"/>
          <w:sz w:val="28"/>
          <w:szCs w:val="28"/>
        </w:rPr>
        <w:t xml:space="preserve">thousand hectares of rice and other crops; collapsed, swept away, or damaged </w:t>
      </w:r>
      <w:r w:rsidRPr="00AF3ED2">
        <w:rPr>
          <w:rFonts w:ascii="Times New Roman" w:eastAsia="Calibri" w:hAnsi="Times New Roman" w:cs="Times New Roman"/>
          <w:sz w:val="28"/>
          <w:szCs w:val="28"/>
        </w:rPr>
        <w:t>1,993</w:t>
      </w:r>
      <w:r w:rsidRPr="00AF3ED2">
        <w:rPr>
          <w:rFonts w:ascii="Times New Roman" w:hAnsi="Times New Roman" w:cs="Times New Roman"/>
          <w:sz w:val="28"/>
          <w:szCs w:val="28"/>
        </w:rPr>
        <w:t xml:space="preserve"> houses; total property losses caused by natural disasters during the month amounted to </w:t>
      </w:r>
      <w:r w:rsidRPr="00AF3ED2">
        <w:rPr>
          <w:rFonts w:ascii="Times New Roman" w:eastAsia="Calibri" w:hAnsi="Times New Roman" w:cs="Times New Roman"/>
          <w:sz w:val="28"/>
          <w:szCs w:val="28"/>
        </w:rPr>
        <w:t>318.5</w:t>
      </w:r>
      <w:r w:rsidRPr="00AF3ED2">
        <w:rPr>
          <w:rFonts w:ascii="Times New Roman" w:hAnsi="Times New Roman" w:cs="Times New Roman"/>
          <w:sz w:val="28"/>
          <w:szCs w:val="28"/>
        </w:rPr>
        <w:t xml:space="preserve"> billion VND, </w:t>
      </w:r>
      <w:r w:rsidRPr="00AF3ED2">
        <w:rPr>
          <w:rFonts w:ascii="Times New Roman" w:eastAsia="Calibri" w:hAnsi="Times New Roman" w:cs="Times New Roman"/>
          <w:sz w:val="28"/>
          <w:szCs w:val="28"/>
        </w:rPr>
        <w:t>nearly 7.4</w:t>
      </w:r>
      <w:r w:rsidRPr="00AF3ED2">
        <w:rPr>
          <w:rFonts w:ascii="Times New Roman" w:hAnsi="Times New Roman" w:cs="Times New Roman"/>
          <w:sz w:val="28"/>
          <w:szCs w:val="28"/>
        </w:rPr>
        <w:t xml:space="preserve"> times higher than the same period last year. Overall, in four months of 2026, natural disasters caused </w:t>
      </w:r>
      <w:r w:rsidRPr="00AF3ED2">
        <w:rPr>
          <w:rFonts w:ascii="Times New Roman" w:eastAsia="Calibri" w:hAnsi="Times New Roman" w:cs="Times New Roman"/>
          <w:sz w:val="28"/>
          <w:szCs w:val="28"/>
        </w:rPr>
        <w:t>6</w:t>
      </w:r>
      <w:r w:rsidRPr="00AF3ED2">
        <w:rPr>
          <w:rFonts w:ascii="Times New Roman" w:hAnsi="Times New Roman" w:cs="Times New Roman"/>
          <w:sz w:val="28"/>
          <w:szCs w:val="28"/>
        </w:rPr>
        <w:t xml:space="preserve"> death and </w:t>
      </w:r>
      <w:r w:rsidRPr="00AF3ED2">
        <w:rPr>
          <w:rFonts w:ascii="Times New Roman" w:eastAsia="Calibri" w:hAnsi="Times New Roman" w:cs="Times New Roman"/>
          <w:sz w:val="28"/>
          <w:szCs w:val="28"/>
        </w:rPr>
        <w:t>26</w:t>
      </w:r>
      <w:r w:rsidRPr="00AF3ED2">
        <w:rPr>
          <w:rFonts w:ascii="Times New Roman" w:hAnsi="Times New Roman" w:cs="Times New Roman"/>
          <w:sz w:val="28"/>
          <w:szCs w:val="28"/>
        </w:rPr>
        <w:t xml:space="preserve"> injuries; damaged more than </w:t>
      </w:r>
      <w:r w:rsidRPr="00AF3ED2">
        <w:rPr>
          <w:rFonts w:ascii="Times New Roman" w:eastAsia="Calibri" w:hAnsi="Times New Roman" w:cs="Times New Roman"/>
          <w:sz w:val="28"/>
          <w:szCs w:val="28"/>
        </w:rPr>
        <w:t xml:space="preserve">9.1 </w:t>
      </w:r>
      <w:r w:rsidRPr="00AF3ED2">
        <w:rPr>
          <w:rFonts w:ascii="Times New Roman" w:hAnsi="Times New Roman" w:cs="Times New Roman"/>
          <w:sz w:val="28"/>
          <w:szCs w:val="28"/>
        </w:rPr>
        <w:t xml:space="preserve">thousand hectares of rice and other crops; destroyed, swept away, or damaged 2,439 houses. Total property losses caused by natural disasters were estimated at </w:t>
      </w:r>
      <w:r w:rsidRPr="00AF3ED2">
        <w:rPr>
          <w:rFonts w:ascii="Times New Roman" w:eastAsia="Calibri" w:hAnsi="Times New Roman" w:cs="Times New Roman"/>
          <w:sz w:val="28"/>
          <w:szCs w:val="28"/>
        </w:rPr>
        <w:t>496.9</w:t>
      </w:r>
      <w:r w:rsidRPr="00AF3ED2">
        <w:rPr>
          <w:rFonts w:ascii="Times New Roman" w:hAnsi="Times New Roman" w:cs="Times New Roman"/>
          <w:sz w:val="28"/>
          <w:szCs w:val="28"/>
        </w:rPr>
        <w:t xml:space="preserve"> billion VND, </w:t>
      </w:r>
      <w:r w:rsidRPr="00AF3ED2">
        <w:rPr>
          <w:rFonts w:ascii="Times New Roman" w:eastAsia="Calibri" w:hAnsi="Times New Roman" w:cs="Times New Roman"/>
          <w:sz w:val="28"/>
          <w:szCs w:val="28"/>
        </w:rPr>
        <w:t>3.7 times higher than the same period in 2025</w:t>
      </w:r>
      <w:r w:rsidRPr="00AF3ED2">
        <w:rPr>
          <w:rFonts w:ascii="Times New Roman" w:hAnsi="Times New Roman" w:cs="Times New Roman"/>
          <w:sz w:val="28"/>
          <w:szCs w:val="28"/>
        </w:rPr>
        <w:t>.</w:t>
      </w:r>
    </w:p>
    <w:p w14:paraId="5F9A9886" w14:textId="77777777" w:rsidR="005B4C2A" w:rsidRPr="00AF3ED2" w:rsidRDefault="005B4C2A" w:rsidP="005B4C2A">
      <w:pPr>
        <w:tabs>
          <w:tab w:val="left" w:pos="426"/>
          <w:tab w:val="left" w:pos="900"/>
        </w:tabs>
        <w:spacing w:after="120" w:line="264" w:lineRule="auto"/>
        <w:ind w:firstLine="720"/>
        <w:jc w:val="both"/>
        <w:rPr>
          <w:rFonts w:eastAsia="Calibri"/>
          <w:b/>
          <w:i/>
        </w:rPr>
      </w:pPr>
      <w:r w:rsidRPr="00AF3ED2">
        <w:rPr>
          <w:rFonts w:eastAsia="Calibri"/>
          <w:b/>
          <w:i/>
        </w:rPr>
        <w:t>e)</w:t>
      </w:r>
      <w:r w:rsidRPr="00AF3ED2">
        <w:rPr>
          <w:b/>
          <w:i/>
        </w:rPr>
        <w:t xml:space="preserve"> Environmental protection and fire and explosion prevention </w:t>
      </w:r>
    </w:p>
    <w:p w14:paraId="48DA40F8" w14:textId="77777777" w:rsidR="005B4C2A" w:rsidRPr="00AF3ED2" w:rsidRDefault="005B4C2A" w:rsidP="005B4C2A">
      <w:pPr>
        <w:tabs>
          <w:tab w:val="left" w:pos="426"/>
          <w:tab w:val="left" w:pos="900"/>
        </w:tabs>
        <w:spacing w:after="120" w:line="264" w:lineRule="auto"/>
        <w:ind w:firstLine="720"/>
        <w:jc w:val="both"/>
        <w:rPr>
          <w:rFonts w:eastAsia="Calibri"/>
        </w:rPr>
      </w:pPr>
      <w:r w:rsidRPr="00AF3ED2">
        <w:rPr>
          <w:rFonts w:eastAsia="Calibri"/>
        </w:rPr>
        <w:lastRenderedPageBreak/>
        <w:t>In April (from March 26</w:t>
      </w:r>
      <w:r w:rsidRPr="00AF3ED2">
        <w:rPr>
          <w:rFonts w:eastAsia="Calibri"/>
          <w:vertAlign w:val="superscript"/>
        </w:rPr>
        <w:t>th</w:t>
      </w:r>
      <w:r w:rsidRPr="00AF3ED2">
        <w:rPr>
          <w:rFonts w:eastAsia="Calibri"/>
        </w:rPr>
        <w:t xml:space="preserve"> to April 23</w:t>
      </w:r>
      <w:r w:rsidRPr="00AF3ED2">
        <w:rPr>
          <w:rFonts w:eastAsia="Calibri"/>
          <w:vertAlign w:val="superscript"/>
        </w:rPr>
        <w:t>rd</w:t>
      </w:r>
      <w:r w:rsidRPr="00AF3ED2">
        <w:rPr>
          <w:rFonts w:eastAsia="Calibri"/>
        </w:rPr>
        <w:t>, 2026)</w:t>
      </w:r>
      <w:r w:rsidRPr="00AF3ED2">
        <w:rPr>
          <w:rStyle w:val="FootnoteReference"/>
          <w:rFonts w:eastAsia="Calibri"/>
        </w:rPr>
        <w:footnoteReference w:id="35"/>
      </w:r>
      <w:r w:rsidRPr="00AF3ED2">
        <w:rPr>
          <w:rFonts w:eastAsia="Calibri"/>
        </w:rPr>
        <w:t xml:space="preserve">, authorities detected 853 environmental violations in </w:t>
      </w:r>
      <w:r w:rsidRPr="00AF3ED2">
        <w:t>33</w:t>
      </w:r>
      <w:r w:rsidRPr="00AF3ED2">
        <w:rPr>
          <w:rFonts w:eastAsia="Calibri"/>
        </w:rPr>
        <w:t xml:space="preserve"> out of 34 localities</w:t>
      </w:r>
      <w:r w:rsidRPr="00AF3ED2">
        <w:rPr>
          <w:rStyle w:val="FootnoteReference"/>
        </w:rPr>
        <w:footnoteReference w:id="36"/>
      </w:r>
      <w:r w:rsidRPr="00AF3ED2">
        <w:rPr>
          <w:rFonts w:eastAsia="Calibri"/>
        </w:rPr>
        <w:t xml:space="preserve">, of which, 801 cases were addressed with a total fine of </w:t>
      </w:r>
      <w:r w:rsidRPr="00AF3ED2">
        <w:rPr>
          <w:snapToGrid w:val="0"/>
        </w:rPr>
        <w:t>21.2</w:t>
      </w:r>
      <w:r w:rsidRPr="00AF3ED2">
        <w:rPr>
          <w:rFonts w:eastAsia="Calibri"/>
        </w:rPr>
        <w:t xml:space="preserve"> billion VND, gaining a month-on-month increase of 1.1% and a year-on-year rise of 70.1%. Overall, in four months of 2026, the authorities detected 6,444 cases of environmental violations, of which, 5,633 cases were addressed with a total fine of nearly 108.7 billion VND, recording a year-on-year increase of 30.9%.</w:t>
      </w:r>
    </w:p>
    <w:p w14:paraId="77FB4055" w14:textId="77777777" w:rsidR="005B4C2A" w:rsidRPr="00AF3ED2" w:rsidRDefault="005B4C2A" w:rsidP="005B4C2A">
      <w:pPr>
        <w:tabs>
          <w:tab w:val="left" w:pos="426"/>
          <w:tab w:val="left" w:pos="900"/>
        </w:tabs>
        <w:spacing w:after="120" w:line="264" w:lineRule="auto"/>
        <w:ind w:firstLine="720"/>
        <w:jc w:val="both"/>
        <w:rPr>
          <w:rFonts w:eastAsia="Calibri"/>
        </w:rPr>
      </w:pPr>
      <w:r w:rsidRPr="00AF3ED2">
        <w:rPr>
          <w:rFonts w:eastAsia="Calibri"/>
        </w:rPr>
        <w:t>During the month (from March 15</w:t>
      </w:r>
      <w:r w:rsidRPr="00AF3ED2">
        <w:rPr>
          <w:rFonts w:eastAsia="Calibri"/>
          <w:vertAlign w:val="superscript"/>
        </w:rPr>
        <w:t>th</w:t>
      </w:r>
      <w:r w:rsidRPr="00AF3ED2">
        <w:rPr>
          <w:rFonts w:eastAsia="Calibri"/>
        </w:rPr>
        <w:t xml:space="preserve"> to April 14</w:t>
      </w:r>
      <w:r w:rsidRPr="00AF3ED2">
        <w:rPr>
          <w:rFonts w:eastAsia="Calibri"/>
          <w:vertAlign w:val="superscript"/>
        </w:rPr>
        <w:t>th</w:t>
      </w:r>
      <w:r w:rsidRPr="00AF3ED2">
        <w:rPr>
          <w:rFonts w:eastAsia="Calibri"/>
        </w:rPr>
        <w:t>, 2026)</w:t>
      </w:r>
      <w:r w:rsidRPr="00AF3ED2">
        <w:rPr>
          <w:rStyle w:val="FootnoteReference"/>
          <w:rFonts w:eastAsia="Calibri"/>
          <w:spacing w:val="2"/>
        </w:rPr>
        <w:footnoteReference w:id="37"/>
      </w:r>
      <w:r w:rsidRPr="00AF3ED2">
        <w:rPr>
          <w:rFonts w:eastAsia="Calibri"/>
        </w:rPr>
        <w:t xml:space="preserve">, </w:t>
      </w:r>
      <w:r w:rsidRPr="00AF3ED2">
        <w:rPr>
          <w:rFonts w:eastAsia="Calibri"/>
          <w:spacing w:val="2"/>
        </w:rPr>
        <w:t>277</w:t>
      </w:r>
      <w:r w:rsidRPr="00AF3ED2">
        <w:rPr>
          <w:rFonts w:eastAsia="Calibri"/>
        </w:rPr>
        <w:t xml:space="preserve"> cases of fire and explosion occurred nationwide, causing </w:t>
      </w:r>
      <w:r w:rsidRPr="00AF3ED2">
        <w:rPr>
          <w:rFonts w:eastAsia="Calibri"/>
          <w:spacing w:val="2"/>
        </w:rPr>
        <w:t>15</w:t>
      </w:r>
      <w:r w:rsidRPr="00AF3ED2">
        <w:rPr>
          <w:rFonts w:eastAsia="Calibri"/>
        </w:rPr>
        <w:t xml:space="preserve"> deaths and </w:t>
      </w:r>
      <w:r w:rsidRPr="00AF3ED2">
        <w:rPr>
          <w:rFonts w:eastAsia="Calibri"/>
          <w:spacing w:val="2"/>
        </w:rPr>
        <w:t>15</w:t>
      </w:r>
      <w:r w:rsidRPr="00AF3ED2">
        <w:rPr>
          <w:rFonts w:eastAsia="Calibri"/>
        </w:rPr>
        <w:t xml:space="preserve"> injuries, with an estimated loss of </w:t>
      </w:r>
      <w:r w:rsidRPr="00AF3ED2">
        <w:rPr>
          <w:rFonts w:eastAsia="Calibri"/>
          <w:spacing w:val="2"/>
        </w:rPr>
        <w:t xml:space="preserve">43.1 </w:t>
      </w:r>
      <w:r w:rsidRPr="00AF3ED2">
        <w:rPr>
          <w:rFonts w:eastAsia="Calibri"/>
        </w:rPr>
        <w:t xml:space="preserve">billion VND, nearly 3 times higher than the number of the previous month and experiencing a year-on-year decrease of </w:t>
      </w:r>
      <w:r w:rsidRPr="00AF3ED2">
        <w:rPr>
          <w:rFonts w:eastAsia="Calibri"/>
          <w:spacing w:val="2"/>
        </w:rPr>
        <w:t>60.7</w:t>
      </w:r>
      <w:r w:rsidRPr="00AF3ED2">
        <w:rPr>
          <w:rFonts w:eastAsia="Calibri"/>
        </w:rPr>
        <w:t xml:space="preserve">%. Overall, in four months of 2026, there were </w:t>
      </w:r>
      <w:r w:rsidRPr="00AF3ED2">
        <w:rPr>
          <w:rFonts w:eastAsia="Calibri"/>
          <w:spacing w:val="2"/>
        </w:rPr>
        <w:t>1,006</w:t>
      </w:r>
      <w:r w:rsidRPr="00AF3ED2">
        <w:rPr>
          <w:rFonts w:eastAsia="Calibri"/>
        </w:rPr>
        <w:t xml:space="preserve"> cases of fire and explosion nationwide, causing </w:t>
      </w:r>
      <w:r w:rsidRPr="00AF3ED2">
        <w:rPr>
          <w:rFonts w:eastAsia="Calibri"/>
          <w:spacing w:val="2"/>
        </w:rPr>
        <w:t>41</w:t>
      </w:r>
      <w:r w:rsidRPr="00AF3ED2">
        <w:rPr>
          <w:rFonts w:eastAsia="Calibri"/>
        </w:rPr>
        <w:t xml:space="preserve"> deaths and </w:t>
      </w:r>
      <w:r w:rsidRPr="00AF3ED2">
        <w:rPr>
          <w:rFonts w:eastAsia="Calibri"/>
          <w:spacing w:val="2"/>
        </w:rPr>
        <w:t>49</w:t>
      </w:r>
      <w:r w:rsidRPr="00AF3ED2">
        <w:rPr>
          <w:rFonts w:eastAsia="Calibri"/>
        </w:rPr>
        <w:t xml:space="preserve"> injuries, with an estimated loss of </w:t>
      </w:r>
      <w:r w:rsidRPr="00AF3ED2">
        <w:rPr>
          <w:rFonts w:eastAsia="Calibri"/>
          <w:spacing w:val="2"/>
        </w:rPr>
        <w:t xml:space="preserve">280.7 </w:t>
      </w:r>
      <w:r w:rsidRPr="00AF3ED2">
        <w:rPr>
          <w:rFonts w:eastAsia="Calibri"/>
        </w:rPr>
        <w:t xml:space="preserve">billion VND, experiencing a year-on-year increase of </w:t>
      </w:r>
      <w:r w:rsidRPr="00AF3ED2">
        <w:rPr>
          <w:rFonts w:eastAsia="Calibri"/>
          <w:spacing w:val="2"/>
        </w:rPr>
        <w:t>26.2</w:t>
      </w:r>
      <w:r w:rsidRPr="00AF3ED2">
        <w:rPr>
          <w:rFonts w:eastAsia="Calibri"/>
        </w:rPr>
        <w:t>%.</w:t>
      </w:r>
    </w:p>
    <w:p w14:paraId="7CDFFFB3" w14:textId="77777777" w:rsidR="005B4C2A" w:rsidRPr="00AF3ED2" w:rsidRDefault="005B4C2A" w:rsidP="005B4C2A">
      <w:pPr>
        <w:tabs>
          <w:tab w:val="left" w:pos="426"/>
          <w:tab w:val="left" w:pos="900"/>
        </w:tabs>
        <w:spacing w:after="120" w:line="264" w:lineRule="auto"/>
        <w:ind w:firstLine="720"/>
        <w:jc w:val="both"/>
        <w:rPr>
          <w:rFonts w:eastAsia="Calibri"/>
          <w:b/>
          <w:i/>
        </w:rPr>
      </w:pPr>
    </w:p>
    <w:tbl>
      <w:tblPr>
        <w:tblStyle w:val="TableGrid1"/>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646"/>
      </w:tblGrid>
      <w:tr w:rsidR="005B4C2A" w:rsidRPr="00AF3ED2" w14:paraId="05789B6D" w14:textId="77777777" w:rsidTr="00D474E6">
        <w:tc>
          <w:tcPr>
            <w:tcW w:w="4533" w:type="dxa"/>
          </w:tcPr>
          <w:p w14:paraId="38617BED" w14:textId="77777777" w:rsidR="005B4C2A" w:rsidRPr="00AF3ED2" w:rsidRDefault="005B4C2A" w:rsidP="00D474E6">
            <w:pPr>
              <w:ind w:left="-57"/>
              <w:rPr>
                <w:rFonts w:eastAsia="Calibri"/>
                <w:b/>
                <w:i/>
                <w:sz w:val="24"/>
                <w:szCs w:val="22"/>
                <w:lang w:val="en-US"/>
              </w:rPr>
            </w:pPr>
            <w:r w:rsidRPr="00AF3ED2">
              <w:rPr>
                <w:rFonts w:eastAsia="Calibri"/>
                <w:b/>
                <w:i/>
                <w:sz w:val="24"/>
                <w:szCs w:val="22"/>
                <w:lang w:val="en-US"/>
              </w:rPr>
              <w:t>Recipients:</w:t>
            </w:r>
          </w:p>
          <w:p w14:paraId="0EDBFD5B"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General Secretary;</w:t>
            </w:r>
          </w:p>
          <w:p w14:paraId="28933FC3"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President;</w:t>
            </w:r>
          </w:p>
          <w:p w14:paraId="3401DC0E"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Chairperson of the National Assembly;</w:t>
            </w:r>
          </w:p>
          <w:p w14:paraId="4663D21D"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Prime Minister;</w:t>
            </w:r>
          </w:p>
          <w:p w14:paraId="7E8071E1"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Deputy Prime Ministers;</w:t>
            </w:r>
          </w:p>
          <w:p w14:paraId="209DD2A8"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Leaders of Ministry of Finance;</w:t>
            </w:r>
          </w:p>
          <w:p w14:paraId="61A72BB4"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Agencies under the Central Committee of the Party;</w:t>
            </w:r>
          </w:p>
          <w:p w14:paraId="65448CD4"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Office of the President;</w:t>
            </w:r>
          </w:p>
          <w:p w14:paraId="11DB8533"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Agencies under the National Assembly;</w:t>
            </w:r>
          </w:p>
          <w:p w14:paraId="2D91A363"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Ministries and Ministerial-level Agencies, Government agency;</w:t>
            </w:r>
          </w:p>
          <w:p w14:paraId="4735C6BC"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The Supreme People’s Court of the Socialist Republic of Viet Nam;</w:t>
            </w:r>
          </w:p>
          <w:p w14:paraId="7515F5DB"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The Supreme People's Procuracy;</w:t>
            </w:r>
          </w:p>
          <w:p w14:paraId="6685D169"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Central mass organizations;</w:t>
            </w:r>
          </w:p>
          <w:p w14:paraId="36BF96EA"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Provinces and centrally governed cities;</w:t>
            </w:r>
          </w:p>
          <w:p w14:paraId="6F0D6CD1"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Vietnam Chamber of Commerce and Industry (VCCI);</w:t>
            </w:r>
          </w:p>
          <w:p w14:paraId="711477A6"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Units under the Ministry of Finance;</w:t>
            </w:r>
          </w:p>
          <w:p w14:paraId="393F0089"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News agencies and presses;</w:t>
            </w:r>
          </w:p>
          <w:p w14:paraId="41044A88" w14:textId="77777777" w:rsidR="005B4C2A" w:rsidRPr="00AF3ED2" w:rsidRDefault="005B4C2A" w:rsidP="00D474E6">
            <w:pPr>
              <w:ind w:left="-57"/>
              <w:rPr>
                <w:rFonts w:eastAsia="Calibri"/>
                <w:sz w:val="22"/>
                <w:szCs w:val="22"/>
                <w:lang w:val="en-US"/>
              </w:rPr>
            </w:pPr>
            <w:r w:rsidRPr="00AF3ED2">
              <w:rPr>
                <w:rFonts w:eastAsia="Calibri"/>
                <w:sz w:val="22"/>
                <w:szCs w:val="22"/>
                <w:lang w:val="en-US"/>
              </w:rPr>
              <w:t>- Units under the National Statistics Office;</w:t>
            </w:r>
          </w:p>
          <w:p w14:paraId="5CAC172D" w14:textId="77777777" w:rsidR="005B4C2A" w:rsidRPr="00AF3ED2" w:rsidRDefault="005B4C2A" w:rsidP="00D474E6">
            <w:pPr>
              <w:ind w:left="-57"/>
              <w:rPr>
                <w:rFonts w:eastAsia="Calibri"/>
                <w:b/>
                <w:i/>
                <w:sz w:val="24"/>
                <w:szCs w:val="22"/>
                <w:lang w:val="en-US"/>
              </w:rPr>
            </w:pPr>
            <w:r w:rsidRPr="00AF3ED2">
              <w:rPr>
                <w:rFonts w:eastAsia="Calibri"/>
                <w:sz w:val="22"/>
                <w:szCs w:val="22"/>
                <w:lang w:val="en-US"/>
              </w:rPr>
              <w:t>- Archives: Office Administration, Integrated Statistics and Foreign Affairs Department.</w:t>
            </w:r>
          </w:p>
        </w:tc>
        <w:tc>
          <w:tcPr>
            <w:tcW w:w="4646" w:type="dxa"/>
          </w:tcPr>
          <w:p w14:paraId="5101F609" w14:textId="77777777" w:rsidR="005B4C2A" w:rsidRPr="00AF3ED2" w:rsidRDefault="005B4C2A" w:rsidP="00D474E6">
            <w:pPr>
              <w:ind w:firstLine="894"/>
              <w:jc w:val="center"/>
              <w:rPr>
                <w:rFonts w:eastAsia="Calibri"/>
                <w:b/>
                <w:bCs/>
                <w:lang w:val="en-US"/>
              </w:rPr>
            </w:pPr>
            <w:r w:rsidRPr="00AF3ED2">
              <w:rPr>
                <w:b/>
                <w:bCs/>
                <w:lang w:val="en-US"/>
              </w:rPr>
              <w:t xml:space="preserve">DIRECTOR GENERAL </w:t>
            </w:r>
          </w:p>
          <w:p w14:paraId="53488532" w14:textId="77777777" w:rsidR="005B4C2A" w:rsidRPr="00AF3ED2" w:rsidRDefault="005B4C2A" w:rsidP="00D474E6">
            <w:pPr>
              <w:ind w:firstLine="894"/>
              <w:jc w:val="center"/>
              <w:rPr>
                <w:rFonts w:eastAsia="Calibri"/>
                <w:b/>
                <w:bCs/>
                <w:lang w:val="en-US"/>
              </w:rPr>
            </w:pPr>
          </w:p>
          <w:p w14:paraId="202AA569" w14:textId="77777777" w:rsidR="005B4C2A" w:rsidRPr="00AF3ED2" w:rsidRDefault="005B4C2A" w:rsidP="00D474E6">
            <w:pPr>
              <w:ind w:firstLine="894"/>
              <w:jc w:val="center"/>
              <w:rPr>
                <w:rFonts w:eastAsia="Calibri"/>
                <w:b/>
                <w:bCs/>
                <w:lang w:val="en-US"/>
              </w:rPr>
            </w:pPr>
          </w:p>
          <w:p w14:paraId="1F18633F" w14:textId="77777777" w:rsidR="005B4C2A" w:rsidRPr="00AF3ED2" w:rsidRDefault="005B4C2A" w:rsidP="00D474E6">
            <w:pPr>
              <w:ind w:firstLine="894"/>
              <w:jc w:val="center"/>
              <w:rPr>
                <w:rFonts w:eastAsia="Calibri"/>
                <w:b/>
                <w:bCs/>
                <w:lang w:val="en-US"/>
              </w:rPr>
            </w:pPr>
          </w:p>
          <w:p w14:paraId="05A420E9" w14:textId="77777777" w:rsidR="005B4C2A" w:rsidRPr="00AF3ED2" w:rsidRDefault="005B4C2A" w:rsidP="00D474E6">
            <w:pPr>
              <w:ind w:firstLine="894"/>
              <w:jc w:val="center"/>
              <w:rPr>
                <w:rFonts w:eastAsia="Calibri"/>
                <w:b/>
                <w:bCs/>
                <w:lang w:val="en-US"/>
              </w:rPr>
            </w:pPr>
          </w:p>
          <w:p w14:paraId="048F46E4" w14:textId="77777777" w:rsidR="005B4C2A" w:rsidRPr="00AF3ED2" w:rsidRDefault="005B4C2A" w:rsidP="00D474E6">
            <w:pPr>
              <w:ind w:firstLine="894"/>
              <w:jc w:val="center"/>
              <w:rPr>
                <w:rFonts w:eastAsia="Calibri"/>
                <w:b/>
                <w:bCs/>
                <w:lang w:val="en-US"/>
              </w:rPr>
            </w:pPr>
          </w:p>
          <w:p w14:paraId="079F4DCE" w14:textId="77777777" w:rsidR="005B4C2A" w:rsidRPr="00AF3ED2" w:rsidRDefault="005B4C2A" w:rsidP="00D474E6">
            <w:pPr>
              <w:ind w:firstLine="894"/>
              <w:jc w:val="center"/>
              <w:rPr>
                <w:rFonts w:eastAsia="Calibri"/>
                <w:b/>
                <w:iCs/>
                <w:sz w:val="24"/>
                <w:szCs w:val="22"/>
                <w:lang w:val="en-US"/>
              </w:rPr>
            </w:pPr>
            <w:r w:rsidRPr="00AF3ED2">
              <w:rPr>
                <w:b/>
                <w:bCs/>
                <w:lang w:val="en-US"/>
              </w:rPr>
              <w:t>Nguyen Thi Huong</w:t>
            </w:r>
          </w:p>
        </w:tc>
      </w:tr>
    </w:tbl>
    <w:p w14:paraId="7EEF51ED" w14:textId="77777777" w:rsidR="005B4C2A" w:rsidRPr="00AF3ED2" w:rsidRDefault="005B4C2A" w:rsidP="005B4C2A"/>
    <w:p w14:paraId="56535257" w14:textId="77777777" w:rsidR="006E74DE" w:rsidRPr="00AF3ED2" w:rsidRDefault="006E74DE" w:rsidP="004B4D18">
      <w:pPr>
        <w:spacing w:before="40" w:after="40" w:line="252" w:lineRule="auto"/>
        <w:ind w:firstLine="567"/>
        <w:jc w:val="both"/>
      </w:pPr>
    </w:p>
    <w:sectPr w:rsidR="006E74DE" w:rsidRPr="00AF3ED2" w:rsidSect="00767F82">
      <w:headerReference w:type="default" r:id="rId28"/>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50D26D" w14:textId="77777777" w:rsidR="006D336E" w:rsidRDefault="006D336E" w:rsidP="00053768">
      <w:r>
        <w:separator/>
      </w:r>
    </w:p>
  </w:endnote>
  <w:endnote w:type="continuationSeparator" w:id="0">
    <w:p w14:paraId="7CE9E329" w14:textId="77777777" w:rsidR="006D336E" w:rsidRDefault="006D336E"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Italic">
    <w:panose1 w:val="0202050305040509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690AE" w14:textId="77777777" w:rsidR="006D336E" w:rsidRDefault="006D336E" w:rsidP="00053768">
      <w:r>
        <w:separator/>
      </w:r>
    </w:p>
  </w:footnote>
  <w:footnote w:type="continuationSeparator" w:id="0">
    <w:p w14:paraId="5A756EF2" w14:textId="77777777" w:rsidR="006D336E" w:rsidRDefault="006D336E" w:rsidP="00053768">
      <w:r>
        <w:continuationSeparator/>
      </w:r>
    </w:p>
  </w:footnote>
  <w:footnote w:id="1">
    <w:p w14:paraId="54E6B723" w14:textId="286B8A28" w:rsidR="00FC36C1" w:rsidRPr="00827139" w:rsidRDefault="00FC36C1" w:rsidP="0067761E">
      <w:pPr>
        <w:pStyle w:val="FootnoteText"/>
        <w:spacing w:after="40"/>
        <w:ind w:left="142" w:hanging="142"/>
        <w:jc w:val="both"/>
        <w:rPr>
          <w:rFonts w:ascii="Calibri" w:hAnsi="Calibri" w:cs="Calibri"/>
          <w:lang w:val="sv-SE"/>
        </w:rPr>
      </w:pPr>
      <w:r w:rsidRPr="00A54D40">
        <w:rPr>
          <w:rStyle w:val="FootnoteReference"/>
        </w:rPr>
        <w:footnoteRef/>
      </w:r>
      <w:r w:rsidRPr="00A54D40">
        <w:t xml:space="preserve"> </w:t>
      </w:r>
      <w:r>
        <w:rPr>
          <w:lang w:val="en-US"/>
        </w:rPr>
        <w:t xml:space="preserve"> </w:t>
      </w:r>
      <w:r w:rsidRPr="00537C1C">
        <w:rPr>
          <w:lang w:val="sv-SE"/>
        </w:rPr>
        <w:t xml:space="preserve">Loclalities changed the land use purpose including: Can Tho </w:t>
      </w:r>
      <w:r w:rsidR="0095732F">
        <w:rPr>
          <w:lang w:val="sv-SE"/>
        </w:rPr>
        <w:t xml:space="preserve"> with </w:t>
      </w:r>
      <w:r w:rsidRPr="00537C1C">
        <w:rPr>
          <w:lang w:val="sv-SE"/>
        </w:rPr>
        <w:t>10,600 hectares to other annual crops and 3,700 hectares to perennial crops. Dong Thap</w:t>
      </w:r>
      <w:r w:rsidR="0095732F">
        <w:rPr>
          <w:lang w:val="sv-SE"/>
        </w:rPr>
        <w:t xml:space="preserve"> with</w:t>
      </w:r>
      <w:r w:rsidRPr="00537C1C">
        <w:rPr>
          <w:lang w:val="sv-SE"/>
        </w:rPr>
        <w:t xml:space="preserve"> 1,594 hectares to perennial crops and 533 hectares to other annual crops. An Giang</w:t>
      </w:r>
      <w:r w:rsidR="0095732F">
        <w:rPr>
          <w:lang w:val="sv-SE"/>
        </w:rPr>
        <w:t xml:space="preserve"> with</w:t>
      </w:r>
      <w:r w:rsidRPr="00537C1C">
        <w:rPr>
          <w:lang w:val="sv-SE"/>
        </w:rPr>
        <w:t xml:space="preserve"> 1,803 hectares to aquaculture and 350 hectares to other annual crops. Bac Ninh </w:t>
      </w:r>
      <w:r w:rsidR="0095732F">
        <w:rPr>
          <w:lang w:val="sv-SE"/>
        </w:rPr>
        <w:t>reclaimed</w:t>
      </w:r>
      <w:r w:rsidRPr="00537C1C">
        <w:rPr>
          <w:lang w:val="sv-SE"/>
        </w:rPr>
        <w:t xml:space="preserve"> 800 hectares of rice land for airport construction; 938 hectares for industrial zones and transportation infrastructure; and over 650 hectares to perennial crops and 219 hectares to other annual crops. Ninh Binh</w:t>
      </w:r>
      <w:r w:rsidR="0095732F">
        <w:rPr>
          <w:lang w:val="sv-SE"/>
        </w:rPr>
        <w:t xml:space="preserve"> with</w:t>
      </w:r>
      <w:r w:rsidRPr="00537C1C">
        <w:rPr>
          <w:lang w:val="sv-SE"/>
        </w:rPr>
        <w:t xml:space="preserve"> 2,700 hectares, while Ha</w:t>
      </w:r>
      <w:r w:rsidR="0095732F">
        <w:rPr>
          <w:lang w:val="sv-SE"/>
        </w:rPr>
        <w:t xml:space="preserve"> N</w:t>
      </w:r>
      <w:r w:rsidRPr="00537C1C">
        <w:rPr>
          <w:lang w:val="sv-SE"/>
        </w:rPr>
        <w:t>oi and Hung Yen each converted 1,300 hectares of rice land to non-agricultural land.</w:t>
      </w:r>
    </w:p>
  </w:footnote>
  <w:footnote w:id="2">
    <w:p w14:paraId="0FF36733" w14:textId="62C8A84F" w:rsidR="00FC36C1" w:rsidRPr="0001175B" w:rsidRDefault="00FC36C1" w:rsidP="00301D88">
      <w:pPr>
        <w:pStyle w:val="FootnoteText"/>
        <w:spacing w:after="40"/>
        <w:ind w:left="142" w:hanging="142"/>
        <w:jc w:val="both"/>
        <w:rPr>
          <w:lang w:val="sv-SE"/>
        </w:rPr>
      </w:pPr>
      <w:r w:rsidRPr="0001175B">
        <w:rPr>
          <w:rStyle w:val="FootnoteReference"/>
        </w:rPr>
        <w:footnoteRef/>
      </w:r>
      <w:r w:rsidRPr="0001175B">
        <w:rPr>
          <w:lang w:val="sv-SE"/>
        </w:rPr>
        <w:t xml:space="preserve"> </w:t>
      </w:r>
      <w:r w:rsidRPr="00246ACE">
        <w:rPr>
          <w:lang w:val="sv-SE"/>
        </w:rPr>
        <w:t xml:space="preserve">The producer price index for chicken increased by 4.17% in April, and </w:t>
      </w:r>
      <w:r>
        <w:rPr>
          <w:lang w:val="sv-SE"/>
        </w:rPr>
        <w:t>chicken eggs</w:t>
      </w:r>
      <w:r w:rsidR="0095732F">
        <w:rPr>
          <w:lang w:val="sv-SE"/>
        </w:rPr>
        <w:t xml:space="preserve"> rose</w:t>
      </w:r>
      <w:r>
        <w:rPr>
          <w:lang w:val="sv-SE"/>
        </w:rPr>
        <w:t xml:space="preserve"> by 8.36%, comparing</w:t>
      </w:r>
      <w:r w:rsidRPr="00246ACE">
        <w:rPr>
          <w:lang w:val="sv-SE"/>
        </w:rPr>
        <w:t xml:space="preserve"> to the same period last year.</w:t>
      </w:r>
    </w:p>
    <w:p w14:paraId="07CAB811" w14:textId="77777777" w:rsidR="00FC36C1" w:rsidRPr="00346C82" w:rsidRDefault="00FC36C1" w:rsidP="00301D88">
      <w:pPr>
        <w:pStyle w:val="FootnoteText"/>
        <w:spacing w:after="40"/>
        <w:ind w:left="198" w:hanging="198"/>
        <w:jc w:val="both"/>
        <w:rPr>
          <w:lang w:val="sv-SE"/>
        </w:rPr>
      </w:pPr>
    </w:p>
  </w:footnote>
  <w:footnote w:id="3">
    <w:p w14:paraId="0F208F53" w14:textId="02FF43D3" w:rsidR="00FC36C1" w:rsidRPr="00A15571" w:rsidRDefault="00FC36C1" w:rsidP="00246ACE">
      <w:pPr>
        <w:pStyle w:val="FootnoteText"/>
        <w:spacing w:after="40"/>
        <w:ind w:left="142" w:hanging="142"/>
        <w:jc w:val="both"/>
        <w:rPr>
          <w:lang w:val="en-US"/>
        </w:rPr>
      </w:pPr>
      <w:r>
        <w:rPr>
          <w:rStyle w:val="FootnoteReference"/>
        </w:rPr>
        <w:footnoteRef/>
      </w:r>
      <w:r>
        <w:t xml:space="preserve"> </w:t>
      </w:r>
      <w:r w:rsidRPr="00A15571">
        <w:rPr>
          <w:lang w:val="en-US"/>
        </w:rPr>
        <w:t>Due to dry weather in some localities,</w:t>
      </w:r>
      <w:r>
        <w:rPr>
          <w:lang w:val="en-US"/>
        </w:rPr>
        <w:t xml:space="preserve"> causing the affects in </w:t>
      </w:r>
      <w:r w:rsidRPr="00A15571">
        <w:rPr>
          <w:lang w:val="en-US"/>
        </w:rPr>
        <w:t>reforestation</w:t>
      </w:r>
      <w:r>
        <w:rPr>
          <w:lang w:val="en-US"/>
        </w:rPr>
        <w:t xml:space="preserve"> progress and showing a decrease such as </w:t>
      </w:r>
      <w:r w:rsidRPr="00A15571">
        <w:rPr>
          <w:lang w:val="en-US"/>
        </w:rPr>
        <w:t xml:space="preserve">Phu Tho by 35.7%; Da Nang by </w:t>
      </w:r>
      <w:r>
        <w:rPr>
          <w:lang w:val="en-US"/>
        </w:rPr>
        <w:t xml:space="preserve">8.8%; and Tuyen Quang </w:t>
      </w:r>
      <w:r w:rsidRPr="00A15571">
        <w:rPr>
          <w:lang w:val="en-US"/>
        </w:rPr>
        <w:t>by 6.6%.</w:t>
      </w:r>
    </w:p>
  </w:footnote>
  <w:footnote w:id="4">
    <w:p w14:paraId="4D77E516" w14:textId="53048596" w:rsidR="00FC36C1" w:rsidRPr="00F1270D" w:rsidRDefault="00FC36C1" w:rsidP="00123AA6">
      <w:pPr>
        <w:pStyle w:val="FootnoteText"/>
        <w:spacing w:after="40"/>
        <w:ind w:left="142" w:hanging="142"/>
        <w:jc w:val="both"/>
        <w:rPr>
          <w:lang w:val="en-US"/>
        </w:rPr>
      </w:pPr>
      <w:r w:rsidRPr="00F1270D">
        <w:rPr>
          <w:rStyle w:val="FootnoteReference"/>
        </w:rPr>
        <w:footnoteRef/>
      </w:r>
      <w:r w:rsidRPr="00F1270D">
        <w:t xml:space="preserve"> </w:t>
      </w:r>
      <w:r>
        <w:rPr>
          <w:lang w:val="en-US"/>
        </w:rPr>
        <w:t xml:space="preserve">Figures released by </w:t>
      </w:r>
      <w:r w:rsidRPr="00123AA6">
        <w:rPr>
          <w:lang w:val="sv-SE"/>
        </w:rPr>
        <w:t>the Ministry of Agriculture and Environment, from March 16</w:t>
      </w:r>
      <w:r w:rsidR="0095732F">
        <w:rPr>
          <w:vertAlign w:val="superscript"/>
          <w:lang w:val="sv-SE"/>
        </w:rPr>
        <w:t>th</w:t>
      </w:r>
      <w:r w:rsidRPr="00123AA6">
        <w:rPr>
          <w:lang w:val="sv-SE"/>
        </w:rPr>
        <w:t>, 2026 to April 15</w:t>
      </w:r>
      <w:r w:rsidR="0095732F">
        <w:rPr>
          <w:vertAlign w:val="superscript"/>
          <w:lang w:val="sv-SE"/>
        </w:rPr>
        <w:t>th</w:t>
      </w:r>
      <w:r w:rsidRPr="00123AA6">
        <w:rPr>
          <w:lang w:val="sv-SE"/>
        </w:rPr>
        <w:t>, 2026.</w:t>
      </w:r>
    </w:p>
  </w:footnote>
  <w:footnote w:id="5">
    <w:p w14:paraId="6F986D75" w14:textId="69E77AAC" w:rsidR="00FC36C1" w:rsidRPr="00F1270D" w:rsidRDefault="00FC36C1" w:rsidP="00893115">
      <w:pPr>
        <w:pStyle w:val="FootnoteText"/>
        <w:spacing w:after="40"/>
        <w:ind w:left="142" w:hanging="142"/>
        <w:jc w:val="both"/>
        <w:rPr>
          <w:spacing w:val="-4"/>
          <w:lang w:val="en-US"/>
        </w:rPr>
      </w:pPr>
      <w:r w:rsidRPr="00F1270D">
        <w:rPr>
          <w:rStyle w:val="FootnoteReference"/>
        </w:rPr>
        <w:footnoteRef/>
      </w:r>
      <w:r w:rsidRPr="00F1270D">
        <w:t xml:space="preserve"> </w:t>
      </w:r>
      <w:r>
        <w:rPr>
          <w:lang w:val="en-US"/>
        </w:rPr>
        <w:t xml:space="preserve">Figures released by </w:t>
      </w:r>
      <w:r w:rsidRPr="009F4B87">
        <w:rPr>
          <w:bCs/>
          <w:iCs/>
          <w:shd w:val="clear" w:color="auto" w:fill="FFFFFF"/>
          <w:lang w:val="en-US"/>
        </w:rPr>
        <w:t xml:space="preserve">provincial statistics reports: The price of raw pangasius </w:t>
      </w:r>
      <w:r>
        <w:rPr>
          <w:bCs/>
          <w:iCs/>
          <w:shd w:val="clear" w:color="auto" w:fill="FFFFFF"/>
          <w:lang w:val="en-US"/>
        </w:rPr>
        <w:t>i</w:t>
      </w:r>
      <w:r w:rsidRPr="009F4B87">
        <w:rPr>
          <w:bCs/>
          <w:iCs/>
          <w:shd w:val="clear" w:color="auto" w:fill="FFFFFF"/>
          <w:lang w:val="en-US"/>
        </w:rPr>
        <w:t xml:space="preserve">n </w:t>
      </w:r>
      <w:r w:rsidR="0095732F">
        <w:rPr>
          <w:bCs/>
          <w:iCs/>
          <w:shd w:val="clear" w:color="auto" w:fill="FFFFFF"/>
          <w:lang w:val="en-US"/>
        </w:rPr>
        <w:t xml:space="preserve">the </w:t>
      </w:r>
      <w:r w:rsidRPr="009F4B87">
        <w:rPr>
          <w:bCs/>
          <w:iCs/>
          <w:shd w:val="clear" w:color="auto" w:fill="FFFFFF"/>
          <w:lang w:val="en-US"/>
        </w:rPr>
        <w:t xml:space="preserve">Mekong </w:t>
      </w:r>
      <w:r>
        <w:rPr>
          <w:bCs/>
          <w:iCs/>
          <w:shd w:val="clear" w:color="auto" w:fill="FFFFFF"/>
          <w:lang w:val="en-US"/>
        </w:rPr>
        <w:t>River Delta fluctuat</w:t>
      </w:r>
      <w:r w:rsidR="0095732F">
        <w:rPr>
          <w:bCs/>
          <w:iCs/>
          <w:shd w:val="clear" w:color="auto" w:fill="FFFFFF"/>
          <w:lang w:val="en-US"/>
        </w:rPr>
        <w:t>ed</w:t>
      </w:r>
      <w:r w:rsidRPr="009F4B87">
        <w:rPr>
          <w:bCs/>
          <w:iCs/>
          <w:shd w:val="clear" w:color="auto" w:fill="FFFFFF"/>
          <w:lang w:val="en-US"/>
        </w:rPr>
        <w:t xml:space="preserve"> between 32,000 VND</w:t>
      </w:r>
      <w:r>
        <w:rPr>
          <w:bCs/>
          <w:iCs/>
          <w:shd w:val="clear" w:color="auto" w:fill="FFFFFF"/>
          <w:lang w:val="en-US"/>
        </w:rPr>
        <w:t xml:space="preserve"> - </w:t>
      </w:r>
      <w:r w:rsidRPr="009F4B87">
        <w:rPr>
          <w:bCs/>
          <w:iCs/>
          <w:shd w:val="clear" w:color="auto" w:fill="FFFFFF"/>
          <w:lang w:val="en-US"/>
        </w:rPr>
        <w:t xml:space="preserve">34,000 VND/kg, </w:t>
      </w:r>
      <w:r>
        <w:rPr>
          <w:bCs/>
          <w:iCs/>
          <w:shd w:val="clear" w:color="auto" w:fill="FFFFFF"/>
          <w:lang w:val="en-US"/>
        </w:rPr>
        <w:t xml:space="preserve">showing a y-o-y </w:t>
      </w:r>
      <w:r w:rsidRPr="009F4B87">
        <w:rPr>
          <w:bCs/>
          <w:iCs/>
          <w:shd w:val="clear" w:color="auto" w:fill="FFFFFF"/>
          <w:lang w:val="en-US"/>
        </w:rPr>
        <w:t xml:space="preserve">increase of </w:t>
      </w:r>
      <w:r>
        <w:rPr>
          <w:bCs/>
          <w:iCs/>
          <w:shd w:val="clear" w:color="auto" w:fill="FFFFFF"/>
          <w:lang w:val="en-US"/>
        </w:rPr>
        <w:t>3,000 VND/kg</w:t>
      </w:r>
      <w:r w:rsidRPr="009F4B87">
        <w:rPr>
          <w:bCs/>
          <w:iCs/>
          <w:shd w:val="clear" w:color="auto" w:fill="FFFFFF"/>
          <w:lang w:val="en-US"/>
        </w:rPr>
        <w:t>.</w:t>
      </w:r>
    </w:p>
  </w:footnote>
  <w:footnote w:id="6">
    <w:p w14:paraId="22EB4985" w14:textId="7C6E61A6" w:rsidR="00FC36C1" w:rsidRPr="0032467F" w:rsidRDefault="00FC36C1" w:rsidP="00490874">
      <w:pPr>
        <w:pStyle w:val="FootnoteText"/>
        <w:spacing w:after="40"/>
        <w:ind w:left="142" w:hanging="142"/>
        <w:jc w:val="both"/>
        <w:rPr>
          <w:lang w:val="it-IT"/>
        </w:rPr>
      </w:pPr>
      <w:r w:rsidRPr="00F1270D">
        <w:rPr>
          <w:rStyle w:val="FootnoteReference"/>
        </w:rPr>
        <w:footnoteRef/>
      </w:r>
      <w:r>
        <w:t xml:space="preserve"> </w:t>
      </w:r>
      <w:hyperlink r:id="rId1" w:history="1">
        <w:r w:rsidRPr="0032467F">
          <w:rPr>
            <w:rStyle w:val="Hyperlink"/>
          </w:rPr>
          <w:t>https://vasep.com.vn/gia-thuy-san</w:t>
        </w:r>
      </w:hyperlink>
      <w:r w:rsidRPr="00F94154">
        <w:rPr>
          <w:rStyle w:val="Hyperlink"/>
          <w:color w:val="000000" w:themeColor="text1"/>
          <w:u w:val="none"/>
          <w:lang w:val="en-GB"/>
        </w:rPr>
        <w:t xml:space="preserve">: </w:t>
      </w:r>
      <w:r w:rsidRPr="00490874">
        <w:rPr>
          <w:bCs/>
          <w:lang w:val="it-IT"/>
        </w:rPr>
        <w:t xml:space="preserve">As of mid-April, the price of whiteleg shrimp in the Mekong </w:t>
      </w:r>
      <w:r>
        <w:rPr>
          <w:bCs/>
          <w:lang w:val="it-IT"/>
        </w:rPr>
        <w:t xml:space="preserve">River </w:t>
      </w:r>
      <w:r w:rsidRPr="00490874">
        <w:rPr>
          <w:bCs/>
          <w:lang w:val="it-IT"/>
        </w:rPr>
        <w:t xml:space="preserve">Delta, </w:t>
      </w:r>
      <w:r>
        <w:rPr>
          <w:bCs/>
          <w:lang w:val="it-IT"/>
        </w:rPr>
        <w:t xml:space="preserve">remained at </w:t>
      </w:r>
      <w:r w:rsidRPr="00490874">
        <w:rPr>
          <w:bCs/>
          <w:lang w:val="it-IT"/>
        </w:rPr>
        <w:t xml:space="preserve">120,000 </w:t>
      </w:r>
      <w:r>
        <w:rPr>
          <w:bCs/>
          <w:lang w:val="it-IT"/>
        </w:rPr>
        <w:t xml:space="preserve">VND </w:t>
      </w:r>
      <w:r w:rsidRPr="00490874">
        <w:rPr>
          <w:bCs/>
          <w:lang w:val="it-IT"/>
        </w:rPr>
        <w:t>- 150,000</w:t>
      </w:r>
      <w:r>
        <w:rPr>
          <w:bCs/>
          <w:lang w:val="it-IT"/>
        </w:rPr>
        <w:t>VND</w:t>
      </w:r>
      <w:r w:rsidRPr="00490874">
        <w:rPr>
          <w:bCs/>
          <w:lang w:val="it-IT"/>
        </w:rPr>
        <w:t>/kg, while</w:t>
      </w:r>
      <w:r>
        <w:rPr>
          <w:bCs/>
          <w:lang w:val="it-IT"/>
        </w:rPr>
        <w:t xml:space="preserve"> smaller size from </w:t>
      </w:r>
      <w:r w:rsidRPr="00490874">
        <w:rPr>
          <w:bCs/>
          <w:lang w:val="it-IT"/>
        </w:rPr>
        <w:t>50-60 shrimp/kg at 110,000</w:t>
      </w:r>
      <w:r>
        <w:rPr>
          <w:bCs/>
          <w:lang w:val="it-IT"/>
        </w:rPr>
        <w:t xml:space="preserve"> VND</w:t>
      </w:r>
      <w:r w:rsidRPr="00490874">
        <w:rPr>
          <w:bCs/>
          <w:lang w:val="it-IT"/>
        </w:rPr>
        <w:t xml:space="preserve"> -  125,000</w:t>
      </w:r>
      <w:r>
        <w:rPr>
          <w:bCs/>
          <w:lang w:val="it-IT"/>
        </w:rPr>
        <w:t xml:space="preserve"> VND</w:t>
      </w:r>
      <w:r w:rsidRPr="00490874">
        <w:rPr>
          <w:bCs/>
          <w:lang w:val="it-IT"/>
        </w:rPr>
        <w:t>/kg. The price of tiger shrimp ranged from 170,000</w:t>
      </w:r>
      <w:r>
        <w:rPr>
          <w:bCs/>
          <w:lang w:val="it-IT"/>
        </w:rPr>
        <w:t xml:space="preserve"> VND</w:t>
      </w:r>
      <w:r w:rsidRPr="00490874">
        <w:rPr>
          <w:bCs/>
          <w:lang w:val="it-IT"/>
        </w:rPr>
        <w:t xml:space="preserve"> - 220,000</w:t>
      </w:r>
      <w:r>
        <w:rPr>
          <w:bCs/>
          <w:lang w:val="it-IT"/>
        </w:rPr>
        <w:t>VND/kg.</w:t>
      </w:r>
    </w:p>
  </w:footnote>
  <w:footnote w:id="7">
    <w:p w14:paraId="00794311" w14:textId="1B1ADECF" w:rsidR="00FC36C1" w:rsidRPr="00CB287D" w:rsidRDefault="00FC36C1" w:rsidP="00CB287D">
      <w:pPr>
        <w:pStyle w:val="FootnoteText"/>
        <w:spacing w:after="40"/>
        <w:ind w:left="142" w:hanging="142"/>
        <w:jc w:val="both"/>
        <w:rPr>
          <w:lang w:val="en-US"/>
        </w:rPr>
      </w:pPr>
      <w:r w:rsidRPr="0032467F">
        <w:rPr>
          <w:rStyle w:val="FootnoteReference"/>
        </w:rPr>
        <w:footnoteRef/>
      </w:r>
      <w:r w:rsidRPr="0032467F">
        <w:t xml:space="preserve"> </w:t>
      </w:r>
      <w:r w:rsidRPr="00CB287D">
        <w:rPr>
          <w:lang w:val="en-US"/>
        </w:rPr>
        <w:t xml:space="preserve">The price of DO 0.05S-II diesel in April was 26,690 VND/liter, </w:t>
      </w:r>
      <w:r>
        <w:rPr>
          <w:lang w:val="en-US"/>
        </w:rPr>
        <w:t xml:space="preserve">showing </w:t>
      </w:r>
      <w:r w:rsidRPr="00CB287D">
        <w:rPr>
          <w:lang w:val="en-US"/>
        </w:rPr>
        <w:t>a decre</w:t>
      </w:r>
      <w:r>
        <w:rPr>
          <w:lang w:val="en-US"/>
        </w:rPr>
        <w:t xml:space="preserve">ase of 11,200 VND/liter comparing </w:t>
      </w:r>
      <w:r w:rsidRPr="00CB287D">
        <w:rPr>
          <w:lang w:val="en-US"/>
        </w:rPr>
        <w:t>to the end of March.</w:t>
      </w:r>
    </w:p>
  </w:footnote>
  <w:footnote w:id="8">
    <w:p w14:paraId="2EFD51C0" w14:textId="77777777" w:rsidR="00FC36C1" w:rsidRPr="0051018D" w:rsidRDefault="00FC36C1" w:rsidP="004B4D18">
      <w:pPr>
        <w:pStyle w:val="FootnoteText"/>
      </w:pPr>
      <w:r>
        <w:rPr>
          <w:rStyle w:val="FootnoteReference"/>
        </w:rPr>
        <w:footnoteRef/>
      </w:r>
      <w:r>
        <w:t xml:space="preserve"> </w:t>
      </w:r>
      <w:r w:rsidRPr="0051018D">
        <w:t>The local month-on-</w:t>
      </w:r>
      <w:r>
        <w:t>month changes in IIP in</w:t>
      </w:r>
      <w:r>
        <w:rPr>
          <w:lang w:val="en-US"/>
        </w:rPr>
        <w:t xml:space="preserve"> April</w:t>
      </w:r>
      <w:r w:rsidRPr="0051018D">
        <w:t xml:space="preserve"> for the large-shared industrial sector provinces and municipalities were as follows: Da Nang up 44.2%; Vinh Long up 9.7%; Ho Chi Minh City up 8.2%; Quang Ngai up 4.2%; Dong Nai up 3.6%; Can Tho up 2.0%; Hai Phong</w:t>
      </w:r>
      <w:r>
        <w:t xml:space="preserve"> up 1.3%; Bac Ninh up 0.5%</w:t>
      </w:r>
      <w:r>
        <w:rPr>
          <w:lang w:val="en-US"/>
        </w:rPr>
        <w:t xml:space="preserve"> </w:t>
      </w:r>
      <w:r w:rsidRPr="0051018D">
        <w:t>and Quang Ninh down 4.1%.</w:t>
      </w:r>
    </w:p>
  </w:footnote>
  <w:footnote w:id="9">
    <w:p w14:paraId="4735F36A" w14:textId="77777777" w:rsidR="00FC36C1" w:rsidRPr="0051018D" w:rsidRDefault="00FC36C1" w:rsidP="004B4D18">
      <w:pPr>
        <w:pStyle w:val="FootnoteText"/>
        <w:rPr>
          <w:lang w:val="en-US"/>
        </w:rPr>
      </w:pPr>
    </w:p>
  </w:footnote>
  <w:footnote w:id="10">
    <w:p w14:paraId="7BC7F9FA" w14:textId="04338132" w:rsidR="00FC36C1" w:rsidRPr="006A050D" w:rsidRDefault="00FC36C1" w:rsidP="004B4D18">
      <w:pPr>
        <w:spacing w:after="40"/>
        <w:ind w:left="198" w:hanging="198"/>
        <w:jc w:val="both"/>
        <w:rPr>
          <w:sz w:val="20"/>
          <w:szCs w:val="20"/>
        </w:rPr>
      </w:pPr>
      <w:r>
        <w:rPr>
          <w:rStyle w:val="FootnoteReference"/>
          <w:rFonts w:eastAsia="DengXian Light"/>
          <w:sz w:val="20"/>
          <w:szCs w:val="20"/>
        </w:rPr>
        <w:footnoteRef/>
      </w:r>
      <w:r>
        <w:rPr>
          <w:color w:val="FF0000"/>
          <w:sz w:val="20"/>
        </w:rPr>
        <w:t xml:space="preserve"> </w:t>
      </w:r>
      <w:r>
        <w:rPr>
          <w:sz w:val="20"/>
          <w:shd w:val="clear" w:color="auto" w:fill="FFFFFF"/>
        </w:rPr>
        <w:t>The provinces and municipalities recorded</w:t>
      </w:r>
      <w:r w:rsidR="00504D2A">
        <w:rPr>
          <w:sz w:val="20"/>
          <w:shd w:val="clear" w:color="auto" w:fill="FFFFFF"/>
        </w:rPr>
        <w:t xml:space="preserve"> a</w:t>
      </w:r>
      <w:r>
        <w:rPr>
          <w:sz w:val="20"/>
          <w:shd w:val="clear" w:color="auto" w:fill="FFFFFF"/>
        </w:rPr>
        <w:t xml:space="preserve"> high year-on-year increase in IIP of the manufacturing for the first 4 months of 2026 were as follows: </w:t>
      </w:r>
      <w:r w:rsidRPr="0019377B">
        <w:rPr>
          <w:sz w:val="20"/>
          <w:shd w:val="clear" w:color="auto" w:fill="FFFFFF"/>
        </w:rPr>
        <w:t>Ninh Binh (30.5%); Phu Tho (27.9%); Ha Tinh (24.2%); Nghe An (20.2%); Bac Ninh (19.</w:t>
      </w:r>
      <w:r>
        <w:rPr>
          <w:sz w:val="20"/>
          <w:shd w:val="clear" w:color="auto" w:fill="FFFFFF"/>
        </w:rPr>
        <w:t>3%). The provinces and municipalities recorded</w:t>
      </w:r>
      <w:r w:rsidR="00504D2A">
        <w:rPr>
          <w:sz w:val="20"/>
          <w:shd w:val="clear" w:color="auto" w:fill="FFFFFF"/>
        </w:rPr>
        <w:t xml:space="preserve"> a</w:t>
      </w:r>
      <w:r>
        <w:rPr>
          <w:sz w:val="20"/>
          <w:shd w:val="clear" w:color="auto" w:fill="FFFFFF"/>
        </w:rPr>
        <w:t xml:space="preserve"> high year-on-year increase in IIP of the electricity generation and distribution were as follows: </w:t>
      </w:r>
      <w:r w:rsidRPr="00282537">
        <w:rPr>
          <w:sz w:val="20"/>
          <w:shd w:val="clear" w:color="auto" w:fill="FFFFFF"/>
        </w:rPr>
        <w:t>Lai Chau (52.2%); Son La (50.1%); Ha Tinh (24.7%).</w:t>
      </w:r>
    </w:p>
  </w:footnote>
  <w:footnote w:id="11">
    <w:p w14:paraId="41CDEF2B" w14:textId="7F945C18" w:rsidR="00FC36C1" w:rsidRPr="006A050D" w:rsidRDefault="00FC36C1" w:rsidP="004B4D18">
      <w:pPr>
        <w:spacing w:after="40"/>
        <w:ind w:left="198" w:hanging="198"/>
        <w:jc w:val="both"/>
        <w:rPr>
          <w:sz w:val="20"/>
          <w:szCs w:val="20"/>
        </w:rPr>
      </w:pPr>
      <w:r>
        <w:rPr>
          <w:rStyle w:val="FootnoteReference"/>
          <w:rFonts w:eastAsia="DengXian Light"/>
          <w:sz w:val="20"/>
          <w:szCs w:val="20"/>
        </w:rPr>
        <w:footnoteRef/>
      </w:r>
      <w:r>
        <w:rPr>
          <w:sz w:val="20"/>
        </w:rPr>
        <w:t xml:space="preserve"> The provinces and municipalities recorded</w:t>
      </w:r>
      <w:r w:rsidR="00504D2A">
        <w:rPr>
          <w:sz w:val="20"/>
        </w:rPr>
        <w:t xml:space="preserve"> a</w:t>
      </w:r>
      <w:r>
        <w:rPr>
          <w:sz w:val="20"/>
        </w:rPr>
        <w:t xml:space="preserve"> slight year-on-year increase in IIP of the manufacturing for the first 4 months of 2026 were as follows: Lang Son (5.6%); Lao Cai (4.3%). The provinces and municipalities recorded decrease in IIP of the electricity generation and distribution for the first 4 months of 2026 were as follows: </w:t>
      </w:r>
      <w:r w:rsidRPr="00282537">
        <w:rPr>
          <w:sz w:val="20"/>
        </w:rPr>
        <w:t>Ca Mau (2.3%); Quang Tri (1.8%); Lang Son (-4.4%).</w:t>
      </w:r>
      <w:r>
        <w:rPr>
          <w:sz w:val="20"/>
        </w:rPr>
        <w:t xml:space="preserve"> The provinces and municipalities recorded a year-on-year decrease in IIP of the mining and quarrying for the first 4 months of 2026 were as follows: </w:t>
      </w:r>
      <w:r w:rsidRPr="00282537">
        <w:rPr>
          <w:sz w:val="20"/>
        </w:rPr>
        <w:t>Quang Ngai (-34.2%); Tuyen Quang (-16.8%); Ca Mau (-5.3%).</w:t>
      </w:r>
    </w:p>
  </w:footnote>
  <w:footnote w:id="12">
    <w:p w14:paraId="65510943" w14:textId="77777777" w:rsidR="00FC36C1" w:rsidRPr="00941930" w:rsidRDefault="00FC36C1" w:rsidP="00C12D51">
      <w:pPr>
        <w:pStyle w:val="FootnoteText"/>
        <w:spacing w:after="40"/>
        <w:ind w:left="198" w:hanging="198"/>
        <w:jc w:val="both"/>
        <w:rPr>
          <w:lang w:val="vi-VN"/>
        </w:rPr>
      </w:pPr>
      <w:r w:rsidRPr="00682964">
        <w:rPr>
          <w:rStyle w:val="FootnoteReference"/>
        </w:rPr>
        <w:footnoteRef/>
      </w:r>
      <w:r w:rsidRPr="00682964">
        <w:rPr>
          <w:lang w:val="vi-VN"/>
        </w:rPr>
        <w:t xml:space="preserve"> </w:t>
      </w:r>
      <w:r w:rsidRPr="00682964">
        <w:rPr>
          <w:spacing w:val="-2"/>
          <w:lang w:val="vi-VN"/>
        </w:rPr>
        <w:t xml:space="preserve">Of which, the additional registered capital of </w:t>
      </w:r>
      <w:r>
        <w:rPr>
          <w:lang w:val="en-US"/>
        </w:rPr>
        <w:t>active enterprises</w:t>
      </w:r>
      <w:r w:rsidRPr="00934860">
        <w:rPr>
          <w:lang w:val="vi-VN"/>
        </w:rPr>
        <w:t xml:space="preserve"> </w:t>
      </w:r>
      <w:r w:rsidRPr="00682964">
        <w:rPr>
          <w:spacing w:val="-2"/>
          <w:lang w:val="vi-VN"/>
        </w:rPr>
        <w:t xml:space="preserve">in the </w:t>
      </w:r>
      <w:r>
        <w:rPr>
          <w:spacing w:val="-2"/>
          <w:lang w:val="en-US"/>
        </w:rPr>
        <w:t xml:space="preserve">four </w:t>
      </w:r>
      <w:r w:rsidRPr="00682964">
        <w:rPr>
          <w:spacing w:val="-2"/>
          <w:lang w:val="vi-VN"/>
        </w:rPr>
        <w:t xml:space="preserve">months </w:t>
      </w:r>
      <w:r w:rsidRPr="00682964">
        <w:rPr>
          <w:spacing w:val="-2"/>
          <w:lang w:val="en-US"/>
        </w:rPr>
        <w:t xml:space="preserve">of </w:t>
      </w:r>
      <w:r w:rsidRPr="00682964">
        <w:rPr>
          <w:spacing w:val="-2"/>
          <w:lang w:val="vi-VN"/>
        </w:rPr>
        <w:t xml:space="preserve">2026 reached </w:t>
      </w:r>
      <w:r>
        <w:rPr>
          <w:spacing w:val="-2"/>
          <w:lang w:val="en-US"/>
        </w:rPr>
        <w:t xml:space="preserve">nearly 1.1 </w:t>
      </w:r>
      <w:r w:rsidRPr="000360FB">
        <w:rPr>
          <w:spacing w:val="-2"/>
          <w:lang w:val="vi-VN"/>
        </w:rPr>
        <w:t xml:space="preserve">quadrillion </w:t>
      </w:r>
      <w:r w:rsidRPr="00682964">
        <w:rPr>
          <w:spacing w:val="-2"/>
          <w:lang w:val="vi-VN"/>
        </w:rPr>
        <w:t>VND (</w:t>
      </w:r>
      <w:r>
        <w:rPr>
          <w:lang w:val="en-US"/>
        </w:rPr>
        <w:t>a -year-on-year</w:t>
      </w:r>
      <w:r>
        <w:rPr>
          <w:spacing w:val="-2"/>
          <w:lang w:val="en-US"/>
        </w:rPr>
        <w:t xml:space="preserve"> decrease of</w:t>
      </w:r>
      <w:r w:rsidRPr="00682964">
        <w:rPr>
          <w:spacing w:val="-2"/>
          <w:lang w:val="vi-VN"/>
        </w:rPr>
        <w:t xml:space="preserve"> </w:t>
      </w:r>
      <w:r>
        <w:rPr>
          <w:spacing w:val="-2"/>
          <w:lang w:val="en-US"/>
        </w:rPr>
        <w:t>16.8%)</w:t>
      </w:r>
      <w:r w:rsidRPr="00682964">
        <w:rPr>
          <w:spacing w:val="-2"/>
          <w:lang w:val="vi-VN"/>
        </w:rPr>
        <w:t>.</w:t>
      </w:r>
    </w:p>
  </w:footnote>
  <w:footnote w:id="13">
    <w:p w14:paraId="1B083257" w14:textId="77777777" w:rsidR="00FC36C1" w:rsidRPr="00F55F1F" w:rsidRDefault="00FC36C1" w:rsidP="00F60843">
      <w:pPr>
        <w:pStyle w:val="FootnoteText"/>
        <w:spacing w:after="40"/>
        <w:ind w:left="198" w:hanging="198"/>
        <w:rPr>
          <w:lang w:val="vi-VN"/>
        </w:rPr>
      </w:pPr>
      <w:r w:rsidRPr="00F55F1F">
        <w:rPr>
          <w:rStyle w:val="FootnoteReference"/>
        </w:rPr>
        <w:footnoteRef/>
      </w:r>
      <w:r w:rsidRPr="00F55F1F">
        <w:rPr>
          <w:lang w:val="vi-VN"/>
        </w:rPr>
        <w:t xml:space="preserve"> </w:t>
      </w:r>
      <w:r w:rsidRPr="00BC7B33">
        <w:rPr>
          <w:lang w:val="vi-VN"/>
        </w:rPr>
        <w:t xml:space="preserve">According to the report of the Foreign Investment Agency, Ministry of Finance, received on </w:t>
      </w:r>
      <w:r>
        <w:rPr>
          <w:lang w:val="en-US"/>
        </w:rPr>
        <w:t>May</w:t>
      </w:r>
      <w:r w:rsidRPr="00BC7B33">
        <w:rPr>
          <w:lang w:val="vi-VN"/>
        </w:rPr>
        <w:t xml:space="preserve"> </w:t>
      </w:r>
      <w:r>
        <w:rPr>
          <w:lang w:val="en-US"/>
        </w:rPr>
        <w:t>2</w:t>
      </w:r>
      <w:r>
        <w:rPr>
          <w:vertAlign w:val="superscript"/>
          <w:lang w:val="en-US"/>
        </w:rPr>
        <w:t>nd</w:t>
      </w:r>
      <w:r w:rsidRPr="00BC7B33">
        <w:rPr>
          <w:lang w:val="vi-VN"/>
        </w:rPr>
        <w:t>, 2026</w:t>
      </w:r>
      <w:r w:rsidRPr="00F55F1F">
        <w:rPr>
          <w:lang w:val="vi-VN"/>
        </w:rPr>
        <w:t>.</w:t>
      </w:r>
    </w:p>
  </w:footnote>
  <w:footnote w:id="14">
    <w:p w14:paraId="1A807183" w14:textId="77777777" w:rsidR="00FC36C1" w:rsidRPr="006951D2" w:rsidRDefault="00FC36C1" w:rsidP="007372E3">
      <w:pPr>
        <w:pStyle w:val="FootnoteText"/>
        <w:spacing w:after="40"/>
        <w:ind w:left="198" w:hanging="198"/>
        <w:jc w:val="both"/>
        <w:rPr>
          <w:color w:val="FF0000"/>
        </w:rPr>
      </w:pPr>
      <w:r>
        <w:rPr>
          <w:rStyle w:val="FootnoteReference"/>
        </w:rPr>
        <w:footnoteRef/>
      </w:r>
      <w:r>
        <w:t xml:space="preserve"> Data received from the State Budget Department - Ministry of Finance on April 27</w:t>
      </w:r>
      <w:r>
        <w:rPr>
          <w:vertAlign w:val="superscript"/>
        </w:rPr>
        <w:t>th</w:t>
      </w:r>
      <w:r>
        <w:t>, 2026.</w:t>
      </w:r>
    </w:p>
  </w:footnote>
  <w:footnote w:id="15">
    <w:p w14:paraId="4C8F66DC" w14:textId="77777777" w:rsidR="00FC36C1" w:rsidRPr="00F94154" w:rsidRDefault="00FC36C1" w:rsidP="007372E3">
      <w:pPr>
        <w:pStyle w:val="FootnoteText"/>
        <w:spacing w:after="40"/>
        <w:ind w:left="198" w:hanging="198"/>
        <w:jc w:val="both"/>
      </w:pPr>
      <w:r>
        <w:rPr>
          <w:rStyle w:val="FootnoteReference"/>
        </w:rPr>
        <w:footnoteRef/>
      </w:r>
      <w:r>
        <w:t xml:space="preserve"> In the previous year, crude oil prices surged during the early months and included surcharges. This year, however, crude oil prices began to rise sharply in April 2026, driven by tensions in the Middle East that disrupted supply and pushed global crude oil prices upward. The average settlement price for crude oil in April was estimated at 105 USD per barrel (35 USD per barrel higher than the estimated price).</w:t>
      </w:r>
    </w:p>
  </w:footnote>
  <w:footnote w:id="16">
    <w:p w14:paraId="3DE9310A" w14:textId="77777777" w:rsidR="005B4C2A" w:rsidRPr="00FA28F0" w:rsidRDefault="005B4C2A" w:rsidP="005B4C2A">
      <w:pPr>
        <w:pStyle w:val="FootnoteText"/>
        <w:spacing w:before="60"/>
        <w:ind w:left="198" w:hanging="198"/>
        <w:jc w:val="both"/>
        <w:rPr>
          <w:lang w:val="en-US"/>
        </w:rPr>
      </w:pPr>
      <w:r w:rsidRPr="00F9148F">
        <w:rPr>
          <w:rStyle w:val="FootnoteReference"/>
        </w:rPr>
        <w:footnoteRef/>
      </w:r>
      <w:r w:rsidRPr="00722356">
        <w:rPr>
          <w:lang w:val="vi-VN"/>
        </w:rPr>
        <w:t xml:space="preserve"> </w:t>
      </w:r>
      <w:r w:rsidRPr="00FA28F0">
        <w:rPr>
          <w:lang w:val="en-IN"/>
        </w:rPr>
        <w:t>The value of export turnover was calculated at F.O.B price and import turnover was calculated at C.I.F price (including transportation and insurance costs of imported goods)</w:t>
      </w:r>
      <w:r w:rsidRPr="007503F8">
        <w:rPr>
          <w:lang w:val="vi-VN"/>
        </w:rPr>
        <w:t>.</w:t>
      </w:r>
    </w:p>
  </w:footnote>
  <w:footnote w:id="17">
    <w:p w14:paraId="360B2DD1" w14:textId="77777777" w:rsidR="005B4C2A" w:rsidRPr="0083640D" w:rsidRDefault="005B4C2A" w:rsidP="005B4C2A">
      <w:pPr>
        <w:spacing w:before="60"/>
        <w:ind w:left="198" w:hanging="198"/>
        <w:jc w:val="both"/>
        <w:rPr>
          <w:rFonts w:asciiTheme="minorHAnsi" w:eastAsiaTheme="minorHAnsi" w:hAnsiTheme="minorHAnsi" w:cstheme="minorBidi"/>
          <w:sz w:val="22"/>
          <w:szCs w:val="22"/>
        </w:rPr>
      </w:pPr>
      <w:r w:rsidRPr="00BC5895">
        <w:rPr>
          <w:rStyle w:val="FootnoteReference"/>
          <w:sz w:val="20"/>
          <w:szCs w:val="20"/>
        </w:rPr>
        <w:footnoteRef/>
      </w:r>
      <w:r w:rsidRPr="0052362F">
        <w:rPr>
          <w:spacing w:val="-2"/>
          <w:sz w:val="20"/>
          <w:szCs w:val="20"/>
        </w:rPr>
        <w:t xml:space="preserve"> </w:t>
      </w:r>
      <w:r w:rsidRPr="0056164F">
        <w:rPr>
          <w:sz w:val="20"/>
          <w:szCs w:val="20"/>
        </w:rPr>
        <w:t>The estimated total value of exports and imports for April was provided by the</w:t>
      </w:r>
      <w:r>
        <w:rPr>
          <w:sz w:val="20"/>
          <w:szCs w:val="20"/>
        </w:rPr>
        <w:t xml:space="preserve"> Viet Nam</w:t>
      </w:r>
      <w:r w:rsidRPr="0056164F">
        <w:rPr>
          <w:sz w:val="20"/>
          <w:szCs w:val="20"/>
        </w:rPr>
        <w:t xml:space="preserve"> Customs on 28</w:t>
      </w:r>
      <w:r w:rsidRPr="00DD4084">
        <w:rPr>
          <w:sz w:val="20"/>
          <w:szCs w:val="20"/>
          <w:vertAlign w:val="superscript"/>
        </w:rPr>
        <w:t>th</w:t>
      </w:r>
      <w:r w:rsidRPr="0056164F">
        <w:rPr>
          <w:sz w:val="20"/>
          <w:szCs w:val="20"/>
        </w:rPr>
        <w:t xml:space="preserve"> April 2026. The</w:t>
      </w:r>
      <w:r>
        <w:rPr>
          <w:sz w:val="20"/>
          <w:szCs w:val="20"/>
        </w:rPr>
        <w:t xml:space="preserve"> National</w:t>
      </w:r>
      <w:r w:rsidRPr="0056164F">
        <w:rPr>
          <w:sz w:val="20"/>
          <w:szCs w:val="20"/>
        </w:rPr>
        <w:t xml:space="preserve"> Statistics Office estimated the export and import values of a number of key commodities in April based on the estimated total value provided by the</w:t>
      </w:r>
      <w:r>
        <w:rPr>
          <w:sz w:val="20"/>
          <w:szCs w:val="20"/>
        </w:rPr>
        <w:t xml:space="preserve"> Viet Nam</w:t>
      </w:r>
      <w:r w:rsidRPr="0056164F">
        <w:rPr>
          <w:sz w:val="20"/>
          <w:szCs w:val="20"/>
        </w:rPr>
        <w:t xml:space="preserve"> Customs on 28</w:t>
      </w:r>
      <w:r w:rsidRPr="00DD4084">
        <w:rPr>
          <w:sz w:val="20"/>
          <w:szCs w:val="20"/>
          <w:vertAlign w:val="superscript"/>
        </w:rPr>
        <w:t>th</w:t>
      </w:r>
      <w:r w:rsidRPr="0056164F">
        <w:rPr>
          <w:sz w:val="20"/>
          <w:szCs w:val="20"/>
        </w:rPr>
        <w:t xml:space="preserve"> April 2026 and the preliminary data on export and import values of several key commodities up to 15</w:t>
      </w:r>
      <w:r w:rsidRPr="00DD4084">
        <w:rPr>
          <w:sz w:val="20"/>
          <w:szCs w:val="20"/>
          <w:vertAlign w:val="superscript"/>
        </w:rPr>
        <w:t>th</w:t>
      </w:r>
      <w:r w:rsidRPr="0056164F">
        <w:rPr>
          <w:sz w:val="20"/>
          <w:szCs w:val="20"/>
        </w:rPr>
        <w:t xml:space="preserve"> April 2026 supplied by the</w:t>
      </w:r>
      <w:r>
        <w:rPr>
          <w:sz w:val="20"/>
          <w:szCs w:val="20"/>
        </w:rPr>
        <w:t xml:space="preserve"> Viet Nam</w:t>
      </w:r>
      <w:r w:rsidRPr="0056164F">
        <w:rPr>
          <w:sz w:val="20"/>
          <w:szCs w:val="20"/>
        </w:rPr>
        <w:t xml:space="preserve"> Customs</w:t>
      </w:r>
      <w:r>
        <w:rPr>
          <w:sz w:val="20"/>
          <w:szCs w:val="20"/>
        </w:rPr>
        <w:t>.</w:t>
      </w:r>
    </w:p>
  </w:footnote>
  <w:footnote w:id="18">
    <w:p w14:paraId="65E974F4" w14:textId="77777777" w:rsidR="005B4C2A" w:rsidRPr="0083640D" w:rsidRDefault="005B4C2A" w:rsidP="005B4C2A">
      <w:pPr>
        <w:pStyle w:val="FootnoteText"/>
        <w:spacing w:before="60"/>
        <w:ind w:left="198" w:hanging="198"/>
        <w:jc w:val="both"/>
        <w:rPr>
          <w:rFonts w:asciiTheme="minorHAnsi" w:eastAsiaTheme="minorHAnsi" w:hAnsiTheme="minorHAnsi" w:cstheme="minorBidi"/>
          <w:sz w:val="22"/>
          <w:szCs w:val="22"/>
        </w:rPr>
      </w:pPr>
      <w:r w:rsidRPr="00BC5895">
        <w:rPr>
          <w:rStyle w:val="FootnoteReference"/>
        </w:rPr>
        <w:footnoteRef/>
      </w:r>
      <w:r w:rsidRPr="009F297E">
        <w:rPr>
          <w:lang w:val="vi-VN"/>
        </w:rPr>
        <w:t xml:space="preserve"> </w:t>
      </w:r>
      <w:r>
        <w:rPr>
          <w:lang w:val="en-US"/>
        </w:rPr>
        <w:t>T</w:t>
      </w:r>
      <w:r w:rsidRPr="00765D73">
        <w:rPr>
          <w:lang w:val="vi-VN"/>
        </w:rPr>
        <w:t>he total export and import turnover of goods in</w:t>
      </w:r>
      <w:r>
        <w:rPr>
          <w:lang w:val="en-US"/>
        </w:rPr>
        <w:t xml:space="preserve"> four months of</w:t>
      </w:r>
      <w:r>
        <w:rPr>
          <w:lang w:val="vi-VN"/>
        </w:rPr>
        <w:t xml:space="preserve"> 2025 amounted to</w:t>
      </w:r>
      <w:r>
        <w:rPr>
          <w:bCs/>
          <w:color w:val="000000"/>
          <w:spacing w:val="-6"/>
          <w:lang w:val="vi-VN"/>
        </w:rPr>
        <w:t xml:space="preserve"> 277.</w:t>
      </w:r>
      <w:r w:rsidRPr="00A076CA">
        <w:rPr>
          <w:bCs/>
          <w:color w:val="000000"/>
          <w:spacing w:val="-6"/>
          <w:lang w:val="vi-VN"/>
        </w:rPr>
        <w:t xml:space="preserve">21 </w:t>
      </w:r>
      <w:r>
        <w:rPr>
          <w:bCs/>
          <w:color w:val="000000"/>
          <w:spacing w:val="-6"/>
          <w:lang w:val="en-US"/>
        </w:rPr>
        <w:t>billion</w:t>
      </w:r>
      <w:r w:rsidRPr="00A076CA">
        <w:rPr>
          <w:bCs/>
          <w:color w:val="000000"/>
          <w:spacing w:val="-6"/>
          <w:lang w:val="vi-VN"/>
        </w:rPr>
        <w:t xml:space="preserve"> USD, </w:t>
      </w:r>
      <w:r>
        <w:rPr>
          <w:lang w:val="en-US"/>
        </w:rPr>
        <w:t xml:space="preserve">going </w:t>
      </w:r>
      <w:r>
        <w:rPr>
          <w:lang w:val="vi-VN"/>
        </w:rPr>
        <w:t>up</w:t>
      </w:r>
      <w:r>
        <w:rPr>
          <w:bCs/>
          <w:color w:val="000000"/>
          <w:spacing w:val="-6"/>
          <w:lang w:val="vi-VN"/>
        </w:rPr>
        <w:t xml:space="preserve"> 15.</w:t>
      </w:r>
      <w:r w:rsidRPr="00A076CA">
        <w:rPr>
          <w:bCs/>
          <w:color w:val="000000"/>
          <w:spacing w:val="-6"/>
          <w:lang w:val="vi-VN"/>
        </w:rPr>
        <w:t xml:space="preserve">7% </w:t>
      </w:r>
      <w:r w:rsidRPr="00765D73">
        <w:rPr>
          <w:lang w:val="vi-VN"/>
        </w:rPr>
        <w:t>year-on-y</w:t>
      </w:r>
      <w:r>
        <w:rPr>
          <w:lang w:val="vi-VN"/>
        </w:rPr>
        <w:t>ear</w:t>
      </w:r>
      <w:r w:rsidRPr="00A076CA">
        <w:rPr>
          <w:bCs/>
          <w:color w:val="000000"/>
          <w:spacing w:val="-6"/>
          <w:lang w:val="vi-VN"/>
        </w:rPr>
        <w:t xml:space="preserve">, </w:t>
      </w:r>
      <w:r>
        <w:rPr>
          <w:lang w:val="vi-VN"/>
        </w:rPr>
        <w:t>of which exports reached</w:t>
      </w:r>
      <w:r w:rsidRPr="00A076CA">
        <w:rPr>
          <w:bCs/>
          <w:color w:val="000000"/>
          <w:spacing w:val="-6"/>
        </w:rPr>
        <w:t xml:space="preserve"> </w:t>
      </w:r>
      <w:r>
        <w:rPr>
          <w:bCs/>
          <w:color w:val="000000"/>
          <w:spacing w:val="-6"/>
          <w:lang w:val="vi-VN"/>
        </w:rPr>
        <w:t>140.</w:t>
      </w:r>
      <w:r w:rsidRPr="00A076CA">
        <w:rPr>
          <w:bCs/>
          <w:color w:val="000000"/>
          <w:spacing w:val="-6"/>
          <w:lang w:val="vi-VN"/>
        </w:rPr>
        <w:t>75</w:t>
      </w:r>
      <w:r w:rsidRPr="00A076CA">
        <w:rPr>
          <w:bCs/>
          <w:color w:val="000000"/>
          <w:spacing w:val="-6"/>
        </w:rPr>
        <w:t xml:space="preserve"> </w:t>
      </w:r>
      <w:r>
        <w:rPr>
          <w:bCs/>
          <w:color w:val="000000"/>
          <w:spacing w:val="-6"/>
          <w:lang w:val="vi-VN"/>
        </w:rPr>
        <w:t>billion</w:t>
      </w:r>
      <w:r w:rsidRPr="00A076CA">
        <w:rPr>
          <w:bCs/>
          <w:color w:val="000000"/>
          <w:spacing w:val="-6"/>
          <w:lang w:val="vi-VN"/>
        </w:rPr>
        <w:t xml:space="preserve"> USD, </w:t>
      </w:r>
      <w:r>
        <w:rPr>
          <w:lang w:val="en-US"/>
        </w:rPr>
        <w:t>in</w:t>
      </w:r>
      <w:r w:rsidRPr="00765D73">
        <w:rPr>
          <w:lang w:val="vi-VN"/>
        </w:rPr>
        <w:t>creasing</w:t>
      </w:r>
      <w:r>
        <w:rPr>
          <w:lang w:val="en-US"/>
        </w:rPr>
        <w:t xml:space="preserve"> by</w:t>
      </w:r>
      <w:r>
        <w:rPr>
          <w:bCs/>
          <w:color w:val="000000"/>
          <w:spacing w:val="-6"/>
          <w:lang w:val="vi-VN"/>
        </w:rPr>
        <w:t xml:space="preserve"> 13.</w:t>
      </w:r>
      <w:r w:rsidRPr="00A076CA">
        <w:rPr>
          <w:bCs/>
          <w:color w:val="000000"/>
          <w:spacing w:val="-6"/>
          <w:lang w:val="vi-VN"/>
        </w:rPr>
        <w:t xml:space="preserve">2%; </w:t>
      </w:r>
      <w:r>
        <w:rPr>
          <w:lang w:val="vi-VN"/>
        </w:rPr>
        <w:t>imports reached</w:t>
      </w:r>
      <w:r w:rsidRPr="00A076CA">
        <w:rPr>
          <w:bCs/>
          <w:color w:val="000000"/>
          <w:spacing w:val="-6"/>
          <w:lang w:val="vi-VN"/>
        </w:rPr>
        <w:t xml:space="preserve"> </w:t>
      </w:r>
      <w:r>
        <w:rPr>
          <w:bCs/>
          <w:color w:val="000000"/>
          <w:spacing w:val="-6"/>
          <w:lang w:val="vi-VN"/>
        </w:rPr>
        <w:t>136.</w:t>
      </w:r>
      <w:r w:rsidRPr="00A076CA">
        <w:rPr>
          <w:bCs/>
          <w:color w:val="000000"/>
          <w:spacing w:val="-6"/>
          <w:lang w:val="vi-VN"/>
        </w:rPr>
        <w:t>46</w:t>
      </w:r>
      <w:r w:rsidRPr="00A076CA">
        <w:rPr>
          <w:bCs/>
          <w:color w:val="000000"/>
          <w:spacing w:val="-6"/>
        </w:rPr>
        <w:t xml:space="preserve"> </w:t>
      </w:r>
      <w:r>
        <w:rPr>
          <w:bCs/>
          <w:color w:val="000000"/>
          <w:spacing w:val="-6"/>
          <w:lang w:val="en-US"/>
        </w:rPr>
        <w:t>billion</w:t>
      </w:r>
      <w:r w:rsidRPr="00A076CA">
        <w:rPr>
          <w:bCs/>
          <w:color w:val="000000"/>
          <w:spacing w:val="-6"/>
          <w:lang w:val="vi-VN"/>
        </w:rPr>
        <w:t xml:space="preserve"> USD, </w:t>
      </w:r>
      <w:r>
        <w:rPr>
          <w:lang w:val="en-US"/>
        </w:rPr>
        <w:t>in</w:t>
      </w:r>
      <w:r w:rsidRPr="00765D73">
        <w:rPr>
          <w:lang w:val="vi-VN"/>
        </w:rPr>
        <w:t>creasing</w:t>
      </w:r>
      <w:r>
        <w:rPr>
          <w:lang w:val="en-US"/>
        </w:rPr>
        <w:t xml:space="preserve"> by</w:t>
      </w:r>
      <w:r>
        <w:rPr>
          <w:bCs/>
          <w:color w:val="000000"/>
          <w:spacing w:val="-6"/>
          <w:lang w:val="vi-VN"/>
        </w:rPr>
        <w:t xml:space="preserve"> 18.</w:t>
      </w:r>
      <w:r w:rsidRPr="00A076CA">
        <w:rPr>
          <w:bCs/>
          <w:color w:val="000000"/>
          <w:spacing w:val="-6"/>
          <w:lang w:val="vi-VN"/>
        </w:rPr>
        <w:t>4%.</w:t>
      </w:r>
    </w:p>
  </w:footnote>
  <w:footnote w:id="19">
    <w:p w14:paraId="4838A02A" w14:textId="77777777" w:rsidR="005B4C2A" w:rsidRPr="00783753" w:rsidRDefault="005B4C2A" w:rsidP="005B4C2A">
      <w:pPr>
        <w:pStyle w:val="FootnoteText"/>
        <w:spacing w:before="60"/>
        <w:ind w:left="142" w:hanging="142"/>
      </w:pPr>
      <w:r>
        <w:rPr>
          <w:rStyle w:val="FootnoteReference"/>
        </w:rPr>
        <w:footnoteRef/>
      </w:r>
      <w:r>
        <w:t xml:space="preserve"> </w:t>
      </w:r>
      <w:r w:rsidRPr="00F33CFE">
        <w:t>No change compared to the data provided by the</w:t>
      </w:r>
      <w:r>
        <w:rPr>
          <w:lang w:val="en-US"/>
        </w:rPr>
        <w:t xml:space="preserve"> Viet Nam</w:t>
      </w:r>
      <w:r w:rsidRPr="00F33CFE">
        <w:t xml:space="preserve"> Customs to the</w:t>
      </w:r>
      <w:r>
        <w:rPr>
          <w:lang w:val="en-US"/>
        </w:rPr>
        <w:t xml:space="preserve"> National</w:t>
      </w:r>
      <w:r w:rsidRPr="00F33CFE">
        <w:t xml:space="preserve"> Statistics Office on 03</w:t>
      </w:r>
      <w:r w:rsidRPr="00F33CFE">
        <w:rPr>
          <w:vertAlign w:val="superscript"/>
          <w:lang w:val="en-US"/>
        </w:rPr>
        <w:t>rd</w:t>
      </w:r>
      <w:r w:rsidRPr="00F33CFE">
        <w:t xml:space="preserve"> April 2026</w:t>
      </w:r>
      <w:r>
        <w:rPr>
          <w:bCs/>
          <w:lang w:val="de-DE"/>
        </w:rPr>
        <w:t>.</w:t>
      </w:r>
    </w:p>
  </w:footnote>
  <w:footnote w:id="20">
    <w:p w14:paraId="3F6537D6" w14:textId="77777777" w:rsidR="005B4C2A" w:rsidRPr="00274429" w:rsidRDefault="005B4C2A" w:rsidP="005B4C2A">
      <w:pPr>
        <w:pStyle w:val="FootnoteText"/>
      </w:pPr>
      <w:r>
        <w:rPr>
          <w:rStyle w:val="FootnoteReference"/>
        </w:rPr>
        <w:footnoteRef/>
      </w:r>
      <w:r>
        <w:t xml:space="preserve"> </w:t>
      </w:r>
      <w:r w:rsidRPr="0023573E">
        <w:rPr>
          <w:spacing w:val="-6"/>
        </w:rPr>
        <w:t>The same as the data sent by the Viet Nam Customs to the National Statisti</w:t>
      </w:r>
      <w:r>
        <w:rPr>
          <w:spacing w:val="-6"/>
        </w:rPr>
        <w:t xml:space="preserve">cs Office of Viet Nam on </w:t>
      </w:r>
      <w:r>
        <w:rPr>
          <w:spacing w:val="-6"/>
          <w:lang w:val="en-US"/>
        </w:rPr>
        <w:t>April</w:t>
      </w:r>
      <w:r>
        <w:rPr>
          <w:spacing w:val="-6"/>
        </w:rPr>
        <w:t xml:space="preserve"> 3</w:t>
      </w:r>
      <w:r>
        <w:rPr>
          <w:spacing w:val="-6"/>
          <w:vertAlign w:val="superscript"/>
        </w:rPr>
        <w:t>r</w:t>
      </w:r>
      <w:r w:rsidRPr="0023573E">
        <w:rPr>
          <w:spacing w:val="-6"/>
          <w:vertAlign w:val="superscript"/>
        </w:rPr>
        <w:t>d</w:t>
      </w:r>
      <w:r w:rsidRPr="0023573E">
        <w:rPr>
          <w:spacing w:val="-6"/>
        </w:rPr>
        <w:t xml:space="preserve"> 2026</w:t>
      </w:r>
      <w:r>
        <w:rPr>
          <w:bCs/>
          <w:lang w:val="de-DE"/>
        </w:rPr>
        <w:t>.</w:t>
      </w:r>
    </w:p>
  </w:footnote>
  <w:footnote w:id="21">
    <w:p w14:paraId="291BD8A5" w14:textId="77777777" w:rsidR="005B4C2A" w:rsidRPr="00AD0AA6" w:rsidRDefault="005B4C2A" w:rsidP="005B4C2A">
      <w:pPr>
        <w:pStyle w:val="FootnoteText"/>
        <w:spacing w:before="40" w:after="40" w:line="250" w:lineRule="auto"/>
        <w:ind w:left="198" w:hanging="198"/>
        <w:jc w:val="both"/>
      </w:pPr>
      <w:r w:rsidRPr="00390618">
        <w:rPr>
          <w:rStyle w:val="FootnoteReference"/>
        </w:rPr>
        <w:footnoteRef/>
      </w:r>
      <w:r w:rsidRPr="00390618">
        <w:rPr>
          <w:lang w:val="vi-VN"/>
        </w:rPr>
        <w:t xml:space="preserve"> </w:t>
      </w:r>
      <w:r>
        <w:t>No change compared to the March reporting period</w:t>
      </w:r>
      <w:r w:rsidRPr="00390618">
        <w:rPr>
          <w:lang w:val="vi-VN"/>
        </w:rPr>
        <w:t>.</w:t>
      </w:r>
    </w:p>
  </w:footnote>
  <w:footnote w:id="22">
    <w:p w14:paraId="2C530BDB" w14:textId="080EA16D" w:rsidR="005B4C2A" w:rsidRPr="009550C6" w:rsidRDefault="005B4C2A" w:rsidP="005B4C2A">
      <w:pPr>
        <w:pStyle w:val="FootnoteText"/>
        <w:jc w:val="both"/>
        <w:rPr>
          <w:lang w:val="en-US"/>
        </w:rPr>
      </w:pPr>
      <w:r>
        <w:rPr>
          <w:rStyle w:val="FootnoteReference"/>
        </w:rPr>
        <w:footnoteRef/>
      </w:r>
      <w:r>
        <w:rPr>
          <w:lang w:val="en-US"/>
        </w:rPr>
        <w:t xml:space="preserve"> Of which,</w:t>
      </w:r>
      <w:r w:rsidRPr="009550C6">
        <w:rPr>
          <w:lang w:val="en-US"/>
        </w:rPr>
        <w:t xml:space="preserve"> the</w:t>
      </w:r>
      <w:r>
        <w:rPr>
          <w:lang w:val="en-US"/>
        </w:rPr>
        <w:t xml:space="preserve"> CPI of household</w:t>
      </w:r>
      <w:r w:rsidRPr="009550C6">
        <w:rPr>
          <w:lang w:val="en-US"/>
        </w:rPr>
        <w:t xml:space="preserve"> electricity and </w:t>
      </w:r>
      <w:r>
        <w:rPr>
          <w:lang w:val="en-US"/>
        </w:rPr>
        <w:t xml:space="preserve">tap </w:t>
      </w:r>
      <w:r w:rsidRPr="009550C6">
        <w:rPr>
          <w:lang w:val="en-US"/>
        </w:rPr>
        <w:t xml:space="preserve">water </w:t>
      </w:r>
      <w:r>
        <w:rPr>
          <w:lang w:val="en-US"/>
        </w:rPr>
        <w:t>in</w:t>
      </w:r>
      <w:r w:rsidRPr="009550C6">
        <w:rPr>
          <w:lang w:val="en-US"/>
        </w:rPr>
        <w:t xml:space="preserve"> April 2026 </w:t>
      </w:r>
      <w:r w:rsidRPr="0044437E">
        <w:rPr>
          <w:lang w:val="en-US"/>
        </w:rPr>
        <w:t>reflect</w:t>
      </w:r>
      <w:r w:rsidR="007A3686">
        <w:rPr>
          <w:lang w:val="en-US"/>
        </w:rPr>
        <w:t>ed</w:t>
      </w:r>
      <w:r w:rsidRPr="0044437E">
        <w:rPr>
          <w:lang w:val="en-US"/>
        </w:rPr>
        <w:t xml:space="preserve"> a one-month lag than other items </w:t>
      </w:r>
      <w:r>
        <w:rPr>
          <w:lang w:val="en-US"/>
        </w:rPr>
        <w:t>because it is calculated basing</w:t>
      </w:r>
      <w:r w:rsidRPr="009550C6">
        <w:rPr>
          <w:lang w:val="en-US"/>
        </w:rPr>
        <w:t xml:space="preserve"> on the revenue and consumption volume of March 2026.</w:t>
      </w:r>
      <w:r>
        <w:rPr>
          <w:lang w:val="en-US"/>
        </w:rPr>
        <w:t xml:space="preserve"> </w:t>
      </w:r>
    </w:p>
  </w:footnote>
  <w:footnote w:id="23">
    <w:p w14:paraId="08FAA934" w14:textId="77777777" w:rsidR="005B4C2A" w:rsidRPr="009550C6" w:rsidRDefault="005B4C2A" w:rsidP="005B4C2A">
      <w:pPr>
        <w:pStyle w:val="FootnoteText"/>
        <w:jc w:val="both"/>
        <w:rPr>
          <w:lang w:val="en-US"/>
        </w:rPr>
      </w:pPr>
      <w:r>
        <w:rPr>
          <w:rStyle w:val="FootnoteReference"/>
        </w:rPr>
        <w:footnoteRef/>
      </w:r>
      <w:r>
        <w:rPr>
          <w:lang w:val="en-US"/>
        </w:rPr>
        <w:t xml:space="preserve"> Increasing costs of</w:t>
      </w:r>
      <w:r>
        <w:t xml:space="preserve"> </w:t>
      </w:r>
      <w:r>
        <w:rPr>
          <w:lang w:val="en-US"/>
        </w:rPr>
        <w:t>i</w:t>
      </w:r>
      <w:r w:rsidRPr="009550C6">
        <w:t xml:space="preserve">nput costs particularly </w:t>
      </w:r>
      <w:r>
        <w:rPr>
          <w:lang w:val="en-US"/>
        </w:rPr>
        <w:t>high</w:t>
      </w:r>
      <w:r w:rsidRPr="009550C6">
        <w:t xml:space="preserve"> prices of raw materials, fuel, and</w:t>
      </w:r>
      <w:r>
        <w:rPr>
          <w:lang w:val="en-US"/>
        </w:rPr>
        <w:t xml:space="preserve"> increasing costs of</w:t>
      </w:r>
      <w:r>
        <w:t xml:space="preserve"> transport</w:t>
      </w:r>
      <w:r w:rsidRPr="009550C6">
        <w:t xml:space="preserve">. </w:t>
      </w:r>
      <w:r>
        <w:rPr>
          <w:lang w:val="en-US"/>
        </w:rPr>
        <w:t>Besides</w:t>
      </w:r>
      <w:r w:rsidRPr="009550C6">
        <w:t xml:space="preserve">, </w:t>
      </w:r>
      <w:r>
        <w:rPr>
          <w:lang w:val="en-US"/>
        </w:rPr>
        <w:t xml:space="preserve">growing </w:t>
      </w:r>
      <w:r w:rsidRPr="009550C6">
        <w:t>demand</w:t>
      </w:r>
      <w:r>
        <w:rPr>
          <w:lang w:val="en-US"/>
        </w:rPr>
        <w:t xml:space="preserve"> for </w:t>
      </w:r>
      <w:r w:rsidRPr="009550C6">
        <w:t xml:space="preserve">construction </w:t>
      </w:r>
      <w:r>
        <w:rPr>
          <w:lang w:val="en-US"/>
        </w:rPr>
        <w:t>made</w:t>
      </w:r>
      <w:r w:rsidRPr="009550C6">
        <w:t xml:space="preserve"> </w:t>
      </w:r>
      <w:r>
        <w:rPr>
          <w:lang w:val="en-US"/>
        </w:rPr>
        <w:t xml:space="preserve">the </w:t>
      </w:r>
      <w:r w:rsidRPr="009550C6">
        <w:t>prices of materials such as sand, stone, cement, steel, and bricks</w:t>
      </w:r>
      <w:r>
        <w:rPr>
          <w:lang w:val="en-US"/>
        </w:rPr>
        <w:t xml:space="preserve"> rise</w:t>
      </w:r>
      <w:r w:rsidRPr="009550C6">
        <w:t>.</w:t>
      </w:r>
      <w:r>
        <w:rPr>
          <w:lang w:val="en-US"/>
        </w:rPr>
        <w:t xml:space="preserve"> </w:t>
      </w:r>
    </w:p>
  </w:footnote>
  <w:footnote w:id="24">
    <w:p w14:paraId="1339DECC" w14:textId="77777777" w:rsidR="005B4C2A" w:rsidRPr="003150A3" w:rsidRDefault="005B4C2A" w:rsidP="005B4C2A">
      <w:pPr>
        <w:pStyle w:val="FootnoteText"/>
        <w:jc w:val="both"/>
        <w:rPr>
          <w:lang w:val="en-US"/>
        </w:rPr>
      </w:pPr>
      <w:r>
        <w:rPr>
          <w:rStyle w:val="FootnoteReference"/>
        </w:rPr>
        <w:footnoteRef/>
      </w:r>
      <w:r>
        <w:t xml:space="preserve"> </w:t>
      </w:r>
      <w:r w:rsidRPr="003150A3">
        <w:t xml:space="preserve">Domestic rice prices </w:t>
      </w:r>
      <w:r>
        <w:rPr>
          <w:lang w:val="en-US"/>
        </w:rPr>
        <w:t>rose</w:t>
      </w:r>
      <w:r w:rsidRPr="003150A3">
        <w:t xml:space="preserve"> mainly due to the market in the </w:t>
      </w:r>
      <w:r>
        <w:rPr>
          <w:lang w:val="en-US"/>
        </w:rPr>
        <w:t>ending</w:t>
      </w:r>
      <w:r w:rsidRPr="003150A3">
        <w:t xml:space="preserve"> of</w:t>
      </w:r>
      <w:r>
        <w:t xml:space="preserve"> the winter-spring crop season</w:t>
      </w:r>
      <w:r>
        <w:rPr>
          <w:lang w:val="en-US"/>
        </w:rPr>
        <w:t xml:space="preserve"> causing a fall in</w:t>
      </w:r>
      <w:r w:rsidRPr="003150A3">
        <w:t xml:space="preserve"> rice stocks </w:t>
      </w:r>
      <w:r>
        <w:rPr>
          <w:lang w:val="en-US"/>
        </w:rPr>
        <w:t>and</w:t>
      </w:r>
      <w:r>
        <w:t xml:space="preserve"> supply</w:t>
      </w:r>
      <w:r>
        <w:rPr>
          <w:lang w:val="en-US"/>
        </w:rPr>
        <w:t xml:space="preserve"> and the rising costs of </w:t>
      </w:r>
      <w:r>
        <w:t>transport</w:t>
      </w:r>
      <w:r w:rsidRPr="003150A3">
        <w:t xml:space="preserve"> and distribution. </w:t>
      </w:r>
      <w:r>
        <w:rPr>
          <w:lang w:val="en-US"/>
        </w:rPr>
        <w:t>Besides</w:t>
      </w:r>
      <w:r w:rsidRPr="003150A3">
        <w:t xml:space="preserve">, </w:t>
      </w:r>
      <w:r>
        <w:rPr>
          <w:lang w:val="en-US"/>
        </w:rPr>
        <w:t xml:space="preserve">the prices of </w:t>
      </w:r>
      <w:r w:rsidRPr="003150A3">
        <w:t>Vietnamese rice</w:t>
      </w:r>
      <w:r>
        <w:rPr>
          <w:lang w:val="en-US"/>
        </w:rPr>
        <w:t xml:space="preserve"> witnessed continuous uptrend</w:t>
      </w:r>
      <w:r w:rsidRPr="003150A3">
        <w:t xml:space="preserve"> in the export market. </w:t>
      </w:r>
      <w:r>
        <w:rPr>
          <w:lang w:val="en-US"/>
        </w:rPr>
        <w:t>Therefore</w:t>
      </w:r>
      <w:r w:rsidRPr="003150A3">
        <w:t xml:space="preserve">, the </w:t>
      </w:r>
      <w:r>
        <w:rPr>
          <w:lang w:val="en-US"/>
        </w:rPr>
        <w:t xml:space="preserve">CPI of </w:t>
      </w:r>
      <w:r w:rsidRPr="003150A3">
        <w:t xml:space="preserve">rice </w:t>
      </w:r>
      <w:r>
        <w:rPr>
          <w:lang w:val="en-US"/>
        </w:rPr>
        <w:t>group</w:t>
      </w:r>
      <w:r w:rsidRPr="003150A3">
        <w:t xml:space="preserve"> increased by 0.64% (regular white rice</w:t>
      </w:r>
      <w:r>
        <w:rPr>
          <w:lang w:val="en-US"/>
        </w:rPr>
        <w:t xml:space="preserve">; </w:t>
      </w:r>
      <w:r w:rsidRPr="003150A3">
        <w:t>premium white rice</w:t>
      </w:r>
      <w:r>
        <w:rPr>
          <w:lang w:val="en-US"/>
        </w:rPr>
        <w:t xml:space="preserve">; </w:t>
      </w:r>
      <w:r w:rsidRPr="003150A3">
        <w:t>glutinous rice</w:t>
      </w:r>
      <w:r>
        <w:rPr>
          <w:lang w:val="en-US"/>
        </w:rPr>
        <w:t xml:space="preserve">; </w:t>
      </w:r>
      <w:r w:rsidRPr="003150A3">
        <w:t>brown rice</w:t>
      </w:r>
      <w:r>
        <w:rPr>
          <w:lang w:val="en-US"/>
        </w:rPr>
        <w:t xml:space="preserve"> jumped up </w:t>
      </w:r>
      <w:r w:rsidRPr="003150A3">
        <w:t>0.59%; 0.78%; 0.81%; 0.79%</w:t>
      </w:r>
      <w:r>
        <w:rPr>
          <w:lang w:val="en-US"/>
        </w:rPr>
        <w:t>, respectively</w:t>
      </w:r>
      <w:r w:rsidRPr="003150A3">
        <w:t xml:space="preserve">). </w:t>
      </w:r>
      <w:r>
        <w:rPr>
          <w:lang w:val="en-US"/>
        </w:rPr>
        <w:t>The prices of some</w:t>
      </w:r>
      <w:r>
        <w:t xml:space="preserve"> other food items also</w:t>
      </w:r>
      <w:r>
        <w:rPr>
          <w:lang w:val="en-US"/>
        </w:rPr>
        <w:t xml:space="preserve"> possessed an expansion, such as</w:t>
      </w:r>
      <w:r w:rsidRPr="003150A3">
        <w:t xml:space="preserve">: wheat flour </w:t>
      </w:r>
      <w:r>
        <w:rPr>
          <w:lang w:val="en-US"/>
        </w:rPr>
        <w:t>up</w:t>
      </w:r>
      <w:r w:rsidRPr="003150A3">
        <w:t xml:space="preserve"> 1.42%; </w:t>
      </w:r>
      <w:r>
        <w:rPr>
          <w:lang w:val="en-US"/>
        </w:rPr>
        <w:t xml:space="preserve">white </w:t>
      </w:r>
      <w:r w:rsidRPr="003150A3">
        <w:t xml:space="preserve">bread </w:t>
      </w:r>
      <w:r>
        <w:rPr>
          <w:lang w:val="en-US"/>
        </w:rPr>
        <w:t>up</w:t>
      </w:r>
      <w:r w:rsidRPr="003150A3">
        <w:t xml:space="preserve"> 1.39%; instant noodles, instant pho/porridge </w:t>
      </w:r>
      <w:r>
        <w:rPr>
          <w:lang w:val="en-US"/>
        </w:rPr>
        <w:t>up</w:t>
      </w:r>
      <w:r w:rsidRPr="003150A3">
        <w:t xml:space="preserve"> 1.29%; instant cereals </w:t>
      </w:r>
      <w:r>
        <w:rPr>
          <w:lang w:val="en-US"/>
        </w:rPr>
        <w:t>up</w:t>
      </w:r>
      <w:r w:rsidRPr="003150A3">
        <w:t xml:space="preserve"> 1.08%; cassava </w:t>
      </w:r>
      <w:r>
        <w:rPr>
          <w:lang w:val="en-US"/>
        </w:rPr>
        <w:t>up</w:t>
      </w:r>
      <w:r w:rsidRPr="003150A3">
        <w:t xml:space="preserve"> 1</w:t>
      </w:r>
      <w:r>
        <w:t>.07%; vermicelli, rice noodles</w:t>
      </w:r>
      <w:r>
        <w:rPr>
          <w:lang w:val="en-US"/>
        </w:rPr>
        <w:t xml:space="preserve">, </w:t>
      </w:r>
      <w:r w:rsidRPr="00781F9F">
        <w:rPr>
          <w:lang w:val="vi-VN"/>
        </w:rPr>
        <w:t>pho noodles</w:t>
      </w:r>
      <w:r>
        <w:rPr>
          <w:lang w:val="en-US"/>
        </w:rPr>
        <w:t xml:space="preserve"> up </w:t>
      </w:r>
      <w:r w:rsidRPr="003150A3">
        <w:t xml:space="preserve">0.75%; and other cereals </w:t>
      </w:r>
      <w:r>
        <w:rPr>
          <w:lang w:val="en-US"/>
        </w:rPr>
        <w:t>up</w:t>
      </w:r>
      <w:r w:rsidRPr="003150A3">
        <w:t xml:space="preserve"> 0.68%.</w:t>
      </w:r>
    </w:p>
  </w:footnote>
  <w:footnote w:id="25">
    <w:p w14:paraId="2E2506B6" w14:textId="77777777" w:rsidR="005B4C2A" w:rsidRPr="003150A3" w:rsidRDefault="005B4C2A" w:rsidP="005B4C2A">
      <w:pPr>
        <w:pStyle w:val="FootnoteText"/>
        <w:jc w:val="both"/>
        <w:rPr>
          <w:lang w:val="en-US"/>
        </w:rPr>
      </w:pPr>
      <w:r>
        <w:rPr>
          <w:rStyle w:val="FootnoteReference"/>
        </w:rPr>
        <w:footnoteRef/>
      </w:r>
      <w:r>
        <w:t xml:space="preserve"> </w:t>
      </w:r>
      <w:r w:rsidRPr="003150A3">
        <w:t xml:space="preserve">Due to rising input costs, </w:t>
      </w:r>
      <w:r>
        <w:rPr>
          <w:lang w:val="en-US"/>
        </w:rPr>
        <w:t>of which</w:t>
      </w:r>
      <w:r w:rsidRPr="003150A3">
        <w:t xml:space="preserve"> gas prices </w:t>
      </w:r>
      <w:r>
        <w:rPr>
          <w:lang w:val="en-US"/>
        </w:rPr>
        <w:t>soared. Besides, the rising costs of</w:t>
      </w:r>
      <w:r>
        <w:t xml:space="preserve"> labor, rent</w:t>
      </w:r>
      <w:r>
        <w:rPr>
          <w:lang w:val="en-US"/>
        </w:rPr>
        <w:t xml:space="preserve"> </w:t>
      </w:r>
      <w:r>
        <w:t>and operat</w:t>
      </w:r>
      <w:r>
        <w:rPr>
          <w:lang w:val="en-US"/>
        </w:rPr>
        <w:t>ion</w:t>
      </w:r>
      <w:r w:rsidRPr="003150A3">
        <w:t xml:space="preserve">, </w:t>
      </w:r>
      <w:r>
        <w:rPr>
          <w:lang w:val="en-US"/>
        </w:rPr>
        <w:t>together with</w:t>
      </w:r>
      <w:r w:rsidRPr="003150A3">
        <w:t xml:space="preserve"> stricter regulations on sidewalk and street vending in some </w:t>
      </w:r>
      <w:r>
        <w:rPr>
          <w:lang w:val="en-US"/>
        </w:rPr>
        <w:t>provinces made</w:t>
      </w:r>
      <w:r w:rsidRPr="003150A3">
        <w:t xml:space="preserve"> businesses </w:t>
      </w:r>
      <w:r>
        <w:t>adjust</w:t>
      </w:r>
      <w:r w:rsidRPr="003150A3">
        <w:t xml:space="preserve"> their </w:t>
      </w:r>
      <w:r>
        <w:rPr>
          <w:lang w:val="en-US"/>
        </w:rPr>
        <w:t xml:space="preserve">selling </w:t>
      </w:r>
      <w:r w:rsidRPr="003150A3">
        <w:t>prices to offset thes</w:t>
      </w:r>
      <w:r>
        <w:t>e costs.</w:t>
      </w:r>
      <w:r>
        <w:rPr>
          <w:lang w:val="en-US"/>
        </w:rPr>
        <w:t xml:space="preserve"> Of which</w:t>
      </w:r>
      <w:r w:rsidRPr="003150A3">
        <w:t xml:space="preserve">, the </w:t>
      </w:r>
      <w:r>
        <w:rPr>
          <w:lang w:val="en-US"/>
        </w:rPr>
        <w:t xml:space="preserve">CPI of </w:t>
      </w:r>
      <w:r w:rsidRPr="003150A3">
        <w:t xml:space="preserve">eating out </w:t>
      </w:r>
      <w:r>
        <w:rPr>
          <w:lang w:val="en-US"/>
        </w:rPr>
        <w:t>experienced a month-on-month upturn of</w:t>
      </w:r>
      <w:r w:rsidRPr="003150A3">
        <w:t xml:space="preserve"> 2.08%; drinking out and takeaway fast food</w:t>
      </w:r>
      <w:r>
        <w:rPr>
          <w:lang w:val="en-US"/>
        </w:rPr>
        <w:t xml:space="preserve"> edged up </w:t>
      </w:r>
      <w:r>
        <w:t>0.94%</w:t>
      </w:r>
      <w:r>
        <w:rPr>
          <w:lang w:val="en-US"/>
        </w:rPr>
        <w:t xml:space="preserve"> and </w:t>
      </w:r>
      <w:r w:rsidRPr="003150A3">
        <w:t>1.97%</w:t>
      </w:r>
      <w:r>
        <w:rPr>
          <w:lang w:val="en-US"/>
        </w:rPr>
        <w:t>, respectively</w:t>
      </w:r>
      <w:r w:rsidRPr="003150A3">
        <w:t>.</w:t>
      </w:r>
    </w:p>
  </w:footnote>
  <w:footnote w:id="26">
    <w:p w14:paraId="5D7F3C59" w14:textId="77777777" w:rsidR="005B4C2A" w:rsidRPr="008D7C9B" w:rsidRDefault="005B4C2A" w:rsidP="005B4C2A">
      <w:pPr>
        <w:pStyle w:val="FootnoteText"/>
        <w:jc w:val="both"/>
      </w:pPr>
      <w:r>
        <w:rPr>
          <w:rStyle w:val="FootnoteReference"/>
        </w:rPr>
        <w:footnoteRef/>
      </w:r>
      <w:r>
        <w:t xml:space="preserve"> </w:t>
      </w:r>
      <w:r w:rsidRPr="003150A3">
        <w:t>Due to</w:t>
      </w:r>
      <w:r>
        <w:rPr>
          <w:lang w:val="en-US"/>
        </w:rPr>
        <w:t xml:space="preserve"> the impacts of</w:t>
      </w:r>
      <w:r w:rsidRPr="003150A3">
        <w:t xml:space="preserve"> the alternating increases and decreases </w:t>
      </w:r>
      <w:r>
        <w:rPr>
          <w:lang w:val="en-US"/>
        </w:rPr>
        <w:t>in</w:t>
      </w:r>
      <w:r w:rsidRPr="003150A3">
        <w:t xml:space="preserve"> food groups, as follows: </w:t>
      </w:r>
      <w:r>
        <w:rPr>
          <w:lang w:val="en-US"/>
        </w:rPr>
        <w:t>The CPI of p</w:t>
      </w:r>
      <w:r w:rsidRPr="003150A3">
        <w:t>ork</w:t>
      </w:r>
      <w:r>
        <w:rPr>
          <w:lang w:val="en-US"/>
        </w:rPr>
        <w:t>; beef;</w:t>
      </w:r>
      <w:r w:rsidRPr="008D7C9B">
        <w:t xml:space="preserve"> </w:t>
      </w:r>
      <w:r w:rsidRPr="003150A3">
        <w:t>fresh, dried, and processed vegetable</w:t>
      </w:r>
      <w:r>
        <w:rPr>
          <w:lang w:val="en-US"/>
        </w:rPr>
        <w:t xml:space="preserve">; </w:t>
      </w:r>
      <w:r w:rsidRPr="003150A3">
        <w:t>fresh, dried, and processed vegetable</w:t>
      </w:r>
      <w:r>
        <w:rPr>
          <w:lang w:val="en-US"/>
        </w:rPr>
        <w:t xml:space="preserve">; </w:t>
      </w:r>
      <w:r w:rsidRPr="003150A3">
        <w:t>egg</w:t>
      </w:r>
      <w:r>
        <w:rPr>
          <w:lang w:val="en-US"/>
        </w:rPr>
        <w:t xml:space="preserve"> of all kinds; </w:t>
      </w:r>
      <w:r w:rsidRPr="003150A3">
        <w:t>fresh and processed fruit</w:t>
      </w:r>
      <w:r>
        <w:rPr>
          <w:lang w:val="en-US"/>
        </w:rPr>
        <w:t xml:space="preserve">; </w:t>
      </w:r>
      <w:r w:rsidRPr="003150A3">
        <w:t>milk, butter, and cheese</w:t>
      </w:r>
      <w:r>
        <w:rPr>
          <w:lang w:val="en-US"/>
        </w:rPr>
        <w:t xml:space="preserve">; </w:t>
      </w:r>
      <w:r w:rsidRPr="008D7C9B">
        <w:rPr>
          <w:lang w:val="en-US"/>
        </w:rPr>
        <w:t>fish sauce and condiment</w:t>
      </w:r>
      <w:r>
        <w:rPr>
          <w:lang w:val="en-US"/>
        </w:rPr>
        <w:t xml:space="preserve">; </w:t>
      </w:r>
      <w:r w:rsidRPr="003150A3">
        <w:t>spices</w:t>
      </w:r>
      <w:r>
        <w:rPr>
          <w:lang w:val="en-US"/>
        </w:rPr>
        <w:t>;</w:t>
      </w:r>
      <w:r w:rsidRPr="008D7C9B">
        <w:t xml:space="preserve"> </w:t>
      </w:r>
      <w:r w:rsidRPr="008D7C9B">
        <w:rPr>
          <w:lang w:val="en-US"/>
        </w:rPr>
        <w:t>confectionery</w:t>
      </w:r>
      <w:r>
        <w:rPr>
          <w:lang w:val="en-US"/>
        </w:rPr>
        <w:t xml:space="preserve">; </w:t>
      </w:r>
      <w:r w:rsidRPr="008D7C9B">
        <w:rPr>
          <w:lang w:val="en-US"/>
        </w:rPr>
        <w:t>sugar and syrup</w:t>
      </w:r>
      <w:r>
        <w:rPr>
          <w:lang w:val="en-US"/>
        </w:rPr>
        <w:t xml:space="preserve">; </w:t>
      </w:r>
      <w:r w:rsidRPr="003150A3">
        <w:t>tea, coffee, and cocoa</w:t>
      </w:r>
      <w:r>
        <w:rPr>
          <w:lang w:val="en-US"/>
        </w:rPr>
        <w:t xml:space="preserve"> rose by </w:t>
      </w:r>
      <w:r w:rsidRPr="003150A3">
        <w:t>0.73%; 0.07%; 0.38%; 0.96%; 1.13%; 1.03%; 1.02%; 0.86%; 0.79%; 0.78%;</w:t>
      </w:r>
      <w:r>
        <w:rPr>
          <w:lang w:val="en-US"/>
        </w:rPr>
        <w:t xml:space="preserve"> and</w:t>
      </w:r>
      <w:r w:rsidRPr="003150A3">
        <w:t xml:space="preserve"> 0.73%</w:t>
      </w:r>
      <w:r>
        <w:rPr>
          <w:lang w:val="en-US"/>
        </w:rPr>
        <w:t>, respectively</w:t>
      </w:r>
      <w:r w:rsidRPr="003150A3">
        <w:t>.</w:t>
      </w:r>
    </w:p>
  </w:footnote>
  <w:footnote w:id="27">
    <w:p w14:paraId="753B0010" w14:textId="77777777" w:rsidR="005B4C2A" w:rsidRPr="00135AE8" w:rsidRDefault="005B4C2A" w:rsidP="005B4C2A">
      <w:pPr>
        <w:pStyle w:val="FootnoteText"/>
        <w:spacing w:after="40"/>
        <w:ind w:left="198" w:hanging="198"/>
        <w:jc w:val="both"/>
        <w:rPr>
          <w:lang w:val="en-US"/>
        </w:rPr>
      </w:pPr>
      <w:r>
        <w:rPr>
          <w:rStyle w:val="FootnoteReference"/>
        </w:rPr>
        <w:footnoteRef/>
      </w:r>
      <w:r>
        <w:t xml:space="preserve"> </w:t>
      </w:r>
      <w:r w:rsidRPr="00A43988">
        <w:t xml:space="preserve">Several routes in Ho Chi Minh City </w:t>
      </w:r>
      <w:r>
        <w:rPr>
          <w:lang w:val="en-US"/>
        </w:rPr>
        <w:t>were</w:t>
      </w:r>
      <w:r w:rsidRPr="00A43988">
        <w:t xml:space="preserve"> temporarily suspended for maintenance, while vessel arrivals and departures </w:t>
      </w:r>
      <w:r>
        <w:rPr>
          <w:lang w:val="en-US"/>
        </w:rPr>
        <w:t>were</w:t>
      </w:r>
      <w:r w:rsidRPr="00A43988">
        <w:t xml:space="preserve"> also affec</w:t>
      </w:r>
      <w:r>
        <w:t>ted by water current conditions</w:t>
      </w:r>
      <w:r w:rsidRPr="00E25867">
        <w:t xml:space="preserve">. </w:t>
      </w:r>
    </w:p>
  </w:footnote>
  <w:footnote w:id="28">
    <w:p w14:paraId="737E6EEE" w14:textId="77777777" w:rsidR="005B4C2A" w:rsidRPr="00F55F1F" w:rsidRDefault="005B4C2A" w:rsidP="005B4C2A">
      <w:pPr>
        <w:pStyle w:val="FootnoteText"/>
        <w:spacing w:after="40"/>
        <w:ind w:left="198" w:hanging="198"/>
        <w:jc w:val="both"/>
        <w:rPr>
          <w:lang w:val="vi-VN"/>
        </w:rPr>
      </w:pPr>
      <w:r w:rsidRPr="00F55F1F">
        <w:rPr>
          <w:rStyle w:val="FootnoteReference"/>
        </w:rPr>
        <w:footnoteRef/>
      </w:r>
      <w:r w:rsidRPr="00F55F1F">
        <w:rPr>
          <w:spacing w:val="2"/>
          <w:lang w:val="vi-VN"/>
        </w:rPr>
        <w:t xml:space="preserve"> </w:t>
      </w:r>
      <w:r w:rsidRPr="00673A01">
        <w:rPr>
          <w:lang w:val="vi-VN"/>
        </w:rPr>
        <w:t>According to a report from the Department of Border Gate, the Border Guard Command, the Ministry of National Defense, and the Immigration Department, the Ministry of Public Securit</w:t>
      </w:r>
      <w:r>
        <w:rPr>
          <w:lang w:val="en-US"/>
        </w:rPr>
        <w:t>y</w:t>
      </w:r>
      <w:r w:rsidRPr="00673A01">
        <w:rPr>
          <w:lang w:val="vi-VN"/>
        </w:rPr>
        <w:t>.</w:t>
      </w:r>
    </w:p>
  </w:footnote>
  <w:footnote w:id="29">
    <w:p w14:paraId="547289E2" w14:textId="77777777" w:rsidR="005B4C2A" w:rsidRPr="00F55F1F" w:rsidRDefault="005B4C2A" w:rsidP="005B4C2A">
      <w:pPr>
        <w:pStyle w:val="FootnoteText"/>
        <w:spacing w:after="40"/>
        <w:ind w:left="198" w:hanging="198"/>
        <w:jc w:val="both"/>
        <w:rPr>
          <w:lang w:val="vi-VN"/>
        </w:rPr>
      </w:pPr>
      <w:r w:rsidRPr="00F55F1F">
        <w:rPr>
          <w:rStyle w:val="FootnoteReference"/>
        </w:rPr>
        <w:footnoteRef/>
      </w:r>
      <w:r w:rsidRPr="00F55F1F">
        <w:rPr>
          <w:lang w:val="vi-VN"/>
        </w:rPr>
        <w:t xml:space="preserve"> </w:t>
      </w:r>
      <w:r>
        <w:rPr>
          <w:lang w:val="vi-VN"/>
        </w:rPr>
        <w:t xml:space="preserve">The reporting period was from </w:t>
      </w:r>
      <w:r>
        <w:rPr>
          <w:lang w:val="en-US"/>
        </w:rPr>
        <w:t>March</w:t>
      </w:r>
      <w:r>
        <w:rPr>
          <w:lang w:val="vi-VN"/>
        </w:rPr>
        <w:t xml:space="preserve"> 26</w:t>
      </w:r>
      <w:r>
        <w:rPr>
          <w:vertAlign w:val="superscript"/>
          <w:lang w:val="en-US"/>
        </w:rPr>
        <w:t>th</w:t>
      </w:r>
      <w:r>
        <w:rPr>
          <w:lang w:val="vi-VN"/>
        </w:rPr>
        <w:t xml:space="preserve">, 2026 to </w:t>
      </w:r>
      <w:r>
        <w:rPr>
          <w:lang w:val="en-US"/>
        </w:rPr>
        <w:t>April</w:t>
      </w:r>
      <w:r>
        <w:rPr>
          <w:lang w:val="vi-VN"/>
        </w:rPr>
        <w:t xml:space="preserve"> 25</w:t>
      </w:r>
      <w:r>
        <w:rPr>
          <w:vertAlign w:val="superscript"/>
          <w:lang w:val="en-US"/>
        </w:rPr>
        <w:t>th</w:t>
      </w:r>
      <w:r>
        <w:rPr>
          <w:lang w:val="vi-VN"/>
        </w:rPr>
        <w:t>, 2026</w:t>
      </w:r>
      <w:r w:rsidRPr="00F55F1F">
        <w:rPr>
          <w:lang w:val="vi-VN"/>
        </w:rPr>
        <w:t>.</w:t>
      </w:r>
    </w:p>
  </w:footnote>
  <w:footnote w:id="30">
    <w:p w14:paraId="492092D2" w14:textId="77777777" w:rsidR="005B4C2A" w:rsidRPr="00753462" w:rsidRDefault="005B4C2A" w:rsidP="005B4C2A">
      <w:pPr>
        <w:pStyle w:val="FootnoteText"/>
        <w:rPr>
          <w:lang w:val="en-US"/>
        </w:rPr>
      </w:pPr>
      <w:r>
        <w:rPr>
          <w:rStyle w:val="FootnoteReference"/>
        </w:rPr>
        <w:footnoteRef/>
      </w:r>
      <w:r>
        <w:t xml:space="preserve"> </w:t>
      </w:r>
      <w:r w:rsidRPr="00330047">
        <w:t>A household could select multiple reasons leading to increased income.</w:t>
      </w:r>
    </w:p>
  </w:footnote>
  <w:footnote w:id="31">
    <w:p w14:paraId="01AD5577" w14:textId="77777777" w:rsidR="005B4C2A" w:rsidRPr="00085EFA" w:rsidRDefault="005B4C2A" w:rsidP="005B4C2A">
      <w:pPr>
        <w:pStyle w:val="FootnoteText"/>
        <w:spacing w:after="40"/>
        <w:ind w:left="198" w:hanging="198"/>
        <w:jc w:val="both"/>
        <w:rPr>
          <w:lang w:val="en-US"/>
        </w:rPr>
      </w:pPr>
      <w:r>
        <w:rPr>
          <w:rStyle w:val="FootnoteReference"/>
        </w:rPr>
        <w:footnoteRef/>
      </w:r>
      <w:r>
        <w:t xml:space="preserve"> </w:t>
      </w:r>
      <w:r w:rsidRPr="00530C9C">
        <w:t>Including the following events: activities at the Viet Nam National Village for Ethnic</w:t>
      </w:r>
      <w:r>
        <w:t xml:space="preserve"> Culture and Tourism from </w:t>
      </w:r>
      <w:r w:rsidRPr="00530C9C">
        <w:t>April</w:t>
      </w:r>
      <w:r>
        <w:rPr>
          <w:lang w:val="en-US"/>
        </w:rPr>
        <w:t xml:space="preserve"> </w:t>
      </w:r>
      <w:r>
        <w:t>17</w:t>
      </w:r>
      <w:r w:rsidRPr="006553C6">
        <w:rPr>
          <w:vertAlign w:val="superscript"/>
          <w:lang w:val="en-US"/>
        </w:rPr>
        <w:t>th</w:t>
      </w:r>
      <w:r>
        <w:rPr>
          <w:lang w:val="en-US"/>
        </w:rPr>
        <w:t xml:space="preserve"> </w:t>
      </w:r>
      <w:r>
        <w:t>–</w:t>
      </w:r>
      <w:r>
        <w:rPr>
          <w:lang w:val="en-US"/>
        </w:rPr>
        <w:t xml:space="preserve"> </w:t>
      </w:r>
      <w:r>
        <w:t>19</w:t>
      </w:r>
      <w:r w:rsidRPr="006553C6">
        <w:rPr>
          <w:vertAlign w:val="superscript"/>
          <w:lang w:val="en-US"/>
        </w:rPr>
        <w:t>th</w:t>
      </w:r>
      <w:r w:rsidRPr="00530C9C">
        <w:t xml:space="preserve">. In localities, events took place such as the First </w:t>
      </w:r>
      <w:r>
        <w:rPr>
          <w:lang w:val="en-US"/>
        </w:rPr>
        <w:t>c</w:t>
      </w:r>
      <w:r w:rsidRPr="00530C9C">
        <w:t xml:space="preserve">apital </w:t>
      </w:r>
      <w:r>
        <w:rPr>
          <w:lang w:val="en-US"/>
        </w:rPr>
        <w:t>e</w:t>
      </w:r>
      <w:r w:rsidRPr="00530C9C">
        <w:t xml:space="preserve">thnic and </w:t>
      </w:r>
      <w:r>
        <w:rPr>
          <w:lang w:val="en-US"/>
        </w:rPr>
        <w:t>r</w:t>
      </w:r>
      <w:r w:rsidRPr="00530C9C">
        <w:t>eligious Festival and the Binh Da Festival honouring Lac Long Quan, held in Ha Noi; and a thematic exhibition on ethnic costumes and jewellery of the Mekon</w:t>
      </w:r>
      <w:r>
        <w:t>g Delta region, held in Can Tho</w:t>
      </w:r>
      <w:r w:rsidRPr="00352463">
        <w:t>.</w:t>
      </w:r>
    </w:p>
  </w:footnote>
  <w:footnote w:id="32">
    <w:p w14:paraId="71B45B2B" w14:textId="77777777" w:rsidR="005B4C2A" w:rsidRPr="00085EFA" w:rsidRDefault="005B4C2A" w:rsidP="005B4C2A">
      <w:pPr>
        <w:pStyle w:val="FootnoteText"/>
        <w:spacing w:after="40"/>
        <w:ind w:left="198" w:hanging="198"/>
        <w:jc w:val="both"/>
        <w:rPr>
          <w:lang w:val="en-US"/>
        </w:rPr>
      </w:pPr>
      <w:r>
        <w:rPr>
          <w:rStyle w:val="FootnoteReference"/>
        </w:rPr>
        <w:footnoteRef/>
      </w:r>
      <w:r>
        <w:t xml:space="preserve"> Tay Ho Half Marathon 2026 took place in Ha Noi on April 12</w:t>
      </w:r>
      <w:r w:rsidRPr="004E3B4A">
        <w:rPr>
          <w:vertAlign w:val="superscript"/>
        </w:rPr>
        <w:t>th</w:t>
      </w:r>
      <w:r>
        <w:t>, 2026; AirAsia Red Run Da Nang 2026 took place in Da Nang on April 26</w:t>
      </w:r>
      <w:r w:rsidRPr="00BF2337">
        <w:rPr>
          <w:vertAlign w:val="superscript"/>
        </w:rPr>
        <w:t>th</w:t>
      </w:r>
      <w:r>
        <w:t>, 2026; VnExpress Marathon Hue 2026 took place in Hue on April 19</w:t>
      </w:r>
      <w:r w:rsidRPr="004D5E43">
        <w:rPr>
          <w:vertAlign w:val="superscript"/>
        </w:rPr>
        <w:t>th</w:t>
      </w:r>
      <w:r>
        <w:t>, 2026.</w:t>
      </w:r>
    </w:p>
  </w:footnote>
  <w:footnote w:id="33">
    <w:p w14:paraId="2F1A6F85" w14:textId="77777777" w:rsidR="005B4C2A" w:rsidRPr="00F1270D" w:rsidRDefault="005B4C2A" w:rsidP="005B4C2A">
      <w:pPr>
        <w:pStyle w:val="FootnoteText"/>
        <w:spacing w:after="40"/>
        <w:ind w:left="198" w:hanging="198"/>
        <w:jc w:val="both"/>
      </w:pPr>
      <w:r w:rsidRPr="00F1270D">
        <w:rPr>
          <w:rStyle w:val="FootnoteReference"/>
        </w:rPr>
        <w:footnoteRef/>
      </w:r>
      <w:r w:rsidRPr="00F1270D">
        <w:t xml:space="preserve"> </w:t>
      </w:r>
      <w:r>
        <w:rPr>
          <w:lang w:val="vi-VN"/>
        </w:rPr>
        <w:t>According to a quick report from the Office of the Ministry of Public Security and the Viet</w:t>
      </w:r>
      <w:r>
        <w:rPr>
          <w:lang w:val="en-US"/>
        </w:rPr>
        <w:t xml:space="preserve"> N</w:t>
      </w:r>
      <w:r>
        <w:rPr>
          <w:lang w:val="vi-VN"/>
        </w:rPr>
        <w:t xml:space="preserve">am Maritime and Waterways Administration (Ministry of Construction) on </w:t>
      </w:r>
      <w:r>
        <w:rPr>
          <w:lang w:val="en-US"/>
        </w:rPr>
        <w:t>April</w:t>
      </w:r>
      <w:r>
        <w:rPr>
          <w:lang w:val="vi-VN"/>
        </w:rPr>
        <w:t xml:space="preserve"> 2</w:t>
      </w:r>
      <w:r>
        <w:rPr>
          <w:lang w:val="en-US"/>
        </w:rPr>
        <w:t>3</w:t>
      </w:r>
      <w:r>
        <w:rPr>
          <w:vertAlign w:val="superscript"/>
          <w:lang w:val="en-US"/>
        </w:rPr>
        <w:t>rd</w:t>
      </w:r>
      <w:r>
        <w:rPr>
          <w:lang w:val="vi-VN"/>
        </w:rPr>
        <w:t>, 202</w:t>
      </w:r>
      <w:r>
        <w:rPr>
          <w:lang w:val="en-US"/>
        </w:rPr>
        <w:t>6</w:t>
      </w:r>
      <w:r w:rsidRPr="00F1270D">
        <w:t>.</w:t>
      </w:r>
    </w:p>
  </w:footnote>
  <w:footnote w:id="34">
    <w:p w14:paraId="24350547" w14:textId="77777777" w:rsidR="005B4C2A" w:rsidRPr="00F1270D" w:rsidRDefault="005B4C2A" w:rsidP="005B4C2A">
      <w:pPr>
        <w:pStyle w:val="FootnoteText"/>
        <w:spacing w:after="40"/>
        <w:ind w:left="198" w:hanging="198"/>
        <w:jc w:val="both"/>
        <w:rPr>
          <w:spacing w:val="-2"/>
        </w:rPr>
      </w:pPr>
      <w:r w:rsidRPr="00F1270D">
        <w:rPr>
          <w:rStyle w:val="FootnoteReference"/>
        </w:rPr>
        <w:footnoteRef/>
      </w:r>
      <w:r w:rsidRPr="00F1270D">
        <w:t xml:space="preserve"> </w:t>
      </w:r>
      <w:r>
        <w:t>Compiled from reports of 34 Departments of Agriculture and Environment, covering the reporting period from March 22</w:t>
      </w:r>
      <w:r w:rsidRPr="002C0CF7">
        <w:rPr>
          <w:vertAlign w:val="superscript"/>
        </w:rPr>
        <w:t>nd</w:t>
      </w:r>
      <w:r>
        <w:t>, 2026 to April 23</w:t>
      </w:r>
      <w:r w:rsidRPr="002C0CF7">
        <w:rPr>
          <w:vertAlign w:val="superscript"/>
        </w:rPr>
        <w:t>rd</w:t>
      </w:r>
      <w:r>
        <w:t>, 2026</w:t>
      </w:r>
      <w:r w:rsidRPr="00F1270D">
        <w:t>.</w:t>
      </w:r>
    </w:p>
  </w:footnote>
  <w:footnote w:id="35">
    <w:p w14:paraId="211844F8" w14:textId="77777777" w:rsidR="005B4C2A" w:rsidRPr="00F1270D" w:rsidRDefault="005B4C2A" w:rsidP="005B4C2A">
      <w:pPr>
        <w:pStyle w:val="FootnoteText"/>
        <w:spacing w:after="40"/>
        <w:ind w:left="198" w:hanging="198"/>
        <w:jc w:val="both"/>
        <w:rPr>
          <w:lang w:val="en-US"/>
        </w:rPr>
      </w:pPr>
      <w:r w:rsidRPr="00F1270D">
        <w:rPr>
          <w:rStyle w:val="FootnoteReference"/>
        </w:rPr>
        <w:footnoteRef/>
      </w:r>
      <w:r w:rsidRPr="00F1270D">
        <w:t xml:space="preserve"> </w:t>
      </w:r>
      <w:r>
        <w:rPr>
          <w:color w:val="000000" w:themeColor="text1"/>
        </w:rPr>
        <w:t>According to data compiled by Provincial and centrally-governed cities Statistics Offices from the reports of Provincial Departments of Agriculture and Environment and Provincial Police Departments</w:t>
      </w:r>
      <w:r w:rsidRPr="00F1270D">
        <w:rPr>
          <w:lang w:val="de-DE"/>
        </w:rPr>
        <w:t>.</w:t>
      </w:r>
    </w:p>
  </w:footnote>
  <w:footnote w:id="36">
    <w:p w14:paraId="3B1A9F35" w14:textId="77777777" w:rsidR="005B4C2A" w:rsidRPr="00F1270D" w:rsidRDefault="005B4C2A" w:rsidP="005B4C2A">
      <w:pPr>
        <w:tabs>
          <w:tab w:val="left" w:pos="426"/>
          <w:tab w:val="left" w:pos="900"/>
        </w:tabs>
        <w:spacing w:after="40"/>
        <w:ind w:left="198" w:hanging="198"/>
        <w:jc w:val="both"/>
        <w:rPr>
          <w:sz w:val="20"/>
          <w:szCs w:val="20"/>
        </w:rPr>
      </w:pPr>
      <w:r w:rsidRPr="00F1270D">
        <w:rPr>
          <w:rStyle w:val="FootnoteReference"/>
          <w:sz w:val="20"/>
          <w:szCs w:val="20"/>
        </w:rPr>
        <w:footnoteRef/>
      </w:r>
      <w:r w:rsidRPr="00F1270D">
        <w:rPr>
          <w:sz w:val="20"/>
          <w:szCs w:val="20"/>
        </w:rPr>
        <w:t xml:space="preserve"> </w:t>
      </w:r>
      <w:r>
        <w:rPr>
          <w:color w:val="000000" w:themeColor="text1"/>
          <w:sz w:val="20"/>
          <w:szCs w:val="20"/>
        </w:rPr>
        <w:t>No environmental violation was detected in Khanh Hoa</w:t>
      </w:r>
      <w:r w:rsidRPr="00F1270D">
        <w:rPr>
          <w:noProof/>
          <w:sz w:val="20"/>
          <w:szCs w:val="20"/>
        </w:rPr>
        <w:t>.</w:t>
      </w:r>
    </w:p>
  </w:footnote>
  <w:footnote w:id="37">
    <w:p w14:paraId="075A882D" w14:textId="77777777" w:rsidR="005B4C2A" w:rsidRPr="00F1270D" w:rsidRDefault="005B4C2A" w:rsidP="005B4C2A">
      <w:pPr>
        <w:pStyle w:val="FootnoteText"/>
        <w:spacing w:after="40"/>
        <w:ind w:left="198" w:hanging="198"/>
        <w:jc w:val="both"/>
      </w:pPr>
      <w:r w:rsidRPr="00F1270D">
        <w:rPr>
          <w:rStyle w:val="FootnoteReference"/>
        </w:rPr>
        <w:footnoteRef/>
      </w:r>
      <w:r w:rsidRPr="00F1270D">
        <w:t xml:space="preserve"> </w:t>
      </w:r>
      <w:r>
        <w:rPr>
          <w:color w:val="000000" w:themeColor="text1"/>
        </w:rPr>
        <w:t xml:space="preserve">According to a quick report from the Ministry of Public Security dated </w:t>
      </w:r>
      <w:r>
        <w:rPr>
          <w:color w:val="000000" w:themeColor="text1"/>
          <w:lang w:val="en-US"/>
        </w:rPr>
        <w:t xml:space="preserve">April </w:t>
      </w:r>
      <w:r>
        <w:rPr>
          <w:color w:val="000000" w:themeColor="text1"/>
        </w:rPr>
        <w:t>23</w:t>
      </w:r>
      <w:r>
        <w:rPr>
          <w:color w:val="000000" w:themeColor="text1"/>
          <w:vertAlign w:val="superscript"/>
        </w:rPr>
        <w:t>rd</w:t>
      </w:r>
      <w:r>
        <w:rPr>
          <w:color w:val="000000" w:themeColor="text1"/>
        </w:rPr>
        <w:t>, 2026</w:t>
      </w:r>
      <w:r w:rsidRPr="00F1270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334082"/>
      <w:docPartObj>
        <w:docPartGallery w:val="Page Numbers (Top of Page)"/>
        <w:docPartUnique/>
      </w:docPartObj>
    </w:sdtPr>
    <w:sdtEndPr>
      <w:rPr>
        <w:noProof/>
      </w:rPr>
    </w:sdtEndPr>
    <w:sdtContent>
      <w:p w14:paraId="1DE310E9" w14:textId="314C505D" w:rsidR="00FC36C1" w:rsidRDefault="00FC36C1">
        <w:pPr>
          <w:pStyle w:val="Header"/>
          <w:jc w:val="center"/>
        </w:pPr>
        <w:r>
          <w:fldChar w:fldCharType="begin"/>
        </w:r>
        <w:r>
          <w:instrText xml:space="preserve"> PAGE   \* MERGEFORMAT </w:instrText>
        </w:r>
        <w:r>
          <w:fldChar w:fldCharType="separate"/>
        </w:r>
        <w:r w:rsidR="006F743D">
          <w:rPr>
            <w:noProof/>
          </w:rPr>
          <w:t>30</w:t>
        </w:r>
        <w:r>
          <w:rPr>
            <w:noProof/>
          </w:rPr>
          <w:fldChar w:fldCharType="end"/>
        </w:r>
      </w:p>
    </w:sdtContent>
  </w:sdt>
  <w:p w14:paraId="39289854" w14:textId="77777777" w:rsidR="00FC36C1" w:rsidRDefault="00FC36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B14DA"/>
    <w:multiLevelType w:val="hybridMultilevel"/>
    <w:tmpl w:val="C9428320"/>
    <w:lvl w:ilvl="0" w:tplc="1278E85C">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F43B2D"/>
    <w:multiLevelType w:val="hybridMultilevel"/>
    <w:tmpl w:val="45A2BB3C"/>
    <w:lvl w:ilvl="0" w:tplc="6AA80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D6206CB"/>
    <w:multiLevelType w:val="hybridMultilevel"/>
    <w:tmpl w:val="FE6C323C"/>
    <w:lvl w:ilvl="0" w:tplc="AA76F3E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284C82"/>
    <w:multiLevelType w:val="hybridMultilevel"/>
    <w:tmpl w:val="497C998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4546511E"/>
    <w:multiLevelType w:val="hybridMultilevel"/>
    <w:tmpl w:val="1B1A2156"/>
    <w:lvl w:ilvl="0" w:tplc="FEBAAF4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80F2C28"/>
    <w:multiLevelType w:val="hybridMultilevel"/>
    <w:tmpl w:val="77161A3A"/>
    <w:lvl w:ilvl="0" w:tplc="22FA4E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768"/>
    <w:rsid w:val="00000DB7"/>
    <w:rsid w:val="00005630"/>
    <w:rsid w:val="00006881"/>
    <w:rsid w:val="000077A3"/>
    <w:rsid w:val="000121CD"/>
    <w:rsid w:val="00014775"/>
    <w:rsid w:val="000152D2"/>
    <w:rsid w:val="0001673B"/>
    <w:rsid w:val="00020880"/>
    <w:rsid w:val="00025D84"/>
    <w:rsid w:val="000304F6"/>
    <w:rsid w:val="00033BE5"/>
    <w:rsid w:val="000369C9"/>
    <w:rsid w:val="00037DF3"/>
    <w:rsid w:val="00040E5C"/>
    <w:rsid w:val="000437DA"/>
    <w:rsid w:val="00046FE1"/>
    <w:rsid w:val="0005112D"/>
    <w:rsid w:val="00053768"/>
    <w:rsid w:val="00053F1B"/>
    <w:rsid w:val="000600DD"/>
    <w:rsid w:val="00064B43"/>
    <w:rsid w:val="00065182"/>
    <w:rsid w:val="00073784"/>
    <w:rsid w:val="000737E6"/>
    <w:rsid w:val="0007699E"/>
    <w:rsid w:val="00077F57"/>
    <w:rsid w:val="00080DC9"/>
    <w:rsid w:val="000819C5"/>
    <w:rsid w:val="00083CB8"/>
    <w:rsid w:val="0008799D"/>
    <w:rsid w:val="000929B4"/>
    <w:rsid w:val="0009370B"/>
    <w:rsid w:val="0009389F"/>
    <w:rsid w:val="000A1904"/>
    <w:rsid w:val="000A4DD5"/>
    <w:rsid w:val="000A69FD"/>
    <w:rsid w:val="000A70AE"/>
    <w:rsid w:val="000A73BF"/>
    <w:rsid w:val="000A74BB"/>
    <w:rsid w:val="000B03CB"/>
    <w:rsid w:val="000B380E"/>
    <w:rsid w:val="000B54DC"/>
    <w:rsid w:val="000B5842"/>
    <w:rsid w:val="000B60EE"/>
    <w:rsid w:val="000B6125"/>
    <w:rsid w:val="000C36C3"/>
    <w:rsid w:val="000C3F60"/>
    <w:rsid w:val="000D33B2"/>
    <w:rsid w:val="000E1323"/>
    <w:rsid w:val="000E2DAC"/>
    <w:rsid w:val="000E3814"/>
    <w:rsid w:val="000E40D7"/>
    <w:rsid w:val="000E558F"/>
    <w:rsid w:val="000F2A82"/>
    <w:rsid w:val="000F2AD3"/>
    <w:rsid w:val="000F4636"/>
    <w:rsid w:val="000F5C03"/>
    <w:rsid w:val="000F73DD"/>
    <w:rsid w:val="00114F06"/>
    <w:rsid w:val="001150D8"/>
    <w:rsid w:val="00115C03"/>
    <w:rsid w:val="00122943"/>
    <w:rsid w:val="00123AA6"/>
    <w:rsid w:val="00124534"/>
    <w:rsid w:val="0013130D"/>
    <w:rsid w:val="00137D94"/>
    <w:rsid w:val="00143375"/>
    <w:rsid w:val="00144FD6"/>
    <w:rsid w:val="00145483"/>
    <w:rsid w:val="0014682B"/>
    <w:rsid w:val="00150724"/>
    <w:rsid w:val="00150B45"/>
    <w:rsid w:val="00150C59"/>
    <w:rsid w:val="0016102C"/>
    <w:rsid w:val="00163059"/>
    <w:rsid w:val="001636A0"/>
    <w:rsid w:val="00164CF6"/>
    <w:rsid w:val="00166849"/>
    <w:rsid w:val="001679C0"/>
    <w:rsid w:val="00172A13"/>
    <w:rsid w:val="00173ACA"/>
    <w:rsid w:val="0017610E"/>
    <w:rsid w:val="00184E20"/>
    <w:rsid w:val="00192A06"/>
    <w:rsid w:val="0019323F"/>
    <w:rsid w:val="00193F63"/>
    <w:rsid w:val="00194482"/>
    <w:rsid w:val="001A1102"/>
    <w:rsid w:val="001A28E9"/>
    <w:rsid w:val="001A2935"/>
    <w:rsid w:val="001A7F64"/>
    <w:rsid w:val="001B0CB3"/>
    <w:rsid w:val="001B297E"/>
    <w:rsid w:val="001C09FE"/>
    <w:rsid w:val="001C3B68"/>
    <w:rsid w:val="001D18E3"/>
    <w:rsid w:val="001E3704"/>
    <w:rsid w:val="001E419F"/>
    <w:rsid w:val="001E45D8"/>
    <w:rsid w:val="001E5CD8"/>
    <w:rsid w:val="001E636C"/>
    <w:rsid w:val="001E704B"/>
    <w:rsid w:val="001F0B2D"/>
    <w:rsid w:val="001F3DC7"/>
    <w:rsid w:val="001F4198"/>
    <w:rsid w:val="001F5F30"/>
    <w:rsid w:val="001F680E"/>
    <w:rsid w:val="001F753D"/>
    <w:rsid w:val="0021188F"/>
    <w:rsid w:val="00213996"/>
    <w:rsid w:val="00216665"/>
    <w:rsid w:val="002221B7"/>
    <w:rsid w:val="0022251B"/>
    <w:rsid w:val="00227754"/>
    <w:rsid w:val="00230689"/>
    <w:rsid w:val="0023306D"/>
    <w:rsid w:val="00234456"/>
    <w:rsid w:val="00237569"/>
    <w:rsid w:val="00243A7C"/>
    <w:rsid w:val="00245C24"/>
    <w:rsid w:val="00246ACE"/>
    <w:rsid w:val="002503FC"/>
    <w:rsid w:val="002642D7"/>
    <w:rsid w:val="00267E54"/>
    <w:rsid w:val="002703C2"/>
    <w:rsid w:val="0028043C"/>
    <w:rsid w:val="00281AA6"/>
    <w:rsid w:val="0028210A"/>
    <w:rsid w:val="00283D82"/>
    <w:rsid w:val="00287856"/>
    <w:rsid w:val="002974D9"/>
    <w:rsid w:val="002976A5"/>
    <w:rsid w:val="002A056E"/>
    <w:rsid w:val="002A1B24"/>
    <w:rsid w:val="002A2940"/>
    <w:rsid w:val="002A326C"/>
    <w:rsid w:val="002A4088"/>
    <w:rsid w:val="002A59FD"/>
    <w:rsid w:val="002A7012"/>
    <w:rsid w:val="002B623B"/>
    <w:rsid w:val="002B6CE1"/>
    <w:rsid w:val="002C3382"/>
    <w:rsid w:val="002C6BFE"/>
    <w:rsid w:val="002D4A09"/>
    <w:rsid w:val="002D4DE8"/>
    <w:rsid w:val="002E19DE"/>
    <w:rsid w:val="002E632A"/>
    <w:rsid w:val="002F0924"/>
    <w:rsid w:val="002F1D7A"/>
    <w:rsid w:val="0030110F"/>
    <w:rsid w:val="00301D88"/>
    <w:rsid w:val="00302FDD"/>
    <w:rsid w:val="00305DD9"/>
    <w:rsid w:val="00305F66"/>
    <w:rsid w:val="00306C05"/>
    <w:rsid w:val="00314437"/>
    <w:rsid w:val="00322F72"/>
    <w:rsid w:val="00325042"/>
    <w:rsid w:val="00334D3E"/>
    <w:rsid w:val="003416E5"/>
    <w:rsid w:val="00344725"/>
    <w:rsid w:val="0034650B"/>
    <w:rsid w:val="003503C6"/>
    <w:rsid w:val="00351908"/>
    <w:rsid w:val="00353523"/>
    <w:rsid w:val="00356520"/>
    <w:rsid w:val="00357E92"/>
    <w:rsid w:val="003647C5"/>
    <w:rsid w:val="00364A78"/>
    <w:rsid w:val="00366152"/>
    <w:rsid w:val="003675A4"/>
    <w:rsid w:val="0037466C"/>
    <w:rsid w:val="0038501F"/>
    <w:rsid w:val="003916D1"/>
    <w:rsid w:val="00393618"/>
    <w:rsid w:val="00395A52"/>
    <w:rsid w:val="003A3B03"/>
    <w:rsid w:val="003A5B31"/>
    <w:rsid w:val="003A6C0C"/>
    <w:rsid w:val="003B2A61"/>
    <w:rsid w:val="003B3082"/>
    <w:rsid w:val="003B72F8"/>
    <w:rsid w:val="003C1366"/>
    <w:rsid w:val="003C7F70"/>
    <w:rsid w:val="003D5291"/>
    <w:rsid w:val="003D715C"/>
    <w:rsid w:val="003D7ACB"/>
    <w:rsid w:val="003D7EB5"/>
    <w:rsid w:val="003E05C9"/>
    <w:rsid w:val="003E27AE"/>
    <w:rsid w:val="003E2EA9"/>
    <w:rsid w:val="003E3B7F"/>
    <w:rsid w:val="003E446E"/>
    <w:rsid w:val="003F00C4"/>
    <w:rsid w:val="003F243D"/>
    <w:rsid w:val="003F27DD"/>
    <w:rsid w:val="00401A59"/>
    <w:rsid w:val="00404E03"/>
    <w:rsid w:val="0041084F"/>
    <w:rsid w:val="004137C2"/>
    <w:rsid w:val="00426BC5"/>
    <w:rsid w:val="00433CE1"/>
    <w:rsid w:val="0044549D"/>
    <w:rsid w:val="0044652B"/>
    <w:rsid w:val="00446E14"/>
    <w:rsid w:val="0045026E"/>
    <w:rsid w:val="00451302"/>
    <w:rsid w:val="00453102"/>
    <w:rsid w:val="004547EC"/>
    <w:rsid w:val="00457B72"/>
    <w:rsid w:val="00460807"/>
    <w:rsid w:val="00466C8F"/>
    <w:rsid w:val="00474340"/>
    <w:rsid w:val="00474E9B"/>
    <w:rsid w:val="004778A6"/>
    <w:rsid w:val="004865B8"/>
    <w:rsid w:val="00487CC0"/>
    <w:rsid w:val="00487D5A"/>
    <w:rsid w:val="00490874"/>
    <w:rsid w:val="004948A5"/>
    <w:rsid w:val="004948D7"/>
    <w:rsid w:val="00496C77"/>
    <w:rsid w:val="00497058"/>
    <w:rsid w:val="00497F6C"/>
    <w:rsid w:val="004A00F8"/>
    <w:rsid w:val="004A0602"/>
    <w:rsid w:val="004A1C28"/>
    <w:rsid w:val="004A3074"/>
    <w:rsid w:val="004A4AFB"/>
    <w:rsid w:val="004A62A5"/>
    <w:rsid w:val="004A70D1"/>
    <w:rsid w:val="004B1142"/>
    <w:rsid w:val="004B4D18"/>
    <w:rsid w:val="004B563C"/>
    <w:rsid w:val="004B71FC"/>
    <w:rsid w:val="004C502C"/>
    <w:rsid w:val="004D369E"/>
    <w:rsid w:val="004D3AFC"/>
    <w:rsid w:val="004D4356"/>
    <w:rsid w:val="004D474E"/>
    <w:rsid w:val="004D496C"/>
    <w:rsid w:val="004E5EA8"/>
    <w:rsid w:val="004F13F2"/>
    <w:rsid w:val="004F46A5"/>
    <w:rsid w:val="004F77BE"/>
    <w:rsid w:val="00504B52"/>
    <w:rsid w:val="00504D2A"/>
    <w:rsid w:val="00506A65"/>
    <w:rsid w:val="00515FEE"/>
    <w:rsid w:val="00516F94"/>
    <w:rsid w:val="005205F0"/>
    <w:rsid w:val="00521D17"/>
    <w:rsid w:val="00523D4D"/>
    <w:rsid w:val="00523D54"/>
    <w:rsid w:val="00524873"/>
    <w:rsid w:val="00525C70"/>
    <w:rsid w:val="005303FE"/>
    <w:rsid w:val="0053318E"/>
    <w:rsid w:val="00535C70"/>
    <w:rsid w:val="005373D4"/>
    <w:rsid w:val="00537C1C"/>
    <w:rsid w:val="00542461"/>
    <w:rsid w:val="0054488F"/>
    <w:rsid w:val="005462BA"/>
    <w:rsid w:val="00547852"/>
    <w:rsid w:val="00547B59"/>
    <w:rsid w:val="0055238A"/>
    <w:rsid w:val="00552563"/>
    <w:rsid w:val="00554CB7"/>
    <w:rsid w:val="00567AEE"/>
    <w:rsid w:val="00570826"/>
    <w:rsid w:val="00573C50"/>
    <w:rsid w:val="00573D8D"/>
    <w:rsid w:val="00574487"/>
    <w:rsid w:val="0058440D"/>
    <w:rsid w:val="00585FE4"/>
    <w:rsid w:val="0059213B"/>
    <w:rsid w:val="005952D3"/>
    <w:rsid w:val="00597C48"/>
    <w:rsid w:val="005A0F2D"/>
    <w:rsid w:val="005A1B70"/>
    <w:rsid w:val="005A3FFB"/>
    <w:rsid w:val="005B4C2A"/>
    <w:rsid w:val="005C1DF0"/>
    <w:rsid w:val="005C1FBB"/>
    <w:rsid w:val="005C4F10"/>
    <w:rsid w:val="005D0B0A"/>
    <w:rsid w:val="005D1C9B"/>
    <w:rsid w:val="005D29DD"/>
    <w:rsid w:val="005D4911"/>
    <w:rsid w:val="005E06B2"/>
    <w:rsid w:val="005E6CD6"/>
    <w:rsid w:val="005E6F78"/>
    <w:rsid w:val="005F1F6E"/>
    <w:rsid w:val="005F27E6"/>
    <w:rsid w:val="005F4EFD"/>
    <w:rsid w:val="00602005"/>
    <w:rsid w:val="0060421C"/>
    <w:rsid w:val="00604D79"/>
    <w:rsid w:val="00614730"/>
    <w:rsid w:val="0061627F"/>
    <w:rsid w:val="00616B53"/>
    <w:rsid w:val="00621839"/>
    <w:rsid w:val="006273D2"/>
    <w:rsid w:val="006322CB"/>
    <w:rsid w:val="00635059"/>
    <w:rsid w:val="00635F14"/>
    <w:rsid w:val="00636053"/>
    <w:rsid w:val="00636F24"/>
    <w:rsid w:val="00641365"/>
    <w:rsid w:val="00641E03"/>
    <w:rsid w:val="00652EDE"/>
    <w:rsid w:val="00653780"/>
    <w:rsid w:val="00660BB2"/>
    <w:rsid w:val="006639B2"/>
    <w:rsid w:val="00665D0B"/>
    <w:rsid w:val="00673AAD"/>
    <w:rsid w:val="00675ED7"/>
    <w:rsid w:val="00676B2E"/>
    <w:rsid w:val="0067761E"/>
    <w:rsid w:val="0068012E"/>
    <w:rsid w:val="00683EAB"/>
    <w:rsid w:val="00684D30"/>
    <w:rsid w:val="00686BD5"/>
    <w:rsid w:val="00687F9C"/>
    <w:rsid w:val="006930EA"/>
    <w:rsid w:val="00693E0C"/>
    <w:rsid w:val="006A324E"/>
    <w:rsid w:val="006B1136"/>
    <w:rsid w:val="006B2772"/>
    <w:rsid w:val="006C2640"/>
    <w:rsid w:val="006C2B0E"/>
    <w:rsid w:val="006C2B22"/>
    <w:rsid w:val="006C482D"/>
    <w:rsid w:val="006C6902"/>
    <w:rsid w:val="006C7C27"/>
    <w:rsid w:val="006D01CD"/>
    <w:rsid w:val="006D3092"/>
    <w:rsid w:val="006D336E"/>
    <w:rsid w:val="006D3AD1"/>
    <w:rsid w:val="006D3E1A"/>
    <w:rsid w:val="006D5575"/>
    <w:rsid w:val="006D6E1A"/>
    <w:rsid w:val="006E70F3"/>
    <w:rsid w:val="006E74DE"/>
    <w:rsid w:val="006E7F70"/>
    <w:rsid w:val="006F1099"/>
    <w:rsid w:val="006F1E1C"/>
    <w:rsid w:val="006F4A6A"/>
    <w:rsid w:val="006F743D"/>
    <w:rsid w:val="0070077E"/>
    <w:rsid w:val="00702CEE"/>
    <w:rsid w:val="00704CD6"/>
    <w:rsid w:val="00706795"/>
    <w:rsid w:val="00707CEF"/>
    <w:rsid w:val="007100D4"/>
    <w:rsid w:val="00713B26"/>
    <w:rsid w:val="00714FAE"/>
    <w:rsid w:val="007157C0"/>
    <w:rsid w:val="007212F1"/>
    <w:rsid w:val="00723841"/>
    <w:rsid w:val="00727658"/>
    <w:rsid w:val="007372E3"/>
    <w:rsid w:val="00740841"/>
    <w:rsid w:val="00741EF3"/>
    <w:rsid w:val="00744818"/>
    <w:rsid w:val="00745FB2"/>
    <w:rsid w:val="00750D2B"/>
    <w:rsid w:val="00750D6C"/>
    <w:rsid w:val="00751B76"/>
    <w:rsid w:val="00751D7D"/>
    <w:rsid w:val="00754D51"/>
    <w:rsid w:val="00754EB7"/>
    <w:rsid w:val="0075695E"/>
    <w:rsid w:val="00761A9E"/>
    <w:rsid w:val="00764977"/>
    <w:rsid w:val="007669D5"/>
    <w:rsid w:val="00767F82"/>
    <w:rsid w:val="00772981"/>
    <w:rsid w:val="00773C6B"/>
    <w:rsid w:val="00773CCF"/>
    <w:rsid w:val="00775C2D"/>
    <w:rsid w:val="00781E2E"/>
    <w:rsid w:val="00785A02"/>
    <w:rsid w:val="00791EB6"/>
    <w:rsid w:val="00796815"/>
    <w:rsid w:val="007A07B6"/>
    <w:rsid w:val="007A08D6"/>
    <w:rsid w:val="007A0A21"/>
    <w:rsid w:val="007A0A81"/>
    <w:rsid w:val="007A1442"/>
    <w:rsid w:val="007A1834"/>
    <w:rsid w:val="007A22D4"/>
    <w:rsid w:val="007A3686"/>
    <w:rsid w:val="007A66D3"/>
    <w:rsid w:val="007B6522"/>
    <w:rsid w:val="007D0954"/>
    <w:rsid w:val="007D25D4"/>
    <w:rsid w:val="007D365C"/>
    <w:rsid w:val="007D47F9"/>
    <w:rsid w:val="007D7DF6"/>
    <w:rsid w:val="007D7F5F"/>
    <w:rsid w:val="007E0C0F"/>
    <w:rsid w:val="007E1032"/>
    <w:rsid w:val="007E1803"/>
    <w:rsid w:val="007E4E7D"/>
    <w:rsid w:val="007E7165"/>
    <w:rsid w:val="008022EB"/>
    <w:rsid w:val="00804006"/>
    <w:rsid w:val="0080578A"/>
    <w:rsid w:val="008114EE"/>
    <w:rsid w:val="00814B86"/>
    <w:rsid w:val="00822CA1"/>
    <w:rsid w:val="00823269"/>
    <w:rsid w:val="008259CB"/>
    <w:rsid w:val="008304ED"/>
    <w:rsid w:val="008357AA"/>
    <w:rsid w:val="00840424"/>
    <w:rsid w:val="00844161"/>
    <w:rsid w:val="008524CA"/>
    <w:rsid w:val="00862F8C"/>
    <w:rsid w:val="00863116"/>
    <w:rsid w:val="00863C02"/>
    <w:rsid w:val="008737D5"/>
    <w:rsid w:val="00880E55"/>
    <w:rsid w:val="00881EA6"/>
    <w:rsid w:val="008827E2"/>
    <w:rsid w:val="008854E5"/>
    <w:rsid w:val="00887048"/>
    <w:rsid w:val="008915A8"/>
    <w:rsid w:val="00893115"/>
    <w:rsid w:val="008965E2"/>
    <w:rsid w:val="00896A26"/>
    <w:rsid w:val="008A1F39"/>
    <w:rsid w:val="008A2455"/>
    <w:rsid w:val="008B091E"/>
    <w:rsid w:val="008B2FD2"/>
    <w:rsid w:val="008B3CF2"/>
    <w:rsid w:val="008B46EF"/>
    <w:rsid w:val="008B5944"/>
    <w:rsid w:val="008C1408"/>
    <w:rsid w:val="008C2752"/>
    <w:rsid w:val="008C49E5"/>
    <w:rsid w:val="008D0CD9"/>
    <w:rsid w:val="008D11D9"/>
    <w:rsid w:val="008D1615"/>
    <w:rsid w:val="008D23E4"/>
    <w:rsid w:val="008D3338"/>
    <w:rsid w:val="008D5610"/>
    <w:rsid w:val="008D7609"/>
    <w:rsid w:val="008E1655"/>
    <w:rsid w:val="008E3B41"/>
    <w:rsid w:val="008E6CC0"/>
    <w:rsid w:val="008E7575"/>
    <w:rsid w:val="008E7A7D"/>
    <w:rsid w:val="008E7DE6"/>
    <w:rsid w:val="008F1272"/>
    <w:rsid w:val="00900A3C"/>
    <w:rsid w:val="0090252D"/>
    <w:rsid w:val="00904575"/>
    <w:rsid w:val="0090671E"/>
    <w:rsid w:val="00910C0B"/>
    <w:rsid w:val="00911B7B"/>
    <w:rsid w:val="0091355E"/>
    <w:rsid w:val="009150A2"/>
    <w:rsid w:val="00915683"/>
    <w:rsid w:val="00916A60"/>
    <w:rsid w:val="00921D0C"/>
    <w:rsid w:val="00923B84"/>
    <w:rsid w:val="00930DB6"/>
    <w:rsid w:val="009313A8"/>
    <w:rsid w:val="0093386E"/>
    <w:rsid w:val="00943417"/>
    <w:rsid w:val="009477E0"/>
    <w:rsid w:val="00954751"/>
    <w:rsid w:val="00954B1C"/>
    <w:rsid w:val="00954E00"/>
    <w:rsid w:val="009552CF"/>
    <w:rsid w:val="0095732F"/>
    <w:rsid w:val="00961C4A"/>
    <w:rsid w:val="00962A3A"/>
    <w:rsid w:val="009654ED"/>
    <w:rsid w:val="009715BC"/>
    <w:rsid w:val="009724A2"/>
    <w:rsid w:val="009727E2"/>
    <w:rsid w:val="009800EF"/>
    <w:rsid w:val="00985253"/>
    <w:rsid w:val="0098735F"/>
    <w:rsid w:val="0098739D"/>
    <w:rsid w:val="00987AF4"/>
    <w:rsid w:val="00987FCB"/>
    <w:rsid w:val="00990378"/>
    <w:rsid w:val="00995382"/>
    <w:rsid w:val="00996744"/>
    <w:rsid w:val="009A561D"/>
    <w:rsid w:val="009A6109"/>
    <w:rsid w:val="009B01D8"/>
    <w:rsid w:val="009B7579"/>
    <w:rsid w:val="009C0F1F"/>
    <w:rsid w:val="009C27B5"/>
    <w:rsid w:val="009C3FE0"/>
    <w:rsid w:val="009D0CAB"/>
    <w:rsid w:val="009D1981"/>
    <w:rsid w:val="009D2431"/>
    <w:rsid w:val="009D25D7"/>
    <w:rsid w:val="009D7448"/>
    <w:rsid w:val="009D7B71"/>
    <w:rsid w:val="009E1408"/>
    <w:rsid w:val="009E23FA"/>
    <w:rsid w:val="009E6614"/>
    <w:rsid w:val="009E6EC5"/>
    <w:rsid w:val="009F0173"/>
    <w:rsid w:val="009F1DD5"/>
    <w:rsid w:val="009F4512"/>
    <w:rsid w:val="009F4B87"/>
    <w:rsid w:val="009F58B2"/>
    <w:rsid w:val="00A013F1"/>
    <w:rsid w:val="00A07C16"/>
    <w:rsid w:val="00A1441B"/>
    <w:rsid w:val="00A14C64"/>
    <w:rsid w:val="00A15571"/>
    <w:rsid w:val="00A20310"/>
    <w:rsid w:val="00A2135E"/>
    <w:rsid w:val="00A24A05"/>
    <w:rsid w:val="00A30B35"/>
    <w:rsid w:val="00A3186C"/>
    <w:rsid w:val="00A370C5"/>
    <w:rsid w:val="00A50685"/>
    <w:rsid w:val="00A5110E"/>
    <w:rsid w:val="00A53644"/>
    <w:rsid w:val="00A56031"/>
    <w:rsid w:val="00A57A6B"/>
    <w:rsid w:val="00A60417"/>
    <w:rsid w:val="00A728F1"/>
    <w:rsid w:val="00A76E9E"/>
    <w:rsid w:val="00A82A0C"/>
    <w:rsid w:val="00A84630"/>
    <w:rsid w:val="00A85122"/>
    <w:rsid w:val="00A87A96"/>
    <w:rsid w:val="00A91B58"/>
    <w:rsid w:val="00A929EC"/>
    <w:rsid w:val="00A92ED7"/>
    <w:rsid w:val="00A94DA6"/>
    <w:rsid w:val="00AA0E2C"/>
    <w:rsid w:val="00AA18C1"/>
    <w:rsid w:val="00AA47AE"/>
    <w:rsid w:val="00AA57F5"/>
    <w:rsid w:val="00AA65D4"/>
    <w:rsid w:val="00AA7A04"/>
    <w:rsid w:val="00AB60D7"/>
    <w:rsid w:val="00AC1DA5"/>
    <w:rsid w:val="00AC3C91"/>
    <w:rsid w:val="00AC43C4"/>
    <w:rsid w:val="00AC51EC"/>
    <w:rsid w:val="00AC7E9E"/>
    <w:rsid w:val="00AD03B5"/>
    <w:rsid w:val="00AD081F"/>
    <w:rsid w:val="00AD16A1"/>
    <w:rsid w:val="00AD24E9"/>
    <w:rsid w:val="00AD2CD8"/>
    <w:rsid w:val="00AE05A0"/>
    <w:rsid w:val="00AE1773"/>
    <w:rsid w:val="00AE3240"/>
    <w:rsid w:val="00AF3ED2"/>
    <w:rsid w:val="00AF4216"/>
    <w:rsid w:val="00AF53EC"/>
    <w:rsid w:val="00AF623D"/>
    <w:rsid w:val="00AF7CC6"/>
    <w:rsid w:val="00B014F6"/>
    <w:rsid w:val="00B01842"/>
    <w:rsid w:val="00B16799"/>
    <w:rsid w:val="00B21AEB"/>
    <w:rsid w:val="00B21DD2"/>
    <w:rsid w:val="00B21FC4"/>
    <w:rsid w:val="00B23703"/>
    <w:rsid w:val="00B3230B"/>
    <w:rsid w:val="00B34693"/>
    <w:rsid w:val="00B361A4"/>
    <w:rsid w:val="00B374ED"/>
    <w:rsid w:val="00B42494"/>
    <w:rsid w:val="00B432E4"/>
    <w:rsid w:val="00B51472"/>
    <w:rsid w:val="00B53337"/>
    <w:rsid w:val="00B5335C"/>
    <w:rsid w:val="00B57E16"/>
    <w:rsid w:val="00B6191E"/>
    <w:rsid w:val="00B64DFC"/>
    <w:rsid w:val="00B712BF"/>
    <w:rsid w:val="00B73BAB"/>
    <w:rsid w:val="00B75394"/>
    <w:rsid w:val="00B77497"/>
    <w:rsid w:val="00B77C07"/>
    <w:rsid w:val="00B77C39"/>
    <w:rsid w:val="00B8205F"/>
    <w:rsid w:val="00B82CA7"/>
    <w:rsid w:val="00B834B8"/>
    <w:rsid w:val="00B93AF6"/>
    <w:rsid w:val="00BA00CA"/>
    <w:rsid w:val="00BA2705"/>
    <w:rsid w:val="00BA6DFA"/>
    <w:rsid w:val="00BA6F35"/>
    <w:rsid w:val="00BB1D65"/>
    <w:rsid w:val="00BB2E24"/>
    <w:rsid w:val="00BB3983"/>
    <w:rsid w:val="00BB48FB"/>
    <w:rsid w:val="00BB79AC"/>
    <w:rsid w:val="00BC125D"/>
    <w:rsid w:val="00BC465A"/>
    <w:rsid w:val="00BC6324"/>
    <w:rsid w:val="00BD08B4"/>
    <w:rsid w:val="00BD404A"/>
    <w:rsid w:val="00BD5AE8"/>
    <w:rsid w:val="00BD5E18"/>
    <w:rsid w:val="00BD64F8"/>
    <w:rsid w:val="00BD757F"/>
    <w:rsid w:val="00BE2BC9"/>
    <w:rsid w:val="00BE3F0E"/>
    <w:rsid w:val="00BE5735"/>
    <w:rsid w:val="00BE6C63"/>
    <w:rsid w:val="00BF45B9"/>
    <w:rsid w:val="00C00829"/>
    <w:rsid w:val="00C01833"/>
    <w:rsid w:val="00C0222C"/>
    <w:rsid w:val="00C05051"/>
    <w:rsid w:val="00C05B6E"/>
    <w:rsid w:val="00C10F4B"/>
    <w:rsid w:val="00C12191"/>
    <w:rsid w:val="00C12437"/>
    <w:rsid w:val="00C12D51"/>
    <w:rsid w:val="00C13E4E"/>
    <w:rsid w:val="00C2578F"/>
    <w:rsid w:val="00C25A07"/>
    <w:rsid w:val="00C26537"/>
    <w:rsid w:val="00C30DDE"/>
    <w:rsid w:val="00C321E0"/>
    <w:rsid w:val="00C357CC"/>
    <w:rsid w:val="00C358ED"/>
    <w:rsid w:val="00C36A45"/>
    <w:rsid w:val="00C462EE"/>
    <w:rsid w:val="00C52772"/>
    <w:rsid w:val="00C53575"/>
    <w:rsid w:val="00C547CA"/>
    <w:rsid w:val="00C54C6C"/>
    <w:rsid w:val="00C557AE"/>
    <w:rsid w:val="00C571F6"/>
    <w:rsid w:val="00C600D3"/>
    <w:rsid w:val="00C67D4D"/>
    <w:rsid w:val="00C70A3D"/>
    <w:rsid w:val="00C71D23"/>
    <w:rsid w:val="00C71FEB"/>
    <w:rsid w:val="00C7603D"/>
    <w:rsid w:val="00C77D8B"/>
    <w:rsid w:val="00C824C1"/>
    <w:rsid w:val="00C82B51"/>
    <w:rsid w:val="00C8375D"/>
    <w:rsid w:val="00C83CBC"/>
    <w:rsid w:val="00C84FB4"/>
    <w:rsid w:val="00C86AA8"/>
    <w:rsid w:val="00C87DEE"/>
    <w:rsid w:val="00C90560"/>
    <w:rsid w:val="00C90EE1"/>
    <w:rsid w:val="00C918A8"/>
    <w:rsid w:val="00C92E10"/>
    <w:rsid w:val="00C93637"/>
    <w:rsid w:val="00C94A41"/>
    <w:rsid w:val="00C9533E"/>
    <w:rsid w:val="00C97DF9"/>
    <w:rsid w:val="00C97E1B"/>
    <w:rsid w:val="00CA18E7"/>
    <w:rsid w:val="00CA1C11"/>
    <w:rsid w:val="00CA2F59"/>
    <w:rsid w:val="00CA6605"/>
    <w:rsid w:val="00CB1EC7"/>
    <w:rsid w:val="00CB287D"/>
    <w:rsid w:val="00CB3816"/>
    <w:rsid w:val="00CB45A6"/>
    <w:rsid w:val="00CB654F"/>
    <w:rsid w:val="00CC0910"/>
    <w:rsid w:val="00CC1BD7"/>
    <w:rsid w:val="00CC37BD"/>
    <w:rsid w:val="00CC38AD"/>
    <w:rsid w:val="00CC4696"/>
    <w:rsid w:val="00CC4DB2"/>
    <w:rsid w:val="00CC654E"/>
    <w:rsid w:val="00CD0A5C"/>
    <w:rsid w:val="00CE243F"/>
    <w:rsid w:val="00CE2D63"/>
    <w:rsid w:val="00CF1092"/>
    <w:rsid w:val="00CF3002"/>
    <w:rsid w:val="00CF77B2"/>
    <w:rsid w:val="00D0324A"/>
    <w:rsid w:val="00D0358D"/>
    <w:rsid w:val="00D046EB"/>
    <w:rsid w:val="00D04A94"/>
    <w:rsid w:val="00D10B41"/>
    <w:rsid w:val="00D1163C"/>
    <w:rsid w:val="00D12536"/>
    <w:rsid w:val="00D13E7A"/>
    <w:rsid w:val="00D159B3"/>
    <w:rsid w:val="00D20D50"/>
    <w:rsid w:val="00D217B2"/>
    <w:rsid w:val="00D22A92"/>
    <w:rsid w:val="00D32974"/>
    <w:rsid w:val="00D32A32"/>
    <w:rsid w:val="00D32F05"/>
    <w:rsid w:val="00D36B96"/>
    <w:rsid w:val="00D46D7E"/>
    <w:rsid w:val="00D51894"/>
    <w:rsid w:val="00D5216F"/>
    <w:rsid w:val="00D567A6"/>
    <w:rsid w:val="00D56D3A"/>
    <w:rsid w:val="00D56E28"/>
    <w:rsid w:val="00D57174"/>
    <w:rsid w:val="00D61D1F"/>
    <w:rsid w:val="00D6457E"/>
    <w:rsid w:val="00D67928"/>
    <w:rsid w:val="00D702D4"/>
    <w:rsid w:val="00D72784"/>
    <w:rsid w:val="00D7570C"/>
    <w:rsid w:val="00D8287C"/>
    <w:rsid w:val="00D82D26"/>
    <w:rsid w:val="00D83090"/>
    <w:rsid w:val="00D84B29"/>
    <w:rsid w:val="00D863F0"/>
    <w:rsid w:val="00D928F4"/>
    <w:rsid w:val="00D97BF4"/>
    <w:rsid w:val="00DA59A8"/>
    <w:rsid w:val="00DB38DD"/>
    <w:rsid w:val="00DB50CD"/>
    <w:rsid w:val="00DC0F95"/>
    <w:rsid w:val="00DC390A"/>
    <w:rsid w:val="00DC40E3"/>
    <w:rsid w:val="00DC5207"/>
    <w:rsid w:val="00DD003E"/>
    <w:rsid w:val="00DD6C35"/>
    <w:rsid w:val="00DD6CBC"/>
    <w:rsid w:val="00DE0137"/>
    <w:rsid w:val="00DE0176"/>
    <w:rsid w:val="00DE070D"/>
    <w:rsid w:val="00DE39CF"/>
    <w:rsid w:val="00DE43A7"/>
    <w:rsid w:val="00DF7422"/>
    <w:rsid w:val="00E012DD"/>
    <w:rsid w:val="00E10D8A"/>
    <w:rsid w:val="00E11C99"/>
    <w:rsid w:val="00E15742"/>
    <w:rsid w:val="00E215C1"/>
    <w:rsid w:val="00E21E35"/>
    <w:rsid w:val="00E25329"/>
    <w:rsid w:val="00E34DE9"/>
    <w:rsid w:val="00E42E36"/>
    <w:rsid w:val="00E47771"/>
    <w:rsid w:val="00E47823"/>
    <w:rsid w:val="00E6041A"/>
    <w:rsid w:val="00E60EC2"/>
    <w:rsid w:val="00E665C4"/>
    <w:rsid w:val="00E66B8C"/>
    <w:rsid w:val="00E7158F"/>
    <w:rsid w:val="00E73685"/>
    <w:rsid w:val="00E74716"/>
    <w:rsid w:val="00E80358"/>
    <w:rsid w:val="00E80885"/>
    <w:rsid w:val="00E82EAF"/>
    <w:rsid w:val="00E84070"/>
    <w:rsid w:val="00E9463A"/>
    <w:rsid w:val="00EA03D1"/>
    <w:rsid w:val="00EA1546"/>
    <w:rsid w:val="00EA3B11"/>
    <w:rsid w:val="00EB156E"/>
    <w:rsid w:val="00EB4E44"/>
    <w:rsid w:val="00EB55A3"/>
    <w:rsid w:val="00EC0D81"/>
    <w:rsid w:val="00EC1DB1"/>
    <w:rsid w:val="00EC335D"/>
    <w:rsid w:val="00ED5491"/>
    <w:rsid w:val="00ED5502"/>
    <w:rsid w:val="00ED6FDC"/>
    <w:rsid w:val="00ED71AE"/>
    <w:rsid w:val="00ED7938"/>
    <w:rsid w:val="00EE0213"/>
    <w:rsid w:val="00EE0350"/>
    <w:rsid w:val="00EE18A1"/>
    <w:rsid w:val="00EE23A0"/>
    <w:rsid w:val="00EF01E6"/>
    <w:rsid w:val="00EF0B39"/>
    <w:rsid w:val="00EF3212"/>
    <w:rsid w:val="00EF381D"/>
    <w:rsid w:val="00EF4945"/>
    <w:rsid w:val="00EF5A46"/>
    <w:rsid w:val="00EF6263"/>
    <w:rsid w:val="00EF64B7"/>
    <w:rsid w:val="00EF69FD"/>
    <w:rsid w:val="00EF6BCC"/>
    <w:rsid w:val="00F004B8"/>
    <w:rsid w:val="00F01716"/>
    <w:rsid w:val="00F03091"/>
    <w:rsid w:val="00F04CE6"/>
    <w:rsid w:val="00F051C0"/>
    <w:rsid w:val="00F079DB"/>
    <w:rsid w:val="00F07D55"/>
    <w:rsid w:val="00F07FEA"/>
    <w:rsid w:val="00F215B8"/>
    <w:rsid w:val="00F21CCE"/>
    <w:rsid w:val="00F24280"/>
    <w:rsid w:val="00F2448E"/>
    <w:rsid w:val="00F27202"/>
    <w:rsid w:val="00F33FA4"/>
    <w:rsid w:val="00F344F5"/>
    <w:rsid w:val="00F36A05"/>
    <w:rsid w:val="00F37BF8"/>
    <w:rsid w:val="00F4122B"/>
    <w:rsid w:val="00F41C4B"/>
    <w:rsid w:val="00F4248B"/>
    <w:rsid w:val="00F52F11"/>
    <w:rsid w:val="00F572C3"/>
    <w:rsid w:val="00F578DC"/>
    <w:rsid w:val="00F606BE"/>
    <w:rsid w:val="00F60843"/>
    <w:rsid w:val="00F649BD"/>
    <w:rsid w:val="00F64AB4"/>
    <w:rsid w:val="00F7170E"/>
    <w:rsid w:val="00F72BBB"/>
    <w:rsid w:val="00F7402D"/>
    <w:rsid w:val="00F7619A"/>
    <w:rsid w:val="00F7671F"/>
    <w:rsid w:val="00F80636"/>
    <w:rsid w:val="00F80980"/>
    <w:rsid w:val="00F82A99"/>
    <w:rsid w:val="00F878EE"/>
    <w:rsid w:val="00F90273"/>
    <w:rsid w:val="00F924AD"/>
    <w:rsid w:val="00F92621"/>
    <w:rsid w:val="00F93032"/>
    <w:rsid w:val="00F93587"/>
    <w:rsid w:val="00F93717"/>
    <w:rsid w:val="00F93C5A"/>
    <w:rsid w:val="00F95134"/>
    <w:rsid w:val="00FA1999"/>
    <w:rsid w:val="00FA5F38"/>
    <w:rsid w:val="00FB174F"/>
    <w:rsid w:val="00FC0A3A"/>
    <w:rsid w:val="00FC36C1"/>
    <w:rsid w:val="00FC44A7"/>
    <w:rsid w:val="00FC45D8"/>
    <w:rsid w:val="00FC6362"/>
    <w:rsid w:val="00FD03BB"/>
    <w:rsid w:val="00FD0E93"/>
    <w:rsid w:val="00FD5381"/>
    <w:rsid w:val="00FE2CBF"/>
    <w:rsid w:val="00FF0E5B"/>
    <w:rsid w:val="00FF3631"/>
    <w:rsid w:val="00FF4D02"/>
    <w:rsid w:val="00FF5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uiPriority w:val="99"/>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7E0C0F"/>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uiPriority w:val="99"/>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7E0C0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16731">
      <w:bodyDiv w:val="1"/>
      <w:marLeft w:val="0"/>
      <w:marRight w:val="0"/>
      <w:marTop w:val="0"/>
      <w:marBottom w:val="0"/>
      <w:divBdr>
        <w:top w:val="none" w:sz="0" w:space="0" w:color="auto"/>
        <w:left w:val="none" w:sz="0" w:space="0" w:color="auto"/>
        <w:bottom w:val="none" w:sz="0" w:space="0" w:color="auto"/>
        <w:right w:val="none" w:sz="0" w:space="0" w:color="auto"/>
      </w:divBdr>
    </w:div>
    <w:div w:id="598492143">
      <w:bodyDiv w:val="1"/>
      <w:marLeft w:val="0"/>
      <w:marRight w:val="0"/>
      <w:marTop w:val="0"/>
      <w:marBottom w:val="0"/>
      <w:divBdr>
        <w:top w:val="none" w:sz="0" w:space="0" w:color="auto"/>
        <w:left w:val="none" w:sz="0" w:space="0" w:color="auto"/>
        <w:bottom w:val="none" w:sz="0" w:space="0" w:color="auto"/>
        <w:right w:val="none" w:sz="0" w:space="0" w:color="auto"/>
      </w:divBdr>
    </w:div>
    <w:div w:id="1164977474">
      <w:bodyDiv w:val="1"/>
      <w:marLeft w:val="0"/>
      <w:marRight w:val="0"/>
      <w:marTop w:val="0"/>
      <w:marBottom w:val="0"/>
      <w:divBdr>
        <w:top w:val="none" w:sz="0" w:space="0" w:color="auto"/>
        <w:left w:val="none" w:sz="0" w:space="0" w:color="auto"/>
        <w:bottom w:val="none" w:sz="0" w:space="0" w:color="auto"/>
        <w:right w:val="none" w:sz="0" w:space="0" w:color="auto"/>
      </w:divBdr>
    </w:div>
    <w:div w:id="1197084711">
      <w:bodyDiv w:val="1"/>
      <w:marLeft w:val="0"/>
      <w:marRight w:val="0"/>
      <w:marTop w:val="0"/>
      <w:marBottom w:val="0"/>
      <w:divBdr>
        <w:top w:val="none" w:sz="0" w:space="0" w:color="auto"/>
        <w:left w:val="none" w:sz="0" w:space="0" w:color="auto"/>
        <w:bottom w:val="none" w:sz="0" w:space="0" w:color="auto"/>
        <w:right w:val="none" w:sz="0" w:space="0" w:color="auto"/>
      </w:divBdr>
    </w:div>
    <w:div w:id="1227105211">
      <w:bodyDiv w:val="1"/>
      <w:marLeft w:val="0"/>
      <w:marRight w:val="0"/>
      <w:marTop w:val="0"/>
      <w:marBottom w:val="0"/>
      <w:divBdr>
        <w:top w:val="none" w:sz="0" w:space="0" w:color="auto"/>
        <w:left w:val="none" w:sz="0" w:space="0" w:color="auto"/>
        <w:bottom w:val="none" w:sz="0" w:space="0" w:color="auto"/>
        <w:right w:val="none" w:sz="0" w:space="0" w:color="auto"/>
      </w:divBdr>
    </w:div>
    <w:div w:id="1274096600">
      <w:bodyDiv w:val="1"/>
      <w:marLeft w:val="0"/>
      <w:marRight w:val="0"/>
      <w:marTop w:val="0"/>
      <w:marBottom w:val="0"/>
      <w:divBdr>
        <w:top w:val="none" w:sz="0" w:space="0" w:color="auto"/>
        <w:left w:val="none" w:sz="0" w:space="0" w:color="auto"/>
        <w:bottom w:val="none" w:sz="0" w:space="0" w:color="auto"/>
        <w:right w:val="none" w:sz="0" w:space="0" w:color="auto"/>
      </w:divBdr>
    </w:div>
    <w:div w:id="1495561092">
      <w:bodyDiv w:val="1"/>
      <w:marLeft w:val="0"/>
      <w:marRight w:val="0"/>
      <w:marTop w:val="0"/>
      <w:marBottom w:val="0"/>
      <w:divBdr>
        <w:top w:val="none" w:sz="0" w:space="0" w:color="auto"/>
        <w:left w:val="none" w:sz="0" w:space="0" w:color="auto"/>
        <w:bottom w:val="none" w:sz="0" w:space="0" w:color="auto"/>
        <w:right w:val="none" w:sz="0" w:space="0" w:color="auto"/>
      </w:divBdr>
    </w:div>
    <w:div w:id="1675648246">
      <w:bodyDiv w:val="1"/>
      <w:marLeft w:val="0"/>
      <w:marRight w:val="0"/>
      <w:marTop w:val="0"/>
      <w:marBottom w:val="0"/>
      <w:divBdr>
        <w:top w:val="none" w:sz="0" w:space="0" w:color="auto"/>
        <w:left w:val="none" w:sz="0" w:space="0" w:color="auto"/>
        <w:bottom w:val="none" w:sz="0" w:space="0" w:color="auto"/>
        <w:right w:val="none" w:sz="0" w:space="0" w:color="auto"/>
      </w:divBdr>
    </w:div>
    <w:div w:id="1730691201">
      <w:bodyDiv w:val="1"/>
      <w:marLeft w:val="0"/>
      <w:marRight w:val="0"/>
      <w:marTop w:val="0"/>
      <w:marBottom w:val="0"/>
      <w:divBdr>
        <w:top w:val="none" w:sz="0" w:space="0" w:color="auto"/>
        <w:left w:val="none" w:sz="0" w:space="0" w:color="auto"/>
        <w:bottom w:val="none" w:sz="0" w:space="0" w:color="auto"/>
        <w:right w:val="none" w:sz="0" w:space="0" w:color="auto"/>
      </w:divBdr>
    </w:div>
    <w:div w:id="18946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8.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0.png"/><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0.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90.png"/><Relationship Id="rId27" Type="http://schemas.openxmlformats.org/officeDocument/2006/relationships/image" Target="media/image11.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asep.com.vn/gia-thuy-san"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chartUserShapes" Target="../drawings/drawing1.xml"/><Relationship Id="rId1" Type="http://schemas.openxmlformats.org/officeDocument/2006/relationships/oleObject" Target="file:///G:\MyDocs\Hai%20Van\DICH_TRANSLATION\NIEN%20GIAM\BAO%20CAO%20THANG-QUY\Nam%202026\Thang%204_2026\Bi&#7875;u%20&#273;&#7891;%20V&#272;T%20T4%202026.xlsx" TargetMode="External"/><Relationship Id="rId4"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MyDocs\Hai%20Van\DICH_TRANSLATION\NIEN%20GIAM\BAO%20CAO%20THANG-QUY\Nam%202026\Thang%204_2026\bi&#7875;u%20&#273;&#7891;%20FDI%20T4%202026.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anhtu\OneDrive\Desktop\2026%20Ph&#432;&#417;ng\b&#225;o%20c&#225;o%20th&#225;ng%202%202026\bi&#7875;u%20&#273;&#7891;%20FDI%202.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D:\Bao%20cao\Bao%20cao%20KTXH\2026\Thang%204%202026\Info\&#272;&#7891;%20th&#7883;%20t&#7893;ng%20m&#7913;c%203.2026.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D:\Bao%20cao\Bao%20cao%20KTXH\2026\Thang%204%202026\Info\Bi&#7875;u%20&#273;&#7891;%20XNK%204.2026.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D:\Bao%20cao\Bao%20cao%20KTXH\2026\Thang%204%202026\Info\Bi&#7875;u%20&#273;&#7891;%20XNK%204.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94158198993559E-2"/>
          <c:y val="0.12987602195116291"/>
          <c:w val="0.89996767604437333"/>
          <c:h val="0.66574137320055682"/>
        </c:manualLayout>
      </c:layout>
      <c:barChart>
        <c:barDir val="col"/>
        <c:grouping val="clustered"/>
        <c:varyColors val="0"/>
        <c:ser>
          <c:idx val="0"/>
          <c:order val="0"/>
          <c:tx>
            <c:strRef>
              <c:f>'Hình 7. Địa phương'!$D$4</c:f>
              <c:strCache>
                <c:ptCount val="1"/>
                <c:pt idx="0">
                  <c:v>4 months of 2025</c:v>
                </c:pt>
              </c:strCache>
            </c:strRef>
          </c:tx>
          <c:spPr>
            <a:solidFill>
              <a:srgbClr val="CFB09D"/>
            </a:solidFill>
            <a:ln>
              <a:noFill/>
            </a:ln>
            <a:effectLst/>
          </c:spPr>
          <c:invertIfNegative val="0"/>
          <c:cat>
            <c:strRef>
              <c:f>'Hình 7. Địa phương'!$C$5:$C$26</c:f>
              <c:strCache>
                <c:ptCount val="9"/>
                <c:pt idx="0">
                  <c:v>Ha Noi</c:v>
                </c:pt>
                <c:pt idx="1">
                  <c:v>Ho Chi Minh City</c:v>
                </c:pt>
                <c:pt idx="2">
                  <c:v>Ninh Binh</c:v>
                </c:pt>
                <c:pt idx="3">
                  <c:v>Hung Yen</c:v>
                </c:pt>
                <c:pt idx="4">
                  <c:v>Hai Phong</c:v>
                </c:pt>
                <c:pt idx="5">
                  <c:v>Phu Tho</c:v>
                </c:pt>
                <c:pt idx="6">
                  <c:v>Dong Nai</c:v>
                </c:pt>
                <c:pt idx="7">
                  <c:v>Can Tho</c:v>
                </c:pt>
                <c:pt idx="8">
                  <c:v>Quang Ninh</c:v>
                </c:pt>
              </c:strCache>
            </c:strRef>
          </c:cat>
          <c:val>
            <c:numRef>
              <c:f>'Hình 7. Địa phương'!$D$5:$D$13</c:f>
              <c:numCache>
                <c:formatCode>0.0</c:formatCode>
                <c:ptCount val="9"/>
                <c:pt idx="0">
                  <c:v>19941.887999999999</c:v>
                </c:pt>
                <c:pt idx="1">
                  <c:v>22629.633999999998</c:v>
                </c:pt>
                <c:pt idx="2">
                  <c:v>8206.8919999999998</c:v>
                </c:pt>
                <c:pt idx="3">
                  <c:v>8822.5319999999992</c:v>
                </c:pt>
                <c:pt idx="4">
                  <c:v>6438.2039999999997</c:v>
                </c:pt>
                <c:pt idx="5">
                  <c:v>5958.0720000000001</c:v>
                </c:pt>
                <c:pt idx="6">
                  <c:v>5449.5079999999998</c:v>
                </c:pt>
                <c:pt idx="7">
                  <c:v>5407.3860000000004</c:v>
                </c:pt>
                <c:pt idx="8">
                  <c:v>3270.6289999999999</c:v>
                </c:pt>
              </c:numCache>
            </c:numRef>
          </c:val>
          <c:extLst xmlns:c16r2="http://schemas.microsoft.com/office/drawing/2015/06/chart">
            <c:ext xmlns:c16="http://schemas.microsoft.com/office/drawing/2014/chart" uri="{C3380CC4-5D6E-409C-BE32-E72D297353CC}">
              <c16:uniqueId val="{00000000-CCA7-42EA-A4E2-EA40BD354E93}"/>
            </c:ext>
          </c:extLst>
        </c:ser>
        <c:ser>
          <c:idx val="1"/>
          <c:order val="1"/>
          <c:tx>
            <c:strRef>
              <c:f>'Hình 7. Địa phương'!$E$4</c:f>
              <c:strCache>
                <c:ptCount val="1"/>
                <c:pt idx="0">
                  <c:v>4 months of 2026</c:v>
                </c:pt>
              </c:strCache>
            </c:strRef>
          </c:tx>
          <c:spPr>
            <a:solidFill>
              <a:srgbClr val="C84863"/>
            </a:solidFill>
            <a:ln>
              <a:noFill/>
            </a:ln>
            <a:effectLst/>
          </c:spPr>
          <c:invertIfNegative val="0"/>
          <c:dLbls>
            <c:dLbl>
              <c:idx val="0"/>
              <c:layout>
                <c:manualLayout>
                  <c:x val="4.0899611242697035E-3"/>
                  <c:y val="2.0201286288399761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9.386261533259263E-2"/>
                      <c:h val="4.44476258649487E-2"/>
                    </c:manualLayout>
                  </c15:layout>
                </c:ext>
                <c:ext xmlns:c16="http://schemas.microsoft.com/office/drawing/2014/chart" uri="{C3380CC4-5D6E-409C-BE32-E72D297353CC}">
                  <c16:uniqueId val="{00000001-CCA7-42EA-A4E2-EA40BD354E93}"/>
                </c:ext>
              </c:extLst>
            </c:dLbl>
            <c:dLbl>
              <c:idx val="2"/>
              <c:layout>
                <c:manualLayout>
                  <c:x val="1.3714284068777314E-2"/>
                  <c:y val="-2.560655269667337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CA7-42EA-A4E2-EA40BD354E93}"/>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phương'!$C$5:$C$26</c:f>
              <c:strCache>
                <c:ptCount val="9"/>
                <c:pt idx="0">
                  <c:v>Ha Noi</c:v>
                </c:pt>
                <c:pt idx="1">
                  <c:v>Ho Chi Minh City</c:v>
                </c:pt>
                <c:pt idx="2">
                  <c:v>Ninh Binh</c:v>
                </c:pt>
                <c:pt idx="3">
                  <c:v>Hung Yen</c:v>
                </c:pt>
                <c:pt idx="4">
                  <c:v>Hai Phong</c:v>
                </c:pt>
                <c:pt idx="5">
                  <c:v>Phu Tho</c:v>
                </c:pt>
                <c:pt idx="6">
                  <c:v>Dong Nai</c:v>
                </c:pt>
                <c:pt idx="7">
                  <c:v>Can Tho</c:v>
                </c:pt>
                <c:pt idx="8">
                  <c:v>Quang Ninh</c:v>
                </c:pt>
              </c:strCache>
            </c:strRef>
          </c:cat>
          <c:val>
            <c:numRef>
              <c:f>'Hình 7. Địa phương'!$E$5:$E$13</c:f>
              <c:numCache>
                <c:formatCode>0.0</c:formatCode>
                <c:ptCount val="9"/>
                <c:pt idx="0">
                  <c:v>30562.373</c:v>
                </c:pt>
                <c:pt idx="1">
                  <c:v>25359.287</c:v>
                </c:pt>
                <c:pt idx="2">
                  <c:v>10376.846</c:v>
                </c:pt>
                <c:pt idx="3">
                  <c:v>8859.6440000000002</c:v>
                </c:pt>
                <c:pt idx="4">
                  <c:v>7378.7849999999999</c:v>
                </c:pt>
                <c:pt idx="5">
                  <c:v>6205.2759999999998</c:v>
                </c:pt>
                <c:pt idx="6">
                  <c:v>5651.6540000000005</c:v>
                </c:pt>
                <c:pt idx="7">
                  <c:v>5084.3559999999998</c:v>
                </c:pt>
                <c:pt idx="8">
                  <c:v>4619.6009999999997</c:v>
                </c:pt>
              </c:numCache>
            </c:numRef>
          </c:val>
          <c:extLst xmlns:c16r2="http://schemas.microsoft.com/office/drawing/2015/06/chart">
            <c:ext xmlns:c16="http://schemas.microsoft.com/office/drawing/2014/chart" uri="{C3380CC4-5D6E-409C-BE32-E72D297353CC}">
              <c16:uniqueId val="{00000003-CCA7-42EA-A4E2-EA40BD354E93}"/>
            </c:ext>
          </c:extLst>
        </c:ser>
        <c:dLbls>
          <c:showLegendKey val="0"/>
          <c:showVal val="0"/>
          <c:showCatName val="0"/>
          <c:showSerName val="0"/>
          <c:showPercent val="0"/>
          <c:showBubbleSize val="0"/>
        </c:dLbls>
        <c:gapWidth val="36"/>
        <c:axId val="62185984"/>
        <c:axId val="105685568"/>
      </c:barChart>
      <c:catAx>
        <c:axId val="62185984"/>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5685568"/>
        <c:crosses val="autoZero"/>
        <c:auto val="1"/>
        <c:lblAlgn val="ctr"/>
        <c:lblOffset val="100"/>
        <c:noMultiLvlLbl val="0"/>
      </c:catAx>
      <c:valAx>
        <c:axId val="10568556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62185984"/>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57813378091"/>
          <c:y val="3.556791338582678E-2"/>
          <c:w val="0.81632143903237475"/>
          <c:h val="0.68828706100318771"/>
        </c:manualLayout>
      </c:layout>
      <c:barChart>
        <c:barDir val="bar"/>
        <c:grouping val="stacked"/>
        <c:varyColors val="0"/>
        <c:ser>
          <c:idx val="0"/>
          <c:order val="0"/>
          <c:tx>
            <c:strRef>
              <c:f>'04. FDI SO SANH '!$A$16</c:f>
              <c:strCache>
                <c:ptCount val="1"/>
                <c:pt idx="0">
                  <c:v>   Newly registered capital</c:v>
                </c:pt>
              </c:strCache>
            </c:strRef>
          </c:tx>
          <c:invertIfNegative val="0"/>
          <c:dLbls>
            <c:dLbl>
              <c:idx val="0"/>
              <c:tx>
                <c:rich>
                  <a:bodyPr/>
                  <a:lstStyle/>
                  <a:p>
                    <a:r>
                      <a:rPr lang="en-US"/>
                      <a:t>3.70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C10D-4872-B946-7931D9A3E94A}"/>
                </c:ext>
              </c:extLst>
            </c:dLbl>
            <c:dLbl>
              <c:idx val="1"/>
              <c:tx>
                <c:rich>
                  <a:bodyPr/>
                  <a:lstStyle/>
                  <a:p>
                    <a:r>
                      <a:rPr lang="en-US"/>
                      <a:t>4.11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C10D-4872-B946-7931D9A3E94A}"/>
                </c:ext>
              </c:extLst>
            </c:dLbl>
            <c:dLbl>
              <c:idx val="2"/>
              <c:tx>
                <c:rich>
                  <a:bodyPr/>
                  <a:lstStyle/>
                  <a:p>
                    <a:r>
                      <a:rPr lang="en-US"/>
                      <a:t>7.34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C10D-4872-B946-7931D9A3E94A}"/>
                </c:ext>
              </c:extLst>
            </c:dLbl>
            <c:dLbl>
              <c:idx val="3"/>
              <c:tx>
                <c:rich>
                  <a:bodyPr/>
                  <a:lstStyle/>
                  <a:p>
                    <a:r>
                      <a:rPr lang="en-US"/>
                      <a:t>5.59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C10D-4872-B946-7931D9A3E94A}"/>
                </c:ext>
              </c:extLst>
            </c:dLbl>
            <c:dLbl>
              <c:idx val="4"/>
              <c:tx>
                <c:rich>
                  <a:bodyPr/>
                  <a:lstStyle/>
                  <a:p>
                    <a:r>
                      <a:rPr lang="en-US"/>
                      <a:t>12.15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C10D-4872-B946-7931D9A3E94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'04. FDI SO SANH '!$B$15:$F$15</c:f>
              <c:numCache>
                <c:formatCode>General</c:formatCode>
                <c:ptCount val="5"/>
                <c:pt idx="0">
                  <c:v>2022</c:v>
                </c:pt>
                <c:pt idx="1">
                  <c:v>2023</c:v>
                </c:pt>
                <c:pt idx="2">
                  <c:v>2024</c:v>
                </c:pt>
                <c:pt idx="3">
                  <c:v>2025</c:v>
                </c:pt>
                <c:pt idx="4">
                  <c:v>2026</c:v>
                </c:pt>
              </c:numCache>
            </c:numRef>
          </c:cat>
          <c:val>
            <c:numRef>
              <c:f>'04. FDI SO SANH '!$B$16:$F$16</c:f>
              <c:numCache>
                <c:formatCode>0.00</c:formatCode>
                <c:ptCount val="5"/>
                <c:pt idx="0">
                  <c:v>3.6971879558499996</c:v>
                </c:pt>
                <c:pt idx="1">
                  <c:v>4.1057489051900005</c:v>
                </c:pt>
                <c:pt idx="2">
                  <c:v>7.3385317055600003</c:v>
                </c:pt>
                <c:pt idx="3">
                  <c:v>5.5921135948700007</c:v>
                </c:pt>
                <c:pt idx="4">
                  <c:v>12.148742311469999</c:v>
                </c:pt>
              </c:numCache>
            </c:numRef>
          </c:val>
          <c:extLst xmlns:c16r2="http://schemas.microsoft.com/office/drawing/2015/06/chart">
            <c:ext xmlns:c16="http://schemas.microsoft.com/office/drawing/2014/chart" uri="{C3380CC4-5D6E-409C-BE32-E72D297353CC}">
              <c16:uniqueId val="{00000005-C10D-4872-B946-7931D9A3E94A}"/>
            </c:ext>
          </c:extLst>
        </c:ser>
        <c:ser>
          <c:idx val="1"/>
          <c:order val="1"/>
          <c:tx>
            <c:strRef>
              <c:f>'04. FDI SO SANH '!$A$17</c:f>
              <c:strCache>
                <c:ptCount val="1"/>
                <c:pt idx="0">
                  <c:v>   Adjusting registered capital</c:v>
                </c:pt>
              </c:strCache>
            </c:strRef>
          </c:tx>
          <c:invertIfNegative val="0"/>
          <c:dLbls>
            <c:dLbl>
              <c:idx val="0"/>
              <c:tx>
                <c:rich>
                  <a:bodyPr/>
                  <a:lstStyle/>
                  <a:p>
                    <a:r>
                      <a:rPr lang="en-US"/>
                      <a:t>5.29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C10D-4872-B946-7931D9A3E94A}"/>
                </c:ext>
              </c:extLst>
            </c:dLbl>
            <c:dLbl>
              <c:idx val="1"/>
              <c:tx>
                <c:rich>
                  <a:bodyPr/>
                  <a:lstStyle/>
                  <a:p>
                    <a:r>
                      <a:rPr lang="en-US"/>
                      <a:t>1.66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C10D-4872-B946-7931D9A3E94A}"/>
                </c:ext>
              </c:extLst>
            </c:dLbl>
            <c:dLbl>
              <c:idx val="2"/>
              <c:tx>
                <c:rich>
                  <a:bodyPr wrap="square" lIns="38100" tIns="19050" rIns="38100" bIns="19050" anchor="ctr">
                    <a:noAutofit/>
                  </a:bodyPr>
                  <a:lstStyle/>
                  <a:p>
                    <a:pPr>
                      <a:defRPr/>
                    </a:pPr>
                    <a:r>
                      <a:rPr lang="en-US"/>
                      <a:t>1.66</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C10D-4872-B946-7931D9A3E94A}"/>
                </c:ext>
              </c:extLst>
            </c:dLbl>
            <c:dLbl>
              <c:idx val="3"/>
              <c:layout>
                <c:manualLayout>
                  <c:x val="7.207205843852202E-3"/>
                  <c:y val="0"/>
                </c:manualLayout>
              </c:layout>
              <c:tx>
                <c:rich>
                  <a:bodyPr/>
                  <a:lstStyle/>
                  <a:p>
                    <a:r>
                      <a:rPr lang="en-US"/>
                      <a:t>6.40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C10D-4872-B946-7931D9A3E94A}"/>
                </c:ext>
              </c:extLst>
            </c:dLbl>
            <c:dLbl>
              <c:idx val="4"/>
              <c:tx>
                <c:rich>
                  <a:bodyPr/>
                  <a:lstStyle/>
                  <a:p>
                    <a:r>
                      <a:rPr lang="en-US"/>
                      <a:t>3.13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C10D-4872-B946-7931D9A3E94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'!$B$17:$F$17</c:f>
              <c:numCache>
                <c:formatCode>0.00</c:formatCode>
                <c:ptCount val="5"/>
                <c:pt idx="0">
                  <c:v>5.2890776313113239</c:v>
                </c:pt>
                <c:pt idx="1">
                  <c:v>1.6593908474179686</c:v>
                </c:pt>
                <c:pt idx="2">
                  <c:v>1.6597410526636918</c:v>
                </c:pt>
                <c:pt idx="3">
                  <c:v>6.3973596266982415</c:v>
                </c:pt>
                <c:pt idx="4">
                  <c:v>3.1315735994632816</c:v>
                </c:pt>
              </c:numCache>
            </c:numRef>
          </c:val>
          <c:extLst xmlns:c16r2="http://schemas.microsoft.com/office/drawing/2015/06/chart">
            <c:ext xmlns:c16="http://schemas.microsoft.com/office/drawing/2014/chart" uri="{C3380CC4-5D6E-409C-BE32-E72D297353CC}">
              <c16:uniqueId val="{0000000B-C10D-4872-B946-7931D9A3E94A}"/>
            </c:ext>
          </c:extLst>
        </c:ser>
        <c:ser>
          <c:idx val="2"/>
          <c:order val="2"/>
          <c:tx>
            <c:strRef>
              <c:f>'04. FDI SO SANH '!$A$18</c:f>
              <c:strCache>
                <c:ptCount val="1"/>
                <c:pt idx="0">
                  <c:v>Capital contribution and purchasing shares</c:v>
                </c:pt>
              </c:strCache>
            </c:strRef>
          </c:tx>
          <c:invertIfNegative val="0"/>
          <c:dLbls>
            <c:dLbl>
              <c:idx val="0"/>
              <c:tx>
                <c:rich>
                  <a:bodyPr/>
                  <a:lstStyle/>
                  <a:p>
                    <a:r>
                      <a:rPr lang="en-US"/>
                      <a:t>1.83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C10D-4872-B946-7931D9A3E94A}"/>
                </c:ext>
              </c:extLst>
            </c:dLbl>
            <c:dLbl>
              <c:idx val="1"/>
              <c:tx>
                <c:rich>
                  <a:bodyPr/>
                  <a:lstStyle/>
                  <a:p>
                    <a:r>
                      <a:rPr lang="en-US" baseline="0"/>
                      <a:t>3.11</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C10D-4872-B946-7931D9A3E94A}"/>
                </c:ext>
              </c:extLst>
            </c:dLbl>
            <c:dLbl>
              <c:idx val="2"/>
              <c:tx>
                <c:rich>
                  <a:bodyPr/>
                  <a:lstStyle/>
                  <a:p>
                    <a:r>
                      <a:rPr lang="en-US"/>
                      <a:t>0.87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E-C10D-4872-B946-7931D9A3E94A}"/>
                </c:ext>
              </c:extLst>
            </c:dLbl>
            <c:dLbl>
              <c:idx val="3"/>
              <c:tx>
                <c:rich>
                  <a:bodyPr wrap="square" lIns="38100" tIns="19050" rIns="38100" bIns="19050" anchor="ctr">
                    <a:noAutofit/>
                  </a:bodyPr>
                  <a:lstStyle/>
                  <a:p>
                    <a:pPr>
                      <a:defRPr/>
                    </a:pPr>
                    <a:r>
                      <a:rPr lang="en-US"/>
                      <a:t>1.83</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C10D-4872-B946-7931D9A3E94A}"/>
                </c:ext>
              </c:extLst>
            </c:dLbl>
            <c:dLbl>
              <c:idx val="4"/>
              <c:layout>
                <c:manualLayout>
                  <c:x val="2.4024019479507323E-2"/>
                  <c:y val="0"/>
                </c:manualLayout>
              </c:layout>
              <c:tx>
                <c:rich>
                  <a:bodyPr/>
                  <a:lstStyle/>
                  <a:p>
                    <a:r>
                      <a:rPr lang="en-US"/>
                      <a:t> 2.96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0-C10D-4872-B946-7931D9A3E94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'!$B$18:$F$18</c:f>
              <c:numCache>
                <c:formatCode>0.00</c:formatCode>
                <c:ptCount val="5"/>
                <c:pt idx="0">
                  <c:v>1.8274167558199998</c:v>
                </c:pt>
                <c:pt idx="1">
                  <c:v>3.1132775498300007</c:v>
                </c:pt>
                <c:pt idx="2">
                  <c:v>0.8747409650700001</c:v>
                </c:pt>
                <c:pt idx="3">
                  <c:v>1.8270096930100002</c:v>
                </c:pt>
                <c:pt idx="4">
                  <c:v>2.9575857910000005</c:v>
                </c:pt>
              </c:numCache>
            </c:numRef>
          </c:val>
          <c:extLst xmlns:c16r2="http://schemas.microsoft.com/office/drawing/2015/06/chart">
            <c:ext xmlns:c16="http://schemas.microsoft.com/office/drawing/2014/chart" uri="{C3380CC4-5D6E-409C-BE32-E72D297353CC}">
              <c16:uniqueId val="{00000011-C10D-4872-B946-7931D9A3E94A}"/>
            </c:ext>
          </c:extLst>
        </c:ser>
        <c:dLbls>
          <c:showLegendKey val="0"/>
          <c:showVal val="0"/>
          <c:showCatName val="0"/>
          <c:showSerName val="0"/>
          <c:showPercent val="0"/>
          <c:showBubbleSize val="0"/>
        </c:dLbls>
        <c:gapWidth val="150"/>
        <c:overlap val="100"/>
        <c:axId val="68506624"/>
        <c:axId val="105687296"/>
      </c:barChart>
      <c:catAx>
        <c:axId val="68506624"/>
        <c:scaling>
          <c:orientation val="minMax"/>
        </c:scaling>
        <c:delete val="0"/>
        <c:axPos val="l"/>
        <c:numFmt formatCode="General" sourceLinked="1"/>
        <c:majorTickMark val="out"/>
        <c:minorTickMark val="none"/>
        <c:tickLblPos val="nextTo"/>
        <c:crossAx val="105687296"/>
        <c:crosses val="autoZero"/>
        <c:auto val="1"/>
        <c:lblAlgn val="ctr"/>
        <c:lblOffset val="100"/>
        <c:noMultiLvlLbl val="0"/>
      </c:catAx>
      <c:valAx>
        <c:axId val="105687296"/>
        <c:scaling>
          <c:orientation val="minMax"/>
        </c:scaling>
        <c:delete val="0"/>
        <c:axPos val="b"/>
        <c:majorGridlines/>
        <c:numFmt formatCode="0.00" sourceLinked="1"/>
        <c:majorTickMark val="out"/>
        <c:minorTickMark val="none"/>
        <c:tickLblPos val="nextTo"/>
        <c:crossAx val="68506624"/>
        <c:crosses val="autoZero"/>
        <c:crossBetween val="between"/>
      </c:valAx>
    </c:plotArea>
    <c:legend>
      <c:legendPos val="b"/>
      <c:layout>
        <c:manualLayout>
          <c:xMode val="edge"/>
          <c:yMode val="edge"/>
          <c:x val="2.8151887097000582E-2"/>
          <c:y val="0.83609098439478624"/>
          <c:w val="0.94815255379173879"/>
          <c:h val="0.1397252187491074"/>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5.92</c:v>
                </c:pt>
                <c:pt idx="1">
                  <c:v>5.85</c:v>
                </c:pt>
                <c:pt idx="2">
                  <c:v>6.28</c:v>
                </c:pt>
                <c:pt idx="3">
                  <c:v>6.74</c:v>
                </c:pt>
                <c:pt idx="4">
                  <c:v>7.4009999999999998</c:v>
                </c:pt>
              </c:numCache>
            </c:numRef>
          </c:val>
          <c:extLst xmlns:c16r2="http://schemas.microsoft.com/office/drawing/2015/06/chart">
            <c:ext xmlns:c16="http://schemas.microsoft.com/office/drawing/2014/chart" uri="{C3380CC4-5D6E-409C-BE32-E72D297353CC}">
              <c16:uniqueId val="{00000000-ACF7-4823-8632-8631D29C57C1}"/>
            </c:ext>
          </c:extLst>
        </c:ser>
        <c:dLbls>
          <c:showLegendKey val="0"/>
          <c:showVal val="0"/>
          <c:showCatName val="0"/>
          <c:showSerName val="0"/>
          <c:showPercent val="0"/>
          <c:showBubbleSize val="0"/>
        </c:dLbls>
        <c:gapWidth val="219"/>
        <c:overlap val="-27"/>
        <c:axId val="68626432"/>
        <c:axId val="105691328"/>
      </c:barChart>
      <c:catAx>
        <c:axId val="6862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5691328"/>
        <c:crosses val="autoZero"/>
        <c:auto val="1"/>
        <c:lblAlgn val="ctr"/>
        <c:lblOffset val="100"/>
        <c:noMultiLvlLbl val="0"/>
      </c:catAx>
      <c:valAx>
        <c:axId val="1056913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68626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81714785651793"/>
          <c:y val="0.12037037037037036"/>
          <c:w val="0.80369903762029749"/>
          <c:h val="0.6682349081364829"/>
        </c:manualLayout>
      </c:layout>
      <c:barChart>
        <c:barDir val="col"/>
        <c:grouping val="clustered"/>
        <c:varyColors val="0"/>
        <c:ser>
          <c:idx val="0"/>
          <c:order val="0"/>
          <c:tx>
            <c:strRef>
              <c:f>EN!$A$4</c:f>
              <c:strCache>
                <c:ptCount val="1"/>
                <c:pt idx="0">
                  <c:v>Total (Trillion dongs)</c:v>
                </c:pt>
              </c:strCache>
            </c:strRef>
          </c:tx>
          <c:spPr>
            <a:solidFill>
              <a:srgbClr val="EC7C30"/>
            </a:solidFill>
            <a:ln>
              <a:noFill/>
            </a:ln>
            <a:effectLst/>
          </c:spPr>
          <c:invertIfNegative val="0"/>
          <c:dLbls>
            <c:dLbl>
              <c:idx val="0"/>
              <c:layout>
                <c:manualLayout>
                  <c:x val="-2.8482426957776776E-3"/>
                  <c:y val="-4.999825021872265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72A-42F9-93D0-21217F929B6C}"/>
                </c:ext>
              </c:extLst>
            </c:dLbl>
            <c:dLbl>
              <c:idx val="1"/>
              <c:layout>
                <c:manualLayout>
                  <c:x val="2.2997245248420638E-2"/>
                  <c:y val="6.481539807524100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72A-42F9-93D0-21217F929B6C}"/>
                </c:ext>
              </c:extLst>
            </c:dLbl>
            <c:dLbl>
              <c:idx val="2"/>
              <c:layout>
                <c:manualLayout>
                  <c:x val="8.9914420169899846E-3"/>
                  <c:y val="-9.444269466316750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72A-42F9-93D0-21217F929B6C}"/>
                </c:ext>
              </c:extLst>
            </c:dLbl>
            <c:dLbl>
              <c:idx val="3"/>
              <c:layout>
                <c:manualLayout>
                  <c:x val="-2.8301876278204077E-3"/>
                  <c:y val="-4.259317585301857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72A-42F9-93D0-21217F929B6C}"/>
                </c:ext>
              </c:extLst>
            </c:dLbl>
            <c:dLbl>
              <c:idx val="4"/>
              <c:layout>
                <c:manualLayout>
                  <c:x val="-3.5218527620353191E-5"/>
                  <c:y val="-3.333333333333333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72A-42F9-93D0-21217F929B6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accent2"/>
                      </a:solidFill>
                      <a:round/>
                    </a:ln>
                    <a:effectLst/>
                  </c:spPr>
                </c15:leaderLines>
              </c:ext>
            </c:extLst>
          </c:dLbls>
          <c:cat>
            <c:numRef>
              <c:f>EN!$B$3:$F$3</c:f>
              <c:numCache>
                <c:formatCode>General</c:formatCode>
                <c:ptCount val="5"/>
                <c:pt idx="0">
                  <c:v>2022</c:v>
                </c:pt>
                <c:pt idx="1">
                  <c:v>2023</c:v>
                </c:pt>
                <c:pt idx="2">
                  <c:v>2024</c:v>
                </c:pt>
                <c:pt idx="3">
                  <c:v>2025</c:v>
                </c:pt>
                <c:pt idx="4">
                  <c:v>2026</c:v>
                </c:pt>
              </c:numCache>
            </c:numRef>
          </c:cat>
          <c:val>
            <c:numRef>
              <c:f>EN!$B$4:$F$4</c:f>
              <c:numCache>
                <c:formatCode>_(* #,##0.0_);_(* \(#,##0.0\);_(* "-"??_);_(@_)</c:formatCode>
                <c:ptCount val="5"/>
                <c:pt idx="0">
                  <c:v>1675.2</c:v>
                </c:pt>
                <c:pt idx="1">
                  <c:v>1924.4</c:v>
                </c:pt>
                <c:pt idx="2">
                  <c:v>2094.5</c:v>
                </c:pt>
                <c:pt idx="3">
                  <c:v>2292.4</c:v>
                </c:pt>
                <c:pt idx="4">
                  <c:v>2546.6</c:v>
                </c:pt>
              </c:numCache>
            </c:numRef>
          </c:val>
          <c:extLst xmlns:c16r2="http://schemas.microsoft.com/office/drawing/2015/06/chart">
            <c:ext xmlns:c16="http://schemas.microsoft.com/office/drawing/2014/chart" uri="{C3380CC4-5D6E-409C-BE32-E72D297353CC}">
              <c16:uniqueId val="{00000000-172A-42F9-93D0-21217F929B6C}"/>
            </c:ext>
          </c:extLst>
        </c:ser>
        <c:dLbls>
          <c:showLegendKey val="0"/>
          <c:showVal val="0"/>
          <c:showCatName val="0"/>
          <c:showSerName val="0"/>
          <c:showPercent val="0"/>
          <c:showBubbleSize val="0"/>
        </c:dLbls>
        <c:gapWidth val="105"/>
        <c:overlap val="-15"/>
        <c:axId val="68627968"/>
        <c:axId val="112050752"/>
      </c:barChart>
      <c:lineChart>
        <c:grouping val="standard"/>
        <c:varyColors val="0"/>
        <c:ser>
          <c:idx val="1"/>
          <c:order val="1"/>
          <c:tx>
            <c:strRef>
              <c:f>EN!$A$5</c:f>
              <c:strCache>
                <c:ptCount val="1"/>
                <c:pt idx="0">
                  <c:v>Growth rate year-on-year (%)</c:v>
                </c:pt>
              </c:strCache>
            </c:strRef>
          </c:tx>
          <c:spPr>
            <a:ln w="28575" cap="rnd">
              <a:solidFill>
                <a:srgbClr val="002060"/>
              </a:solidFill>
              <a:round/>
            </a:ln>
            <a:effectLst/>
          </c:spPr>
          <c:marker>
            <c:symbol val="circle"/>
            <c:size val="6"/>
            <c:spPr>
              <a:solidFill>
                <a:srgbClr val="002060"/>
              </a:solidFill>
              <a:ln w="9525">
                <a:noFill/>
              </a:ln>
              <a:effectLst/>
            </c:spPr>
          </c:marker>
          <c:dLbls>
            <c:dLbl>
              <c:idx val="0"/>
              <c:layout>
                <c:manualLayout>
                  <c:x val="-5.0218792520541053E-2"/>
                  <c:y val="-6.7418057673603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72A-42F9-93D0-21217F929B6C}"/>
                </c:ext>
              </c:extLst>
            </c:dLbl>
            <c:dLbl>
              <c:idx val="1"/>
              <c:layout>
                <c:manualLayout>
                  <c:x val="-5.3559560979152682E-2"/>
                  <c:y val="5.80783090019980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72A-42F9-93D0-21217F929B6C}"/>
                </c:ext>
              </c:extLst>
            </c:dLbl>
            <c:dLbl>
              <c:idx val="2"/>
              <c:layout>
                <c:manualLayout>
                  <c:x val="-5.3012950258452499E-2"/>
                  <c:y val="6.24074074074074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72A-42F9-93D0-21217F929B6C}"/>
                </c:ext>
              </c:extLst>
            </c:dLbl>
            <c:dLbl>
              <c:idx val="3"/>
              <c:layout>
                <c:manualLayout>
                  <c:x val="-4.1666666666666664E-2"/>
                  <c:y val="5.55555555555555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72A-42F9-93D0-21217F929B6C}"/>
                </c:ext>
              </c:extLst>
            </c:dLbl>
            <c:dLbl>
              <c:idx val="4"/>
              <c:layout>
                <c:manualLayout>
                  <c:x val="-3.8888888888888994E-2"/>
                  <c:y val="6.48148148148148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72A-42F9-93D0-21217F929B6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rgbClr val="002060"/>
                      </a:solidFill>
                      <a:round/>
                    </a:ln>
                    <a:effectLst/>
                  </c:spPr>
                </c15:leaderLines>
              </c:ext>
            </c:extLst>
          </c:dLbls>
          <c:cat>
            <c:numRef>
              <c:f>EN!$B$3:$F$3</c:f>
              <c:numCache>
                <c:formatCode>General</c:formatCode>
                <c:ptCount val="5"/>
                <c:pt idx="0">
                  <c:v>2022</c:v>
                </c:pt>
                <c:pt idx="1">
                  <c:v>2023</c:v>
                </c:pt>
                <c:pt idx="2">
                  <c:v>2024</c:v>
                </c:pt>
                <c:pt idx="3">
                  <c:v>2025</c:v>
                </c:pt>
                <c:pt idx="4">
                  <c:v>2026</c:v>
                </c:pt>
              </c:numCache>
            </c:numRef>
          </c:cat>
          <c:val>
            <c:numRef>
              <c:f>EN!$B$5:$F$5</c:f>
              <c:numCache>
                <c:formatCode>0.0</c:formatCode>
                <c:ptCount val="5"/>
                <c:pt idx="0">
                  <c:v>43</c:v>
                </c:pt>
                <c:pt idx="1">
                  <c:v>14.9</c:v>
                </c:pt>
                <c:pt idx="2">
                  <c:v>8.8000000000000007</c:v>
                </c:pt>
                <c:pt idx="3">
                  <c:v>9.4</c:v>
                </c:pt>
                <c:pt idx="4">
                  <c:v>11.1</c:v>
                </c:pt>
              </c:numCache>
            </c:numRef>
          </c:val>
          <c:smooth val="0"/>
          <c:extLst xmlns:c16r2="http://schemas.microsoft.com/office/drawing/2015/06/chart">
            <c:ext xmlns:c16="http://schemas.microsoft.com/office/drawing/2014/chart" uri="{C3380CC4-5D6E-409C-BE32-E72D297353CC}">
              <c16:uniqueId val="{00000001-172A-42F9-93D0-21217F929B6C}"/>
            </c:ext>
          </c:extLst>
        </c:ser>
        <c:dLbls>
          <c:showLegendKey val="0"/>
          <c:showVal val="0"/>
          <c:showCatName val="0"/>
          <c:showSerName val="0"/>
          <c:showPercent val="0"/>
          <c:showBubbleSize val="0"/>
        </c:dLbls>
        <c:marker val="1"/>
        <c:smooth val="0"/>
        <c:axId val="68699136"/>
        <c:axId val="112051904"/>
      </c:lineChart>
      <c:catAx>
        <c:axId val="6862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2050752"/>
        <c:crosses val="autoZero"/>
        <c:auto val="1"/>
        <c:lblAlgn val="ctr"/>
        <c:lblOffset val="100"/>
        <c:noMultiLvlLbl val="0"/>
      </c:catAx>
      <c:valAx>
        <c:axId val="112050752"/>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crossAx val="68627968"/>
        <c:crosses val="autoZero"/>
        <c:crossBetween val="between"/>
      </c:valAx>
      <c:valAx>
        <c:axId val="112051904"/>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crossAx val="68699136"/>
        <c:crosses val="max"/>
        <c:crossBetween val="between"/>
      </c:valAx>
      <c:catAx>
        <c:axId val="68699136"/>
        <c:scaling>
          <c:orientation val="minMax"/>
        </c:scaling>
        <c:delete val="1"/>
        <c:axPos val="b"/>
        <c:numFmt formatCode="General" sourceLinked="1"/>
        <c:majorTickMark val="out"/>
        <c:minorTickMark val="none"/>
        <c:tickLblPos val="nextTo"/>
        <c:crossAx val="1120519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22.6</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6895-400E-B57E-8FCC29D247F4}"/>
                </c:ext>
              </c:extLst>
            </c:dLbl>
            <c:dLbl>
              <c:idx val="1"/>
              <c:tx>
                <c:rich>
                  <a:bodyPr/>
                  <a:lstStyle/>
                  <a:p>
                    <a:r>
                      <a:rPr lang="en-US"/>
                      <a:t>53.9</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6895-400E-B57E-8FCC29D247F4}"/>
                </c:ext>
              </c:extLst>
            </c:dLbl>
            <c:dLbl>
              <c:idx val="2"/>
              <c:tx>
                <c:rich>
                  <a:bodyPr/>
                  <a:lstStyle/>
                  <a:p>
                    <a:r>
                      <a:rPr lang="en-US"/>
                      <a:t>11.1</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6895-400E-B57E-8FCC29D247F4}"/>
                </c:ext>
              </c:extLst>
            </c:dLbl>
            <c:dLbl>
              <c:idx val="3"/>
              <c:layout>
                <c:manualLayout>
                  <c:x val="2.5769592651729636E-3"/>
                  <c:y val="1.1100418581925897E-2"/>
                </c:manualLayout>
              </c:layout>
              <c:tx>
                <c:rich>
                  <a:bodyPr/>
                  <a:lstStyle/>
                  <a:p>
                    <a:r>
                      <a:rPr lang="en-US"/>
                      <a:t>14.3</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6895-400E-B57E-8FCC29D247F4}"/>
                </c:ext>
              </c:extLst>
            </c:dLbl>
            <c:dLbl>
              <c:idx val="4"/>
              <c:tx>
                <c:rich>
                  <a:bodyPr/>
                  <a:lstStyle/>
                  <a:p>
                    <a:r>
                      <a:rPr lang="en-US"/>
                      <a:t>20.5</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6895-400E-B57E-8FCC29D247F4}"/>
                </c:ext>
              </c:extLst>
            </c:dLbl>
            <c:dLbl>
              <c:idx val="5"/>
              <c:tx>
                <c:rich>
                  <a:bodyPr/>
                  <a:lstStyle/>
                  <a:p>
                    <a:r>
                      <a:rPr lang="en-US"/>
                      <a:t>9.7</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6895-400E-B57E-8FCC29D247F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22.6</c:v>
                </c:pt>
                <c:pt idx="1">
                  <c:v>53.9</c:v>
                </c:pt>
                <c:pt idx="2">
                  <c:v>11.1</c:v>
                </c:pt>
                <c:pt idx="3">
                  <c:v>14.3</c:v>
                </c:pt>
                <c:pt idx="4">
                  <c:v>20.5</c:v>
                </c:pt>
                <c:pt idx="5">
                  <c:v>9.6999999999999993</c:v>
                </c:pt>
              </c:numCache>
            </c:numRef>
          </c:val>
          <c:extLst xmlns:c16r2="http://schemas.microsoft.com/office/drawing/2015/06/chart">
            <c:ext xmlns:c16="http://schemas.microsoft.com/office/drawing/2014/chart" uri="{C3380CC4-5D6E-409C-BE32-E72D297353CC}">
              <c16:uniqueId val="{00000000-6842-46E8-AE20-056D8A064EE5}"/>
            </c:ext>
          </c:extLst>
        </c:ser>
        <c:ser>
          <c:idx val="1"/>
          <c:order val="1"/>
          <c:tx>
            <c:v>Nhập khẩu hàng hóa</c:v>
          </c:tx>
          <c:spPr>
            <a:solidFill>
              <a:srgbClr val="7030A0"/>
            </a:solidFill>
            <a:ln w="3175">
              <a:solidFill>
                <a:srgbClr val="7030A0"/>
              </a:solidFill>
            </a:ln>
            <a:effectLst/>
          </c:spPr>
          <c:invertIfNegative val="0"/>
          <c:dLbls>
            <c:dLbl>
              <c:idx val="0"/>
              <c:layout>
                <c:manualLayout>
                  <c:x val="5.1539185303459273E-3"/>
                  <c:y val="-6.7835107697038881E-17"/>
                </c:manualLayout>
              </c:layout>
              <c:tx>
                <c:rich>
                  <a:bodyPr/>
                  <a:lstStyle/>
                  <a:p>
                    <a:r>
                      <a:rPr lang="en-US"/>
                      <a:t>69.0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6895-400E-B57E-8FCC29D247F4}"/>
                </c:ext>
              </c:extLst>
            </c:dLbl>
            <c:dLbl>
              <c:idx val="1"/>
              <c:layout>
                <c:manualLayout>
                  <c:x val="-4.8966670800076898E-17"/>
                  <c:y val="9.2721372276309694E-3"/>
                </c:manualLayout>
              </c:layout>
              <c:tx>
                <c:rich>
                  <a:bodyPr/>
                  <a:lstStyle/>
                  <a:p>
                    <a:r>
                      <a:rPr lang="en-US"/>
                      <a:t>7.0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6842-46E8-AE20-056D8A064EE5}"/>
                </c:ext>
              </c:extLst>
            </c:dLbl>
            <c:dLbl>
              <c:idx val="2"/>
              <c:tx>
                <c:rich>
                  <a:bodyPr/>
                  <a:lstStyle/>
                  <a:p>
                    <a:r>
                      <a:rPr lang="en-US"/>
                      <a:t>26.1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6895-400E-B57E-8FCC29D247F4}"/>
                </c:ext>
              </c:extLst>
            </c:dLbl>
            <c:dLbl>
              <c:idx val="3"/>
              <c:tx>
                <c:rich>
                  <a:bodyPr/>
                  <a:lstStyle/>
                  <a:p>
                    <a:r>
                      <a:rPr lang="en-US"/>
                      <a:t>21.9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6895-400E-B57E-8FCC29D247F4}"/>
                </c:ext>
              </c:extLst>
            </c:dLbl>
            <c:dLbl>
              <c:idx val="4"/>
              <c:tx>
                <c:rich>
                  <a:bodyPr/>
                  <a:lstStyle/>
                  <a:p>
                    <a:r>
                      <a:rPr lang="en-US"/>
                      <a:t>6.3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6895-400E-B57E-8FCC29D247F4}"/>
                </c:ext>
              </c:extLst>
            </c:dLbl>
            <c:dLbl>
              <c:idx val="5"/>
              <c:tx>
                <c:rich>
                  <a:bodyPr/>
                  <a:lstStyle/>
                  <a:p>
                    <a:r>
                      <a:rPr lang="en-US"/>
                      <a:t>9.2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6895-400E-B57E-8FCC29D247F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69</c:v>
                </c:pt>
                <c:pt idx="1">
                  <c:v>7</c:v>
                </c:pt>
                <c:pt idx="2">
                  <c:v>26.1</c:v>
                </c:pt>
                <c:pt idx="3">
                  <c:v>21.9</c:v>
                </c:pt>
                <c:pt idx="4">
                  <c:v>6.3</c:v>
                </c:pt>
                <c:pt idx="5">
                  <c:v>9.1999999999999993</c:v>
                </c:pt>
              </c:numCache>
            </c:numRef>
          </c:val>
          <c:extLst xmlns:c16r2="http://schemas.microsoft.com/office/drawing/2015/06/chart">
            <c:ext xmlns:c16="http://schemas.microsoft.com/office/drawing/2014/chart" uri="{C3380CC4-5D6E-409C-BE32-E72D297353CC}">
              <c16:uniqueId val="{00000002-6842-46E8-AE20-056D8A064EE5}"/>
            </c:ext>
          </c:extLst>
        </c:ser>
        <c:dLbls>
          <c:showLegendKey val="0"/>
          <c:showVal val="0"/>
          <c:showCatName val="0"/>
          <c:showSerName val="0"/>
          <c:showPercent val="0"/>
          <c:showBubbleSize val="0"/>
        </c:dLbls>
        <c:gapWidth val="75"/>
        <c:overlap val="100"/>
        <c:axId val="68700160"/>
        <c:axId val="112054784"/>
      </c:barChart>
      <c:catAx>
        <c:axId val="6870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2054784"/>
        <c:crosses val="autoZero"/>
        <c:auto val="1"/>
        <c:lblAlgn val="ctr"/>
        <c:lblOffset val="100"/>
        <c:noMultiLvlLbl val="0"/>
      </c:catAx>
      <c:valAx>
        <c:axId val="112054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687001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year-on-year (%)</a:t>
            </a:r>
          </a:p>
        </c:rich>
      </c:tx>
      <c:overlay val="0"/>
      <c:spPr>
        <a:noFill/>
        <a:ln>
          <a:noFill/>
        </a:ln>
        <a:effectLst/>
      </c:sp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23.1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98A7-46C0-9306-18ED2F73E905}"/>
                </c:ext>
              </c:extLst>
            </c:dLbl>
            <c:dLbl>
              <c:idx val="1"/>
              <c:tx>
                <c:rich>
                  <a:bodyPr/>
                  <a:lstStyle/>
                  <a:p>
                    <a:r>
                      <a:rPr lang="en-US"/>
                      <a:t>24.3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98A7-46C0-9306-18ED2F73E905}"/>
                </c:ext>
              </c:extLst>
            </c:dLbl>
            <c:dLbl>
              <c:idx val="2"/>
              <c:tx>
                <c:rich>
                  <a:bodyPr/>
                  <a:lstStyle/>
                  <a:p>
                    <a:r>
                      <a:rPr lang="en-US"/>
                      <a:t>22.9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98A7-46C0-9306-18ED2F73E905}"/>
                </c:ext>
              </c:extLst>
            </c:dLbl>
            <c:dLbl>
              <c:idx val="3"/>
              <c:tx>
                <c:rich>
                  <a:bodyPr/>
                  <a:lstStyle/>
                  <a:p>
                    <a:r>
                      <a:rPr lang="en-US"/>
                      <a:t>13.2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98A7-46C0-9306-18ED2F73E905}"/>
                </c:ext>
              </c:extLst>
            </c:dLbl>
            <c:dLbl>
              <c:idx val="4"/>
              <c:tx>
                <c:rich>
                  <a:bodyPr/>
                  <a:lstStyle/>
                  <a:p>
                    <a:r>
                      <a:rPr lang="en-US"/>
                      <a:t>11.0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98A7-46C0-9306-18ED2F73E905}"/>
                </c:ext>
              </c:extLst>
            </c:dLbl>
            <c:dLbl>
              <c:idx val="5"/>
              <c:tx>
                <c:rich>
                  <a:bodyPr/>
                  <a:lstStyle/>
                  <a:p>
                    <a:r>
                      <a:rPr lang="en-US"/>
                      <a:t>14.1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98A7-46C0-9306-18ED2F73E90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c:v>23.1</c:v>
                </c:pt>
                <c:pt idx="1">
                  <c:v>24.3</c:v>
                </c:pt>
                <c:pt idx="2">
                  <c:v>22.9</c:v>
                </c:pt>
                <c:pt idx="3">
                  <c:v>13.2</c:v>
                </c:pt>
                <c:pt idx="4">
                  <c:v>11</c:v>
                </c:pt>
                <c:pt idx="5">
                  <c:v>14.1</c:v>
                </c:pt>
              </c:numCache>
            </c:numRef>
          </c:val>
          <c:extLst xmlns:c16r2="http://schemas.microsoft.com/office/drawing/2015/06/chart">
            <c:ext xmlns:c16="http://schemas.microsoft.com/office/drawing/2014/chart" uri="{C3380CC4-5D6E-409C-BE32-E72D297353CC}">
              <c16:uniqueId val="{00000000-77B3-45EF-B1BC-C8762BDDCFF2}"/>
            </c:ext>
          </c:extLst>
        </c:ser>
        <c:ser>
          <c:idx val="1"/>
          <c:order val="1"/>
          <c:tx>
            <c:v>Nhập khẩu hàng hóa</c:v>
          </c:tx>
          <c:spPr>
            <a:solidFill>
              <a:srgbClr val="7030A0"/>
            </a:solidFill>
            <a:ln w="3175">
              <a:solidFill>
                <a:srgbClr val="7030A0"/>
              </a:solidFill>
            </a:ln>
            <a:effectLst/>
          </c:spPr>
          <c:invertIfNegative val="0"/>
          <c:dLbls>
            <c:dLbl>
              <c:idx val="0"/>
              <c:tx>
                <c:rich>
                  <a:bodyPr/>
                  <a:lstStyle/>
                  <a:p>
                    <a:r>
                      <a:rPr lang="en-US"/>
                      <a:t>29.8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98A7-46C0-9306-18ED2F73E905}"/>
                </c:ext>
              </c:extLst>
            </c:dLbl>
            <c:dLbl>
              <c:idx val="1"/>
              <c:layout>
                <c:manualLayout>
                  <c:x val="3.5813458100346151E-4"/>
                  <c:y val="-3.7866857551896922E-3"/>
                </c:manualLayout>
              </c:layout>
              <c:tx>
                <c:rich>
                  <a:bodyPr/>
                  <a:lstStyle/>
                  <a:p>
                    <a:r>
                      <a:rPr lang="en-US"/>
                      <a:t>23.0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7333-40E9-A5F8-CEEA04D79C42}"/>
                </c:ext>
              </c:extLst>
            </c:dLbl>
            <c:dLbl>
              <c:idx val="2"/>
              <c:tx>
                <c:rich>
                  <a:bodyPr/>
                  <a:lstStyle/>
                  <a:p>
                    <a:r>
                      <a:rPr lang="en-US"/>
                      <a:t>40.8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98A7-46C0-9306-18ED2F73E905}"/>
                </c:ext>
              </c:extLst>
            </c:dLbl>
            <c:dLbl>
              <c:idx val="3"/>
              <c:tx>
                <c:rich>
                  <a:bodyPr/>
                  <a:lstStyle/>
                  <a:p>
                    <a:r>
                      <a:rPr lang="en-US"/>
                      <a:t>22.4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98A7-46C0-9306-18ED2F73E905}"/>
                </c:ext>
              </c:extLst>
            </c:dLbl>
            <c:dLbl>
              <c:idx val="4"/>
              <c:layout>
                <c:manualLayout>
                  <c:x val="-2.0939601620642689E-3"/>
                  <c:y val="1.1364959707964898E-2"/>
                </c:manualLayout>
              </c:layout>
              <c:tx>
                <c:rich>
                  <a:bodyPr/>
                  <a:lstStyle/>
                  <a:p>
                    <a:r>
                      <a:rPr lang="en-US"/>
                      <a:t>22.5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7333-40E9-A5F8-CEEA04D79C42}"/>
                </c:ext>
              </c:extLst>
            </c:dLbl>
            <c:dLbl>
              <c:idx val="5"/>
              <c:tx>
                <c:rich>
                  <a:bodyPr/>
                  <a:lstStyle/>
                  <a:p>
                    <a:r>
                      <a:rPr lang="en-US"/>
                      <a:t>17.7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98A7-46C0-9306-18ED2F73E90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0.0</c:formatCode>
                <c:ptCount val="6"/>
                <c:pt idx="0">
                  <c:v>29.8</c:v>
                </c:pt>
                <c:pt idx="1">
                  <c:v>23</c:v>
                </c:pt>
                <c:pt idx="2">
                  <c:v>40.799999999999997</c:v>
                </c:pt>
                <c:pt idx="3">
                  <c:v>22.4</c:v>
                </c:pt>
                <c:pt idx="4">
                  <c:v>22.5</c:v>
                </c:pt>
                <c:pt idx="5">
                  <c:v>17.7</c:v>
                </c:pt>
              </c:numCache>
            </c:numRef>
          </c:val>
          <c:extLst xmlns:c16r2="http://schemas.microsoft.com/office/drawing/2015/06/chart">
            <c:ext xmlns:c16="http://schemas.microsoft.com/office/drawing/2014/chart" uri="{C3380CC4-5D6E-409C-BE32-E72D297353CC}">
              <c16:uniqueId val="{00000001-77B3-45EF-B1BC-C8762BDDCFF2}"/>
            </c:ext>
          </c:extLst>
        </c:ser>
        <c:dLbls>
          <c:showLegendKey val="0"/>
          <c:showVal val="0"/>
          <c:showCatName val="0"/>
          <c:showSerName val="0"/>
          <c:showPercent val="0"/>
          <c:showBubbleSize val="0"/>
        </c:dLbls>
        <c:gapWidth val="50"/>
        <c:overlap val="-27"/>
        <c:axId val="68701696"/>
        <c:axId val="112055936"/>
      </c:barChart>
      <c:catAx>
        <c:axId val="687016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2055936"/>
        <c:crosses val="autoZero"/>
        <c:auto val="1"/>
        <c:lblAlgn val="ctr"/>
        <c:lblOffset val="100"/>
        <c:noMultiLvlLbl val="0"/>
      </c:catAx>
      <c:valAx>
        <c:axId val="112055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687016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0.18303</cdr:x>
      <cdr:y>0.1</cdr:y>
    </cdr:from>
    <cdr:to>
      <cdr:x>0.26534</cdr:x>
      <cdr:y>0.1697</cdr:y>
    </cdr:to>
    <cdr:sp macro="" textlink="">
      <cdr:nvSpPr>
        <cdr:cNvPr id="4" name="Rectangle 3">
          <a:extLst xmlns:a="http://schemas.openxmlformats.org/drawingml/2006/main">
            <a:ext uri="{FF2B5EF4-FFF2-40B4-BE49-F238E27FC236}">
              <a16:creationId xmlns:a16="http://schemas.microsoft.com/office/drawing/2014/main" xmlns="" id="{74DF8E20-E5C2-D015-9566-587CFDFAB363}"/>
            </a:ext>
          </a:extLst>
        </cdr:cNvPr>
        <cdr:cNvSpPr/>
      </cdr:nvSpPr>
      <cdr:spPr>
        <a:xfrm xmlns:a="http://schemas.openxmlformats.org/drawingml/2006/main">
          <a:off x="1136671" y="314325"/>
          <a:ext cx="511154" cy="21907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53.3%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0.72865</cdr:x>
      <cdr:y>0.50585</cdr:y>
    </cdr:from>
    <cdr:to>
      <cdr:x>0.80369</cdr:x>
      <cdr:y>0.56663</cdr:y>
    </cdr:to>
    <cdr:sp macro="" textlink="">
      <cdr:nvSpPr>
        <cdr:cNvPr id="5" name="Rectangle 4">
          <a:extLst xmlns:a="http://schemas.openxmlformats.org/drawingml/2006/main">
            <a:ext uri="{FF2B5EF4-FFF2-40B4-BE49-F238E27FC236}">
              <a16:creationId xmlns:a16="http://schemas.microsoft.com/office/drawing/2014/main" xmlns="" id="{0880D7C8-9B92-7079-8B94-D704261C72FA}"/>
            </a:ext>
          </a:extLst>
        </cdr:cNvPr>
        <cdr:cNvSpPr/>
      </cdr:nvSpPr>
      <cdr:spPr>
        <a:xfrm xmlns:a="http://schemas.openxmlformats.org/drawingml/2006/main">
          <a:off x="4525143" y="1590024"/>
          <a:ext cx="466021" cy="19104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3.7%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xmlns=""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Bill.</a:t>
          </a:r>
          <a:r>
            <a:rPr lang="en-US" sz="900" b="1" i="1" baseline="0">
              <a:latin typeface="Arial" panose="020B0604020202020204" pitchFamily="34" charset="0"/>
              <a:cs typeface="Arial" panose="020B0604020202020204" pitchFamily="34" charset="0"/>
            </a:rPr>
            <a:t> VND</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0.16911</cdr:x>
      <cdr:y>0.12934</cdr:y>
    </cdr:from>
    <cdr:to>
      <cdr:x>0.18829</cdr:x>
      <cdr:y>0.16475</cdr:y>
    </cdr:to>
    <cdr:sp macro="" textlink="">
      <cdr:nvSpPr>
        <cdr:cNvPr id="7" name="Arrow: Right 6">
          <a:extLst xmlns:a="http://schemas.openxmlformats.org/drawingml/2006/main">
            <a:ext uri="{FF2B5EF4-FFF2-40B4-BE49-F238E27FC236}">
              <a16:creationId xmlns:a16="http://schemas.microsoft.com/office/drawing/2014/main" xmlns="" id="{97CF3DA6-C0D4-EEB5-6CEC-E48D4D955573}"/>
            </a:ext>
          </a:extLst>
        </cdr:cNvPr>
        <cdr:cNvSpPr/>
      </cdr:nvSpPr>
      <cdr:spPr>
        <a:xfrm xmlns:a="http://schemas.openxmlformats.org/drawingml/2006/main" rot="16200000">
          <a:off x="1818325" y="536048"/>
          <a:ext cx="153581"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0.52733</cdr:x>
      <cdr:y>0.5478</cdr:y>
    </cdr:from>
    <cdr:to>
      <cdr:x>0.54651</cdr:x>
      <cdr:y>0.58321</cdr:y>
    </cdr:to>
    <cdr:sp macro="" textlink="">
      <cdr:nvSpPr>
        <cdr:cNvPr id="11" name="Arrow: Right 10">
          <a:extLst xmlns:a="http://schemas.openxmlformats.org/drawingml/2006/main">
            <a:ext uri="{FF2B5EF4-FFF2-40B4-BE49-F238E27FC236}">
              <a16:creationId xmlns:a16="http://schemas.microsoft.com/office/drawing/2014/main" xmlns="" id="{2069DF1B-87D3-7189-B4C4-DFA2B71A37EC}"/>
            </a:ext>
          </a:extLst>
        </cdr:cNvPr>
        <cdr:cNvSpPr/>
      </cdr:nvSpPr>
      <cdr:spPr>
        <a:xfrm xmlns:a="http://schemas.openxmlformats.org/drawingml/2006/main" rot="16200000">
          <a:off x="5624403" y="2124785"/>
          <a:ext cx="139415"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0.42605</cdr:x>
      <cdr:y>0.52575</cdr:y>
    </cdr:from>
    <cdr:to>
      <cdr:x>0.44523</cdr:x>
      <cdr:y>0.56116</cdr:y>
    </cdr:to>
    <cdr:sp macro="" textlink="">
      <cdr:nvSpPr>
        <cdr:cNvPr id="13" name="Arrow: Right 12">
          <a:extLst xmlns:a="http://schemas.openxmlformats.org/drawingml/2006/main">
            <a:ext uri="{FF2B5EF4-FFF2-40B4-BE49-F238E27FC236}">
              <a16:creationId xmlns:a16="http://schemas.microsoft.com/office/drawing/2014/main" xmlns="" id="{B3E23A0A-4E44-37BF-8991-C46BEDBBAFD5}"/>
            </a:ext>
          </a:extLst>
        </cdr:cNvPr>
        <cdr:cNvSpPr/>
      </cdr:nvSpPr>
      <cdr:spPr>
        <a:xfrm xmlns:a="http://schemas.openxmlformats.org/drawingml/2006/main" rot="16200000">
          <a:off x="4550287" y="2037978"/>
          <a:ext cx="139415" cy="203407"/>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0.27081</cdr:x>
      <cdr:y>0.18568</cdr:y>
    </cdr:from>
    <cdr:to>
      <cdr:x>0.36286</cdr:x>
      <cdr:y>0.3022</cdr:y>
    </cdr:to>
    <cdr:sp macro="" textlink="">
      <cdr:nvSpPr>
        <cdr:cNvPr id="14" name="Rectangle 13">
          <a:extLst xmlns:a="http://schemas.openxmlformats.org/drawingml/2006/main">
            <a:ext uri="{FF2B5EF4-FFF2-40B4-BE49-F238E27FC236}">
              <a16:creationId xmlns:a16="http://schemas.microsoft.com/office/drawing/2014/main" xmlns="" id="{DF40C718-A3E0-1AB3-8BEF-853B18AE7F7E}"/>
            </a:ext>
          </a:extLst>
        </cdr:cNvPr>
        <cdr:cNvSpPr/>
      </cdr:nvSpPr>
      <cdr:spPr>
        <a:xfrm xmlns:a="http://schemas.openxmlformats.org/drawingml/2006/main">
          <a:off x="1681804" y="583628"/>
          <a:ext cx="571658" cy="36625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12.1%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0.35065</cdr:x>
      <cdr:y>0.45934</cdr:y>
    </cdr:from>
    <cdr:to>
      <cdr:x>0.44822</cdr:x>
      <cdr:y>0.55946</cdr:y>
    </cdr:to>
    <cdr:sp macro="" textlink="">
      <cdr:nvSpPr>
        <cdr:cNvPr id="15" name="Rectangle 14">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2177642" y="1443812"/>
          <a:ext cx="605939" cy="31470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26.4%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0.43758</cdr:x>
      <cdr:y>0.48133</cdr:y>
    </cdr:from>
    <cdr:to>
      <cdr:x>0.53515</cdr:x>
      <cdr:y>0.5592</cdr:y>
    </cdr:to>
    <cdr:sp macro="" textlink="">
      <cdr:nvSpPr>
        <cdr:cNvPr id="16" name="Rectangle 15">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2717503" y="1512928"/>
          <a:ext cx="605939" cy="24476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0.4%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0.54005</cdr:x>
      <cdr:y>0.52424</cdr:y>
    </cdr:from>
    <cdr:to>
      <cdr:x>0.63762</cdr:x>
      <cdr:y>0.62587</cdr:y>
    </cdr:to>
    <cdr:sp macro="" textlink="">
      <cdr:nvSpPr>
        <cdr:cNvPr id="17" name="Rectangle 16">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3353873" y="1647825"/>
          <a:ext cx="605938" cy="31944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14.6%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0.63754</cdr:x>
      <cdr:y>0.54861</cdr:y>
    </cdr:from>
    <cdr:to>
      <cdr:x>0.73511</cdr:x>
      <cdr:y>0.62452</cdr:y>
    </cdr:to>
    <cdr:sp macro="" textlink="">
      <cdr:nvSpPr>
        <cdr:cNvPr id="18" name="Rectangle 17">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3959338" y="1724412"/>
          <a:ext cx="605939" cy="23860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4.</a:t>
          </a:r>
          <a:r>
            <a:rPr lang="en-US" sz="800">
              <a:solidFill>
                <a:sysClr val="windowText" lastClr="000000"/>
              </a:solidFill>
              <a:latin typeface="Arial" panose="020B0604020202020204" pitchFamily="34" charset="0"/>
              <a:cs typeface="Arial" panose="020B0604020202020204" pitchFamily="34" charset="0"/>
            </a:rPr>
            <a:t>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0.83303</cdr:x>
      <cdr:y>0.58033</cdr:y>
    </cdr:from>
    <cdr:to>
      <cdr:x>0.94104</cdr:x>
      <cdr:y>0.64121</cdr:y>
    </cdr:to>
    <cdr:sp macro="" textlink="">
      <cdr:nvSpPr>
        <cdr:cNvPr id="19" name="Rectangle 18">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8834378" y="2284843"/>
          <a:ext cx="1145460" cy="2396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0.91411</cdr:x>
      <cdr:y>0.52954</cdr:y>
    </cdr:from>
    <cdr:to>
      <cdr:x>1</cdr:x>
      <cdr:y>0.57576</cdr:y>
    </cdr:to>
    <cdr:sp macro="" textlink="">
      <cdr:nvSpPr>
        <cdr:cNvPr id="20" name="Rectangle 19">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5676901" y="1664491"/>
          <a:ext cx="533399" cy="14526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41.2%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0.26387</cdr:x>
      <cdr:y>0.22098</cdr:y>
    </cdr:from>
    <cdr:to>
      <cdr:x>0.28305</cdr:x>
      <cdr:y>0.25639</cdr:y>
    </cdr:to>
    <cdr:sp macro="" textlink="">
      <cdr:nvSpPr>
        <cdr:cNvPr id="24" name="Arrow: Right 8">
          <a:extLst xmlns:a="http://schemas.openxmlformats.org/drawingml/2006/main">
            <a:ext uri="{FF2B5EF4-FFF2-40B4-BE49-F238E27FC236}">
              <a16:creationId xmlns:a16="http://schemas.microsoft.com/office/drawing/2014/main" xmlns="" id="{08E05CB8-7E44-C7F1-FA8E-A5D415D39D1B}"/>
            </a:ext>
          </a:extLst>
        </cdr:cNvPr>
        <cdr:cNvSpPr/>
      </cdr:nvSpPr>
      <cdr:spPr>
        <a:xfrm xmlns:a="http://schemas.openxmlformats.org/drawingml/2006/main" rot="16200000">
          <a:off x="2830346" y="838034"/>
          <a:ext cx="139415"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0.33911</cdr:x>
      <cdr:y>0.49251</cdr:y>
    </cdr:from>
    <cdr:to>
      <cdr:x>0.35829</cdr:x>
      <cdr:y>0.52793</cdr:y>
    </cdr:to>
    <cdr:sp macro="" textlink="">
      <cdr:nvSpPr>
        <cdr:cNvPr id="25" name="Arrow: Right 8">
          <a:extLst xmlns:a="http://schemas.openxmlformats.org/drawingml/2006/main">
            <a:ext uri="{FF2B5EF4-FFF2-40B4-BE49-F238E27FC236}">
              <a16:creationId xmlns:a16="http://schemas.microsoft.com/office/drawing/2014/main" xmlns="" id="{08E05CB8-7E44-C7F1-FA8E-A5D415D39D1B}"/>
            </a:ext>
          </a:extLst>
        </cdr:cNvPr>
        <cdr:cNvSpPr/>
      </cdr:nvSpPr>
      <cdr:spPr>
        <a:xfrm xmlns:a="http://schemas.openxmlformats.org/drawingml/2006/main" rot="16200000">
          <a:off x="3628292" y="1907124"/>
          <a:ext cx="139454"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0.82033</cdr:x>
      <cdr:y>0.59172</cdr:y>
    </cdr:from>
    <cdr:to>
      <cdr:x>0.83951</cdr:x>
      <cdr:y>0.62713</cdr:y>
    </cdr:to>
    <cdr:sp macro="" textlink="">
      <cdr:nvSpPr>
        <cdr:cNvPr id="27" name="Arrow: Right 8">
          <a:extLst xmlns:a="http://schemas.openxmlformats.org/drawingml/2006/main">
            <a:ext uri="{FF2B5EF4-FFF2-40B4-BE49-F238E27FC236}">
              <a16:creationId xmlns:a16="http://schemas.microsoft.com/office/drawing/2014/main" xmlns="" id="{08E05CB8-7E44-C7F1-FA8E-A5D415D39D1B}"/>
            </a:ext>
          </a:extLst>
        </cdr:cNvPr>
        <cdr:cNvSpPr/>
      </cdr:nvSpPr>
      <cdr:spPr>
        <a:xfrm xmlns:a="http://schemas.openxmlformats.org/drawingml/2006/main" rot="5400000">
          <a:off x="8731727" y="2297684"/>
          <a:ext cx="139415" cy="203406"/>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0.63019</cdr:x>
      <cdr:y>0.57113</cdr:y>
    </cdr:from>
    <cdr:to>
      <cdr:x>0.64725</cdr:x>
      <cdr:y>0.60724</cdr:y>
    </cdr:to>
    <cdr:sp macro="" textlink="">
      <cdr:nvSpPr>
        <cdr:cNvPr id="23" name="Arrow: Right 14">
          <a:extLst xmlns:a="http://schemas.openxmlformats.org/drawingml/2006/main">
            <a:ext uri="{FF2B5EF4-FFF2-40B4-BE49-F238E27FC236}">
              <a16:creationId xmlns:a16="http://schemas.microsoft.com/office/drawing/2014/main" xmlns="" id="{4FDFFF9F-F3B4-F68C-E0B9-B14B90A21B49}"/>
            </a:ext>
          </a:extLst>
        </cdr:cNvPr>
        <cdr:cNvSpPr/>
      </cdr:nvSpPr>
      <cdr:spPr>
        <a:xfrm xmlns:a="http://schemas.openxmlformats.org/drawingml/2006/main" rot="16200000">
          <a:off x="6702620" y="2229269"/>
          <a:ext cx="142170" cy="180924"/>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0.7181</cdr:x>
      <cdr:y>0.57059</cdr:y>
    </cdr:from>
    <cdr:to>
      <cdr:x>0.73797</cdr:x>
      <cdr:y>0.61599</cdr:y>
    </cdr:to>
    <cdr:sp macro="" textlink="">
      <cdr:nvSpPr>
        <cdr:cNvPr id="2" name="Arrow: Right 1">
          <a:extLst xmlns:a="http://schemas.openxmlformats.org/drawingml/2006/main">
            <a:ext uri="{FF2B5EF4-FFF2-40B4-BE49-F238E27FC236}">
              <a16:creationId xmlns:a16="http://schemas.microsoft.com/office/drawing/2014/main" xmlns="" id="{31125FEE-AEBF-8667-81E7-4B5BB3A9B097}"/>
            </a:ext>
          </a:extLst>
        </cdr:cNvPr>
        <cdr:cNvSpPr/>
      </cdr:nvSpPr>
      <cdr:spPr>
        <a:xfrm xmlns:a="http://schemas.openxmlformats.org/drawingml/2006/main" rot="16200000">
          <a:off x="7631518" y="2230504"/>
          <a:ext cx="178747" cy="210724"/>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0.92</cdr:x>
      <cdr:y>0.58742</cdr:y>
    </cdr:from>
    <cdr:to>
      <cdr:x>0.93918</cdr:x>
      <cdr:y>0.62283</cdr:y>
    </cdr:to>
    <cdr:sp macro="" textlink="">
      <cdr:nvSpPr>
        <cdr:cNvPr id="3" name="Arrow: Right 2">
          <a:extLst xmlns:a="http://schemas.openxmlformats.org/drawingml/2006/main">
            <a:ext uri="{FF2B5EF4-FFF2-40B4-BE49-F238E27FC236}">
              <a16:creationId xmlns:a16="http://schemas.microsoft.com/office/drawing/2014/main" xmlns="" id="{7E508EF3-CAC5-316D-80D6-EE89FCCD29DD}"/>
            </a:ext>
          </a:extLst>
        </cdr:cNvPr>
        <cdr:cNvSpPr/>
      </cdr:nvSpPr>
      <cdr:spPr>
        <a:xfrm xmlns:a="http://schemas.openxmlformats.org/drawingml/2006/main" rot="16200000">
          <a:off x="9787759" y="2315343"/>
          <a:ext cx="141439"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0.84136</cdr:x>
      <cdr:y>0.07092</cdr:y>
    </cdr:from>
    <cdr:to>
      <cdr:x>0.96656</cdr:x>
      <cdr:y>0.15187</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968646" y="223453"/>
          <a:ext cx="739369"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18.24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0.82048</cdr:x>
      <cdr:y>0.20351</cdr:y>
    </cdr:from>
    <cdr:to>
      <cdr:x>0.97903</cdr:x>
      <cdr:y>0.28446</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845358" y="641230"/>
          <a:ext cx="936317"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13.82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0.83708</cdr:x>
      <cdr:y>0.3249</cdr:y>
    </cdr:from>
    <cdr:to>
      <cdr:x>0.97581</cdr:x>
      <cdr:y>0.40321</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943355" y="1023727"/>
          <a:ext cx="819270"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9.87</a:t>
          </a:r>
        </a:p>
      </cdr:txBody>
    </cdr:sp>
  </cdr:relSizeAnchor>
  <cdr:relSizeAnchor xmlns:cdr="http://schemas.openxmlformats.org/drawingml/2006/chartDrawing">
    <cdr:from>
      <cdr:x>0.83863</cdr:x>
      <cdr:y>0.46972</cdr:y>
    </cdr:from>
    <cdr:to>
      <cdr:x>0.96656</cdr:x>
      <cdr:y>0.55067</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952525" y="1480014"/>
          <a:ext cx="755490"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8.88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0.84813</cdr:x>
      <cdr:y>0.6002</cdr:y>
    </cdr:from>
    <cdr:to>
      <cdr:x>0.95057</cdr:x>
      <cdr:y>0.68115</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5008603" y="1891165"/>
          <a:ext cx="604960"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10.81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89F61-BFA0-4DF0-A7E8-DD00A2823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8559</Words>
  <Characters>48791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ltanh</dc:creator>
  <cp:lastModifiedBy>Nguyễn Thị Thanh Huyền</cp:lastModifiedBy>
  <cp:revision>2</cp:revision>
  <cp:lastPrinted>2025-08-05T03:54:00Z</cp:lastPrinted>
  <dcterms:created xsi:type="dcterms:W3CDTF">2026-05-16T10:02:00Z</dcterms:created>
  <dcterms:modified xsi:type="dcterms:W3CDTF">2026-05-16T10:02:00Z</dcterms:modified>
</cp:coreProperties>
</file>