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7" w:type="dxa"/>
        <w:jc w:val="center"/>
        <w:tblLayout w:type="fixed"/>
        <w:tblLook w:val="0000" w:firstRow="0" w:lastRow="0" w:firstColumn="0" w:lastColumn="0" w:noHBand="0" w:noVBand="0"/>
      </w:tblPr>
      <w:tblGrid>
        <w:gridCol w:w="4147"/>
        <w:gridCol w:w="6030"/>
      </w:tblGrid>
      <w:tr w:rsidR="00AE05A0" w:rsidRPr="00294018" w14:paraId="49AD3D46" w14:textId="77777777" w:rsidTr="00FD1375">
        <w:trPr>
          <w:trHeight w:val="1276"/>
          <w:jc w:val="center"/>
        </w:trPr>
        <w:tc>
          <w:tcPr>
            <w:tcW w:w="4147" w:type="dxa"/>
          </w:tcPr>
          <w:p w14:paraId="18096528" w14:textId="58DA62CE" w:rsidR="00AE05A0" w:rsidRPr="00294018" w:rsidRDefault="00FD1375" w:rsidP="00AE05A0">
            <w:pPr>
              <w:jc w:val="center"/>
              <w:rPr>
                <w:color w:val="000000" w:themeColor="text1"/>
                <w:spacing w:val="-6"/>
                <w:sz w:val="26"/>
                <w:szCs w:val="26"/>
              </w:rPr>
            </w:pPr>
            <w:r w:rsidRPr="00294018">
              <w:rPr>
                <w:color w:val="000000" w:themeColor="text1"/>
                <w:spacing w:val="-6"/>
                <w:sz w:val="26"/>
                <w:szCs w:val="26"/>
              </w:rPr>
              <w:t>MINISTRY OF FINANCE</w:t>
            </w:r>
          </w:p>
          <w:p w14:paraId="3B7A7BA9" w14:textId="4B30B043" w:rsidR="00AE05A0" w:rsidRPr="00294018" w:rsidRDefault="00FD1375" w:rsidP="00AE05A0">
            <w:pPr>
              <w:jc w:val="center"/>
              <w:rPr>
                <w:b/>
                <w:bCs/>
                <w:color w:val="000000" w:themeColor="text1"/>
                <w:spacing w:val="-6"/>
                <w:sz w:val="26"/>
                <w:szCs w:val="26"/>
              </w:rPr>
            </w:pPr>
            <w:r w:rsidRPr="00294018">
              <w:rPr>
                <w:b/>
                <w:bCs/>
                <w:color w:val="000000" w:themeColor="text1"/>
                <w:spacing w:val="-6"/>
                <w:sz w:val="26"/>
                <w:szCs w:val="26"/>
              </w:rPr>
              <w:t>NATIONAL STATISTICS OFFICE</w:t>
            </w:r>
          </w:p>
          <w:p w14:paraId="64E6CAD9" w14:textId="77777777" w:rsidR="00AE05A0" w:rsidRPr="00294018" w:rsidRDefault="00AE05A0" w:rsidP="00AE05A0">
            <w:pPr>
              <w:spacing w:line="144" w:lineRule="auto"/>
              <w:jc w:val="center"/>
              <w:rPr>
                <w:bCs/>
                <w:color w:val="000000" w:themeColor="text1"/>
                <w:spacing w:val="-6"/>
                <w:vertAlign w:val="superscript"/>
              </w:rPr>
            </w:pPr>
            <w:r w:rsidRPr="00294018">
              <w:rPr>
                <w:bCs/>
                <w:color w:val="000000" w:themeColor="text1"/>
                <w:spacing w:val="-6"/>
                <w:sz w:val="26"/>
                <w:szCs w:val="26"/>
                <w:vertAlign w:val="superscript"/>
              </w:rPr>
              <w:t>________________</w:t>
            </w:r>
          </w:p>
          <w:p w14:paraId="0500D97A" w14:textId="77FCEAFA" w:rsidR="00AE05A0" w:rsidRPr="00294018" w:rsidRDefault="00FD1375" w:rsidP="00AE05A0">
            <w:pPr>
              <w:spacing w:before="240" w:line="252" w:lineRule="auto"/>
              <w:jc w:val="center"/>
              <w:rPr>
                <w:color w:val="000000" w:themeColor="text1"/>
              </w:rPr>
            </w:pPr>
            <w:r w:rsidRPr="00294018">
              <w:rPr>
                <w:color w:val="000000" w:themeColor="text1"/>
              </w:rPr>
              <w:t>No</w:t>
            </w:r>
            <w:r w:rsidR="00AE05A0" w:rsidRPr="00294018">
              <w:rPr>
                <w:color w:val="000000" w:themeColor="text1"/>
              </w:rPr>
              <w:t>:</w:t>
            </w:r>
            <w:r w:rsidR="00496C77" w:rsidRPr="00294018">
              <w:rPr>
                <w:color w:val="000000" w:themeColor="text1"/>
              </w:rPr>
              <w:t xml:space="preserve"> </w:t>
            </w:r>
            <w:r w:rsidR="00A94539" w:rsidRPr="00294018">
              <w:rPr>
                <w:color w:val="000000" w:themeColor="text1"/>
              </w:rPr>
              <w:t>216</w:t>
            </w:r>
            <w:r w:rsidR="00AE05A0" w:rsidRPr="00294018">
              <w:rPr>
                <w:color w:val="000000" w:themeColor="text1"/>
              </w:rPr>
              <w:t>/BC-CTK</w:t>
            </w:r>
          </w:p>
        </w:tc>
        <w:tc>
          <w:tcPr>
            <w:tcW w:w="6030" w:type="dxa"/>
          </w:tcPr>
          <w:p w14:paraId="0CA3CD5A" w14:textId="2EBDE884" w:rsidR="00AE05A0" w:rsidRPr="00294018" w:rsidRDefault="00FD1375" w:rsidP="00AE05A0">
            <w:pPr>
              <w:jc w:val="center"/>
              <w:rPr>
                <w:b/>
                <w:bCs/>
                <w:color w:val="000000" w:themeColor="text1"/>
                <w:sz w:val="26"/>
                <w:szCs w:val="26"/>
              </w:rPr>
            </w:pPr>
            <w:r w:rsidRPr="00294018">
              <w:rPr>
                <w:b/>
                <w:bCs/>
                <w:color w:val="000000" w:themeColor="text1"/>
                <w:sz w:val="26"/>
                <w:szCs w:val="26"/>
              </w:rPr>
              <w:t>SOCIALIST REPUBLIC OF VIET NAM</w:t>
            </w:r>
          </w:p>
          <w:p w14:paraId="0309B9BC" w14:textId="73292BA7" w:rsidR="00AE05A0" w:rsidRPr="00294018" w:rsidRDefault="00FD1375" w:rsidP="00AE05A0">
            <w:pPr>
              <w:jc w:val="center"/>
              <w:rPr>
                <w:b/>
                <w:bCs/>
                <w:color w:val="000000" w:themeColor="text1"/>
                <w:szCs w:val="24"/>
              </w:rPr>
            </w:pPr>
            <w:r w:rsidRPr="00294018">
              <w:rPr>
                <w:b/>
                <w:bCs/>
                <w:color w:val="000000" w:themeColor="text1"/>
                <w:szCs w:val="24"/>
              </w:rPr>
              <w:t>Independence-Freedom-Happiness</w:t>
            </w:r>
          </w:p>
          <w:p w14:paraId="27271214" w14:textId="77777777" w:rsidR="00AE05A0" w:rsidRPr="00294018" w:rsidRDefault="00AE05A0" w:rsidP="00AE05A0">
            <w:pPr>
              <w:spacing w:line="144" w:lineRule="auto"/>
              <w:jc w:val="center"/>
              <w:rPr>
                <w:bCs/>
                <w:color w:val="000000" w:themeColor="text1"/>
                <w:szCs w:val="24"/>
                <w:vertAlign w:val="superscript"/>
              </w:rPr>
            </w:pPr>
            <w:r w:rsidRPr="00294018">
              <w:rPr>
                <w:bCs/>
                <w:color w:val="000000" w:themeColor="text1"/>
                <w:szCs w:val="24"/>
                <w:vertAlign w:val="superscript"/>
              </w:rPr>
              <w:t>______________________________________</w:t>
            </w:r>
          </w:p>
          <w:p w14:paraId="20ED4643" w14:textId="164F42E1" w:rsidR="00AE05A0" w:rsidRPr="00294018" w:rsidRDefault="00AE05A0" w:rsidP="00FD1375">
            <w:pPr>
              <w:spacing w:before="240" w:line="252" w:lineRule="auto"/>
              <w:ind w:hanging="2"/>
              <w:jc w:val="center"/>
              <w:rPr>
                <w:b/>
                <w:bCs/>
                <w:i/>
                <w:iCs/>
                <w:color w:val="000000" w:themeColor="text1"/>
              </w:rPr>
            </w:pPr>
            <w:r w:rsidRPr="00294018">
              <w:rPr>
                <w:i/>
                <w:iCs/>
                <w:color w:val="000000" w:themeColor="text1"/>
              </w:rPr>
              <w:t>H</w:t>
            </w:r>
            <w:r w:rsidR="00FD1375" w:rsidRPr="00294018">
              <w:rPr>
                <w:i/>
                <w:iCs/>
                <w:color w:val="000000" w:themeColor="text1"/>
              </w:rPr>
              <w:t>a</w:t>
            </w:r>
            <w:r w:rsidRPr="00294018">
              <w:rPr>
                <w:i/>
                <w:iCs/>
                <w:color w:val="000000" w:themeColor="text1"/>
              </w:rPr>
              <w:t xml:space="preserve"> N</w:t>
            </w:r>
            <w:r w:rsidR="00FD1375" w:rsidRPr="00294018">
              <w:rPr>
                <w:i/>
                <w:iCs/>
                <w:color w:val="000000" w:themeColor="text1"/>
              </w:rPr>
              <w:t>o</w:t>
            </w:r>
            <w:r w:rsidRPr="00294018">
              <w:rPr>
                <w:i/>
                <w:iCs/>
                <w:color w:val="000000" w:themeColor="text1"/>
              </w:rPr>
              <w:t xml:space="preserve">i, </w:t>
            </w:r>
            <w:r w:rsidR="00FD1375" w:rsidRPr="00294018">
              <w:rPr>
                <w:i/>
                <w:iCs/>
                <w:color w:val="000000" w:themeColor="text1"/>
              </w:rPr>
              <w:t>June 3</w:t>
            </w:r>
            <w:r w:rsidR="00FD1375" w:rsidRPr="00294018">
              <w:rPr>
                <w:i/>
                <w:iCs/>
                <w:color w:val="000000" w:themeColor="text1"/>
                <w:vertAlign w:val="superscript"/>
              </w:rPr>
              <w:t>rd</w:t>
            </w:r>
            <w:r w:rsidR="00FD1375" w:rsidRPr="00294018">
              <w:rPr>
                <w:i/>
                <w:iCs/>
                <w:color w:val="000000" w:themeColor="text1"/>
              </w:rPr>
              <w:t>, 2026</w:t>
            </w:r>
          </w:p>
        </w:tc>
      </w:tr>
    </w:tbl>
    <w:p w14:paraId="68E81A84" w14:textId="77777777" w:rsidR="002A7012" w:rsidRPr="00294018" w:rsidRDefault="002A7012" w:rsidP="002A7012">
      <w:pPr>
        <w:jc w:val="center"/>
        <w:rPr>
          <w:b/>
          <w:bCs/>
          <w:color w:val="000000" w:themeColor="text1"/>
          <w:sz w:val="24"/>
          <w:szCs w:val="48"/>
        </w:rPr>
      </w:pPr>
    </w:p>
    <w:p w14:paraId="2B4E257A" w14:textId="11B49CB4" w:rsidR="002A7012" w:rsidRPr="00294018" w:rsidRDefault="00145CB7" w:rsidP="002A7012">
      <w:pPr>
        <w:jc w:val="center"/>
        <w:rPr>
          <w:b/>
          <w:bCs/>
          <w:color w:val="000000" w:themeColor="text1"/>
          <w:sz w:val="40"/>
          <w:szCs w:val="40"/>
        </w:rPr>
      </w:pPr>
      <w:r w:rsidRPr="00294018">
        <w:rPr>
          <w:b/>
          <w:bCs/>
          <w:color w:val="000000" w:themeColor="text1"/>
          <w:sz w:val="40"/>
          <w:szCs w:val="40"/>
        </w:rPr>
        <w:t>REPORT</w:t>
      </w:r>
    </w:p>
    <w:p w14:paraId="0D2491BB" w14:textId="77777777" w:rsidR="00145CB7" w:rsidRPr="00294018" w:rsidRDefault="00145CB7" w:rsidP="00145CB7">
      <w:pPr>
        <w:jc w:val="center"/>
        <w:rPr>
          <w:b/>
          <w:bCs/>
          <w:color w:val="000000" w:themeColor="text1"/>
          <w:sz w:val="34"/>
          <w:szCs w:val="34"/>
        </w:rPr>
      </w:pPr>
      <w:r w:rsidRPr="00294018">
        <w:rPr>
          <w:b/>
          <w:bCs/>
          <w:color w:val="000000" w:themeColor="text1"/>
          <w:sz w:val="34"/>
          <w:szCs w:val="34"/>
        </w:rPr>
        <w:t xml:space="preserve">SOCIO-ECONOMIC PERFORMANCE </w:t>
      </w:r>
    </w:p>
    <w:p w14:paraId="700085E5" w14:textId="4EF778D7" w:rsidR="002A7012" w:rsidRPr="00294018" w:rsidRDefault="00145CB7" w:rsidP="00145CB7">
      <w:pPr>
        <w:jc w:val="center"/>
        <w:rPr>
          <w:b/>
          <w:bCs/>
          <w:color w:val="000000" w:themeColor="text1"/>
          <w:sz w:val="34"/>
          <w:szCs w:val="34"/>
        </w:rPr>
      </w:pPr>
      <w:r w:rsidRPr="00294018">
        <w:rPr>
          <w:b/>
          <w:bCs/>
          <w:color w:val="000000" w:themeColor="text1"/>
          <w:sz w:val="34"/>
          <w:szCs w:val="34"/>
        </w:rPr>
        <w:t>IN MAY AND FIVE MONTHS OF 2026</w:t>
      </w:r>
    </w:p>
    <w:p w14:paraId="5F1D9475" w14:textId="77777777" w:rsidR="002A7012" w:rsidRPr="00294018" w:rsidRDefault="002A7012" w:rsidP="002A7012">
      <w:pPr>
        <w:spacing w:before="20"/>
        <w:jc w:val="center"/>
        <w:rPr>
          <w:rFonts w:ascii="Arial" w:hAnsi="Arial" w:cs="Arial"/>
          <w:b/>
          <w:bCs/>
          <w:color w:val="000000" w:themeColor="text1"/>
          <w:sz w:val="38"/>
          <w:szCs w:val="52"/>
        </w:rPr>
      </w:pPr>
      <w:r w:rsidRPr="00294018">
        <w:rPr>
          <w:rFonts w:ascii="Arial" w:hAnsi="Arial" w:cs="Arial"/>
          <w:b/>
          <w:bCs/>
          <w:noProof/>
          <w:color w:val="000000" w:themeColor="text1"/>
          <w:sz w:val="50"/>
          <w:szCs w:val="52"/>
        </w:rPr>
        <mc:AlternateContent>
          <mc:Choice Requires="wps">
            <w:drawing>
              <wp:anchor distT="0" distB="0" distL="114300" distR="114300" simplePos="0" relativeHeight="251664384" behindDoc="0" locked="0" layoutInCell="1" allowOverlap="1" wp14:anchorId="2107B36E" wp14:editId="3F7B5A07">
                <wp:simplePos x="0" y="0"/>
                <wp:positionH relativeFrom="column">
                  <wp:posOffset>2136140</wp:posOffset>
                </wp:positionH>
                <wp:positionV relativeFrom="paragraph">
                  <wp:posOffset>26035</wp:posOffset>
                </wp:positionV>
                <wp:extent cx="1412875" cy="0"/>
                <wp:effectExtent l="10160" t="6985" r="5715" b="1206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AF00FC"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5Pa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UR7KMxhXgFWltjYkSI/q1Txr+t0hpauOqJZH47eTAd8seCTvXMLFGQiyG75oBjYE8GOt&#10;jo3tAyRUAR1jS063lvCjRxQeszybzB+m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"/>
            </w:pict>
          </mc:Fallback>
        </mc:AlternateContent>
      </w:r>
    </w:p>
    <w:p w14:paraId="30E8D0EA" w14:textId="0E57B81A" w:rsidR="009379C9" w:rsidRPr="00294018" w:rsidRDefault="009379C9" w:rsidP="00B901E7">
      <w:pPr>
        <w:spacing w:after="120" w:line="259" w:lineRule="auto"/>
        <w:ind w:firstLine="720"/>
        <w:jc w:val="both"/>
        <w:rPr>
          <w:b/>
          <w:bCs/>
          <w:color w:val="000000" w:themeColor="text1"/>
        </w:rPr>
      </w:pPr>
      <w:r w:rsidRPr="00294018">
        <w:rPr>
          <w:b/>
          <w:bCs/>
          <w:color w:val="000000" w:themeColor="text1"/>
        </w:rPr>
        <w:t xml:space="preserve">1. </w:t>
      </w:r>
      <w:r w:rsidR="00D56C40" w:rsidRPr="00294018">
        <w:rPr>
          <w:b/>
          <w:bCs/>
          <w:color w:val="000000" w:themeColor="text1"/>
        </w:rPr>
        <w:t xml:space="preserve">1. </w:t>
      </w:r>
      <w:r w:rsidR="00145CB7" w:rsidRPr="00294018">
        <w:rPr>
          <w:b/>
          <w:bCs/>
          <w:color w:val="000000" w:themeColor="text1"/>
        </w:rPr>
        <w:t>Agriculture, forestry, and fishing</w:t>
      </w:r>
    </w:p>
    <w:p w14:paraId="0AAFA5C1" w14:textId="0D0A20D6" w:rsidR="00145CB7" w:rsidRPr="00294018" w:rsidRDefault="00D56C40" w:rsidP="00145CB7">
      <w:pPr>
        <w:spacing w:after="120" w:line="259" w:lineRule="auto"/>
        <w:ind w:firstLine="720"/>
        <w:jc w:val="both"/>
        <w:rPr>
          <w:i/>
          <w:iCs/>
          <w:color w:val="000000" w:themeColor="text1"/>
          <w:spacing w:val="2"/>
        </w:rPr>
      </w:pPr>
      <w:r w:rsidRPr="00294018">
        <w:rPr>
          <w:i/>
          <w:iCs/>
          <w:color w:val="000000" w:themeColor="text1"/>
          <w:spacing w:val="2"/>
        </w:rPr>
        <w:t xml:space="preserve">Agricultural production in May focused primarily on harvesting spring rice and other crops nationwide, alongside cultivating autumn rice across </w:t>
      </w:r>
      <w:r w:rsidR="00D17C47">
        <w:rPr>
          <w:i/>
          <w:iCs/>
          <w:color w:val="000000" w:themeColor="text1"/>
          <w:spacing w:val="2"/>
        </w:rPr>
        <w:t xml:space="preserve">the </w:t>
      </w:r>
      <w:r w:rsidRPr="00294018">
        <w:rPr>
          <w:i/>
          <w:iCs/>
          <w:color w:val="000000" w:themeColor="text1"/>
          <w:spacing w:val="2"/>
        </w:rPr>
        <w:t xml:space="preserve">southern localities. Pig and poultry </w:t>
      </w:r>
      <w:r w:rsidR="00145CB7" w:rsidRPr="00294018">
        <w:rPr>
          <w:i/>
          <w:iCs/>
          <w:color w:val="000000" w:themeColor="text1"/>
          <w:spacing w:val="2"/>
        </w:rPr>
        <w:t>farming</w:t>
      </w:r>
      <w:r w:rsidRPr="00294018">
        <w:rPr>
          <w:i/>
          <w:iCs/>
          <w:color w:val="000000" w:themeColor="text1"/>
          <w:spacing w:val="2"/>
        </w:rPr>
        <w:t xml:space="preserve"> developed progressively toward farm-based and bio-secure production models. Wood production posted an upward trend driven by rising timber market prices; conversely, the area of newly planted forests contracted due to the reduction of available land for reforestation following</w:t>
      </w:r>
      <w:r w:rsidR="00D17C47">
        <w:rPr>
          <w:i/>
          <w:iCs/>
          <w:color w:val="000000" w:themeColor="text1"/>
          <w:spacing w:val="2"/>
        </w:rPr>
        <w:t xml:space="preserve"> the</w:t>
      </w:r>
      <w:r w:rsidRPr="00294018">
        <w:rPr>
          <w:i/>
          <w:iCs/>
          <w:color w:val="000000" w:themeColor="text1"/>
          <w:spacing w:val="2"/>
        </w:rPr>
        <w:t xml:space="preserve"> Typhoon Yagi in 2024, while forest fire prevention and protection tasks were strictly maintained. Aquaculture and shrimp production expanded significantly, supported by favorable marine capture fisheries conditions as the southern fishing season gathered momentum.</w:t>
      </w:r>
    </w:p>
    <w:p w14:paraId="0F76A533" w14:textId="77777777" w:rsidR="00145CB7" w:rsidRPr="00294018" w:rsidRDefault="00145CB7" w:rsidP="00145CB7">
      <w:pPr>
        <w:tabs>
          <w:tab w:val="left" w:pos="360"/>
          <w:tab w:val="left" w:pos="1134"/>
        </w:tabs>
        <w:spacing w:after="120" w:line="264" w:lineRule="auto"/>
        <w:ind w:firstLine="720"/>
        <w:jc w:val="both"/>
        <w:rPr>
          <w:b/>
          <w:bCs/>
          <w:i/>
          <w:iCs/>
        </w:rPr>
      </w:pPr>
      <w:r w:rsidRPr="00294018">
        <w:rPr>
          <w:b/>
          <w:bCs/>
          <w:i/>
          <w:iCs/>
        </w:rPr>
        <w:t xml:space="preserve">a) Agriculture </w:t>
      </w:r>
    </w:p>
    <w:p w14:paraId="55AC3EF6" w14:textId="77777777" w:rsidR="00145CB7" w:rsidRPr="00294018" w:rsidRDefault="00145CB7" w:rsidP="00145CB7">
      <w:pPr>
        <w:pStyle w:val="FootnoteText"/>
        <w:spacing w:after="120" w:line="264" w:lineRule="auto"/>
        <w:ind w:firstLine="720"/>
        <w:jc w:val="both"/>
        <w:rPr>
          <w:i/>
          <w:sz w:val="28"/>
          <w:szCs w:val="28"/>
          <w:lang w:val="en-US"/>
        </w:rPr>
      </w:pPr>
      <w:r w:rsidRPr="00294018">
        <w:rPr>
          <w:i/>
          <w:sz w:val="28"/>
          <w:szCs w:val="28"/>
          <w:lang w:val="en-US"/>
        </w:rPr>
        <w:t>Spring rice</w:t>
      </w:r>
    </w:p>
    <w:p w14:paraId="77F8B3A3" w14:textId="672D01F5" w:rsidR="00603798" w:rsidRPr="00294018" w:rsidRDefault="00603798" w:rsidP="00603798">
      <w:pPr>
        <w:pStyle w:val="FootnoteText"/>
        <w:spacing w:after="120" w:line="264" w:lineRule="auto"/>
        <w:ind w:firstLine="720"/>
        <w:jc w:val="both"/>
        <w:rPr>
          <w:sz w:val="28"/>
          <w:szCs w:val="28"/>
          <w:lang w:val="en-US"/>
        </w:rPr>
      </w:pPr>
      <w:r w:rsidRPr="00294018">
        <w:rPr>
          <w:sz w:val="28"/>
          <w:szCs w:val="28"/>
          <w:lang w:val="en-US"/>
        </w:rPr>
        <w:t xml:space="preserve">In 2026, the national cultivation area of spring rice reached 2,932.2 thousand hectares, representing a year-on-year decrease of 37.5 thousand hectares. This reduction stemmed from localities converting low-efficiency rice </w:t>
      </w:r>
      <w:r w:rsidR="00145CB7" w:rsidRPr="00294018">
        <w:rPr>
          <w:sz w:val="28"/>
          <w:szCs w:val="28"/>
          <w:lang w:val="en-US"/>
        </w:rPr>
        <w:t>land</w:t>
      </w:r>
      <w:r w:rsidRPr="00294018">
        <w:rPr>
          <w:sz w:val="28"/>
          <w:szCs w:val="28"/>
          <w:lang w:val="en-US"/>
        </w:rPr>
        <w:t xml:space="preserve"> to other crops and livestock options yielding higher economic value, or reallocating acreage to non-agricultural uses (including public infrastructure works, industrial zones, commercial </w:t>
      </w:r>
      <w:r w:rsidR="00145CB7" w:rsidRPr="00294018">
        <w:rPr>
          <w:sz w:val="28"/>
          <w:szCs w:val="28"/>
          <w:lang w:val="en-US"/>
        </w:rPr>
        <w:t>and</w:t>
      </w:r>
      <w:r w:rsidRPr="00294018">
        <w:rPr>
          <w:sz w:val="28"/>
          <w:szCs w:val="28"/>
          <w:lang w:val="en-US"/>
        </w:rPr>
        <w:t xml:space="preserve"> service land</w:t>
      </w:r>
      <w:r w:rsidR="00145CB7" w:rsidRPr="00294018">
        <w:rPr>
          <w:sz w:val="28"/>
          <w:szCs w:val="28"/>
          <w:lang w:val="en-US"/>
        </w:rPr>
        <w:t>, etc.)</w:t>
      </w:r>
      <w:r w:rsidRPr="00294018">
        <w:rPr>
          <w:sz w:val="28"/>
          <w:szCs w:val="28"/>
          <w:lang w:val="en-US"/>
        </w:rPr>
        <w:t xml:space="preserve">. </w:t>
      </w:r>
      <w:r w:rsidR="00F275ED">
        <w:rPr>
          <w:sz w:val="28"/>
          <w:szCs w:val="28"/>
          <w:lang w:val="en-US"/>
        </w:rPr>
        <w:t xml:space="preserve">The </w:t>
      </w:r>
      <w:r w:rsidRPr="00294018">
        <w:rPr>
          <w:sz w:val="28"/>
          <w:szCs w:val="28"/>
          <w:lang w:val="en-US"/>
        </w:rPr>
        <w:t xml:space="preserve">Northern localities cultivated 1,036.3 thousand hectares, posting a year-on-year decline of 14.1 thousand hectares, while </w:t>
      </w:r>
      <w:r w:rsidR="00F275ED">
        <w:rPr>
          <w:sz w:val="28"/>
          <w:szCs w:val="28"/>
          <w:lang w:val="en-US"/>
        </w:rPr>
        <w:t xml:space="preserve">the </w:t>
      </w:r>
      <w:r w:rsidRPr="00294018">
        <w:rPr>
          <w:sz w:val="28"/>
          <w:szCs w:val="28"/>
          <w:lang w:val="en-US"/>
        </w:rPr>
        <w:t xml:space="preserve">Southern localities cultivated 1,895.9 thousand hectares, registering a drop of 23.5 thousand hectares. Within the southern region, the Mekong River Delta reached 1,251.0 thousand hectares, down 14.4 thousand hectares over the same period last year. </w:t>
      </w:r>
    </w:p>
    <w:p w14:paraId="0FE32E50" w14:textId="3C621E4B" w:rsidR="00145CB7" w:rsidRPr="00294018" w:rsidRDefault="00603798" w:rsidP="00603798">
      <w:pPr>
        <w:pStyle w:val="FootnoteText"/>
        <w:spacing w:after="120" w:line="264" w:lineRule="auto"/>
        <w:ind w:firstLine="720"/>
        <w:jc w:val="both"/>
        <w:rPr>
          <w:sz w:val="28"/>
          <w:szCs w:val="28"/>
          <w:lang w:val="en-US"/>
        </w:rPr>
      </w:pPr>
      <w:r w:rsidRPr="00294018">
        <w:rPr>
          <w:sz w:val="28"/>
          <w:szCs w:val="28"/>
          <w:lang w:val="en-US"/>
        </w:rPr>
        <w:t>As of May 20</w:t>
      </w:r>
      <w:r w:rsidRPr="00294018">
        <w:rPr>
          <w:sz w:val="28"/>
          <w:lang w:val="en-US"/>
        </w:rPr>
        <w:t>th</w:t>
      </w:r>
      <w:r w:rsidRPr="00294018">
        <w:rPr>
          <w:sz w:val="28"/>
          <w:szCs w:val="28"/>
          <w:lang w:val="en-US"/>
        </w:rPr>
        <w:t xml:space="preserve">, 2026, the harvested area of spring rice nationwide reached 2,218.6 thousand hectares, constituting 75.7% of the total </w:t>
      </w:r>
      <w:r w:rsidR="00650E87" w:rsidRPr="00294018">
        <w:rPr>
          <w:sz w:val="28"/>
          <w:szCs w:val="28"/>
          <w:lang w:val="en-US"/>
        </w:rPr>
        <w:t xml:space="preserve">planted </w:t>
      </w:r>
      <w:r w:rsidRPr="00294018">
        <w:rPr>
          <w:sz w:val="28"/>
          <w:szCs w:val="28"/>
          <w:lang w:val="en-US"/>
        </w:rPr>
        <w:t xml:space="preserve">area, matching the level recorded in the same period of 2025. Of this total, </w:t>
      </w:r>
      <w:r w:rsidR="00F275ED">
        <w:rPr>
          <w:sz w:val="28"/>
          <w:szCs w:val="28"/>
          <w:lang w:val="en-US"/>
        </w:rPr>
        <w:t xml:space="preserve">the </w:t>
      </w:r>
      <w:r w:rsidRPr="00294018">
        <w:rPr>
          <w:sz w:val="28"/>
          <w:szCs w:val="28"/>
          <w:lang w:val="en-US"/>
        </w:rPr>
        <w:t xml:space="preserve">northern localities harvested 362.0 thousand hectares, representing 34.9% of their </w:t>
      </w:r>
      <w:r w:rsidR="00650E87" w:rsidRPr="00294018">
        <w:rPr>
          <w:sz w:val="28"/>
          <w:szCs w:val="28"/>
          <w:lang w:val="en-US"/>
        </w:rPr>
        <w:t>planted</w:t>
      </w:r>
      <w:r w:rsidRPr="00294018">
        <w:rPr>
          <w:sz w:val="28"/>
          <w:szCs w:val="28"/>
          <w:lang w:val="en-US"/>
        </w:rPr>
        <w:t xml:space="preserve"> area, equivalent to 108.1% of the figure from the corresponding period last year; this acceleration aimed to mitigate adverse weather impacts, specifically the risks of </w:t>
      </w:r>
      <w:r w:rsidRPr="00294018">
        <w:rPr>
          <w:sz w:val="28"/>
          <w:szCs w:val="28"/>
          <w:lang w:val="en-US"/>
        </w:rPr>
        <w:lastRenderedPageBreak/>
        <w:t xml:space="preserve">heavy rain, thunderstorms, and pest infestations induced by alternating sunny and rainy conditions. </w:t>
      </w:r>
      <w:r w:rsidR="00F275ED">
        <w:rPr>
          <w:sz w:val="28"/>
          <w:szCs w:val="28"/>
          <w:lang w:val="en-US"/>
        </w:rPr>
        <w:t xml:space="preserve">The </w:t>
      </w:r>
      <w:r w:rsidRPr="00294018">
        <w:rPr>
          <w:sz w:val="28"/>
          <w:szCs w:val="28"/>
          <w:lang w:val="en-US"/>
        </w:rPr>
        <w:t xml:space="preserve">Southern localities harvested 1,856.6 thousand hectares, making up 97.9% of their </w:t>
      </w:r>
      <w:r w:rsidR="00650E87" w:rsidRPr="00294018">
        <w:rPr>
          <w:sz w:val="28"/>
          <w:szCs w:val="28"/>
          <w:lang w:val="en-US"/>
        </w:rPr>
        <w:t>planted</w:t>
      </w:r>
      <w:r w:rsidRPr="00294018">
        <w:rPr>
          <w:sz w:val="28"/>
          <w:szCs w:val="28"/>
          <w:lang w:val="en-US"/>
        </w:rPr>
        <w:t xml:space="preserve"> area, or 98.6% of the prior year's level. The Mekong River Delta essentially concluded its harvest with 1,247.3 thousand hectares, reflecting a year-on-year drop of 18.1 thousand hectares. The yield was estimated at 74.0 quintals/hectare, posting a year-on-year increase of 1.2 quintals/hectare, while total production reached an estimated 9.23 million tons, recording an expansion of 11.7 thousand tons.</w:t>
      </w:r>
    </w:p>
    <w:p w14:paraId="19747574" w14:textId="77777777" w:rsidR="00145CB7" w:rsidRPr="00294018" w:rsidRDefault="00145CB7" w:rsidP="00145CB7">
      <w:pPr>
        <w:pStyle w:val="FootnoteText"/>
        <w:spacing w:after="120" w:line="264" w:lineRule="auto"/>
        <w:ind w:firstLine="720"/>
        <w:jc w:val="both"/>
        <w:rPr>
          <w:i/>
          <w:sz w:val="28"/>
          <w:szCs w:val="28"/>
          <w:lang w:val="en-US"/>
        </w:rPr>
      </w:pPr>
      <w:r w:rsidRPr="00294018">
        <w:rPr>
          <w:i/>
          <w:sz w:val="28"/>
          <w:szCs w:val="28"/>
          <w:lang w:val="en-US"/>
        </w:rPr>
        <w:t>Summer rice</w:t>
      </w:r>
    </w:p>
    <w:p w14:paraId="602812C0" w14:textId="7B59416A" w:rsidR="00603798" w:rsidRPr="00294018" w:rsidRDefault="00603798" w:rsidP="00603798">
      <w:pPr>
        <w:pStyle w:val="FootnoteText"/>
        <w:spacing w:after="120" w:line="264" w:lineRule="auto"/>
        <w:ind w:firstLine="720"/>
        <w:jc w:val="both"/>
        <w:rPr>
          <w:sz w:val="28"/>
          <w:szCs w:val="28"/>
          <w:lang w:val="en-US"/>
        </w:rPr>
      </w:pPr>
      <w:r w:rsidRPr="00294018">
        <w:rPr>
          <w:sz w:val="28"/>
          <w:szCs w:val="28"/>
          <w:lang w:val="en-US"/>
        </w:rPr>
        <w:t>As of May 20</w:t>
      </w:r>
      <w:r w:rsidRPr="00294018">
        <w:rPr>
          <w:sz w:val="28"/>
          <w:lang w:val="en-US"/>
        </w:rPr>
        <w:t>th</w:t>
      </w:r>
      <w:r w:rsidRPr="00294018">
        <w:rPr>
          <w:sz w:val="28"/>
          <w:szCs w:val="28"/>
          <w:lang w:val="en-US"/>
        </w:rPr>
        <w:t xml:space="preserve">, 2026, concurrently with the spring rice harvest, </w:t>
      </w:r>
      <w:r w:rsidR="00F275ED">
        <w:rPr>
          <w:sz w:val="28"/>
          <w:szCs w:val="28"/>
          <w:lang w:val="en-US"/>
        </w:rPr>
        <w:t xml:space="preserve">the </w:t>
      </w:r>
      <w:r w:rsidRPr="00294018">
        <w:rPr>
          <w:sz w:val="28"/>
          <w:szCs w:val="28"/>
          <w:lang w:val="en-US"/>
        </w:rPr>
        <w:t xml:space="preserve">southern localities had sown 826.0 thousand hectares of summer rice, equivalent to 78.7% of the cultivation level from the same period last year. Within this region, the Mekong River Delta accounted for 678.0 thousand hectares, matching 75.0% of the previous year's progress. The pace of summer rice sowing remained slower than the corresponding period last year, primarily due to the extended spring rice harvesting window in the South. Additionally, prolonged localized heatwaves, combined with high fertilizer and pesticide prices, weighed on farming sentiment and input investments. Several localities registered slower cultivation progress, including Dong Thap at 156.2 thousand hectares (equivalent to 76.6% of the same period last year), An Giang at 334.0 thousand hectares (matching 76.2%), and Vinh Long at 28.0 thousand hectares (constituting 80.1%). </w:t>
      </w:r>
    </w:p>
    <w:p w14:paraId="2D9F4178" w14:textId="048DC765" w:rsidR="00145CB7" w:rsidRPr="00294018" w:rsidRDefault="00603798" w:rsidP="00603798">
      <w:pPr>
        <w:pStyle w:val="FootnoteText"/>
        <w:spacing w:after="120" w:line="264" w:lineRule="auto"/>
        <w:ind w:firstLine="720"/>
        <w:jc w:val="both"/>
        <w:rPr>
          <w:sz w:val="28"/>
          <w:szCs w:val="28"/>
          <w:lang w:val="en-US"/>
        </w:rPr>
      </w:pPr>
      <w:r w:rsidRPr="00294018">
        <w:rPr>
          <w:sz w:val="28"/>
          <w:szCs w:val="28"/>
          <w:lang w:val="en-US"/>
        </w:rPr>
        <w:t xml:space="preserve">In response to adverse summer weather conditions and localized drought </w:t>
      </w:r>
      <w:r w:rsidR="003A530D" w:rsidRPr="00294018">
        <w:rPr>
          <w:sz w:val="28"/>
          <w:szCs w:val="28"/>
          <w:lang w:val="en-US"/>
        </w:rPr>
        <w:t xml:space="preserve">risks, local </w:t>
      </w:r>
      <w:r w:rsidRPr="00294018">
        <w:rPr>
          <w:sz w:val="28"/>
          <w:szCs w:val="28"/>
          <w:lang w:val="en-US"/>
        </w:rPr>
        <w:t>authorities recommended that farmers synchronize sowing schedules to avoid pest peaks, implement water-saving irrigation techniques, and apply balanced fertilizer regimes</w:t>
      </w:r>
      <w:r w:rsidR="003A530D" w:rsidRPr="00294018">
        <w:rPr>
          <w:sz w:val="28"/>
          <w:szCs w:val="28"/>
          <w:lang w:val="en-US"/>
        </w:rPr>
        <w:t>-</w:t>
      </w:r>
      <w:r w:rsidRPr="00294018">
        <w:rPr>
          <w:sz w:val="28"/>
          <w:szCs w:val="28"/>
          <w:lang w:val="en-US"/>
        </w:rPr>
        <w:t>specifically reducing nitrogen inputs while increasing phosphorus, potassium, organic manure, and bio-fertilizers to optimize the growth and structural resilience of rice plants.</w:t>
      </w:r>
    </w:p>
    <w:p w14:paraId="519F64A5" w14:textId="77777777" w:rsidR="00145CB7" w:rsidRPr="00294018" w:rsidRDefault="00145CB7" w:rsidP="00145CB7">
      <w:pPr>
        <w:pStyle w:val="FootnoteText"/>
        <w:spacing w:after="120" w:line="264" w:lineRule="auto"/>
        <w:ind w:firstLine="720"/>
        <w:jc w:val="both"/>
        <w:rPr>
          <w:i/>
          <w:sz w:val="28"/>
          <w:szCs w:val="28"/>
          <w:lang w:val="en-US"/>
        </w:rPr>
      </w:pPr>
      <w:r w:rsidRPr="00294018">
        <w:rPr>
          <w:i/>
          <w:sz w:val="28"/>
          <w:szCs w:val="28"/>
          <w:lang w:val="en-US"/>
        </w:rPr>
        <w:t>Annual crops</w:t>
      </w:r>
    </w:p>
    <w:p w14:paraId="6AE4F5CA" w14:textId="6CC85A16" w:rsidR="00145CB7" w:rsidRPr="00294018" w:rsidRDefault="000B1456" w:rsidP="00145CB7">
      <w:pPr>
        <w:pStyle w:val="FootnoteText"/>
        <w:spacing w:after="120" w:line="264" w:lineRule="auto"/>
        <w:ind w:firstLine="720"/>
        <w:jc w:val="both"/>
        <w:rPr>
          <w:sz w:val="28"/>
          <w:szCs w:val="28"/>
          <w:lang w:val="en-US"/>
        </w:rPr>
      </w:pPr>
      <w:r w:rsidRPr="00294018">
        <w:rPr>
          <w:sz w:val="28"/>
          <w:szCs w:val="28"/>
          <w:lang w:val="en-US"/>
        </w:rPr>
        <w:t xml:space="preserve">Parallel to rice cultivation, localities nationwide engaged in </w:t>
      </w:r>
      <w:r w:rsidR="00561B18" w:rsidRPr="00294018">
        <w:rPr>
          <w:sz w:val="28"/>
          <w:szCs w:val="28"/>
          <w:lang w:val="en-US"/>
        </w:rPr>
        <w:t>cultivating</w:t>
      </w:r>
      <w:r w:rsidRPr="00294018">
        <w:rPr>
          <w:sz w:val="28"/>
          <w:szCs w:val="28"/>
          <w:lang w:val="en-US"/>
        </w:rPr>
        <w:t xml:space="preserve"> other annual crops. Among these, the </w:t>
      </w:r>
      <w:r w:rsidR="00561B18" w:rsidRPr="00294018">
        <w:rPr>
          <w:sz w:val="28"/>
          <w:szCs w:val="28"/>
          <w:lang w:val="en-US"/>
        </w:rPr>
        <w:t xml:space="preserve">planted </w:t>
      </w:r>
      <w:r w:rsidRPr="00294018">
        <w:rPr>
          <w:sz w:val="28"/>
          <w:szCs w:val="28"/>
          <w:lang w:val="en-US"/>
        </w:rPr>
        <w:t xml:space="preserve">areas for maize, peanuts, and vegetables registered year-on-year declines due to suppressed economic </w:t>
      </w:r>
      <w:r w:rsidR="00145CB7" w:rsidRPr="00294018">
        <w:rPr>
          <w:sz w:val="28"/>
          <w:szCs w:val="28"/>
          <w:lang w:val="en-US"/>
        </w:rPr>
        <w:t>efficiency</w:t>
      </w:r>
      <w:r w:rsidRPr="00294018">
        <w:rPr>
          <w:sz w:val="28"/>
          <w:szCs w:val="28"/>
          <w:lang w:val="en-US"/>
        </w:rPr>
        <w:t>.</w:t>
      </w:r>
    </w:p>
    <w:p w14:paraId="6CB63D24" w14:textId="77777777" w:rsidR="00145CB7" w:rsidRPr="00294018" w:rsidRDefault="00145CB7" w:rsidP="00145CB7">
      <w:pPr>
        <w:pStyle w:val="Normal2"/>
        <w:spacing w:before="60" w:beforeAutospacing="0" w:after="60" w:afterAutospacing="0" w:line="271" w:lineRule="auto"/>
        <w:jc w:val="center"/>
        <w:rPr>
          <w:rFonts w:ascii="Arial" w:hAnsi="Arial" w:cs="Arial"/>
          <w:b/>
        </w:rPr>
      </w:pPr>
      <w:r w:rsidRPr="00294018">
        <w:rPr>
          <w:rFonts w:ascii="Arial" w:hAnsi="Arial" w:cs="Arial"/>
          <w:b/>
        </w:rPr>
        <w:t>Figure 1. Cultivation of annual crops</w:t>
      </w:r>
    </w:p>
    <w:p w14:paraId="26548A89" w14:textId="013587EF" w:rsidR="00145CB7" w:rsidRPr="00294018" w:rsidRDefault="000B1456" w:rsidP="00145CB7">
      <w:pPr>
        <w:pStyle w:val="Normal2"/>
        <w:spacing w:before="60" w:beforeAutospacing="0" w:after="60" w:afterAutospacing="0" w:line="271" w:lineRule="auto"/>
        <w:jc w:val="center"/>
        <w:rPr>
          <w:rFonts w:ascii="Arial" w:hAnsi="Arial" w:cs="Arial"/>
          <w:b/>
        </w:rPr>
      </w:pPr>
      <w:r w:rsidRPr="00294018">
        <w:rPr>
          <w:rFonts w:ascii="Arial" w:hAnsi="Arial" w:cs="Arial"/>
          <w:bCs/>
          <w:i/>
          <w:iCs/>
          <w:color w:val="000000" w:themeColor="text1"/>
        </w:rPr>
        <w:lastRenderedPageBreak/>
        <w:t>(</w:t>
      </w:r>
      <w:r w:rsidR="00145CB7" w:rsidRPr="00294018">
        <w:rPr>
          <w:rFonts w:ascii="Arial" w:hAnsi="Arial" w:cs="Arial"/>
          <w:bCs/>
          <w:i/>
          <w:iCs/>
          <w:color w:val="000000" w:themeColor="text1"/>
        </w:rPr>
        <w:t>As of May 20th 2026)</w:t>
      </w:r>
      <w:r w:rsidR="00145CB7" w:rsidRPr="00294018">
        <w:t xml:space="preserve"> </w:t>
      </w:r>
      <w:r w:rsidR="00145CB7" w:rsidRPr="00294018">
        <w:rPr>
          <w:noProof/>
        </w:rPr>
        <w:drawing>
          <wp:inline distT="0" distB="0" distL="0" distR="0" wp14:anchorId="1CEF0E3E" wp14:editId="1A021966">
            <wp:extent cx="5298415" cy="2081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5592" cy="2159299"/>
                    </a:xfrm>
                    <a:prstGeom prst="rect">
                      <a:avLst/>
                    </a:prstGeom>
                    <a:noFill/>
                    <a:ln>
                      <a:noFill/>
                    </a:ln>
                  </pic:spPr>
                </pic:pic>
              </a:graphicData>
            </a:graphic>
          </wp:inline>
        </w:drawing>
      </w:r>
      <w:r w:rsidR="00145CB7" w:rsidRPr="00294018">
        <w:rPr>
          <w:rFonts w:ascii="Arial" w:hAnsi="Arial" w:cs="Arial"/>
          <w:b/>
        </w:rPr>
        <w:t xml:space="preserve"> </w:t>
      </w:r>
    </w:p>
    <w:p w14:paraId="613D9CBE" w14:textId="77777777" w:rsidR="00145CB7" w:rsidRPr="00294018" w:rsidRDefault="00145CB7" w:rsidP="00145CB7">
      <w:pPr>
        <w:pStyle w:val="FootnoteText"/>
        <w:spacing w:after="120" w:line="264" w:lineRule="auto"/>
        <w:ind w:firstLine="720"/>
        <w:jc w:val="both"/>
        <w:rPr>
          <w:i/>
          <w:sz w:val="28"/>
          <w:szCs w:val="28"/>
          <w:lang w:val="en-US"/>
        </w:rPr>
      </w:pPr>
      <w:r w:rsidRPr="00294018">
        <w:rPr>
          <w:i/>
          <w:sz w:val="28"/>
          <w:szCs w:val="28"/>
          <w:lang w:val="en-US"/>
        </w:rPr>
        <w:t>Livestock</w:t>
      </w:r>
    </w:p>
    <w:p w14:paraId="13B302C3" w14:textId="72EF7203" w:rsidR="00145CB7" w:rsidRPr="00294018" w:rsidRDefault="00862498" w:rsidP="00145CB7">
      <w:pPr>
        <w:pStyle w:val="FootnoteText"/>
        <w:spacing w:after="120" w:line="264" w:lineRule="auto"/>
        <w:ind w:firstLine="720"/>
        <w:jc w:val="both"/>
        <w:rPr>
          <w:sz w:val="28"/>
          <w:szCs w:val="28"/>
          <w:lang w:val="en-US"/>
        </w:rPr>
      </w:pPr>
      <w:r w:rsidRPr="00294018">
        <w:rPr>
          <w:sz w:val="28"/>
          <w:szCs w:val="28"/>
          <w:lang w:val="en-US"/>
        </w:rPr>
        <w:t xml:space="preserve">Cattle and buffalo </w:t>
      </w:r>
      <w:r w:rsidR="00C1173C" w:rsidRPr="00294018">
        <w:rPr>
          <w:sz w:val="28"/>
          <w:szCs w:val="28"/>
          <w:lang w:val="en-US"/>
        </w:rPr>
        <w:t>farming recorded</w:t>
      </w:r>
      <w:r w:rsidRPr="00294018">
        <w:rPr>
          <w:sz w:val="28"/>
          <w:szCs w:val="28"/>
          <w:lang w:val="en-US"/>
        </w:rPr>
        <w:t xml:space="preserve"> a downward trend across various localities, constrained by low economic </w:t>
      </w:r>
      <w:r w:rsidR="00145CB7" w:rsidRPr="00294018">
        <w:rPr>
          <w:sz w:val="28"/>
          <w:szCs w:val="28"/>
          <w:lang w:val="en-US"/>
        </w:rPr>
        <w:t xml:space="preserve">efficiency, </w:t>
      </w:r>
      <w:r w:rsidRPr="00294018">
        <w:rPr>
          <w:sz w:val="28"/>
          <w:szCs w:val="28"/>
          <w:lang w:val="en-US"/>
        </w:rPr>
        <w:t xml:space="preserve">contracting natural grazing acreages, depleted green fodder sources, and elevated animal feed prices. Certain provinces registered sharp contractions in buffalo </w:t>
      </w:r>
      <w:r w:rsidR="00145CB7" w:rsidRPr="00294018">
        <w:rPr>
          <w:sz w:val="28"/>
          <w:szCs w:val="28"/>
          <w:lang w:val="en-US"/>
        </w:rPr>
        <w:t>number</w:t>
      </w:r>
      <w:r w:rsidRPr="00294018">
        <w:rPr>
          <w:sz w:val="28"/>
          <w:szCs w:val="28"/>
          <w:lang w:val="en-US"/>
        </w:rPr>
        <w:t xml:space="preserve">, led by Phu Tho with a year-on-year decline of 8.6%, followed by Cao Bang (-7.8%), Son La (-3.6%), Tuyen Quang (-3.0%), and Lao Cai (-2.1%). Cattle </w:t>
      </w:r>
      <w:r w:rsidR="00145CB7" w:rsidRPr="00294018">
        <w:rPr>
          <w:sz w:val="28"/>
          <w:szCs w:val="28"/>
          <w:lang w:val="en-US"/>
        </w:rPr>
        <w:t xml:space="preserve">number </w:t>
      </w:r>
      <w:r w:rsidRPr="00294018">
        <w:rPr>
          <w:sz w:val="28"/>
          <w:szCs w:val="28"/>
          <w:lang w:val="en-US"/>
        </w:rPr>
        <w:t>similarly recorded drops in specific areas, with Phu Tho posting a year-on-year decrease of 4.9%, while Son La and Quang Tri both fell by 2.4%.</w:t>
      </w:r>
    </w:p>
    <w:p w14:paraId="557DAF3B" w14:textId="51FC9248" w:rsidR="00145CB7" w:rsidRPr="00294018" w:rsidRDefault="00862498" w:rsidP="00145CB7">
      <w:pPr>
        <w:pStyle w:val="FootnoteText"/>
        <w:spacing w:after="120" w:line="264" w:lineRule="auto"/>
        <w:ind w:firstLine="720"/>
        <w:jc w:val="both"/>
        <w:rPr>
          <w:sz w:val="28"/>
          <w:szCs w:val="28"/>
          <w:lang w:val="en-US"/>
        </w:rPr>
      </w:pPr>
      <w:r w:rsidRPr="00294018">
        <w:rPr>
          <w:sz w:val="28"/>
          <w:szCs w:val="28"/>
          <w:lang w:val="en-US"/>
        </w:rPr>
        <w:t>Conversely, pig farming maintained positive growth momentum as major diseases remained effectively controlled and live-weight farm-gate prices stayed highly favorable</w:t>
      </w:r>
      <w:r w:rsidR="00145CB7" w:rsidRPr="00294018">
        <w:rPr>
          <w:rStyle w:val="FootnoteReference"/>
          <w:color w:val="000000" w:themeColor="text1"/>
          <w:lang w:val="en-US"/>
        </w:rPr>
        <w:footnoteReference w:id="2"/>
      </w:r>
      <w:r w:rsidR="00145CB7" w:rsidRPr="00294018">
        <w:rPr>
          <w:color w:val="000000" w:themeColor="text1"/>
          <w:lang w:val="en-US"/>
        </w:rPr>
        <w:t xml:space="preserve"> </w:t>
      </w:r>
      <w:r w:rsidR="00145CB7" w:rsidRPr="00294018">
        <w:rPr>
          <w:sz w:val="28"/>
          <w:szCs w:val="28"/>
          <w:lang w:val="en-US"/>
        </w:rPr>
        <w:t xml:space="preserve"> this month, </w:t>
      </w:r>
      <w:r w:rsidRPr="00294018">
        <w:rPr>
          <w:sz w:val="28"/>
          <w:szCs w:val="28"/>
          <w:lang w:val="en-US"/>
        </w:rPr>
        <w:t xml:space="preserve">encouraging commercial producers to scale up operations and accelerate herd repopulation. Localities dominated by large-scale corporate holdings and centralized enterprises utilizing proactive breed management and rigorous biosecurity protocols posted substantial gains in pig </w:t>
      </w:r>
      <w:r w:rsidR="00145CB7" w:rsidRPr="00294018">
        <w:rPr>
          <w:sz w:val="28"/>
          <w:szCs w:val="28"/>
          <w:lang w:val="en-US"/>
        </w:rPr>
        <w:t>number</w:t>
      </w:r>
      <w:r w:rsidRPr="00294018">
        <w:rPr>
          <w:sz w:val="28"/>
          <w:szCs w:val="28"/>
          <w:lang w:val="en-US"/>
        </w:rPr>
        <w:t>; notably, Gia Lai and An Giang both registered a year-on-year growth rate of 7.5%, followed by Lam Dong (+6.9%), Thai Nguyen (+6.0%), Lang Son (+4.0%), Phu Tho (+3.7%), and Thanh Hoa (+3.6%).</w:t>
      </w:r>
    </w:p>
    <w:p w14:paraId="51B853B5" w14:textId="33E53735" w:rsidR="00145CB7" w:rsidRPr="00294018" w:rsidRDefault="00862498" w:rsidP="00145CB7">
      <w:pPr>
        <w:pStyle w:val="FootnoteText"/>
        <w:spacing w:after="120" w:line="264" w:lineRule="auto"/>
        <w:ind w:firstLine="720"/>
        <w:jc w:val="both"/>
        <w:rPr>
          <w:sz w:val="28"/>
          <w:lang w:val="en-US"/>
        </w:rPr>
      </w:pPr>
      <w:r w:rsidRPr="00294018">
        <w:rPr>
          <w:sz w:val="28"/>
          <w:szCs w:val="28"/>
          <w:lang w:val="en-US"/>
        </w:rPr>
        <w:t xml:space="preserve">Poultry </w:t>
      </w:r>
      <w:r w:rsidR="00145CB7" w:rsidRPr="00294018">
        <w:rPr>
          <w:sz w:val="28"/>
          <w:szCs w:val="28"/>
          <w:lang w:val="en-US"/>
        </w:rPr>
        <w:t xml:space="preserve">farming </w:t>
      </w:r>
      <w:r w:rsidRPr="00294018">
        <w:rPr>
          <w:sz w:val="28"/>
          <w:szCs w:val="28"/>
          <w:lang w:val="en-US"/>
        </w:rPr>
        <w:t xml:space="preserve">likewise expanded, supported by short production cycles, rapid capital turnover, and relatively lower initial capital requirements compared to large livestock farming, rendering it highly viable for household enterprises. Large-scale, bio-secure chicken farming networks integrated with institutional buyers, schools, restaurant chains, supermarkets, and food-processing firms were consistently maintained, driving gains in overall production efficiency. Steady market demand alongside rigorous provincial vaccination initiatives supported poultry population growth across </w:t>
      </w:r>
      <w:r w:rsidR="00971C9C" w:rsidRPr="00294018">
        <w:rPr>
          <w:sz w:val="28"/>
          <w:szCs w:val="28"/>
          <w:lang w:val="en-US"/>
        </w:rPr>
        <w:t>provinces</w:t>
      </w:r>
      <w:r w:rsidRPr="00294018">
        <w:rPr>
          <w:sz w:val="28"/>
          <w:szCs w:val="28"/>
          <w:lang w:val="en-US"/>
        </w:rPr>
        <w:t xml:space="preserve">, with Nghe An leading at a year-on-year expansion of 7.1%, followed by Thanh Hoa (+5.6%), Phu Tho (+3.8%), Bac </w:t>
      </w:r>
      <w:r w:rsidRPr="00294018">
        <w:rPr>
          <w:sz w:val="28"/>
          <w:szCs w:val="28"/>
          <w:lang w:val="en-US"/>
        </w:rPr>
        <w:lastRenderedPageBreak/>
        <w:t>Ninh (+3.7%), Dong Nai (+3.4%), Tay Ninh (+3.2%), Ninh Binh (+2.1%), and Hanoi (+1.6%). Nonetheless, a structural increase</w:t>
      </w:r>
      <w:r w:rsidRPr="00294018">
        <w:rPr>
          <w:rStyle w:val="FootnoteReference"/>
          <w:color w:val="000000" w:themeColor="text1"/>
          <w:spacing w:val="-2"/>
          <w:lang w:val="en-US"/>
        </w:rPr>
        <w:footnoteReference w:id="3"/>
      </w:r>
      <w:r w:rsidRPr="00294018">
        <w:rPr>
          <w:sz w:val="28"/>
          <w:szCs w:val="28"/>
          <w:lang w:val="en-US"/>
        </w:rPr>
        <w:t xml:space="preserve"> in egg-laying hen </w:t>
      </w:r>
      <w:r w:rsidR="009A77EB" w:rsidRPr="00294018">
        <w:rPr>
          <w:sz w:val="28"/>
          <w:szCs w:val="28"/>
          <w:lang w:val="en-US"/>
        </w:rPr>
        <w:t>inventories led to a softening of domestic egg prices in May, which experienced a year-on-year drop of 0.6%. To safeguard farming margins when supply signaled potential market saturation, local authorities strengthened value-chain linkages, advanced processing capabilities, and stimulated domestic consumption and export channels</w:t>
      </w:r>
      <w:r w:rsidR="00145CB7" w:rsidRPr="00294018">
        <w:rPr>
          <w:sz w:val="28"/>
          <w:lang w:val="en-US"/>
        </w:rPr>
        <w:t>.</w:t>
      </w:r>
    </w:p>
    <w:p w14:paraId="27702876" w14:textId="77777777" w:rsidR="00145CB7" w:rsidRPr="00294018" w:rsidRDefault="00145CB7" w:rsidP="00145CB7">
      <w:pPr>
        <w:tabs>
          <w:tab w:val="left" w:pos="900"/>
        </w:tabs>
        <w:spacing w:after="40"/>
        <w:jc w:val="center"/>
        <w:rPr>
          <w:rFonts w:ascii="Arial" w:hAnsi="Arial" w:cs="Arial"/>
          <w:b/>
          <w:sz w:val="24"/>
        </w:rPr>
      </w:pPr>
      <w:r w:rsidRPr="00294018">
        <w:rPr>
          <w:rFonts w:ascii="Arial" w:hAnsi="Arial" w:cs="Arial"/>
          <w:b/>
          <w:sz w:val="24"/>
        </w:rPr>
        <w:t>Figure 2. Year-on-year growth rate of livestock and poultry number</w:t>
      </w:r>
    </w:p>
    <w:p w14:paraId="14CD0B50" w14:textId="77777777" w:rsidR="00145CB7" w:rsidRPr="00294018" w:rsidRDefault="00145CB7" w:rsidP="00145CB7">
      <w:pPr>
        <w:tabs>
          <w:tab w:val="left" w:pos="900"/>
        </w:tabs>
        <w:spacing w:after="40"/>
        <w:jc w:val="center"/>
        <w:rPr>
          <w:rFonts w:ascii="Arial" w:hAnsi="Arial" w:cs="Arial"/>
          <w:b/>
          <w:sz w:val="24"/>
        </w:rPr>
      </w:pPr>
      <w:r w:rsidRPr="00294018">
        <w:rPr>
          <w:rFonts w:ascii="Arial" w:hAnsi="Arial" w:cs="Arial"/>
          <w:b/>
          <w:sz w:val="24"/>
        </w:rPr>
        <w:t>at the end of May 2026</w:t>
      </w:r>
    </w:p>
    <w:p w14:paraId="1937CABD" w14:textId="77777777" w:rsidR="00145CB7" w:rsidRPr="00294018" w:rsidRDefault="00145CB7" w:rsidP="00145CB7">
      <w:pPr>
        <w:pStyle w:val="FootnoteText"/>
        <w:tabs>
          <w:tab w:val="left" w:pos="4320"/>
        </w:tabs>
        <w:spacing w:after="120" w:line="264" w:lineRule="auto"/>
        <w:ind w:firstLine="720"/>
        <w:jc w:val="both"/>
        <w:rPr>
          <w:sz w:val="28"/>
          <w:szCs w:val="28"/>
          <w:lang w:val="en-US"/>
        </w:rPr>
      </w:pPr>
      <w:r w:rsidRPr="00294018">
        <w:rPr>
          <w:sz w:val="28"/>
          <w:szCs w:val="28"/>
          <w:lang w:val="en-US"/>
        </w:rPr>
        <w:tab/>
      </w:r>
      <w:r w:rsidRPr="00294018">
        <w:rPr>
          <w:noProof/>
          <w:lang w:val="en-US" w:eastAsia="en-US"/>
        </w:rPr>
        <w:drawing>
          <wp:inline distT="0" distB="0" distL="0" distR="0" wp14:anchorId="5D950C5C" wp14:editId="3A080901">
            <wp:extent cx="5699760" cy="1516796"/>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99760" cy="1516796"/>
                    </a:xfrm>
                    <a:prstGeom prst="rect">
                      <a:avLst/>
                    </a:prstGeom>
                    <a:noFill/>
                    <a:ln>
                      <a:noFill/>
                    </a:ln>
                  </pic:spPr>
                </pic:pic>
              </a:graphicData>
            </a:graphic>
          </wp:inline>
        </w:drawing>
      </w:r>
    </w:p>
    <w:p w14:paraId="0C6983DD" w14:textId="3115021B" w:rsidR="00145CB7" w:rsidRPr="00294018" w:rsidRDefault="009A77EB" w:rsidP="00145CB7">
      <w:pPr>
        <w:pStyle w:val="FootnoteText"/>
        <w:spacing w:after="120" w:line="264" w:lineRule="auto"/>
        <w:ind w:firstLine="720"/>
        <w:jc w:val="both"/>
        <w:rPr>
          <w:sz w:val="28"/>
          <w:szCs w:val="28"/>
          <w:lang w:val="en-US"/>
        </w:rPr>
      </w:pPr>
      <w:r w:rsidRPr="00294018">
        <w:rPr>
          <w:sz w:val="28"/>
          <w:szCs w:val="28"/>
          <w:lang w:val="en-US"/>
        </w:rPr>
        <w:t>As of May 27</w:t>
      </w:r>
      <w:r w:rsidRPr="00294018">
        <w:rPr>
          <w:sz w:val="28"/>
          <w:lang w:val="en-US"/>
        </w:rPr>
        <w:t>th</w:t>
      </w:r>
      <w:r w:rsidRPr="00294018">
        <w:rPr>
          <w:sz w:val="28"/>
          <w:szCs w:val="28"/>
          <w:lang w:val="en-US"/>
        </w:rPr>
        <w:t xml:space="preserve">, 2026, no active classical swine fever outbreaks were </w:t>
      </w:r>
      <w:r w:rsidR="00F275ED">
        <w:rPr>
          <w:sz w:val="28"/>
          <w:szCs w:val="28"/>
          <w:lang w:val="en-US"/>
        </w:rPr>
        <w:t>recorded</w:t>
      </w:r>
      <w:r w:rsidRPr="00294018">
        <w:rPr>
          <w:sz w:val="28"/>
          <w:szCs w:val="28"/>
          <w:lang w:val="en-US"/>
        </w:rPr>
        <w:t xml:space="preserve"> nationwide. However, localized disease occurrences persisted in several provinces, including avian influenza in Ninh Binh, Dien Bien, Thanh Hoa, Khanh Hoa, and An Giang; lumpy skin disease in Cao Bang and Quang Ngai; foot-and-mouth disease in Tuyen Quang; and African swine fever reported across 16 localities currently undergoing the mandatory 21-day quarantine protocol.</w:t>
      </w:r>
    </w:p>
    <w:p w14:paraId="46F46889" w14:textId="77777777" w:rsidR="00145CB7" w:rsidRPr="00294018" w:rsidRDefault="00145CB7" w:rsidP="00145CB7">
      <w:pPr>
        <w:tabs>
          <w:tab w:val="left" w:pos="720"/>
        </w:tabs>
        <w:spacing w:before="40" w:after="40" w:line="252" w:lineRule="auto"/>
        <w:ind w:firstLine="567"/>
        <w:jc w:val="both"/>
        <w:rPr>
          <w:b/>
          <w:bCs/>
          <w:i/>
          <w:iCs/>
          <w:color w:val="000000" w:themeColor="text1"/>
        </w:rPr>
      </w:pPr>
      <w:r w:rsidRPr="00294018">
        <w:rPr>
          <w:b/>
          <w:bCs/>
          <w:i/>
          <w:iCs/>
          <w:color w:val="000000" w:themeColor="text1"/>
        </w:rPr>
        <w:t>b) Forestry</w:t>
      </w:r>
    </w:p>
    <w:p w14:paraId="295B32E7" w14:textId="1A369D59" w:rsidR="00145CB7" w:rsidRPr="00294018" w:rsidRDefault="00C96AD8" w:rsidP="00145CB7">
      <w:pPr>
        <w:spacing w:beforeLines="40" w:before="96" w:afterLines="40" w:after="96" w:line="252" w:lineRule="auto"/>
        <w:ind w:firstLine="567"/>
        <w:jc w:val="both"/>
      </w:pPr>
      <w:r w:rsidRPr="00294018">
        <w:t>A</w:t>
      </w:r>
      <w:r w:rsidR="001313B0" w:rsidRPr="00294018">
        <w:t xml:space="preserve">rea of </w:t>
      </w:r>
      <w:r w:rsidRPr="00294018">
        <w:t>new concentrated planted forest</w:t>
      </w:r>
      <w:r w:rsidRPr="00294018" w:rsidDel="00C96AD8">
        <w:t xml:space="preserve"> </w:t>
      </w:r>
      <w:r w:rsidR="001313B0" w:rsidRPr="00294018">
        <w:t xml:space="preserve">nationwide in May was estimated at 32.9 thousand hectares, representing a year-on-year decline of 7.7%. This contraction occurred as localities prioritized the urgent restoration and replanting of forest areas severely damaged by </w:t>
      </w:r>
      <w:r w:rsidR="00F275ED">
        <w:t xml:space="preserve">the </w:t>
      </w:r>
      <w:r w:rsidR="001313B0" w:rsidRPr="00294018">
        <w:t>Typhoon Yagi in 202</w:t>
      </w:r>
      <w:r w:rsidRPr="00294018">
        <w:t>5</w:t>
      </w:r>
      <w:r w:rsidR="001313B0" w:rsidRPr="00294018">
        <w:t>, consequently limiting</w:t>
      </w:r>
      <w:r w:rsidR="00145CB7" w:rsidRPr="00294018">
        <w:rPr>
          <w:rStyle w:val="FootnoteReference"/>
          <w:color w:val="000000" w:themeColor="text1"/>
          <w:spacing w:val="-2"/>
        </w:rPr>
        <w:footnoteReference w:id="4"/>
      </w:r>
      <w:r w:rsidR="00145CB7" w:rsidRPr="00294018">
        <w:t xml:space="preserve"> </w:t>
      </w:r>
      <w:r w:rsidR="001313B0" w:rsidRPr="00294018">
        <w:t xml:space="preserve">the allocation for entirely new plantings in 2026. Conversely, the number of scattered trees planted reached 8.2 million, recording a rise of 6.1%, while </w:t>
      </w:r>
      <w:r w:rsidRPr="00294018">
        <w:t>production of exploited wood</w:t>
      </w:r>
      <w:r w:rsidR="001313B0" w:rsidRPr="00294018">
        <w:t xml:space="preserve"> reached 2,669.3 thousand cubic meters, posting an increase of 5.8% driven by escalating timber market values and intensified harvesting of mature commercial forests</w:t>
      </w:r>
      <w:r w:rsidR="00145CB7" w:rsidRPr="00294018">
        <w:rPr>
          <w:color w:val="000000" w:themeColor="text1"/>
          <w:spacing w:val="-2"/>
          <w:vertAlign w:val="superscript"/>
        </w:rPr>
        <w:footnoteReference w:id="5"/>
      </w:r>
      <w:r w:rsidR="001313B0" w:rsidRPr="00294018">
        <w:t>.</w:t>
      </w:r>
      <w:r w:rsidR="00145CB7" w:rsidRPr="00294018">
        <w:t xml:space="preserve"> </w:t>
      </w:r>
      <w:r w:rsidR="001313B0" w:rsidRPr="00294018">
        <w:t xml:space="preserve">Cumulatively for the first five months of 2026, the total area of </w:t>
      </w:r>
      <w:r w:rsidRPr="00294018">
        <w:t>new concentrated planted forest</w:t>
      </w:r>
      <w:r w:rsidR="001313B0" w:rsidRPr="00294018">
        <w:t xml:space="preserve"> reached an estimated 112.1 thousand hectares, registering a year-on-year decrease of 3.1%; the volume of scattered trees planted reached 36.8 million, up 1.5%; and </w:t>
      </w:r>
      <w:r w:rsidRPr="00294018">
        <w:lastRenderedPageBreak/>
        <w:t>production of exploited wood</w:t>
      </w:r>
      <w:r w:rsidR="001313B0" w:rsidRPr="00294018">
        <w:t xml:space="preserve"> reached 8,689.4 thousand cubic meters, recording a growth rate of 2.9%.</w:t>
      </w:r>
    </w:p>
    <w:p w14:paraId="2ABC874F" w14:textId="00A4AE7E" w:rsidR="00145CB7" w:rsidRPr="00294018" w:rsidRDefault="00C96AD8" w:rsidP="00145CB7">
      <w:pPr>
        <w:spacing w:beforeLines="40" w:before="96" w:afterLines="40" w:after="96" w:line="252" w:lineRule="auto"/>
        <w:ind w:firstLine="567"/>
        <w:jc w:val="both"/>
      </w:pPr>
      <w:r w:rsidRPr="00294018">
        <w:t>T</w:t>
      </w:r>
      <w:r w:rsidR="00073355" w:rsidRPr="00294018">
        <w:t xml:space="preserve">otal area of </w:t>
      </w:r>
      <w:r w:rsidR="00145CB7" w:rsidRPr="00294018">
        <w:t>​​forest damaged</w:t>
      </w:r>
      <w:r w:rsidR="00145CB7" w:rsidRPr="00294018">
        <w:rPr>
          <w:color w:val="000000" w:themeColor="text1"/>
          <w:spacing w:val="-6"/>
          <w:vertAlign w:val="superscript"/>
        </w:rPr>
        <w:footnoteReference w:id="6"/>
      </w:r>
      <w:r w:rsidR="00145CB7" w:rsidRPr="00294018">
        <w:t xml:space="preserve"> </w:t>
      </w:r>
      <w:r w:rsidR="00073355" w:rsidRPr="00294018">
        <w:t>in May 2026 was estimated at 913.2 hectares, representing a year-on-year growth of 11.2%, of which</w:t>
      </w:r>
      <w:r w:rsidR="00145CB7" w:rsidRPr="00294018">
        <w:t xml:space="preserve">, the area of </w:t>
      </w:r>
      <w:r w:rsidRPr="00294018">
        <w:t>chopped down forest</w:t>
      </w:r>
      <w:r w:rsidRPr="00294018" w:rsidDel="00C96AD8">
        <w:t xml:space="preserve"> </w:t>
      </w:r>
      <w:r w:rsidR="00145CB7" w:rsidRPr="00294018">
        <w:t>reached</w:t>
      </w:r>
      <w:r w:rsidR="00073355" w:rsidRPr="00294018">
        <w:t xml:space="preserve"> 78.5 hectares, up 17.1%. Wildfire-impacted acreage reached 30.1 hectares, recording a reduction of 45.6%. Collectively, over the first five months of 2026, the cumulative damaged forest area stood at 296.2 hectares, posting a year-on-year decline of 50.9%; within this structure, cleared or damaged forest </w:t>
      </w:r>
      <w:r w:rsidR="00117CC8" w:rsidRPr="00294018">
        <w:t>areas</w:t>
      </w:r>
      <w:r w:rsidR="00073355" w:rsidRPr="00294018">
        <w:t xml:space="preserve"> accounted for 252.3 hectares (down 45.9%), while fire-damaged areas constituted 43.9 hectares (down 68.1%).</w:t>
      </w:r>
    </w:p>
    <w:p w14:paraId="1D9FAECE" w14:textId="77777777" w:rsidR="00145CB7" w:rsidRPr="00294018" w:rsidRDefault="00145CB7" w:rsidP="00145CB7">
      <w:pPr>
        <w:spacing w:before="40" w:after="40" w:line="252" w:lineRule="auto"/>
        <w:ind w:firstLine="567"/>
        <w:jc w:val="both"/>
        <w:rPr>
          <w:b/>
          <w:i/>
        </w:rPr>
      </w:pPr>
      <w:r w:rsidRPr="00294018">
        <w:rPr>
          <w:b/>
          <w:i/>
        </w:rPr>
        <w:t>c) Fishing</w:t>
      </w:r>
    </w:p>
    <w:p w14:paraId="34076F2C" w14:textId="4731AFF9" w:rsidR="0097786D" w:rsidRPr="00294018" w:rsidRDefault="0097786D" w:rsidP="0097786D">
      <w:pPr>
        <w:spacing w:before="40" w:after="40" w:line="252" w:lineRule="auto"/>
        <w:ind w:firstLine="567"/>
        <w:jc w:val="both"/>
      </w:pPr>
      <w:r w:rsidRPr="00294018">
        <w:t xml:space="preserve">Total capture fisheries and aquaculture production in May 2026 reached an estimated 913.2 thousand tons, registering a year-on-year expansion of 4.3%. </w:t>
      </w:r>
      <w:r w:rsidR="00F275ED">
        <w:t>B</w:t>
      </w:r>
      <w:r w:rsidRPr="00294018">
        <w:t xml:space="preserve">y commodity: fish production reached 636.4 thousand tons, up 3.1%; shrimp output stood at 140.0 thousand tons, rising by 6.5%; and other aquatic products constituted 136.8 thousand tons, recording a growth of 7.8%. </w:t>
      </w:r>
    </w:p>
    <w:p w14:paraId="68E75CCF" w14:textId="4A0A934A" w:rsidR="00145CB7" w:rsidRPr="00294018" w:rsidRDefault="0097786D" w:rsidP="0097786D">
      <w:pPr>
        <w:spacing w:before="40" w:after="40" w:line="252" w:lineRule="auto"/>
        <w:ind w:firstLine="567"/>
        <w:jc w:val="both"/>
      </w:pPr>
      <w:r w:rsidRPr="00294018">
        <w:t xml:space="preserve">Aquaculture </w:t>
      </w:r>
      <w:r w:rsidR="00145CB7" w:rsidRPr="00294018">
        <w:t xml:space="preserve">production </w:t>
      </w:r>
      <w:r w:rsidRPr="00294018">
        <w:t>within the month reached an estimated 543.9 thousand tons, posting a year-on-year increase of 6.6%. Out of this volume, fish production reached 350.6 thousand tons, expanding by 5.6%, while shrimp production made up 126.6 thousand tons, recording an increase of 6.9%.</w:t>
      </w:r>
    </w:p>
    <w:p w14:paraId="0EE072D4" w14:textId="6C85CC24" w:rsidR="00145CB7" w:rsidRPr="00294018" w:rsidRDefault="0097786D" w:rsidP="00145CB7">
      <w:pPr>
        <w:spacing w:before="40" w:after="40" w:line="252" w:lineRule="auto"/>
        <w:ind w:firstLine="567"/>
        <w:jc w:val="both"/>
      </w:pPr>
      <w:r w:rsidRPr="00294018">
        <w:t>Pangasius production in May registered a year-on-year expansion, driven by stable</w:t>
      </w:r>
      <w:r w:rsidRPr="00294018">
        <w:rPr>
          <w:color w:val="000000" w:themeColor="text1"/>
          <w:spacing w:val="-6"/>
          <w:vertAlign w:val="superscript"/>
        </w:rPr>
        <w:footnoteReference w:id="7"/>
      </w:r>
      <w:r w:rsidRPr="00294018">
        <w:t xml:space="preserve"> farm-gate prices and successful export market expansions across China, the European Union, ASEAN, and the Middle East, which collectively incentivized farmers to increase stocking densities. Total pangasius volume for the month reached an estimated 153.6 thousand tons, representing a year-on-year rise of 5.9%.</w:t>
      </w:r>
    </w:p>
    <w:p w14:paraId="53A1EBA2" w14:textId="23C7CFF9" w:rsidR="00145CB7" w:rsidRPr="00294018" w:rsidRDefault="0097786D" w:rsidP="00145CB7">
      <w:pPr>
        <w:spacing w:before="40" w:after="40" w:line="252" w:lineRule="auto"/>
        <w:ind w:firstLine="567"/>
        <w:jc w:val="both"/>
      </w:pPr>
      <w:r w:rsidRPr="00294018">
        <w:t>Similarly, commercial shrimp production in May recorded a year-on-year increase, supported by stable raw material prices and steady consumer demand, allowing the domestic supply of raw shrimp to fully satisfy processing and export</w:t>
      </w:r>
      <w:r w:rsidRPr="00294018">
        <w:rPr>
          <w:color w:val="000000" w:themeColor="text1"/>
          <w:vertAlign w:val="superscript"/>
        </w:rPr>
        <w:footnoteReference w:id="8"/>
      </w:r>
      <w:r w:rsidRPr="00294018">
        <w:t xml:space="preserve"> requirements. White-leg shrimp </w:t>
      </w:r>
      <w:r w:rsidR="00145CB7" w:rsidRPr="00294018">
        <w:t xml:space="preserve">production </w:t>
      </w:r>
      <w:r w:rsidRPr="00294018">
        <w:t>for May reached an estimated 88.0 thousand tons, posting a year-on-year expansion of 8.4%, while tiger shrimp production stood at 28.1 thousand tons, registering a rise of 5.2%.</w:t>
      </w:r>
    </w:p>
    <w:p w14:paraId="05D97DAC" w14:textId="425714F4" w:rsidR="00145CB7" w:rsidRPr="00294018" w:rsidRDefault="00917C9B" w:rsidP="00145CB7">
      <w:pPr>
        <w:spacing w:before="40" w:after="40" w:line="252" w:lineRule="auto"/>
        <w:ind w:firstLine="567"/>
        <w:jc w:val="both"/>
      </w:pPr>
      <w:r w:rsidRPr="00294018">
        <w:t xml:space="preserve">Total capture fisheries production in May reached 369.3 thousand tons, representing a year-on-year growth of 1.0%. Within this sector, fish output reached 285.8 thousand tons, up 0.1%; shrimp caught stood at 13.4 thousand </w:t>
      </w:r>
      <w:r w:rsidRPr="00294018">
        <w:lastRenderedPageBreak/>
        <w:t xml:space="preserve">tons, expanding by 2.3%; and other aquatic products made up 70.1 thousand tons, accelerating by 4.6%. This favorable development was underpinned by excellent weather conditions, the peak phase of the southern marine </w:t>
      </w:r>
      <w:r w:rsidR="00145CB7" w:rsidRPr="00294018">
        <w:t>capture</w:t>
      </w:r>
      <w:r w:rsidRPr="00294018">
        <w:t xml:space="preserve"> season, and highly abundant marine stocks, all of which encouraged fishermen to intensify operations, upgrade vessel capacities, and optimize fishing gear to maximize offshore efficiency. Consequently, marine capture fisheries alone contributed 354.2 thousand tons, registering a year-on-year increase of 1.1%; out of this volume, fish accounted for 274.4 thousand tons (up 0.2%), shrimp reached 12.5 thousand tons (up 2.5%), and other </w:t>
      </w:r>
      <w:r w:rsidR="00145CB7" w:rsidRPr="00294018">
        <w:t>aquatic products</w:t>
      </w:r>
      <w:r w:rsidRPr="00294018">
        <w:t xml:space="preserve"> constituted 67.3 thousand tons (recording an increase of 4.8%).</w:t>
      </w:r>
    </w:p>
    <w:p w14:paraId="03B6DE78" w14:textId="77777777" w:rsidR="00145CB7" w:rsidRPr="00294018" w:rsidRDefault="00145CB7" w:rsidP="00145CB7">
      <w:pPr>
        <w:tabs>
          <w:tab w:val="left" w:pos="900"/>
        </w:tabs>
        <w:spacing w:after="40"/>
        <w:jc w:val="center"/>
        <w:rPr>
          <w:rFonts w:ascii="Arial" w:hAnsi="Arial" w:cs="Arial"/>
          <w:b/>
          <w:sz w:val="24"/>
        </w:rPr>
      </w:pPr>
      <w:r w:rsidRPr="00294018">
        <w:rPr>
          <w:rFonts w:ascii="Arial" w:hAnsi="Arial" w:cs="Arial"/>
          <w:b/>
          <w:sz w:val="24"/>
        </w:rPr>
        <w:t>Figure 3. Capture fisheries and aquaculture production</w:t>
      </w:r>
    </w:p>
    <w:p w14:paraId="198150CD" w14:textId="77777777" w:rsidR="00145CB7" w:rsidRPr="00294018" w:rsidRDefault="00145CB7" w:rsidP="00145CB7">
      <w:pPr>
        <w:tabs>
          <w:tab w:val="left" w:pos="900"/>
        </w:tabs>
        <w:spacing w:after="40"/>
        <w:jc w:val="center"/>
        <w:rPr>
          <w:sz w:val="24"/>
          <w:szCs w:val="24"/>
        </w:rPr>
      </w:pPr>
      <w:r w:rsidRPr="00294018">
        <w:rPr>
          <w:rFonts w:ascii="Arial" w:hAnsi="Arial" w:cs="Arial"/>
          <w:b/>
          <w:sz w:val="24"/>
        </w:rPr>
        <w:t>In 5 months of 2026 (Y-o-Y)</w:t>
      </w:r>
      <w:r w:rsidRPr="00294018">
        <w:rPr>
          <w:noProof/>
          <w:sz w:val="24"/>
          <w:szCs w:val="24"/>
        </w:rPr>
        <w:drawing>
          <wp:inline distT="0" distB="0" distL="0" distR="0" wp14:anchorId="614E2E33" wp14:editId="0F4F3545">
            <wp:extent cx="5722373" cy="1879812"/>
            <wp:effectExtent l="0" t="0" r="0" b="6350"/>
            <wp:docPr id="6" name="Picture 6" descr="D:\Công việc 2026\Báo cáo T52026\Thủy sản T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ông việc 2026\Báo cáo T52026\Thủy sản T5-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12710" cy="1942338"/>
                    </a:xfrm>
                    <a:prstGeom prst="rect">
                      <a:avLst/>
                    </a:prstGeom>
                    <a:noFill/>
                    <a:ln>
                      <a:noFill/>
                    </a:ln>
                  </pic:spPr>
                </pic:pic>
              </a:graphicData>
            </a:graphic>
          </wp:inline>
        </w:drawing>
      </w:r>
    </w:p>
    <w:p w14:paraId="6F0F53B4" w14:textId="27ACEEE2" w:rsidR="00223A54" w:rsidRPr="00294018" w:rsidRDefault="00145CB7" w:rsidP="00145CB7">
      <w:pPr>
        <w:spacing w:after="120" w:line="269" w:lineRule="auto"/>
        <w:ind w:firstLine="720"/>
        <w:jc w:val="both"/>
        <w:rPr>
          <w:b/>
          <w:bCs/>
          <w:color w:val="000000" w:themeColor="text1"/>
        </w:rPr>
      </w:pPr>
      <w:r w:rsidRPr="00294018">
        <w:rPr>
          <w:sz w:val="24"/>
          <w:szCs w:val="24"/>
        </w:rPr>
        <w:t xml:space="preserve"> </w:t>
      </w:r>
      <w:r w:rsidRPr="00294018">
        <w:t xml:space="preserve">Generally, </w:t>
      </w:r>
      <w:r w:rsidR="00917C9B" w:rsidRPr="00294018">
        <w:t>for the first five months of 2026, total fisheries production reached an estimated 3,960.1 thousand tons, demonstrating a year-on-year growth rate of 3.5%. Within the cumulative structure, fish production reached 2,852.4 thousand tons, up 2.7%; shrimp output stood at 509.7 thousand tons, rising by 6.8%; and other aquatic items reached 598.0 thousand tons, recording an increase of 4.4%.</w:t>
      </w:r>
    </w:p>
    <w:p w14:paraId="4DC1BCFF" w14:textId="77777777" w:rsidR="00D53CC4" w:rsidRPr="00294018" w:rsidRDefault="00D53CC4" w:rsidP="00D53CC4">
      <w:pPr>
        <w:widowControl w:val="0"/>
        <w:spacing w:before="120" w:after="120" w:line="264" w:lineRule="auto"/>
        <w:ind w:firstLine="720"/>
        <w:jc w:val="both"/>
        <w:rPr>
          <w:b/>
          <w:bCs/>
        </w:rPr>
      </w:pPr>
      <w:r w:rsidRPr="00294018">
        <w:rPr>
          <w:b/>
        </w:rPr>
        <w:t>2. Industrial production</w:t>
      </w:r>
    </w:p>
    <w:p w14:paraId="1C7C64DF" w14:textId="48382112" w:rsidR="00D53CC4" w:rsidRPr="00294018" w:rsidRDefault="00E80DEB" w:rsidP="00D53CC4">
      <w:pPr>
        <w:widowControl w:val="0"/>
        <w:shd w:val="clear" w:color="auto" w:fill="FFFFFF"/>
        <w:spacing w:after="120" w:line="264" w:lineRule="auto"/>
        <w:ind w:firstLine="720"/>
        <w:jc w:val="both"/>
        <w:rPr>
          <w:i/>
        </w:rPr>
      </w:pPr>
      <w:r w:rsidRPr="00294018">
        <w:rPr>
          <w:i/>
        </w:rPr>
        <w:t>Industrial production in May 2026 sustained its positive growth momentum. The Index of Industrial Production (IIP) for the month recorded an estimated expansion of 3.3% month-on-month and 8.8% year-on-year. Cumulatively, for the first five months of 2026, the IIP advanced by 9.1% over the corresponding period last year, marking the highest growth rate achieved during the first five months of the year across the past four years.</w:t>
      </w:r>
      <w:r w:rsidR="00D53CC4" w:rsidRPr="00294018">
        <w:rPr>
          <w:rStyle w:val="FootnoteReference"/>
          <w:i/>
        </w:rPr>
        <w:footnoteReference w:id="9"/>
      </w:r>
    </w:p>
    <w:p w14:paraId="6B367781" w14:textId="6D08FD89" w:rsidR="00D53CC4" w:rsidRPr="00294018" w:rsidRDefault="00D53CC4" w:rsidP="00D53CC4">
      <w:pPr>
        <w:widowControl w:val="0"/>
        <w:shd w:val="clear" w:color="auto" w:fill="FFFFFF"/>
        <w:tabs>
          <w:tab w:val="left" w:pos="8931"/>
        </w:tabs>
        <w:spacing w:after="120" w:line="264" w:lineRule="auto"/>
        <w:ind w:firstLine="720"/>
        <w:jc w:val="both"/>
      </w:pPr>
      <w:r w:rsidRPr="00294018">
        <w:rPr>
          <w:i/>
        </w:rPr>
        <w:t>In May 2026, the overall IIP was estimated to grow by 3.3% month-on-month</w:t>
      </w:r>
      <w:r w:rsidR="002A1672" w:rsidRPr="00294018">
        <w:rPr>
          <w:i/>
        </w:rPr>
        <w:t xml:space="preserve"> (MoM)</w:t>
      </w:r>
      <w:r w:rsidRPr="00294018">
        <w:rPr>
          <w:rStyle w:val="FootnoteReference"/>
          <w:i/>
        </w:rPr>
        <w:footnoteReference w:id="10"/>
      </w:r>
      <w:r w:rsidRPr="00294018">
        <w:rPr>
          <w:i/>
        </w:rPr>
        <w:t xml:space="preserve"> and 8.8% year-on-year</w:t>
      </w:r>
      <w:r w:rsidR="002A1672" w:rsidRPr="00294018">
        <w:rPr>
          <w:i/>
        </w:rPr>
        <w:t xml:space="preserve"> (YoY)</w:t>
      </w:r>
      <w:r w:rsidRPr="00294018">
        <w:t xml:space="preserve">. Specifically, the manufacturing </w:t>
      </w:r>
      <w:r w:rsidRPr="00294018">
        <w:lastRenderedPageBreak/>
        <w:t>recorded a year-on-year increase of 9.0%; the water supply, sewerage, waste management and remediation activities grew by 8.7%; the electricity supply increased by 8.5% and the mining and quarrying rose by 6.0%.</w:t>
      </w:r>
    </w:p>
    <w:p w14:paraId="23938E6B" w14:textId="77777777" w:rsidR="00D53CC4" w:rsidRPr="00294018" w:rsidRDefault="00D53CC4" w:rsidP="00D53CC4">
      <w:pPr>
        <w:widowControl w:val="0"/>
        <w:shd w:val="clear" w:color="auto" w:fill="FFFFFF"/>
        <w:tabs>
          <w:tab w:val="left" w:pos="8931"/>
        </w:tabs>
        <w:spacing w:after="120" w:line="264" w:lineRule="auto"/>
        <w:ind w:firstLine="720"/>
        <w:jc w:val="both"/>
        <w:rPr>
          <w:spacing w:val="-2"/>
        </w:rPr>
      </w:pPr>
      <w:r w:rsidRPr="00294018">
        <w:rPr>
          <w:i/>
          <w:iCs/>
        </w:rPr>
        <w:t>Generally, in the first 5 months of 2026</w:t>
      </w:r>
      <w:r w:rsidRPr="00294018">
        <w:t>, the IIP was estimated to grow by 9.1% over the same period last year</w:t>
      </w:r>
      <w:r w:rsidRPr="00294018">
        <w:rPr>
          <w:rStyle w:val="FootnoteReference"/>
        </w:rPr>
        <w:footnoteReference w:id="11"/>
      </w:r>
      <w:r w:rsidRPr="00294018">
        <w:t xml:space="preserve"> (the corresponding figure in 2025 was 8.8%). Specifically, the manufacturing grew by 9.5% (the corresponding figure in 2025 was 10.9%), contributing 7.4 percentage points to the overall growth; the mining and quarrying grew by 5.5% (4.1% decline in the same period of 2025), contributing 0.9 percentage points; the electricity supply rose by 7.6% (versus 4.2% in 2025), contributing 0.7 percentage points;  the water supply, sewerage, waste management and remediation activities increased by 9.5% (versus 10.8% in 2025), contributing 0.1 percentage points.</w:t>
      </w:r>
    </w:p>
    <w:p w14:paraId="6ECB70C4" w14:textId="77777777" w:rsidR="00D53CC4" w:rsidRPr="00294018" w:rsidRDefault="00D53CC4" w:rsidP="00D53CC4">
      <w:pPr>
        <w:widowControl w:val="0"/>
        <w:shd w:val="clear" w:color="auto" w:fill="FFFFFF"/>
        <w:tabs>
          <w:tab w:val="left" w:pos="8931"/>
        </w:tabs>
        <w:spacing w:after="120" w:line="264" w:lineRule="auto"/>
        <w:ind w:firstLine="720"/>
        <w:jc w:val="both"/>
      </w:pPr>
      <w:r w:rsidRPr="00294018">
        <w:rPr>
          <w:iCs/>
        </w:rPr>
        <w:t>In the first 5 months of 2026, the IIP of several key 2-digit activities experienced a year-on-year increase as follows:</w:t>
      </w:r>
      <w:r w:rsidRPr="00294018">
        <w:t xml:space="preserve"> manufacture of basic metals (+20.2%); manufacture of motor vehicles (+18.0%); manufacture of chemicals and chemical products (+16.9%); manufacture of other non-metallic mineral products (+16.2%); manufacture of beverages (+15.1%); manufacture of furniture (+11.6%); manufacture of food products (+11.2%); manufacture of rubber and plastic products (+10.9); manufacture of paper and paper products (+10.7); manufacture of fabricated metal products (except machinery and equipment) (+9.6); manufacture of textiles (+9.3); manufacture of computer, electronic and optical products (+7.5%). Conversely, the IIP for some activities decreased as follows: mining of coal and lignite reduced by 4.5%; manufacture of other transport equipment reduced by 1.0%.</w:t>
      </w:r>
    </w:p>
    <w:p w14:paraId="0DB1FD80" w14:textId="77777777" w:rsidR="00D53CC4" w:rsidRPr="00294018" w:rsidRDefault="00D53CC4" w:rsidP="00D53CC4">
      <w:pPr>
        <w:shd w:val="clear" w:color="auto" w:fill="FFFFFF"/>
        <w:tabs>
          <w:tab w:val="left" w:pos="8931"/>
        </w:tabs>
        <w:spacing w:before="120" w:after="120" w:line="252" w:lineRule="auto"/>
        <w:jc w:val="center"/>
        <w:rPr>
          <w:rFonts w:ascii="Arial" w:hAnsi="Arial" w:cs="Arial"/>
          <w:b/>
          <w:sz w:val="24"/>
          <w:szCs w:val="22"/>
        </w:rPr>
      </w:pPr>
      <w:r w:rsidRPr="00294018">
        <w:rPr>
          <w:rFonts w:ascii="Arial" w:hAnsi="Arial"/>
          <w:b/>
          <w:sz w:val="24"/>
        </w:rPr>
        <w:t xml:space="preserve">Table 1. Year-on-year IIP growth rate for several key industrial activities </w:t>
      </w:r>
      <w:r w:rsidRPr="00294018">
        <w:rPr>
          <w:rFonts w:ascii="Arial" w:hAnsi="Arial"/>
          <w:b/>
          <w:sz w:val="24"/>
        </w:rPr>
        <w:br/>
        <w:t xml:space="preserve">in the first 5 months of the years 2022 - 2026 </w:t>
      </w:r>
    </w:p>
    <w:p w14:paraId="0056D95E" w14:textId="77777777" w:rsidR="00D53CC4" w:rsidRPr="00294018" w:rsidRDefault="00D53CC4" w:rsidP="00D53CC4">
      <w:pPr>
        <w:shd w:val="clear" w:color="auto" w:fill="FFFFFF"/>
        <w:tabs>
          <w:tab w:val="left" w:pos="8931"/>
        </w:tabs>
        <w:spacing w:before="60"/>
        <w:jc w:val="right"/>
        <w:rPr>
          <w:rFonts w:ascii="Arial" w:hAnsi="Arial" w:cs="Arial"/>
          <w:b/>
          <w:bCs/>
          <w:i/>
          <w:iCs/>
          <w:sz w:val="20"/>
          <w:szCs w:val="20"/>
        </w:rPr>
      </w:pPr>
      <w:r w:rsidRPr="00294018">
        <w:rPr>
          <w:rFonts w:ascii="Arial" w:hAnsi="Arial"/>
          <w:b/>
          <w:i/>
          <w:sz w:val="20"/>
        </w:rPr>
        <w:t xml:space="preserve">   %</w:t>
      </w:r>
    </w:p>
    <w:tbl>
      <w:tblPr>
        <w:tblW w:w="9040" w:type="dxa"/>
        <w:jc w:val="center"/>
        <w:tblBorders>
          <w:top w:val="single" w:sz="4" w:space="0" w:color="auto"/>
        </w:tblBorders>
        <w:tblLook w:val="04A0" w:firstRow="1" w:lastRow="0" w:firstColumn="1" w:lastColumn="0" w:noHBand="0" w:noVBand="1"/>
      </w:tblPr>
      <w:tblGrid>
        <w:gridCol w:w="4807"/>
        <w:gridCol w:w="845"/>
        <w:gridCol w:w="846"/>
        <w:gridCol w:w="893"/>
        <w:gridCol w:w="803"/>
        <w:gridCol w:w="846"/>
      </w:tblGrid>
      <w:tr w:rsidR="00D53CC4" w:rsidRPr="00294018" w14:paraId="751531FE" w14:textId="77777777" w:rsidTr="0060017F">
        <w:trPr>
          <w:trHeight w:val="618"/>
          <w:jc w:val="center"/>
        </w:trPr>
        <w:tc>
          <w:tcPr>
            <w:tcW w:w="4807" w:type="dxa"/>
            <w:tcBorders>
              <w:top w:val="single" w:sz="4" w:space="0" w:color="auto"/>
              <w:left w:val="nil"/>
              <w:bottom w:val="nil"/>
              <w:right w:val="nil"/>
            </w:tcBorders>
            <w:shd w:val="clear" w:color="auto" w:fill="FFFFFF"/>
            <w:hideMark/>
          </w:tcPr>
          <w:p w14:paraId="1EDD91AA" w14:textId="77777777" w:rsidR="00D53CC4" w:rsidRPr="00294018" w:rsidRDefault="00D53CC4" w:rsidP="0060017F">
            <w:pPr>
              <w:jc w:val="center"/>
              <w:rPr>
                <w:rFonts w:ascii="Arial" w:hAnsi="Arial" w:cs="Arial"/>
                <w:b/>
                <w:bCs/>
                <w:color w:val="000000" w:themeColor="text1"/>
                <w:sz w:val="20"/>
                <w:szCs w:val="20"/>
              </w:rPr>
            </w:pPr>
            <w:r w:rsidRPr="00294018">
              <w:rPr>
                <w:rFonts w:ascii="Arial" w:hAnsi="Arial" w:cs="Arial"/>
                <w:b/>
                <w:bCs/>
                <w:color w:val="000000" w:themeColor="text1"/>
                <w:sz w:val="20"/>
                <w:szCs w:val="20"/>
              </w:rPr>
              <w:t> </w:t>
            </w:r>
          </w:p>
        </w:tc>
        <w:tc>
          <w:tcPr>
            <w:tcW w:w="845" w:type="dxa"/>
            <w:tcBorders>
              <w:top w:val="single" w:sz="4" w:space="0" w:color="auto"/>
              <w:left w:val="nil"/>
              <w:bottom w:val="single" w:sz="4" w:space="0" w:color="auto"/>
              <w:right w:val="nil"/>
            </w:tcBorders>
            <w:vAlign w:val="center"/>
            <w:hideMark/>
          </w:tcPr>
          <w:p w14:paraId="3529E82C" w14:textId="77777777" w:rsidR="00D53CC4" w:rsidRPr="00294018" w:rsidRDefault="00D53CC4" w:rsidP="0060017F">
            <w:pPr>
              <w:jc w:val="center"/>
              <w:rPr>
                <w:rFonts w:ascii="Arial" w:hAnsi="Arial" w:cs="Arial"/>
                <w:b/>
                <w:bCs/>
                <w:color w:val="000000" w:themeColor="text1"/>
                <w:sz w:val="20"/>
                <w:szCs w:val="20"/>
              </w:rPr>
            </w:pPr>
            <w:r w:rsidRPr="00294018">
              <w:rPr>
                <w:rFonts w:ascii="Arial" w:hAnsi="Arial" w:cs="Arial"/>
                <w:b/>
                <w:bCs/>
                <w:color w:val="000000" w:themeColor="text1"/>
                <w:sz w:val="20"/>
                <w:szCs w:val="20"/>
              </w:rPr>
              <w:t>2022</w:t>
            </w:r>
          </w:p>
        </w:tc>
        <w:tc>
          <w:tcPr>
            <w:tcW w:w="846" w:type="dxa"/>
            <w:tcBorders>
              <w:top w:val="single" w:sz="4" w:space="0" w:color="auto"/>
              <w:left w:val="nil"/>
              <w:bottom w:val="single" w:sz="4" w:space="0" w:color="auto"/>
              <w:right w:val="nil"/>
            </w:tcBorders>
            <w:vAlign w:val="center"/>
            <w:hideMark/>
          </w:tcPr>
          <w:p w14:paraId="23BCB7CD" w14:textId="77777777" w:rsidR="00D53CC4" w:rsidRPr="00294018" w:rsidRDefault="00D53CC4" w:rsidP="0060017F">
            <w:pPr>
              <w:jc w:val="center"/>
              <w:rPr>
                <w:rFonts w:ascii="Arial" w:hAnsi="Arial" w:cs="Arial"/>
                <w:b/>
                <w:bCs/>
                <w:color w:val="000000" w:themeColor="text1"/>
                <w:sz w:val="20"/>
                <w:szCs w:val="20"/>
              </w:rPr>
            </w:pPr>
            <w:r w:rsidRPr="00294018">
              <w:rPr>
                <w:rFonts w:ascii="Arial" w:hAnsi="Arial" w:cs="Arial"/>
                <w:b/>
                <w:bCs/>
                <w:color w:val="000000" w:themeColor="text1"/>
                <w:sz w:val="20"/>
                <w:szCs w:val="20"/>
              </w:rPr>
              <w:t>2023</w:t>
            </w:r>
          </w:p>
        </w:tc>
        <w:tc>
          <w:tcPr>
            <w:tcW w:w="893" w:type="dxa"/>
            <w:tcBorders>
              <w:top w:val="single" w:sz="4" w:space="0" w:color="auto"/>
              <w:left w:val="nil"/>
              <w:bottom w:val="single" w:sz="4" w:space="0" w:color="auto"/>
              <w:right w:val="nil"/>
            </w:tcBorders>
            <w:vAlign w:val="center"/>
            <w:hideMark/>
          </w:tcPr>
          <w:p w14:paraId="19E408D2" w14:textId="77777777" w:rsidR="00D53CC4" w:rsidRPr="00294018" w:rsidRDefault="00D53CC4" w:rsidP="0060017F">
            <w:pPr>
              <w:jc w:val="center"/>
              <w:rPr>
                <w:rFonts w:ascii="Arial" w:hAnsi="Arial" w:cs="Arial"/>
                <w:b/>
                <w:bCs/>
                <w:color w:val="000000" w:themeColor="text1"/>
                <w:sz w:val="20"/>
                <w:szCs w:val="20"/>
              </w:rPr>
            </w:pPr>
            <w:r w:rsidRPr="00294018">
              <w:rPr>
                <w:rFonts w:ascii="Arial" w:hAnsi="Arial" w:cs="Arial"/>
                <w:b/>
                <w:bCs/>
                <w:color w:val="000000" w:themeColor="text1"/>
                <w:sz w:val="20"/>
                <w:szCs w:val="20"/>
              </w:rPr>
              <w:t>2024</w:t>
            </w:r>
          </w:p>
        </w:tc>
        <w:tc>
          <w:tcPr>
            <w:tcW w:w="803" w:type="dxa"/>
            <w:tcBorders>
              <w:top w:val="single" w:sz="4" w:space="0" w:color="auto"/>
              <w:left w:val="nil"/>
              <w:bottom w:val="single" w:sz="4" w:space="0" w:color="auto"/>
              <w:right w:val="nil"/>
            </w:tcBorders>
            <w:vAlign w:val="center"/>
            <w:hideMark/>
          </w:tcPr>
          <w:p w14:paraId="5C330F7E" w14:textId="77777777" w:rsidR="00D53CC4" w:rsidRPr="00294018" w:rsidRDefault="00D53CC4" w:rsidP="0060017F">
            <w:pPr>
              <w:jc w:val="center"/>
              <w:rPr>
                <w:rFonts w:ascii="Arial" w:hAnsi="Arial" w:cs="Arial"/>
                <w:b/>
                <w:bCs/>
                <w:color w:val="000000" w:themeColor="text1"/>
                <w:sz w:val="20"/>
                <w:szCs w:val="20"/>
              </w:rPr>
            </w:pPr>
            <w:r w:rsidRPr="00294018">
              <w:rPr>
                <w:rFonts w:ascii="Arial" w:hAnsi="Arial" w:cs="Arial"/>
                <w:b/>
                <w:bCs/>
                <w:color w:val="000000" w:themeColor="text1"/>
                <w:sz w:val="20"/>
                <w:szCs w:val="20"/>
              </w:rPr>
              <w:t>2025</w:t>
            </w:r>
          </w:p>
        </w:tc>
        <w:tc>
          <w:tcPr>
            <w:tcW w:w="846" w:type="dxa"/>
            <w:tcBorders>
              <w:top w:val="single" w:sz="4" w:space="0" w:color="auto"/>
              <w:left w:val="nil"/>
              <w:bottom w:val="single" w:sz="4" w:space="0" w:color="auto"/>
              <w:right w:val="nil"/>
            </w:tcBorders>
            <w:vAlign w:val="center"/>
            <w:hideMark/>
          </w:tcPr>
          <w:p w14:paraId="2DE63F3F" w14:textId="77777777" w:rsidR="00D53CC4" w:rsidRPr="00294018" w:rsidRDefault="00D53CC4" w:rsidP="0060017F">
            <w:pPr>
              <w:jc w:val="center"/>
              <w:rPr>
                <w:rFonts w:ascii="Arial" w:hAnsi="Arial" w:cs="Arial"/>
                <w:b/>
                <w:bCs/>
                <w:color w:val="000000" w:themeColor="text1"/>
                <w:sz w:val="20"/>
                <w:szCs w:val="20"/>
              </w:rPr>
            </w:pPr>
            <w:r w:rsidRPr="00294018">
              <w:rPr>
                <w:rFonts w:ascii="Arial" w:hAnsi="Arial" w:cs="Arial"/>
                <w:b/>
                <w:bCs/>
                <w:color w:val="000000" w:themeColor="text1"/>
                <w:sz w:val="20"/>
                <w:szCs w:val="20"/>
              </w:rPr>
              <w:t>2026</w:t>
            </w:r>
          </w:p>
        </w:tc>
      </w:tr>
      <w:tr w:rsidR="00D53CC4" w:rsidRPr="00294018" w14:paraId="23AD1730" w14:textId="77777777" w:rsidTr="0060017F">
        <w:trPr>
          <w:trHeight w:val="332"/>
          <w:jc w:val="center"/>
        </w:trPr>
        <w:tc>
          <w:tcPr>
            <w:tcW w:w="4807" w:type="dxa"/>
            <w:tcBorders>
              <w:top w:val="nil"/>
              <w:left w:val="nil"/>
              <w:bottom w:val="nil"/>
              <w:right w:val="nil"/>
            </w:tcBorders>
            <w:shd w:val="clear" w:color="auto" w:fill="FFFFFF"/>
            <w:noWrap/>
            <w:hideMark/>
          </w:tcPr>
          <w:p w14:paraId="492BE2DF" w14:textId="77777777" w:rsidR="00D53CC4" w:rsidRPr="00294018" w:rsidRDefault="00D53CC4" w:rsidP="0060017F">
            <w:pPr>
              <w:rPr>
                <w:rFonts w:ascii="Arial" w:hAnsi="Arial" w:cs="Arial"/>
                <w:color w:val="000000" w:themeColor="text1"/>
                <w:sz w:val="18"/>
                <w:szCs w:val="18"/>
              </w:rPr>
            </w:pPr>
            <w:r w:rsidRPr="00294018">
              <w:rPr>
                <w:rFonts w:ascii="Arial" w:hAnsi="Arial" w:cs="Arial"/>
                <w:color w:val="000000" w:themeColor="text1"/>
                <w:sz w:val="18"/>
                <w:szCs w:val="18"/>
              </w:rPr>
              <w:t>Mining of coal and lignite</w:t>
            </w:r>
          </w:p>
        </w:tc>
        <w:tc>
          <w:tcPr>
            <w:tcW w:w="845" w:type="dxa"/>
            <w:tcBorders>
              <w:top w:val="nil"/>
              <w:left w:val="nil"/>
              <w:bottom w:val="nil"/>
              <w:right w:val="nil"/>
            </w:tcBorders>
            <w:hideMark/>
          </w:tcPr>
          <w:p w14:paraId="33AB59C2"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11.9</w:t>
            </w:r>
          </w:p>
        </w:tc>
        <w:tc>
          <w:tcPr>
            <w:tcW w:w="846" w:type="dxa"/>
            <w:tcBorders>
              <w:top w:val="nil"/>
              <w:left w:val="nil"/>
              <w:bottom w:val="nil"/>
              <w:right w:val="nil"/>
            </w:tcBorders>
            <w:hideMark/>
          </w:tcPr>
          <w:p w14:paraId="4F9F2BA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-3.0</w:t>
            </w:r>
          </w:p>
        </w:tc>
        <w:tc>
          <w:tcPr>
            <w:tcW w:w="893" w:type="dxa"/>
            <w:tcBorders>
              <w:top w:val="nil"/>
              <w:left w:val="nil"/>
              <w:bottom w:val="nil"/>
              <w:right w:val="nil"/>
            </w:tcBorders>
            <w:hideMark/>
          </w:tcPr>
          <w:p w14:paraId="285AD77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-0.2</w:t>
            </w:r>
          </w:p>
        </w:tc>
        <w:tc>
          <w:tcPr>
            <w:tcW w:w="803" w:type="dxa"/>
            <w:tcBorders>
              <w:top w:val="nil"/>
              <w:left w:val="nil"/>
              <w:bottom w:val="nil"/>
              <w:right w:val="nil"/>
            </w:tcBorders>
            <w:hideMark/>
          </w:tcPr>
          <w:p w14:paraId="40091812"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3.4</w:t>
            </w:r>
          </w:p>
        </w:tc>
        <w:tc>
          <w:tcPr>
            <w:tcW w:w="846" w:type="dxa"/>
            <w:tcBorders>
              <w:top w:val="nil"/>
              <w:left w:val="nil"/>
              <w:bottom w:val="nil"/>
              <w:right w:val="nil"/>
            </w:tcBorders>
            <w:hideMark/>
          </w:tcPr>
          <w:p w14:paraId="37ED3F95"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-4.6</w:t>
            </w:r>
          </w:p>
        </w:tc>
      </w:tr>
      <w:tr w:rsidR="00D53CC4" w:rsidRPr="00294018" w14:paraId="1600FE4D" w14:textId="77777777" w:rsidTr="0060017F">
        <w:trPr>
          <w:trHeight w:val="332"/>
          <w:jc w:val="center"/>
        </w:trPr>
        <w:tc>
          <w:tcPr>
            <w:tcW w:w="4807" w:type="dxa"/>
            <w:tcBorders>
              <w:top w:val="nil"/>
              <w:left w:val="nil"/>
              <w:bottom w:val="nil"/>
              <w:right w:val="nil"/>
            </w:tcBorders>
            <w:shd w:val="clear" w:color="auto" w:fill="FFFFFF"/>
            <w:noWrap/>
            <w:hideMark/>
          </w:tcPr>
          <w:p w14:paraId="425F6108"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food products</w:t>
            </w:r>
          </w:p>
        </w:tc>
        <w:tc>
          <w:tcPr>
            <w:tcW w:w="845" w:type="dxa"/>
            <w:tcBorders>
              <w:top w:val="nil"/>
              <w:left w:val="nil"/>
              <w:bottom w:val="nil"/>
              <w:right w:val="nil"/>
            </w:tcBorders>
            <w:hideMark/>
          </w:tcPr>
          <w:p w14:paraId="601A4C84"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6.4</w:t>
            </w:r>
          </w:p>
        </w:tc>
        <w:tc>
          <w:tcPr>
            <w:tcW w:w="846" w:type="dxa"/>
            <w:tcBorders>
              <w:top w:val="nil"/>
              <w:left w:val="nil"/>
              <w:bottom w:val="nil"/>
              <w:right w:val="nil"/>
            </w:tcBorders>
            <w:hideMark/>
          </w:tcPr>
          <w:p w14:paraId="6BF65145"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3.5</w:t>
            </w:r>
          </w:p>
        </w:tc>
        <w:tc>
          <w:tcPr>
            <w:tcW w:w="893" w:type="dxa"/>
            <w:tcBorders>
              <w:top w:val="nil"/>
              <w:left w:val="nil"/>
              <w:bottom w:val="nil"/>
              <w:right w:val="nil"/>
            </w:tcBorders>
            <w:hideMark/>
          </w:tcPr>
          <w:p w14:paraId="6398C4CB"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5.7</w:t>
            </w:r>
          </w:p>
        </w:tc>
        <w:tc>
          <w:tcPr>
            <w:tcW w:w="803" w:type="dxa"/>
            <w:tcBorders>
              <w:top w:val="nil"/>
              <w:left w:val="nil"/>
              <w:bottom w:val="nil"/>
              <w:right w:val="nil"/>
            </w:tcBorders>
            <w:hideMark/>
          </w:tcPr>
          <w:p w14:paraId="76C27BFB"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10.3</w:t>
            </w:r>
          </w:p>
        </w:tc>
        <w:tc>
          <w:tcPr>
            <w:tcW w:w="846" w:type="dxa"/>
            <w:tcBorders>
              <w:top w:val="nil"/>
              <w:left w:val="nil"/>
              <w:bottom w:val="nil"/>
              <w:right w:val="nil"/>
            </w:tcBorders>
            <w:hideMark/>
          </w:tcPr>
          <w:p w14:paraId="1E1B3D07"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11.2</w:t>
            </w:r>
          </w:p>
        </w:tc>
      </w:tr>
      <w:tr w:rsidR="00D53CC4" w:rsidRPr="00294018" w14:paraId="731615DD" w14:textId="77777777" w:rsidTr="0060017F">
        <w:trPr>
          <w:trHeight w:val="335"/>
          <w:jc w:val="center"/>
        </w:trPr>
        <w:tc>
          <w:tcPr>
            <w:tcW w:w="4807" w:type="dxa"/>
            <w:tcBorders>
              <w:top w:val="nil"/>
              <w:left w:val="nil"/>
              <w:bottom w:val="nil"/>
              <w:right w:val="nil"/>
            </w:tcBorders>
            <w:shd w:val="clear" w:color="auto" w:fill="FFFFFF"/>
            <w:hideMark/>
          </w:tcPr>
          <w:p w14:paraId="3F2891C3"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beverages</w:t>
            </w:r>
          </w:p>
        </w:tc>
        <w:tc>
          <w:tcPr>
            <w:tcW w:w="845" w:type="dxa"/>
            <w:tcBorders>
              <w:top w:val="nil"/>
              <w:left w:val="nil"/>
              <w:bottom w:val="nil"/>
              <w:right w:val="nil"/>
            </w:tcBorders>
            <w:hideMark/>
          </w:tcPr>
          <w:p w14:paraId="126CABC0"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9.8</w:t>
            </w:r>
          </w:p>
        </w:tc>
        <w:tc>
          <w:tcPr>
            <w:tcW w:w="846" w:type="dxa"/>
            <w:tcBorders>
              <w:top w:val="nil"/>
              <w:left w:val="nil"/>
              <w:bottom w:val="nil"/>
              <w:right w:val="nil"/>
            </w:tcBorders>
            <w:hideMark/>
          </w:tcPr>
          <w:p w14:paraId="6E05AA48"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5.4</w:t>
            </w:r>
          </w:p>
        </w:tc>
        <w:tc>
          <w:tcPr>
            <w:tcW w:w="893" w:type="dxa"/>
            <w:tcBorders>
              <w:top w:val="nil"/>
              <w:left w:val="nil"/>
              <w:bottom w:val="nil"/>
              <w:right w:val="nil"/>
            </w:tcBorders>
            <w:hideMark/>
          </w:tcPr>
          <w:p w14:paraId="6A627B93"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0.2</w:t>
            </w:r>
          </w:p>
        </w:tc>
        <w:tc>
          <w:tcPr>
            <w:tcW w:w="803" w:type="dxa"/>
            <w:tcBorders>
              <w:top w:val="nil"/>
              <w:left w:val="nil"/>
              <w:bottom w:val="nil"/>
              <w:right w:val="nil"/>
            </w:tcBorders>
            <w:hideMark/>
          </w:tcPr>
          <w:p w14:paraId="5F2B9423"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0.6</w:t>
            </w:r>
          </w:p>
        </w:tc>
        <w:tc>
          <w:tcPr>
            <w:tcW w:w="846" w:type="dxa"/>
            <w:tcBorders>
              <w:top w:val="nil"/>
              <w:left w:val="nil"/>
              <w:bottom w:val="nil"/>
              <w:right w:val="nil"/>
            </w:tcBorders>
            <w:hideMark/>
          </w:tcPr>
          <w:p w14:paraId="25DEE57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15.1</w:t>
            </w:r>
          </w:p>
        </w:tc>
      </w:tr>
      <w:tr w:rsidR="00D53CC4" w:rsidRPr="00294018" w14:paraId="6A1E858F" w14:textId="77777777" w:rsidTr="0060017F">
        <w:trPr>
          <w:trHeight w:val="332"/>
          <w:jc w:val="center"/>
        </w:trPr>
        <w:tc>
          <w:tcPr>
            <w:tcW w:w="4807" w:type="dxa"/>
            <w:tcBorders>
              <w:top w:val="nil"/>
              <w:left w:val="nil"/>
              <w:bottom w:val="nil"/>
              <w:right w:val="nil"/>
            </w:tcBorders>
            <w:shd w:val="clear" w:color="auto" w:fill="FFFFFF"/>
            <w:noWrap/>
            <w:hideMark/>
          </w:tcPr>
          <w:p w14:paraId="3151C75B"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textiles</w:t>
            </w:r>
          </w:p>
        </w:tc>
        <w:tc>
          <w:tcPr>
            <w:tcW w:w="845" w:type="dxa"/>
            <w:tcBorders>
              <w:top w:val="nil"/>
              <w:left w:val="nil"/>
              <w:bottom w:val="nil"/>
              <w:right w:val="nil"/>
            </w:tcBorders>
            <w:hideMark/>
          </w:tcPr>
          <w:p w14:paraId="2959C281"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4.6</w:t>
            </w:r>
          </w:p>
        </w:tc>
        <w:tc>
          <w:tcPr>
            <w:tcW w:w="846" w:type="dxa"/>
            <w:tcBorders>
              <w:top w:val="nil"/>
              <w:left w:val="nil"/>
              <w:bottom w:val="nil"/>
              <w:right w:val="nil"/>
            </w:tcBorders>
            <w:hideMark/>
          </w:tcPr>
          <w:p w14:paraId="73879D8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-3.8</w:t>
            </w:r>
          </w:p>
        </w:tc>
        <w:tc>
          <w:tcPr>
            <w:tcW w:w="893" w:type="dxa"/>
            <w:tcBorders>
              <w:top w:val="nil"/>
              <w:left w:val="nil"/>
              <w:bottom w:val="nil"/>
              <w:right w:val="nil"/>
            </w:tcBorders>
            <w:hideMark/>
          </w:tcPr>
          <w:p w14:paraId="34B38655"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12.9</w:t>
            </w:r>
          </w:p>
        </w:tc>
        <w:tc>
          <w:tcPr>
            <w:tcW w:w="803" w:type="dxa"/>
            <w:tcBorders>
              <w:top w:val="nil"/>
              <w:left w:val="nil"/>
              <w:bottom w:val="nil"/>
              <w:right w:val="nil"/>
            </w:tcBorders>
            <w:hideMark/>
          </w:tcPr>
          <w:p w14:paraId="66354491"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9.0</w:t>
            </w:r>
          </w:p>
        </w:tc>
        <w:tc>
          <w:tcPr>
            <w:tcW w:w="846" w:type="dxa"/>
            <w:tcBorders>
              <w:top w:val="nil"/>
              <w:left w:val="nil"/>
              <w:bottom w:val="nil"/>
              <w:right w:val="nil"/>
            </w:tcBorders>
            <w:hideMark/>
          </w:tcPr>
          <w:p w14:paraId="249458C7"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9.3</w:t>
            </w:r>
          </w:p>
        </w:tc>
      </w:tr>
      <w:tr w:rsidR="00D53CC4" w:rsidRPr="00294018" w14:paraId="5364F375" w14:textId="77777777" w:rsidTr="0060017F">
        <w:trPr>
          <w:trHeight w:val="332"/>
          <w:jc w:val="center"/>
        </w:trPr>
        <w:tc>
          <w:tcPr>
            <w:tcW w:w="4807" w:type="dxa"/>
            <w:tcBorders>
              <w:top w:val="nil"/>
              <w:left w:val="nil"/>
              <w:bottom w:val="nil"/>
              <w:right w:val="nil"/>
            </w:tcBorders>
            <w:shd w:val="clear" w:color="auto" w:fill="FFFFFF"/>
            <w:noWrap/>
            <w:hideMark/>
          </w:tcPr>
          <w:p w14:paraId="2FF6B2CA"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paper and paper products</w:t>
            </w:r>
          </w:p>
        </w:tc>
        <w:tc>
          <w:tcPr>
            <w:tcW w:w="845" w:type="dxa"/>
            <w:tcBorders>
              <w:top w:val="nil"/>
              <w:left w:val="nil"/>
              <w:bottom w:val="nil"/>
              <w:right w:val="nil"/>
            </w:tcBorders>
            <w:hideMark/>
          </w:tcPr>
          <w:p w14:paraId="2635C22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7.1</w:t>
            </w:r>
          </w:p>
        </w:tc>
        <w:tc>
          <w:tcPr>
            <w:tcW w:w="846" w:type="dxa"/>
            <w:tcBorders>
              <w:top w:val="nil"/>
              <w:left w:val="nil"/>
              <w:bottom w:val="nil"/>
              <w:right w:val="nil"/>
            </w:tcBorders>
            <w:hideMark/>
          </w:tcPr>
          <w:p w14:paraId="77672D88"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-8.1</w:t>
            </w:r>
          </w:p>
        </w:tc>
        <w:tc>
          <w:tcPr>
            <w:tcW w:w="893" w:type="dxa"/>
            <w:tcBorders>
              <w:top w:val="nil"/>
              <w:left w:val="nil"/>
              <w:bottom w:val="nil"/>
              <w:right w:val="nil"/>
            </w:tcBorders>
            <w:hideMark/>
          </w:tcPr>
          <w:p w14:paraId="4C4ABDE8"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9.3</w:t>
            </w:r>
          </w:p>
        </w:tc>
        <w:tc>
          <w:tcPr>
            <w:tcW w:w="803" w:type="dxa"/>
            <w:tcBorders>
              <w:top w:val="nil"/>
              <w:left w:val="nil"/>
              <w:bottom w:val="nil"/>
              <w:right w:val="nil"/>
            </w:tcBorders>
            <w:hideMark/>
          </w:tcPr>
          <w:p w14:paraId="6A643EBA"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8.8</w:t>
            </w:r>
          </w:p>
        </w:tc>
        <w:tc>
          <w:tcPr>
            <w:tcW w:w="846" w:type="dxa"/>
            <w:tcBorders>
              <w:top w:val="nil"/>
              <w:left w:val="nil"/>
              <w:bottom w:val="nil"/>
              <w:right w:val="nil"/>
            </w:tcBorders>
            <w:hideMark/>
          </w:tcPr>
          <w:p w14:paraId="22C7506C"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10.7</w:t>
            </w:r>
          </w:p>
        </w:tc>
      </w:tr>
      <w:tr w:rsidR="00D53CC4" w:rsidRPr="00294018" w14:paraId="47BB0191" w14:textId="77777777" w:rsidTr="0060017F">
        <w:trPr>
          <w:trHeight w:val="332"/>
          <w:jc w:val="center"/>
        </w:trPr>
        <w:tc>
          <w:tcPr>
            <w:tcW w:w="4807" w:type="dxa"/>
            <w:tcBorders>
              <w:top w:val="nil"/>
              <w:left w:val="nil"/>
              <w:bottom w:val="nil"/>
              <w:right w:val="nil"/>
            </w:tcBorders>
            <w:shd w:val="clear" w:color="auto" w:fill="FFFFFF"/>
            <w:noWrap/>
            <w:hideMark/>
          </w:tcPr>
          <w:p w14:paraId="62DCC07E"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chemicals and chemical products</w:t>
            </w:r>
          </w:p>
        </w:tc>
        <w:tc>
          <w:tcPr>
            <w:tcW w:w="845" w:type="dxa"/>
            <w:tcBorders>
              <w:top w:val="nil"/>
              <w:left w:val="nil"/>
              <w:bottom w:val="nil"/>
              <w:right w:val="nil"/>
            </w:tcBorders>
            <w:hideMark/>
          </w:tcPr>
          <w:p w14:paraId="49D19EA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3.5</w:t>
            </w:r>
          </w:p>
        </w:tc>
        <w:tc>
          <w:tcPr>
            <w:tcW w:w="846" w:type="dxa"/>
            <w:tcBorders>
              <w:top w:val="nil"/>
              <w:left w:val="nil"/>
              <w:bottom w:val="nil"/>
              <w:right w:val="nil"/>
            </w:tcBorders>
            <w:hideMark/>
          </w:tcPr>
          <w:p w14:paraId="09C14B30"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3.5</w:t>
            </w:r>
          </w:p>
        </w:tc>
        <w:tc>
          <w:tcPr>
            <w:tcW w:w="893" w:type="dxa"/>
            <w:tcBorders>
              <w:top w:val="nil"/>
              <w:left w:val="nil"/>
              <w:bottom w:val="nil"/>
              <w:right w:val="nil"/>
            </w:tcBorders>
            <w:hideMark/>
          </w:tcPr>
          <w:p w14:paraId="576E18F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20.4</w:t>
            </w:r>
          </w:p>
        </w:tc>
        <w:tc>
          <w:tcPr>
            <w:tcW w:w="803" w:type="dxa"/>
            <w:tcBorders>
              <w:top w:val="nil"/>
              <w:left w:val="nil"/>
              <w:bottom w:val="nil"/>
              <w:right w:val="nil"/>
            </w:tcBorders>
            <w:hideMark/>
          </w:tcPr>
          <w:p w14:paraId="35C0EC90"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6.4</w:t>
            </w:r>
          </w:p>
        </w:tc>
        <w:tc>
          <w:tcPr>
            <w:tcW w:w="846" w:type="dxa"/>
            <w:tcBorders>
              <w:top w:val="nil"/>
              <w:left w:val="nil"/>
              <w:bottom w:val="nil"/>
              <w:right w:val="nil"/>
            </w:tcBorders>
            <w:hideMark/>
          </w:tcPr>
          <w:p w14:paraId="45401D90"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16.9</w:t>
            </w:r>
          </w:p>
        </w:tc>
      </w:tr>
      <w:tr w:rsidR="00D53CC4" w:rsidRPr="00294018" w14:paraId="028E60EC" w14:textId="77777777" w:rsidTr="0060017F">
        <w:trPr>
          <w:trHeight w:val="332"/>
          <w:jc w:val="center"/>
        </w:trPr>
        <w:tc>
          <w:tcPr>
            <w:tcW w:w="4807" w:type="dxa"/>
            <w:tcBorders>
              <w:top w:val="nil"/>
              <w:left w:val="nil"/>
              <w:bottom w:val="nil"/>
              <w:right w:val="nil"/>
            </w:tcBorders>
            <w:shd w:val="clear" w:color="auto" w:fill="FFFFFF"/>
            <w:noWrap/>
            <w:hideMark/>
          </w:tcPr>
          <w:p w14:paraId="6C37F2DC"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lastRenderedPageBreak/>
              <w:t>Manufacture of rubber and plastic products</w:t>
            </w:r>
          </w:p>
        </w:tc>
        <w:tc>
          <w:tcPr>
            <w:tcW w:w="845" w:type="dxa"/>
            <w:tcBorders>
              <w:top w:val="nil"/>
              <w:left w:val="nil"/>
              <w:bottom w:val="nil"/>
              <w:right w:val="nil"/>
            </w:tcBorders>
            <w:hideMark/>
          </w:tcPr>
          <w:p w14:paraId="396CE44C"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-12.3</w:t>
            </w:r>
          </w:p>
        </w:tc>
        <w:tc>
          <w:tcPr>
            <w:tcW w:w="846" w:type="dxa"/>
            <w:tcBorders>
              <w:top w:val="nil"/>
              <w:left w:val="nil"/>
              <w:bottom w:val="nil"/>
              <w:right w:val="nil"/>
            </w:tcBorders>
            <w:hideMark/>
          </w:tcPr>
          <w:p w14:paraId="217F138C"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6.8</w:t>
            </w:r>
          </w:p>
        </w:tc>
        <w:tc>
          <w:tcPr>
            <w:tcW w:w="893" w:type="dxa"/>
            <w:tcBorders>
              <w:top w:val="nil"/>
              <w:left w:val="nil"/>
              <w:bottom w:val="nil"/>
              <w:right w:val="nil"/>
            </w:tcBorders>
            <w:hideMark/>
          </w:tcPr>
          <w:p w14:paraId="231DB6D5"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27.9</w:t>
            </w:r>
          </w:p>
        </w:tc>
        <w:tc>
          <w:tcPr>
            <w:tcW w:w="803" w:type="dxa"/>
            <w:tcBorders>
              <w:top w:val="nil"/>
              <w:left w:val="nil"/>
              <w:bottom w:val="nil"/>
              <w:right w:val="nil"/>
            </w:tcBorders>
            <w:hideMark/>
          </w:tcPr>
          <w:p w14:paraId="45FBBC1B"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16.4</w:t>
            </w:r>
          </w:p>
        </w:tc>
        <w:tc>
          <w:tcPr>
            <w:tcW w:w="846" w:type="dxa"/>
            <w:tcBorders>
              <w:top w:val="nil"/>
              <w:left w:val="nil"/>
              <w:bottom w:val="nil"/>
              <w:right w:val="nil"/>
            </w:tcBorders>
            <w:hideMark/>
          </w:tcPr>
          <w:p w14:paraId="656C3086"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10.9</w:t>
            </w:r>
          </w:p>
        </w:tc>
      </w:tr>
      <w:tr w:rsidR="00D53CC4" w:rsidRPr="00294018" w14:paraId="6320DD23" w14:textId="77777777" w:rsidTr="0060017F">
        <w:trPr>
          <w:trHeight w:val="332"/>
          <w:jc w:val="center"/>
        </w:trPr>
        <w:tc>
          <w:tcPr>
            <w:tcW w:w="4807" w:type="dxa"/>
            <w:tcBorders>
              <w:top w:val="nil"/>
              <w:left w:val="nil"/>
              <w:bottom w:val="nil"/>
              <w:right w:val="nil"/>
            </w:tcBorders>
            <w:shd w:val="clear" w:color="auto" w:fill="FFFFFF"/>
            <w:noWrap/>
            <w:hideMark/>
          </w:tcPr>
          <w:p w14:paraId="2B28E1DA"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other non-metallic mineral products</w:t>
            </w:r>
          </w:p>
        </w:tc>
        <w:tc>
          <w:tcPr>
            <w:tcW w:w="845" w:type="dxa"/>
            <w:tcBorders>
              <w:top w:val="nil"/>
              <w:left w:val="nil"/>
              <w:bottom w:val="nil"/>
              <w:right w:val="nil"/>
            </w:tcBorders>
            <w:hideMark/>
          </w:tcPr>
          <w:p w14:paraId="5A6D30CD"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6.3</w:t>
            </w:r>
          </w:p>
        </w:tc>
        <w:tc>
          <w:tcPr>
            <w:tcW w:w="846" w:type="dxa"/>
            <w:tcBorders>
              <w:top w:val="nil"/>
              <w:left w:val="nil"/>
              <w:bottom w:val="nil"/>
              <w:right w:val="nil"/>
            </w:tcBorders>
            <w:hideMark/>
          </w:tcPr>
          <w:p w14:paraId="29F619B1"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-5.0</w:t>
            </w:r>
          </w:p>
        </w:tc>
        <w:tc>
          <w:tcPr>
            <w:tcW w:w="893" w:type="dxa"/>
            <w:tcBorders>
              <w:top w:val="nil"/>
              <w:left w:val="nil"/>
              <w:bottom w:val="nil"/>
              <w:right w:val="nil"/>
            </w:tcBorders>
            <w:hideMark/>
          </w:tcPr>
          <w:p w14:paraId="61446062"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-3.2</w:t>
            </w:r>
          </w:p>
        </w:tc>
        <w:tc>
          <w:tcPr>
            <w:tcW w:w="803" w:type="dxa"/>
            <w:tcBorders>
              <w:top w:val="nil"/>
              <w:left w:val="nil"/>
              <w:bottom w:val="nil"/>
              <w:right w:val="nil"/>
            </w:tcBorders>
            <w:hideMark/>
          </w:tcPr>
          <w:p w14:paraId="17327B93"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11.6</w:t>
            </w:r>
          </w:p>
        </w:tc>
        <w:tc>
          <w:tcPr>
            <w:tcW w:w="846" w:type="dxa"/>
            <w:tcBorders>
              <w:top w:val="nil"/>
              <w:left w:val="nil"/>
              <w:bottom w:val="nil"/>
              <w:right w:val="nil"/>
            </w:tcBorders>
            <w:hideMark/>
          </w:tcPr>
          <w:p w14:paraId="06BB866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16.2</w:t>
            </w:r>
          </w:p>
        </w:tc>
      </w:tr>
      <w:tr w:rsidR="00D53CC4" w:rsidRPr="00294018" w14:paraId="225A0B46" w14:textId="77777777" w:rsidTr="0060017F">
        <w:trPr>
          <w:trHeight w:val="332"/>
          <w:jc w:val="center"/>
        </w:trPr>
        <w:tc>
          <w:tcPr>
            <w:tcW w:w="4807" w:type="dxa"/>
            <w:tcBorders>
              <w:top w:val="nil"/>
              <w:left w:val="nil"/>
              <w:bottom w:val="nil"/>
              <w:right w:val="nil"/>
            </w:tcBorders>
            <w:shd w:val="clear" w:color="auto" w:fill="FFFFFF"/>
            <w:noWrap/>
            <w:hideMark/>
          </w:tcPr>
          <w:p w14:paraId="7ED063E0"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basic metals</w:t>
            </w:r>
          </w:p>
        </w:tc>
        <w:tc>
          <w:tcPr>
            <w:tcW w:w="845" w:type="dxa"/>
            <w:tcBorders>
              <w:top w:val="nil"/>
              <w:left w:val="nil"/>
              <w:bottom w:val="nil"/>
              <w:right w:val="nil"/>
            </w:tcBorders>
            <w:hideMark/>
          </w:tcPr>
          <w:p w14:paraId="1B947240"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3.1</w:t>
            </w:r>
          </w:p>
        </w:tc>
        <w:tc>
          <w:tcPr>
            <w:tcW w:w="846" w:type="dxa"/>
            <w:tcBorders>
              <w:top w:val="nil"/>
              <w:left w:val="nil"/>
              <w:bottom w:val="nil"/>
              <w:right w:val="nil"/>
            </w:tcBorders>
            <w:hideMark/>
          </w:tcPr>
          <w:p w14:paraId="28EFCE0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-6.1</w:t>
            </w:r>
          </w:p>
        </w:tc>
        <w:tc>
          <w:tcPr>
            <w:tcW w:w="893" w:type="dxa"/>
            <w:tcBorders>
              <w:top w:val="nil"/>
              <w:left w:val="nil"/>
              <w:bottom w:val="nil"/>
              <w:right w:val="nil"/>
            </w:tcBorders>
            <w:hideMark/>
          </w:tcPr>
          <w:p w14:paraId="12C0A988"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12.7</w:t>
            </w:r>
          </w:p>
        </w:tc>
        <w:tc>
          <w:tcPr>
            <w:tcW w:w="803" w:type="dxa"/>
            <w:tcBorders>
              <w:top w:val="nil"/>
              <w:left w:val="nil"/>
              <w:bottom w:val="nil"/>
              <w:right w:val="nil"/>
            </w:tcBorders>
            <w:hideMark/>
          </w:tcPr>
          <w:p w14:paraId="043493F6"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9.6</w:t>
            </w:r>
          </w:p>
        </w:tc>
        <w:tc>
          <w:tcPr>
            <w:tcW w:w="846" w:type="dxa"/>
            <w:tcBorders>
              <w:top w:val="nil"/>
              <w:left w:val="nil"/>
              <w:bottom w:val="nil"/>
              <w:right w:val="nil"/>
            </w:tcBorders>
            <w:hideMark/>
          </w:tcPr>
          <w:p w14:paraId="701CF7C4"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20.2</w:t>
            </w:r>
          </w:p>
        </w:tc>
      </w:tr>
      <w:tr w:rsidR="00D53CC4" w:rsidRPr="00294018" w14:paraId="16339D80" w14:textId="77777777" w:rsidTr="0060017F">
        <w:trPr>
          <w:trHeight w:val="332"/>
          <w:jc w:val="center"/>
        </w:trPr>
        <w:tc>
          <w:tcPr>
            <w:tcW w:w="4807" w:type="dxa"/>
            <w:tcBorders>
              <w:top w:val="nil"/>
              <w:left w:val="nil"/>
              <w:bottom w:val="nil"/>
              <w:right w:val="nil"/>
            </w:tcBorders>
            <w:shd w:val="clear" w:color="auto" w:fill="FFFFFF"/>
            <w:noWrap/>
            <w:hideMark/>
          </w:tcPr>
          <w:p w14:paraId="736F33A6" w14:textId="415C6460" w:rsidR="00D53CC4" w:rsidRPr="00294018" w:rsidRDefault="00DA5ABF" w:rsidP="0060017F">
            <w:pPr>
              <w:rPr>
                <w:rFonts w:ascii="Arial" w:hAnsi="Arial" w:cs="Arial"/>
                <w:color w:val="000000" w:themeColor="text1"/>
                <w:sz w:val="18"/>
                <w:szCs w:val="18"/>
              </w:rPr>
            </w:pPr>
            <w:r w:rsidRPr="00294018">
              <w:rPr>
                <w:rFonts w:ascii="Arial" w:hAnsi="Arial" w:cs="Arial"/>
                <w:sz w:val="18"/>
                <w:szCs w:val="18"/>
              </w:rPr>
              <w:t>Manufacture of fabricated metal products (except machinery and equipment)</w:t>
            </w:r>
          </w:p>
        </w:tc>
        <w:tc>
          <w:tcPr>
            <w:tcW w:w="845" w:type="dxa"/>
            <w:tcBorders>
              <w:top w:val="nil"/>
              <w:left w:val="nil"/>
              <w:bottom w:val="nil"/>
              <w:right w:val="nil"/>
            </w:tcBorders>
            <w:hideMark/>
          </w:tcPr>
          <w:p w14:paraId="0C1D627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10.7</w:t>
            </w:r>
          </w:p>
        </w:tc>
        <w:tc>
          <w:tcPr>
            <w:tcW w:w="846" w:type="dxa"/>
            <w:tcBorders>
              <w:top w:val="nil"/>
              <w:left w:val="nil"/>
              <w:bottom w:val="nil"/>
              <w:right w:val="nil"/>
            </w:tcBorders>
            <w:hideMark/>
          </w:tcPr>
          <w:p w14:paraId="5E582090"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2.6</w:t>
            </w:r>
          </w:p>
        </w:tc>
        <w:tc>
          <w:tcPr>
            <w:tcW w:w="893" w:type="dxa"/>
            <w:tcBorders>
              <w:top w:val="nil"/>
              <w:left w:val="nil"/>
              <w:bottom w:val="nil"/>
              <w:right w:val="nil"/>
            </w:tcBorders>
            <w:hideMark/>
          </w:tcPr>
          <w:p w14:paraId="75E61544"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12.0</w:t>
            </w:r>
          </w:p>
        </w:tc>
        <w:tc>
          <w:tcPr>
            <w:tcW w:w="803" w:type="dxa"/>
            <w:tcBorders>
              <w:top w:val="nil"/>
              <w:left w:val="nil"/>
              <w:bottom w:val="nil"/>
              <w:right w:val="nil"/>
            </w:tcBorders>
            <w:hideMark/>
          </w:tcPr>
          <w:p w14:paraId="16CAD38F"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11.1</w:t>
            </w:r>
          </w:p>
        </w:tc>
        <w:tc>
          <w:tcPr>
            <w:tcW w:w="846" w:type="dxa"/>
            <w:tcBorders>
              <w:top w:val="nil"/>
              <w:left w:val="nil"/>
              <w:bottom w:val="nil"/>
              <w:right w:val="nil"/>
            </w:tcBorders>
            <w:hideMark/>
          </w:tcPr>
          <w:p w14:paraId="7E22C02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9.6</w:t>
            </w:r>
          </w:p>
        </w:tc>
      </w:tr>
      <w:tr w:rsidR="00D53CC4" w:rsidRPr="00294018" w14:paraId="0403EB17" w14:textId="77777777" w:rsidTr="0060017F">
        <w:trPr>
          <w:trHeight w:val="332"/>
          <w:jc w:val="center"/>
        </w:trPr>
        <w:tc>
          <w:tcPr>
            <w:tcW w:w="4807" w:type="dxa"/>
            <w:tcBorders>
              <w:top w:val="nil"/>
              <w:left w:val="nil"/>
              <w:bottom w:val="nil"/>
              <w:right w:val="nil"/>
            </w:tcBorders>
            <w:shd w:val="clear" w:color="auto" w:fill="FFFFFF"/>
            <w:noWrap/>
            <w:hideMark/>
          </w:tcPr>
          <w:p w14:paraId="552DE37B" w14:textId="5B4C8572" w:rsidR="00D53CC4" w:rsidRPr="00294018" w:rsidRDefault="00DA5ABF" w:rsidP="0060017F">
            <w:pPr>
              <w:rPr>
                <w:rFonts w:ascii="Arial" w:hAnsi="Arial" w:cs="Arial"/>
                <w:color w:val="000000" w:themeColor="text1"/>
                <w:sz w:val="18"/>
                <w:szCs w:val="18"/>
              </w:rPr>
            </w:pPr>
            <w:r w:rsidRPr="00294018">
              <w:rPr>
                <w:rFonts w:ascii="Arial" w:hAnsi="Arial" w:cs="Arial"/>
                <w:sz w:val="18"/>
                <w:szCs w:val="18"/>
              </w:rPr>
              <w:t>Manufacture of computer, electronic and optical products</w:t>
            </w:r>
          </w:p>
        </w:tc>
        <w:tc>
          <w:tcPr>
            <w:tcW w:w="845" w:type="dxa"/>
            <w:tcBorders>
              <w:top w:val="nil"/>
              <w:left w:val="nil"/>
              <w:bottom w:val="nil"/>
              <w:right w:val="nil"/>
            </w:tcBorders>
            <w:hideMark/>
          </w:tcPr>
          <w:p w14:paraId="5C7CD76C"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11.0</w:t>
            </w:r>
          </w:p>
        </w:tc>
        <w:tc>
          <w:tcPr>
            <w:tcW w:w="846" w:type="dxa"/>
            <w:tcBorders>
              <w:top w:val="nil"/>
              <w:left w:val="nil"/>
              <w:bottom w:val="nil"/>
              <w:right w:val="nil"/>
            </w:tcBorders>
            <w:hideMark/>
          </w:tcPr>
          <w:p w14:paraId="3C61401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-5.3</w:t>
            </w:r>
          </w:p>
        </w:tc>
        <w:tc>
          <w:tcPr>
            <w:tcW w:w="893" w:type="dxa"/>
            <w:tcBorders>
              <w:top w:val="nil"/>
              <w:left w:val="nil"/>
              <w:bottom w:val="nil"/>
              <w:right w:val="nil"/>
            </w:tcBorders>
            <w:hideMark/>
          </w:tcPr>
          <w:p w14:paraId="79E4CE34"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6.4</w:t>
            </w:r>
          </w:p>
        </w:tc>
        <w:tc>
          <w:tcPr>
            <w:tcW w:w="803" w:type="dxa"/>
            <w:tcBorders>
              <w:top w:val="nil"/>
              <w:left w:val="nil"/>
              <w:bottom w:val="nil"/>
              <w:right w:val="nil"/>
            </w:tcBorders>
            <w:hideMark/>
          </w:tcPr>
          <w:p w14:paraId="59C799E6"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9.8</w:t>
            </w:r>
          </w:p>
        </w:tc>
        <w:tc>
          <w:tcPr>
            <w:tcW w:w="846" w:type="dxa"/>
            <w:tcBorders>
              <w:top w:val="nil"/>
              <w:left w:val="nil"/>
              <w:bottom w:val="nil"/>
              <w:right w:val="nil"/>
            </w:tcBorders>
            <w:hideMark/>
          </w:tcPr>
          <w:p w14:paraId="5967F3E1"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7.5</w:t>
            </w:r>
          </w:p>
        </w:tc>
      </w:tr>
      <w:tr w:rsidR="00D53CC4" w:rsidRPr="00294018" w14:paraId="4836758E" w14:textId="77777777" w:rsidTr="0060017F">
        <w:trPr>
          <w:trHeight w:val="332"/>
          <w:jc w:val="center"/>
        </w:trPr>
        <w:tc>
          <w:tcPr>
            <w:tcW w:w="4807" w:type="dxa"/>
            <w:tcBorders>
              <w:top w:val="nil"/>
              <w:left w:val="nil"/>
              <w:bottom w:val="nil"/>
              <w:right w:val="nil"/>
            </w:tcBorders>
            <w:shd w:val="clear" w:color="auto" w:fill="FFFFFF"/>
            <w:noWrap/>
            <w:hideMark/>
          </w:tcPr>
          <w:p w14:paraId="255E777F"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motor vehicles</w:t>
            </w:r>
          </w:p>
        </w:tc>
        <w:tc>
          <w:tcPr>
            <w:tcW w:w="845" w:type="dxa"/>
            <w:tcBorders>
              <w:top w:val="nil"/>
              <w:left w:val="nil"/>
              <w:bottom w:val="nil"/>
              <w:right w:val="nil"/>
            </w:tcBorders>
            <w:hideMark/>
          </w:tcPr>
          <w:p w14:paraId="341B0812"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1.8</w:t>
            </w:r>
          </w:p>
        </w:tc>
        <w:tc>
          <w:tcPr>
            <w:tcW w:w="846" w:type="dxa"/>
            <w:tcBorders>
              <w:top w:val="nil"/>
              <w:left w:val="nil"/>
              <w:bottom w:val="nil"/>
              <w:right w:val="nil"/>
            </w:tcBorders>
            <w:hideMark/>
          </w:tcPr>
          <w:p w14:paraId="0C117894"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-9.5</w:t>
            </w:r>
          </w:p>
        </w:tc>
        <w:tc>
          <w:tcPr>
            <w:tcW w:w="893" w:type="dxa"/>
            <w:tcBorders>
              <w:top w:val="nil"/>
              <w:left w:val="nil"/>
              <w:bottom w:val="nil"/>
              <w:right w:val="nil"/>
            </w:tcBorders>
            <w:hideMark/>
          </w:tcPr>
          <w:p w14:paraId="154B77AC"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4.4</w:t>
            </w:r>
          </w:p>
        </w:tc>
        <w:tc>
          <w:tcPr>
            <w:tcW w:w="803" w:type="dxa"/>
            <w:tcBorders>
              <w:top w:val="nil"/>
              <w:left w:val="nil"/>
              <w:bottom w:val="nil"/>
              <w:right w:val="nil"/>
            </w:tcBorders>
            <w:hideMark/>
          </w:tcPr>
          <w:p w14:paraId="0B3AB3EA"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30.9</w:t>
            </w:r>
          </w:p>
        </w:tc>
        <w:tc>
          <w:tcPr>
            <w:tcW w:w="846" w:type="dxa"/>
            <w:tcBorders>
              <w:top w:val="nil"/>
              <w:left w:val="nil"/>
              <w:bottom w:val="nil"/>
              <w:right w:val="nil"/>
            </w:tcBorders>
            <w:hideMark/>
          </w:tcPr>
          <w:p w14:paraId="6614D4D9"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18.0</w:t>
            </w:r>
          </w:p>
        </w:tc>
      </w:tr>
      <w:tr w:rsidR="00D53CC4" w:rsidRPr="00294018" w14:paraId="5AE86981" w14:textId="77777777" w:rsidTr="0060017F">
        <w:trPr>
          <w:trHeight w:val="332"/>
          <w:jc w:val="center"/>
        </w:trPr>
        <w:tc>
          <w:tcPr>
            <w:tcW w:w="4807" w:type="dxa"/>
            <w:tcBorders>
              <w:top w:val="nil"/>
              <w:left w:val="nil"/>
              <w:bottom w:val="nil"/>
              <w:right w:val="nil"/>
            </w:tcBorders>
            <w:shd w:val="clear" w:color="auto" w:fill="FFFFFF"/>
            <w:noWrap/>
            <w:hideMark/>
          </w:tcPr>
          <w:p w14:paraId="6C489190"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other transport equipment</w:t>
            </w:r>
          </w:p>
        </w:tc>
        <w:tc>
          <w:tcPr>
            <w:tcW w:w="845" w:type="dxa"/>
            <w:tcBorders>
              <w:top w:val="nil"/>
              <w:left w:val="nil"/>
              <w:bottom w:val="nil"/>
              <w:right w:val="nil"/>
            </w:tcBorders>
            <w:hideMark/>
          </w:tcPr>
          <w:p w14:paraId="37053E5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2.6</w:t>
            </w:r>
          </w:p>
        </w:tc>
        <w:tc>
          <w:tcPr>
            <w:tcW w:w="846" w:type="dxa"/>
            <w:tcBorders>
              <w:top w:val="nil"/>
              <w:left w:val="nil"/>
              <w:bottom w:val="nil"/>
              <w:right w:val="nil"/>
            </w:tcBorders>
            <w:hideMark/>
          </w:tcPr>
          <w:p w14:paraId="5F367C21"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-5.6</w:t>
            </w:r>
          </w:p>
        </w:tc>
        <w:tc>
          <w:tcPr>
            <w:tcW w:w="893" w:type="dxa"/>
            <w:tcBorders>
              <w:top w:val="nil"/>
              <w:left w:val="nil"/>
              <w:bottom w:val="nil"/>
              <w:right w:val="nil"/>
            </w:tcBorders>
            <w:hideMark/>
          </w:tcPr>
          <w:p w14:paraId="4844F1FA"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-5.4</w:t>
            </w:r>
          </w:p>
        </w:tc>
        <w:tc>
          <w:tcPr>
            <w:tcW w:w="803" w:type="dxa"/>
            <w:tcBorders>
              <w:top w:val="nil"/>
              <w:left w:val="nil"/>
              <w:bottom w:val="nil"/>
              <w:right w:val="nil"/>
            </w:tcBorders>
            <w:hideMark/>
          </w:tcPr>
          <w:p w14:paraId="1803E48E"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15.9</w:t>
            </w:r>
          </w:p>
        </w:tc>
        <w:tc>
          <w:tcPr>
            <w:tcW w:w="846" w:type="dxa"/>
            <w:tcBorders>
              <w:top w:val="nil"/>
              <w:left w:val="nil"/>
              <w:bottom w:val="nil"/>
              <w:right w:val="nil"/>
            </w:tcBorders>
            <w:hideMark/>
          </w:tcPr>
          <w:p w14:paraId="6863E22B"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-1.0</w:t>
            </w:r>
          </w:p>
        </w:tc>
      </w:tr>
      <w:tr w:rsidR="00D53CC4" w:rsidRPr="00294018" w14:paraId="7C9E63EE" w14:textId="77777777" w:rsidTr="0060017F">
        <w:trPr>
          <w:trHeight w:val="332"/>
          <w:jc w:val="center"/>
        </w:trPr>
        <w:tc>
          <w:tcPr>
            <w:tcW w:w="4807" w:type="dxa"/>
            <w:tcBorders>
              <w:top w:val="nil"/>
              <w:left w:val="nil"/>
              <w:bottom w:val="single" w:sz="4" w:space="0" w:color="auto"/>
              <w:right w:val="nil"/>
            </w:tcBorders>
            <w:shd w:val="clear" w:color="auto" w:fill="FFFFFF"/>
            <w:noWrap/>
            <w:hideMark/>
          </w:tcPr>
          <w:p w14:paraId="21246A8F" w14:textId="77777777" w:rsidR="00D53CC4" w:rsidRPr="00294018" w:rsidRDefault="00D53CC4" w:rsidP="0060017F">
            <w:pPr>
              <w:rPr>
                <w:rFonts w:ascii="Arial" w:hAnsi="Arial" w:cs="Arial"/>
                <w:color w:val="000000" w:themeColor="text1"/>
                <w:sz w:val="18"/>
                <w:szCs w:val="18"/>
              </w:rPr>
            </w:pPr>
            <w:r w:rsidRPr="00294018">
              <w:rPr>
                <w:rFonts w:ascii="Arial" w:hAnsi="Arial" w:cs="Arial"/>
                <w:sz w:val="18"/>
                <w:szCs w:val="18"/>
              </w:rPr>
              <w:t>Manufacture of furniture</w:t>
            </w:r>
          </w:p>
        </w:tc>
        <w:tc>
          <w:tcPr>
            <w:tcW w:w="845" w:type="dxa"/>
            <w:tcBorders>
              <w:top w:val="nil"/>
              <w:left w:val="nil"/>
              <w:bottom w:val="single" w:sz="4" w:space="0" w:color="auto"/>
              <w:right w:val="nil"/>
            </w:tcBorders>
            <w:hideMark/>
          </w:tcPr>
          <w:p w14:paraId="0D18AA9F"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4.7</w:t>
            </w:r>
          </w:p>
        </w:tc>
        <w:tc>
          <w:tcPr>
            <w:tcW w:w="846" w:type="dxa"/>
            <w:tcBorders>
              <w:top w:val="nil"/>
              <w:left w:val="nil"/>
              <w:bottom w:val="single" w:sz="4" w:space="0" w:color="auto"/>
              <w:right w:val="nil"/>
            </w:tcBorders>
            <w:hideMark/>
          </w:tcPr>
          <w:p w14:paraId="065651DC"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-3.7</w:t>
            </w:r>
          </w:p>
        </w:tc>
        <w:tc>
          <w:tcPr>
            <w:tcW w:w="893" w:type="dxa"/>
            <w:tcBorders>
              <w:top w:val="nil"/>
              <w:left w:val="nil"/>
              <w:bottom w:val="single" w:sz="4" w:space="0" w:color="auto"/>
              <w:right w:val="nil"/>
            </w:tcBorders>
            <w:hideMark/>
          </w:tcPr>
          <w:p w14:paraId="388F0BF6"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19.9</w:t>
            </w:r>
          </w:p>
        </w:tc>
        <w:tc>
          <w:tcPr>
            <w:tcW w:w="803" w:type="dxa"/>
            <w:tcBorders>
              <w:top w:val="nil"/>
              <w:left w:val="nil"/>
              <w:bottom w:val="single" w:sz="4" w:space="0" w:color="auto"/>
              <w:right w:val="nil"/>
            </w:tcBorders>
            <w:hideMark/>
          </w:tcPr>
          <w:p w14:paraId="62CAA831"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10.8</w:t>
            </w:r>
          </w:p>
        </w:tc>
        <w:tc>
          <w:tcPr>
            <w:tcW w:w="846" w:type="dxa"/>
            <w:tcBorders>
              <w:top w:val="nil"/>
              <w:left w:val="nil"/>
              <w:bottom w:val="single" w:sz="4" w:space="0" w:color="auto"/>
              <w:right w:val="nil"/>
            </w:tcBorders>
            <w:hideMark/>
          </w:tcPr>
          <w:p w14:paraId="13A3591D" w14:textId="77777777" w:rsidR="00D53CC4" w:rsidRPr="00294018" w:rsidRDefault="00D53CC4" w:rsidP="0060017F">
            <w:pPr>
              <w:jc w:val="right"/>
              <w:rPr>
                <w:rFonts w:ascii="Arial" w:hAnsi="Arial" w:cs="Arial"/>
                <w:sz w:val="20"/>
                <w:szCs w:val="20"/>
              </w:rPr>
            </w:pPr>
            <w:r w:rsidRPr="00294018">
              <w:rPr>
                <w:rFonts w:ascii="Arial" w:hAnsi="Arial" w:cs="Arial"/>
                <w:sz w:val="20"/>
                <w:szCs w:val="20"/>
              </w:rPr>
              <w:t>11.6</w:t>
            </w:r>
          </w:p>
        </w:tc>
      </w:tr>
    </w:tbl>
    <w:p w14:paraId="636C9CB7" w14:textId="77777777" w:rsidR="00D53CC4" w:rsidRPr="00294018" w:rsidRDefault="00D53CC4" w:rsidP="00D53CC4">
      <w:pPr>
        <w:shd w:val="clear" w:color="auto" w:fill="FFFFFF"/>
        <w:spacing w:before="120" w:after="120" w:line="264" w:lineRule="auto"/>
        <w:ind w:firstLine="720"/>
        <w:jc w:val="both"/>
      </w:pPr>
      <w:r w:rsidRPr="00294018">
        <w:t>The IIP in the first 5 months of 2026 experienced a year-on-year increase in all 34 provinces and municipalities. Several provinces saw a fairly high growth rate in the IIP thanks to the surge in the manufacturing and the electricity supply</w:t>
      </w:r>
      <w:r w:rsidRPr="00294018">
        <w:rPr>
          <w:rFonts w:eastAsia="DengXian Light"/>
          <w:vertAlign w:val="superscript"/>
        </w:rPr>
        <w:footnoteReference w:id="12"/>
      </w:r>
      <w:r w:rsidRPr="00294018">
        <w:t>. Conversely, the IIP in several provinces and municipalities nudged up due to slow growth or decrease in the manufacturing, the mining and quarrying, and the electricity supply</w:t>
      </w:r>
      <w:r w:rsidRPr="00294018">
        <w:rPr>
          <w:rFonts w:eastAsia="DengXian Light"/>
          <w:vertAlign w:val="superscript"/>
        </w:rPr>
        <w:footnoteReference w:id="13"/>
      </w:r>
      <w:r w:rsidRPr="00294018">
        <w:t xml:space="preserve">.  </w:t>
      </w:r>
    </w:p>
    <w:p w14:paraId="58C5110A" w14:textId="77777777" w:rsidR="00D53CC4" w:rsidRPr="00294018" w:rsidRDefault="00D53CC4" w:rsidP="00D53CC4">
      <w:pPr>
        <w:shd w:val="clear" w:color="auto" w:fill="FFFFFF"/>
        <w:jc w:val="center"/>
        <w:rPr>
          <w:rFonts w:ascii="Arial" w:hAnsi="Arial" w:cs="Arial"/>
          <w:b/>
          <w:bCs/>
          <w:sz w:val="24"/>
          <w:szCs w:val="24"/>
        </w:rPr>
      </w:pPr>
      <w:r w:rsidRPr="00294018">
        <w:rPr>
          <w:rFonts w:ascii="Arial" w:hAnsi="Arial"/>
          <w:b/>
          <w:sz w:val="24"/>
        </w:rPr>
        <w:t xml:space="preserve">Figure 4. Year-on-year IIP growth rate for some localities </w:t>
      </w:r>
      <w:r w:rsidRPr="00294018">
        <w:rPr>
          <w:rFonts w:ascii="Arial" w:hAnsi="Arial"/>
          <w:b/>
          <w:sz w:val="24"/>
        </w:rPr>
        <w:br/>
        <w:t>(in the first 4 months, 2026) (%)</w:t>
      </w:r>
    </w:p>
    <w:p w14:paraId="1B2B9071" w14:textId="77777777" w:rsidR="00D53CC4" w:rsidRPr="00294018" w:rsidRDefault="00D53CC4" w:rsidP="00D53CC4">
      <w:pPr>
        <w:shd w:val="clear" w:color="auto" w:fill="FFFFFF"/>
        <w:jc w:val="center"/>
        <w:rPr>
          <w:rFonts w:ascii="Arial" w:hAnsi="Arial" w:cs="Arial"/>
          <w:b/>
          <w:bCs/>
          <w:sz w:val="24"/>
          <w:szCs w:val="24"/>
        </w:rPr>
      </w:pPr>
    </w:p>
    <w:p w14:paraId="7150F06D" w14:textId="77777777" w:rsidR="00D53CC4" w:rsidRPr="00294018" w:rsidRDefault="00D53CC4" w:rsidP="00D53CC4">
      <w:pPr>
        <w:shd w:val="clear" w:color="auto" w:fill="FFFFFF"/>
        <w:jc w:val="center"/>
        <w:rPr>
          <w:rFonts w:ascii="Arial" w:hAnsi="Arial" w:cs="Arial"/>
          <w:b/>
          <w:bCs/>
          <w:sz w:val="14"/>
          <w:szCs w:val="14"/>
        </w:rPr>
      </w:pPr>
    </w:p>
    <w:tbl>
      <w:tblPr>
        <w:tblStyle w:val="TableGrid"/>
        <w:tblW w:w="94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2"/>
        <w:gridCol w:w="4416"/>
      </w:tblGrid>
      <w:tr w:rsidR="00D53CC4" w:rsidRPr="00294018" w14:paraId="7192EF02" w14:textId="77777777" w:rsidTr="00045DD9">
        <w:trPr>
          <w:trHeight w:val="3400"/>
          <w:jc w:val="center"/>
        </w:trPr>
        <w:tc>
          <w:tcPr>
            <w:tcW w:w="5022" w:type="dxa"/>
            <w:hideMark/>
          </w:tcPr>
          <w:p w14:paraId="49247A56" w14:textId="77777777" w:rsidR="00D53CC4" w:rsidRPr="00294018" w:rsidRDefault="00D53CC4" w:rsidP="0060017F">
            <w:pPr>
              <w:jc w:val="center"/>
              <w:rPr>
                <w:rFonts w:ascii="Arial" w:hAnsi="Arial" w:cs="Arial"/>
                <w:b/>
                <w:bCs/>
                <w:sz w:val="18"/>
                <w:szCs w:val="18"/>
                <w:lang w:val="en-US"/>
              </w:rPr>
            </w:pPr>
            <w:r w:rsidRPr="00294018">
              <w:rPr>
                <w:rFonts w:ascii="Arial" w:hAnsi="Arial"/>
                <w:b/>
                <w:sz w:val="18"/>
                <w:lang w:val="en-US"/>
              </w:rPr>
              <w:t>Top of 10 localities by IIP growth rate</w:t>
            </w:r>
          </w:p>
          <w:p w14:paraId="17760F16" w14:textId="77777777" w:rsidR="00D53CC4" w:rsidRPr="00294018" w:rsidRDefault="00D53CC4" w:rsidP="0060017F">
            <w:pPr>
              <w:jc w:val="center"/>
              <w:rPr>
                <w:rFonts w:ascii="Arial" w:hAnsi="Arial" w:cs="Arial"/>
                <w:b/>
                <w:bCs/>
                <w:sz w:val="24"/>
                <w:szCs w:val="24"/>
                <w:lang w:val="en-US"/>
              </w:rPr>
            </w:pPr>
            <w:r w:rsidRPr="00294018">
              <w:rPr>
                <w:rFonts w:ascii="Arial" w:hAnsi="Arial" w:cs="Arial"/>
                <w:b/>
                <w:bCs/>
                <w:noProof/>
                <w:sz w:val="24"/>
                <w:szCs w:val="24"/>
              </w:rPr>
              <w:drawing>
                <wp:inline distT="0" distB="0" distL="0" distR="0" wp14:anchorId="7487712A" wp14:editId="0B0D4F06">
                  <wp:extent cx="3051810" cy="1819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089257" cy="1841598"/>
                          </a:xfrm>
                          <a:prstGeom prst="rect">
                            <a:avLst/>
                          </a:prstGeom>
                        </pic:spPr>
                      </pic:pic>
                    </a:graphicData>
                  </a:graphic>
                </wp:inline>
              </w:drawing>
            </w:r>
          </w:p>
        </w:tc>
        <w:tc>
          <w:tcPr>
            <w:tcW w:w="4416" w:type="dxa"/>
            <w:hideMark/>
          </w:tcPr>
          <w:p w14:paraId="272D6A4D" w14:textId="77777777" w:rsidR="00D53CC4" w:rsidRPr="00294018" w:rsidRDefault="00D53CC4" w:rsidP="0060017F">
            <w:pPr>
              <w:jc w:val="center"/>
              <w:rPr>
                <w:rFonts w:ascii="Arial" w:hAnsi="Arial" w:cs="Arial"/>
                <w:b/>
                <w:bCs/>
                <w:spacing w:val="-4"/>
                <w:sz w:val="18"/>
                <w:szCs w:val="18"/>
                <w:lang w:val="en-US"/>
              </w:rPr>
            </w:pPr>
            <w:r w:rsidRPr="00294018">
              <w:rPr>
                <w:rFonts w:ascii="Arial" w:hAnsi="Arial"/>
                <w:b/>
                <w:sz w:val="18"/>
                <w:lang w:val="en-US"/>
              </w:rPr>
              <w:t>Bottom of 10 localities by IIP growth rate</w:t>
            </w:r>
          </w:p>
          <w:p w14:paraId="1453E55D" w14:textId="77777777" w:rsidR="00D53CC4" w:rsidRPr="00294018" w:rsidRDefault="00D53CC4" w:rsidP="0060017F">
            <w:pPr>
              <w:jc w:val="center"/>
              <w:rPr>
                <w:rFonts w:ascii="Arial" w:hAnsi="Arial" w:cs="Arial"/>
                <w:b/>
                <w:bCs/>
                <w:sz w:val="24"/>
                <w:szCs w:val="24"/>
                <w:lang w:val="en-US"/>
              </w:rPr>
            </w:pPr>
            <w:r w:rsidRPr="00294018">
              <w:rPr>
                <w:rFonts w:ascii="Arial" w:hAnsi="Arial" w:cs="Arial"/>
                <w:b/>
                <w:bCs/>
                <w:noProof/>
                <w:sz w:val="24"/>
                <w:szCs w:val="24"/>
              </w:rPr>
              <w:drawing>
                <wp:inline distT="0" distB="0" distL="0" distR="0" wp14:anchorId="189D48E9" wp14:editId="6502E12B">
                  <wp:extent cx="2666365" cy="1895475"/>
                  <wp:effectExtent l="0" t="0" r="63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92800" cy="1914267"/>
                          </a:xfrm>
                          <a:prstGeom prst="rect">
                            <a:avLst/>
                          </a:prstGeom>
                        </pic:spPr>
                      </pic:pic>
                    </a:graphicData>
                  </a:graphic>
                </wp:inline>
              </w:drawing>
            </w:r>
          </w:p>
        </w:tc>
      </w:tr>
    </w:tbl>
    <w:p w14:paraId="2CE811D8" w14:textId="551E5651" w:rsidR="00D53CC4" w:rsidRPr="00294018" w:rsidRDefault="008F06C1" w:rsidP="00D53CC4">
      <w:pPr>
        <w:shd w:val="clear" w:color="auto" w:fill="FFFFFF"/>
        <w:spacing w:after="120" w:line="259" w:lineRule="auto"/>
        <w:ind w:firstLine="720"/>
        <w:jc w:val="both"/>
      </w:pPr>
      <w:r w:rsidRPr="00294018">
        <w:rPr>
          <w:iCs/>
        </w:rPr>
        <w:t>During the first four months of 2026, several key industrial products registered notable year-on-year increases, led by motor</w:t>
      </w:r>
      <w:r w:rsidR="0045499D" w:rsidRPr="00294018">
        <w:rPr>
          <w:iCs/>
        </w:rPr>
        <w:t>bike</w:t>
      </w:r>
      <w:r w:rsidRPr="00294018">
        <w:rPr>
          <w:iCs/>
        </w:rPr>
        <w:t xml:space="preserve"> (+36.0%), automobiles (+26.7</w:t>
      </w:r>
      <w:r w:rsidR="0045499D" w:rsidRPr="00294018">
        <w:rPr>
          <w:iCs/>
        </w:rPr>
        <w:t>%)</w:t>
      </w:r>
      <w:r w:rsidRPr="00294018">
        <w:rPr>
          <w:iCs/>
        </w:rPr>
        <w:t xml:space="preserve">, processed seafood (+21.6%), and rolled steel (+21.5%). Production of refined sugar and beer both climbed by 14.4%, while chemical paint expanded by 14.3%. On the other hand, several commodities posted output </w:t>
      </w:r>
      <w:r w:rsidRPr="00294018">
        <w:rPr>
          <w:iCs/>
        </w:rPr>
        <w:lastRenderedPageBreak/>
        <w:t>reductions, including NPK fertilizers (-6.8%), sodium glutamate (-6.0%), leather shoes and sandals (-5.7%), and coal (-1.1%).</w:t>
      </w:r>
    </w:p>
    <w:p w14:paraId="59251E9E" w14:textId="085E6B32" w:rsidR="00223A54" w:rsidRPr="00294018" w:rsidRDefault="00D53CC4" w:rsidP="00E80DEB">
      <w:pPr>
        <w:spacing w:after="120" w:line="257" w:lineRule="auto"/>
        <w:ind w:firstLine="720"/>
        <w:jc w:val="both"/>
        <w:rPr>
          <w:color w:val="000000" w:themeColor="text1"/>
        </w:rPr>
      </w:pPr>
      <w:r w:rsidRPr="00294018">
        <w:rPr>
          <w:iCs/>
        </w:rPr>
        <w:t>Number of employees</w:t>
      </w:r>
      <w:r w:rsidR="00E80DEB" w:rsidRPr="00294018">
        <w:rPr>
          <w:iCs/>
        </w:rPr>
        <w:t xml:space="preserve"> in industrial enterprises as of May 1</w:t>
      </w:r>
      <w:r w:rsidR="0031544E">
        <w:rPr>
          <w:vertAlign w:val="superscript"/>
        </w:rPr>
        <w:t>st</w:t>
      </w:r>
      <w:r w:rsidR="00E80DEB" w:rsidRPr="00294018">
        <w:rPr>
          <w:iCs/>
        </w:rPr>
        <w:t xml:space="preserve">, 2026, expanded by 1.1% month-on-month and 3.4% year-on-year. </w:t>
      </w:r>
      <w:r w:rsidR="0031544E">
        <w:rPr>
          <w:iCs/>
        </w:rPr>
        <w:t>B</w:t>
      </w:r>
      <w:r w:rsidR="00E80DEB" w:rsidRPr="00294018">
        <w:rPr>
          <w:iCs/>
        </w:rPr>
        <w:t xml:space="preserve">y ownership structure, </w:t>
      </w:r>
      <w:r w:rsidR="002A1672" w:rsidRPr="00294018">
        <w:rPr>
          <w:iCs/>
        </w:rPr>
        <w:t>employees</w:t>
      </w:r>
      <w:r w:rsidR="00E80DEB" w:rsidRPr="00294018">
        <w:rPr>
          <w:iCs/>
        </w:rPr>
        <w:t xml:space="preserve"> within state-owned enterprises edged up by 0.1% month-on-month and rose by 1.7% year-on-year; non-state enterprises recorded increases of 0.6% and 2.6%, respectively, while foreign-invested enterprises expanded by 1.5% month-on-month and 3.4% year-on-year. By </w:t>
      </w:r>
      <w:r w:rsidRPr="00294018">
        <w:t xml:space="preserve">kind of </w:t>
      </w:r>
      <w:r w:rsidR="00E80DEB" w:rsidRPr="00294018">
        <w:rPr>
          <w:iCs/>
        </w:rPr>
        <w:t xml:space="preserve">economic activity, the </w:t>
      </w:r>
      <w:r w:rsidRPr="00294018">
        <w:t xml:space="preserve">number of employees in the </w:t>
      </w:r>
      <w:r w:rsidR="00E80DEB" w:rsidRPr="00294018">
        <w:rPr>
          <w:iCs/>
        </w:rPr>
        <w:t xml:space="preserve">mining rose by 0.1% month-on-month but experienced a minor year-on-year contraction of 0.1%. </w:t>
      </w:r>
      <w:r w:rsidR="002A1672" w:rsidRPr="00294018">
        <w:rPr>
          <w:iCs/>
        </w:rPr>
        <w:t xml:space="preserve">The </w:t>
      </w:r>
      <w:r w:rsidR="002A1672" w:rsidRPr="00294018">
        <w:t xml:space="preserve">number of employees </w:t>
      </w:r>
      <w:r w:rsidR="00E80DEB" w:rsidRPr="00294018">
        <w:rPr>
          <w:iCs/>
        </w:rPr>
        <w:t xml:space="preserve">in </w:t>
      </w:r>
      <w:r w:rsidR="002A1672" w:rsidRPr="00294018">
        <w:rPr>
          <w:iCs/>
        </w:rPr>
        <w:t xml:space="preserve">the </w:t>
      </w:r>
      <w:r w:rsidR="00E80DEB" w:rsidRPr="00294018">
        <w:rPr>
          <w:iCs/>
        </w:rPr>
        <w:t xml:space="preserve">manufacturing advanced by 1.2% MoM and 3.5% YoY. The electricity, gas, steam, and air conditioning supply workforce expanded by 0.1% month-on-month and 3.0% </w:t>
      </w:r>
      <w:r w:rsidR="002A1672" w:rsidRPr="00294018">
        <w:rPr>
          <w:iCs/>
        </w:rPr>
        <w:t>YoY</w:t>
      </w:r>
      <w:r w:rsidR="00E80DEB" w:rsidRPr="00294018">
        <w:rPr>
          <w:iCs/>
        </w:rPr>
        <w:t xml:space="preserve">, while water supply, sewerage, waste management, and remediation activities recorded a </w:t>
      </w:r>
      <w:r w:rsidR="00CE3A85">
        <w:rPr>
          <w:iCs/>
        </w:rPr>
        <w:t xml:space="preserve">month-on month </w:t>
      </w:r>
      <w:r w:rsidR="00E80DEB" w:rsidRPr="00294018">
        <w:rPr>
          <w:iCs/>
        </w:rPr>
        <w:t xml:space="preserve">increase of 0.2% and a </w:t>
      </w:r>
      <w:r w:rsidR="00CE3A85">
        <w:rPr>
          <w:iCs/>
        </w:rPr>
        <w:t xml:space="preserve">year-on-year </w:t>
      </w:r>
      <w:r w:rsidR="00E80DEB" w:rsidRPr="00294018">
        <w:rPr>
          <w:iCs/>
        </w:rPr>
        <w:t>expansion of 2.8%</w:t>
      </w:r>
      <w:r w:rsidRPr="00294018">
        <w:t>.</w:t>
      </w:r>
    </w:p>
    <w:p w14:paraId="14FF3FCB" w14:textId="77777777" w:rsidR="00D53CC4" w:rsidRPr="00294018" w:rsidRDefault="00D53CC4" w:rsidP="00D53CC4">
      <w:pPr>
        <w:spacing w:after="120" w:line="264" w:lineRule="auto"/>
        <w:ind w:firstLine="720"/>
        <w:jc w:val="both"/>
        <w:rPr>
          <w:b/>
          <w:color w:val="000000" w:themeColor="text1"/>
        </w:rPr>
      </w:pPr>
      <w:bookmarkStart w:id="0" w:name="_Hlk89176061"/>
      <w:r w:rsidRPr="00294018">
        <w:rPr>
          <w:b/>
          <w:bCs/>
          <w:color w:val="000000" w:themeColor="text1"/>
        </w:rPr>
        <w:t xml:space="preserve">3. </w:t>
      </w:r>
      <w:r w:rsidRPr="00294018">
        <w:rPr>
          <w:b/>
          <w:color w:val="000000" w:themeColor="text1"/>
        </w:rPr>
        <w:t>Enterprise registration situation</w:t>
      </w:r>
    </w:p>
    <w:p w14:paraId="1F3F08BE" w14:textId="6F630212" w:rsidR="00D53CC4" w:rsidRPr="00294018" w:rsidRDefault="00471664" w:rsidP="00471664">
      <w:pPr>
        <w:spacing w:after="120" w:line="264" w:lineRule="auto"/>
        <w:ind w:firstLine="720"/>
        <w:jc w:val="both"/>
        <w:rPr>
          <w:color w:val="000000" w:themeColor="text1"/>
        </w:rPr>
      </w:pPr>
      <w:r w:rsidRPr="00294018">
        <w:rPr>
          <w:color w:val="000000" w:themeColor="text1"/>
        </w:rPr>
        <w:t xml:space="preserve">In May 2026, the country recorded the establishment of over 17.0 thousand </w:t>
      </w:r>
      <w:r w:rsidR="00D53CC4" w:rsidRPr="00294018">
        <w:rPr>
          <w:color w:val="000000" w:themeColor="text1"/>
        </w:rPr>
        <w:t xml:space="preserve">newly established </w:t>
      </w:r>
      <w:r w:rsidRPr="00294018">
        <w:rPr>
          <w:color w:val="000000" w:themeColor="text1"/>
        </w:rPr>
        <w:t xml:space="preserve">enterprises with total registered capital exceeding280.9 trillion </w:t>
      </w:r>
      <w:r w:rsidR="00D53CC4" w:rsidRPr="00294018">
        <w:rPr>
          <w:color w:val="000000" w:themeColor="text1"/>
        </w:rPr>
        <w:t xml:space="preserve">VND </w:t>
      </w:r>
      <w:r w:rsidRPr="00294018">
        <w:rPr>
          <w:color w:val="000000" w:themeColor="text1"/>
        </w:rPr>
        <w:t xml:space="preserve">and </w:t>
      </w:r>
      <w:r w:rsidR="00D53CC4" w:rsidRPr="00294018">
        <w:rPr>
          <w:color w:val="000000" w:themeColor="text1"/>
        </w:rPr>
        <w:t>registered employees</w:t>
      </w:r>
      <w:r w:rsidRPr="00294018">
        <w:rPr>
          <w:color w:val="000000" w:themeColor="text1"/>
        </w:rPr>
        <w:t xml:space="preserve"> of nearly 75.9 thousand employees. These figures represent a month-on-month decline of 16.5% in the number of enterprises, an increase of 13.8% in registered capital, and a decrease of 16.6% in registered </w:t>
      </w:r>
      <w:r w:rsidR="002A1672" w:rsidRPr="00294018">
        <w:rPr>
          <w:color w:val="000000" w:themeColor="text1"/>
        </w:rPr>
        <w:t>employees</w:t>
      </w:r>
      <w:r w:rsidRPr="00294018">
        <w:rPr>
          <w:color w:val="000000" w:themeColor="text1"/>
        </w:rPr>
        <w:t xml:space="preserve">. Compared to the corresponding period last year, the number of </w:t>
      </w:r>
      <w:r w:rsidR="002A1672" w:rsidRPr="00294018">
        <w:rPr>
          <w:color w:val="000000" w:themeColor="text1"/>
        </w:rPr>
        <w:t>newly established</w:t>
      </w:r>
      <w:r w:rsidRPr="00294018">
        <w:rPr>
          <w:color w:val="000000" w:themeColor="text1"/>
        </w:rPr>
        <w:t xml:space="preserve"> enterprises and total registered capital expanded by 12.5% and 79.3%, respectively, whereas the registered </w:t>
      </w:r>
      <w:r w:rsidR="002A1672" w:rsidRPr="00294018">
        <w:rPr>
          <w:color w:val="000000" w:themeColor="text1"/>
        </w:rPr>
        <w:t>employees</w:t>
      </w:r>
      <w:r w:rsidRPr="00294018">
        <w:rPr>
          <w:color w:val="000000" w:themeColor="text1"/>
        </w:rPr>
        <w:t xml:space="preserve"> contracted by 22.7%. The average registered capital per newly established enterprise in May reached 16.5 billion</w:t>
      </w:r>
      <w:r w:rsidR="00D53CC4" w:rsidRPr="00294018">
        <w:rPr>
          <w:color w:val="000000" w:themeColor="text1"/>
        </w:rPr>
        <w:t xml:space="preserve"> VND</w:t>
      </w:r>
      <w:r w:rsidRPr="00294018">
        <w:rPr>
          <w:color w:val="000000" w:themeColor="text1"/>
        </w:rPr>
        <w:t xml:space="preserve">, marking a month-on-month increase of 36.4% and a year-on-year expansion of 59.3%. Additionally, nearly 9.1 thousand </w:t>
      </w:r>
      <w:r w:rsidR="00073EA5" w:rsidRPr="00294018">
        <w:rPr>
          <w:color w:val="000000" w:themeColor="text1"/>
        </w:rPr>
        <w:t>enterprise</w:t>
      </w:r>
      <w:r w:rsidRPr="00294018">
        <w:rPr>
          <w:color w:val="000000" w:themeColor="text1"/>
        </w:rPr>
        <w:t>s officially resumed operations during the month, representing a month-on-month increase of 3.9% and a year-on-year growth of 13.6%.</w:t>
      </w:r>
    </w:p>
    <w:p w14:paraId="503F2B20" w14:textId="2CF4D73F" w:rsidR="00D53CC4" w:rsidRPr="00294018" w:rsidRDefault="00D53CC4" w:rsidP="00D53CC4">
      <w:pPr>
        <w:spacing w:after="120" w:line="264" w:lineRule="auto"/>
        <w:ind w:firstLine="720"/>
        <w:jc w:val="both"/>
        <w:rPr>
          <w:color w:val="000000" w:themeColor="text1"/>
          <w:spacing w:val="-4"/>
        </w:rPr>
      </w:pPr>
      <w:r w:rsidRPr="00294018">
        <w:rPr>
          <w:color w:val="000000" w:themeColor="text1"/>
          <w:spacing w:val="-4"/>
        </w:rPr>
        <w:t xml:space="preserve">In </w:t>
      </w:r>
      <w:r w:rsidR="00471664" w:rsidRPr="00294018">
        <w:rPr>
          <w:color w:val="000000" w:themeColor="text1"/>
          <w:spacing w:val="-4"/>
        </w:rPr>
        <w:t>May</w:t>
      </w:r>
      <w:r w:rsidRPr="00294018">
        <w:rPr>
          <w:color w:val="000000" w:themeColor="text1"/>
          <w:spacing w:val="-4"/>
        </w:rPr>
        <w:t xml:space="preserve">, </w:t>
      </w:r>
      <w:r w:rsidRPr="00294018">
        <w:rPr>
          <w:color w:val="000000" w:themeColor="text1"/>
        </w:rPr>
        <w:t>there were</w:t>
      </w:r>
      <w:r w:rsidR="00471664" w:rsidRPr="00294018">
        <w:rPr>
          <w:color w:val="000000" w:themeColor="text1"/>
          <w:spacing w:val="-4"/>
        </w:rPr>
        <w:t xml:space="preserve"> 6,746 enterprises registered </w:t>
      </w:r>
      <w:r w:rsidRPr="00294018">
        <w:rPr>
          <w:color w:val="000000" w:themeColor="text1"/>
        </w:rPr>
        <w:t xml:space="preserve">to temporarily </w:t>
      </w:r>
      <w:r w:rsidR="001C3A06" w:rsidRPr="00294018">
        <w:rPr>
          <w:color w:val="000000" w:themeColor="text1"/>
        </w:rPr>
        <w:t>suspend</w:t>
      </w:r>
      <w:r w:rsidR="00471664" w:rsidRPr="00294018">
        <w:rPr>
          <w:color w:val="000000" w:themeColor="text1"/>
          <w:spacing w:val="-4"/>
        </w:rPr>
        <w:t xml:space="preserve"> for a definite </w:t>
      </w:r>
      <w:r w:rsidRPr="00294018">
        <w:rPr>
          <w:color w:val="000000" w:themeColor="text1"/>
        </w:rPr>
        <w:t>time</w:t>
      </w:r>
      <w:r w:rsidRPr="00294018">
        <w:rPr>
          <w:color w:val="000000" w:themeColor="text1"/>
          <w:spacing w:val="-4"/>
        </w:rPr>
        <w:t xml:space="preserve">, </w:t>
      </w:r>
      <w:r w:rsidR="00471664" w:rsidRPr="00294018">
        <w:rPr>
          <w:color w:val="000000" w:themeColor="text1"/>
          <w:spacing w:val="-4"/>
        </w:rPr>
        <w:t xml:space="preserve">up 23.9% month-on-month and 13.9% year-on-year. Concurrently, 8,082 enterprises suspended </w:t>
      </w:r>
      <w:r w:rsidRPr="00294018">
        <w:rPr>
          <w:color w:val="000000" w:themeColor="text1"/>
        </w:rPr>
        <w:t xml:space="preserve">operation waiting for </w:t>
      </w:r>
      <w:r w:rsidR="00471664" w:rsidRPr="00294018">
        <w:rPr>
          <w:color w:val="000000" w:themeColor="text1"/>
          <w:spacing w:val="-4"/>
        </w:rPr>
        <w:t xml:space="preserve">dissolution procedures, recording increases of 50.0% MoM and 23.7% YoY. A further 3,831 enterprises completed </w:t>
      </w:r>
      <w:r w:rsidRPr="00294018">
        <w:rPr>
          <w:color w:val="000000" w:themeColor="text1"/>
        </w:rPr>
        <w:t xml:space="preserve">procedures for </w:t>
      </w:r>
      <w:r w:rsidR="00471664" w:rsidRPr="00294018">
        <w:rPr>
          <w:color w:val="000000" w:themeColor="text1"/>
          <w:spacing w:val="-4"/>
        </w:rPr>
        <w:t>dissolution, rising by 10.3% compared to the previous month and scaling up by 100.7% over the same period last year.</w:t>
      </w:r>
    </w:p>
    <w:p w14:paraId="22665D1E" w14:textId="63C5AB05" w:rsidR="00D53CC4" w:rsidRPr="00294018" w:rsidRDefault="00D53CC4" w:rsidP="00471664">
      <w:pPr>
        <w:spacing w:after="120" w:line="264" w:lineRule="auto"/>
        <w:ind w:firstLine="720"/>
        <w:jc w:val="both"/>
        <w:rPr>
          <w:color w:val="000000" w:themeColor="text1"/>
          <w:spacing w:val="-4"/>
        </w:rPr>
      </w:pPr>
      <w:r w:rsidRPr="00294018">
        <w:rPr>
          <w:color w:val="000000" w:themeColor="text1"/>
        </w:rPr>
        <w:t>Overall,</w:t>
      </w:r>
      <w:r w:rsidRPr="00294018">
        <w:rPr>
          <w:color w:val="000000" w:themeColor="text1"/>
          <w:spacing w:val="-4"/>
        </w:rPr>
        <w:t xml:space="preserve"> </w:t>
      </w:r>
      <w:r w:rsidR="00471664" w:rsidRPr="00294018">
        <w:rPr>
          <w:color w:val="000000" w:themeColor="text1"/>
          <w:spacing w:val="-4"/>
        </w:rPr>
        <w:t xml:space="preserve">for the first five months of 2026, the nation recorded over 94.8 thousand newly registered enterprises with </w:t>
      </w:r>
      <w:r w:rsidR="00073EA5" w:rsidRPr="00294018">
        <w:rPr>
          <w:color w:val="000000" w:themeColor="text1"/>
          <w:spacing w:val="-4"/>
        </w:rPr>
        <w:t>the</w:t>
      </w:r>
      <w:r w:rsidR="00471664" w:rsidRPr="00294018">
        <w:rPr>
          <w:color w:val="000000" w:themeColor="text1"/>
          <w:spacing w:val="-4"/>
        </w:rPr>
        <w:t xml:space="preserve"> total registered capital of nearly 1,066.3 trillion </w:t>
      </w:r>
      <w:r w:rsidRPr="00294018">
        <w:rPr>
          <w:color w:val="000000" w:themeColor="text1"/>
          <w:spacing w:val="-4"/>
        </w:rPr>
        <w:t xml:space="preserve">VND </w:t>
      </w:r>
      <w:r w:rsidR="00471664" w:rsidRPr="00294018">
        <w:rPr>
          <w:color w:val="000000" w:themeColor="text1"/>
          <w:spacing w:val="-4"/>
        </w:rPr>
        <w:t xml:space="preserve">and </w:t>
      </w:r>
      <w:r w:rsidRPr="00294018">
        <w:rPr>
          <w:color w:val="000000" w:themeColor="text1"/>
          <w:spacing w:val="-4"/>
        </w:rPr>
        <w:t>total</w:t>
      </w:r>
      <w:r w:rsidR="00471664" w:rsidRPr="00294018">
        <w:rPr>
          <w:color w:val="000000" w:themeColor="text1"/>
          <w:spacing w:val="-4"/>
        </w:rPr>
        <w:t xml:space="preserve"> registered </w:t>
      </w:r>
      <w:r w:rsidRPr="00294018">
        <w:rPr>
          <w:color w:val="000000" w:themeColor="text1"/>
          <w:spacing w:val="-4"/>
        </w:rPr>
        <w:t>employee</w:t>
      </w:r>
      <w:r w:rsidR="00471664" w:rsidRPr="00294018">
        <w:rPr>
          <w:color w:val="000000" w:themeColor="text1"/>
          <w:spacing w:val="-4"/>
        </w:rPr>
        <w:t xml:space="preserve"> of 432.8 thousand employees. This represents a year-on-year surge of 42.1% in the number of enterprises, 64.8% </w:t>
      </w:r>
      <w:r w:rsidR="00471664" w:rsidRPr="00294018">
        <w:rPr>
          <w:color w:val="000000" w:themeColor="text1"/>
          <w:spacing w:val="-4"/>
        </w:rPr>
        <w:lastRenderedPageBreak/>
        <w:t xml:space="preserve">in total capital, and 4.7% in the </w:t>
      </w:r>
      <w:r w:rsidR="00073EA5" w:rsidRPr="00294018">
        <w:rPr>
          <w:color w:val="000000" w:themeColor="text1"/>
          <w:spacing w:val="-4"/>
        </w:rPr>
        <w:t>number of employees</w:t>
      </w:r>
      <w:r w:rsidR="00471664" w:rsidRPr="00294018">
        <w:rPr>
          <w:color w:val="000000" w:themeColor="text1"/>
          <w:spacing w:val="-4"/>
        </w:rPr>
        <w:t>. The average registered capital per</w:t>
      </w:r>
      <w:r w:rsidR="00460695" w:rsidRPr="00294018">
        <w:rPr>
          <w:color w:val="000000" w:themeColor="text1"/>
          <w:spacing w:val="-4"/>
        </w:rPr>
        <w:t xml:space="preserve"> the</w:t>
      </w:r>
      <w:r w:rsidR="00471664" w:rsidRPr="00294018">
        <w:rPr>
          <w:color w:val="000000" w:themeColor="text1"/>
          <w:spacing w:val="-4"/>
        </w:rPr>
        <w:t xml:space="preserve"> </w:t>
      </w:r>
      <w:r w:rsidR="00073EA5" w:rsidRPr="00294018">
        <w:rPr>
          <w:color w:val="000000" w:themeColor="text1"/>
        </w:rPr>
        <w:t xml:space="preserve">newly established </w:t>
      </w:r>
      <w:r w:rsidR="00460695" w:rsidRPr="00294018">
        <w:rPr>
          <w:color w:val="000000" w:themeColor="text1"/>
        </w:rPr>
        <w:t>enterprise</w:t>
      </w:r>
      <w:r w:rsidR="00471664" w:rsidRPr="00294018">
        <w:rPr>
          <w:color w:val="000000" w:themeColor="text1"/>
          <w:spacing w:val="-4"/>
        </w:rPr>
        <w:t xml:space="preserve"> over this five</w:t>
      </w:r>
      <w:r w:rsidR="00073EA5" w:rsidRPr="00294018">
        <w:rPr>
          <w:color w:val="000000" w:themeColor="text1"/>
          <w:spacing w:val="-4"/>
        </w:rPr>
        <w:t>-month stood at</w:t>
      </w:r>
      <w:r w:rsidR="00471664" w:rsidRPr="00294018">
        <w:rPr>
          <w:color w:val="000000" w:themeColor="text1"/>
          <w:spacing w:val="-4"/>
        </w:rPr>
        <w:t>11.2 billion</w:t>
      </w:r>
      <w:r w:rsidR="00073EA5" w:rsidRPr="00294018">
        <w:rPr>
          <w:color w:val="000000" w:themeColor="text1"/>
          <w:spacing w:val="-4"/>
        </w:rPr>
        <w:t xml:space="preserve"> VND</w:t>
      </w:r>
      <w:r w:rsidR="00471664" w:rsidRPr="00294018">
        <w:rPr>
          <w:color w:val="000000" w:themeColor="text1"/>
          <w:spacing w:val="-4"/>
        </w:rPr>
        <w:t xml:space="preserve">, up 16.0% year-on-year. Furthermore, nearly 47.8 thousand enterprises resumed operations (a 6.1% year-on-year increase), raising the cumulative total of newly established and resumed </w:t>
      </w:r>
      <w:r w:rsidRPr="00294018">
        <w:rPr>
          <w:color w:val="000000" w:themeColor="text1"/>
        </w:rPr>
        <w:t>operation enterprises</w:t>
      </w:r>
      <w:r w:rsidR="00471664" w:rsidRPr="00294018">
        <w:rPr>
          <w:color w:val="000000" w:themeColor="text1"/>
          <w:spacing w:val="-4"/>
        </w:rPr>
        <w:t xml:space="preserve"> in the first five months of 2026 to over 142.6 thousand </w:t>
      </w:r>
      <w:r w:rsidRPr="00294018">
        <w:rPr>
          <w:color w:val="000000" w:themeColor="text1"/>
          <w:spacing w:val="-4"/>
        </w:rPr>
        <w:t>enterprises</w:t>
      </w:r>
      <w:r w:rsidR="00471664" w:rsidRPr="00294018">
        <w:rPr>
          <w:color w:val="000000" w:themeColor="text1"/>
          <w:spacing w:val="-4"/>
        </w:rPr>
        <w:t xml:space="preserve">, a year-on-year expansion of 27.6%. </w:t>
      </w:r>
      <w:r w:rsidRPr="00294018">
        <w:rPr>
          <w:color w:val="000000" w:themeColor="text1"/>
          <w:spacing w:val="-4"/>
        </w:rPr>
        <w:t>On</w:t>
      </w:r>
      <w:r w:rsidR="00471664" w:rsidRPr="00294018">
        <w:rPr>
          <w:color w:val="000000" w:themeColor="text1"/>
          <w:spacing w:val="-4"/>
        </w:rPr>
        <w:t xml:space="preserve"> average</w:t>
      </w:r>
      <w:r w:rsidRPr="00294018">
        <w:rPr>
          <w:color w:val="000000" w:themeColor="text1"/>
          <w:spacing w:val="-4"/>
        </w:rPr>
        <w:t xml:space="preserve">, </w:t>
      </w:r>
      <w:r w:rsidRPr="00294018">
        <w:rPr>
          <w:color w:val="000000" w:themeColor="text1"/>
        </w:rPr>
        <w:t>there were</w:t>
      </w:r>
      <w:r w:rsidR="00471664" w:rsidRPr="00294018">
        <w:rPr>
          <w:color w:val="000000" w:themeColor="text1"/>
          <w:spacing w:val="-4"/>
        </w:rPr>
        <w:t xml:space="preserve"> 28.5 thousand </w:t>
      </w:r>
      <w:r w:rsidRPr="00294018">
        <w:rPr>
          <w:color w:val="000000" w:themeColor="text1"/>
        </w:rPr>
        <w:t xml:space="preserve">newly </w:t>
      </w:r>
      <w:r w:rsidRPr="00294018">
        <w:rPr>
          <w:color w:val="000000" w:themeColor="text1"/>
          <w:spacing w:val="-2"/>
        </w:rPr>
        <w:t xml:space="preserve">established </w:t>
      </w:r>
      <w:r w:rsidRPr="00294018">
        <w:rPr>
          <w:color w:val="000000" w:themeColor="text1"/>
        </w:rPr>
        <w:t>and resumed operation enterprises per month</w:t>
      </w:r>
      <w:r w:rsidR="00471664" w:rsidRPr="00294018">
        <w:rPr>
          <w:color w:val="000000" w:themeColor="text1"/>
          <w:spacing w:val="-4"/>
        </w:rPr>
        <w:t>.</w:t>
      </w:r>
    </w:p>
    <w:p w14:paraId="4C0F105B" w14:textId="77777777" w:rsidR="00D53CC4" w:rsidRPr="00294018" w:rsidRDefault="00D53CC4" w:rsidP="00D53CC4">
      <w:pPr>
        <w:spacing w:after="120" w:line="264" w:lineRule="auto"/>
        <w:ind w:firstLine="720"/>
        <w:jc w:val="both"/>
        <w:rPr>
          <w:color w:val="000000" w:themeColor="text1"/>
        </w:rPr>
      </w:pPr>
      <w:r w:rsidRPr="00294018">
        <w:rPr>
          <w:color w:val="000000" w:themeColor="text1"/>
        </w:rPr>
        <w:t xml:space="preserve">By economic sector, in the five months of 2026, the number of newly </w:t>
      </w:r>
      <w:r w:rsidRPr="00294018">
        <w:rPr>
          <w:color w:val="000000" w:themeColor="text1"/>
          <w:spacing w:val="-2"/>
        </w:rPr>
        <w:t>registered</w:t>
      </w:r>
      <w:r w:rsidRPr="00294018">
        <w:rPr>
          <w:color w:val="000000" w:themeColor="text1"/>
        </w:rPr>
        <w:t xml:space="preserve"> enterprises in the agriculture, forestry and fishing sector; the industry and construction sector; and the services sector reached 978 enterprises (+56.0% Y-o-Y); 23.3 thousand enterprises (+52.7% Y-o-Y); and nearly 70.6 thousand enterprises (+38,7% Y-o-Y), respectively.</w:t>
      </w:r>
    </w:p>
    <w:p w14:paraId="78F33F55" w14:textId="77777777" w:rsidR="00D53CC4" w:rsidRPr="00294018" w:rsidRDefault="00D53CC4" w:rsidP="00D53CC4">
      <w:pPr>
        <w:spacing w:after="120" w:line="264" w:lineRule="auto"/>
        <w:jc w:val="center"/>
        <w:rPr>
          <w:color w:val="000000" w:themeColor="text1"/>
        </w:rPr>
      </w:pPr>
      <w:r w:rsidRPr="00294018">
        <w:rPr>
          <w:rFonts w:ascii="Arial" w:hAnsi="Arial" w:cs="Arial"/>
          <w:b/>
          <w:color w:val="000000" w:themeColor="text1"/>
          <w:sz w:val="24"/>
          <w:szCs w:val="24"/>
        </w:rPr>
        <w:t xml:space="preserve">Figure 5. Enterprises registration situation in the five months of 2026 </w:t>
      </w:r>
      <w:r w:rsidRPr="00294018">
        <w:rPr>
          <w:rFonts w:ascii="Arial" w:hAnsi="Arial" w:cs="Arial"/>
          <w:b/>
          <w:color w:val="000000" w:themeColor="text1"/>
          <w:sz w:val="24"/>
          <w:szCs w:val="24"/>
        </w:rPr>
        <w:br/>
        <w:t>compared to the same period in 2025.</w:t>
      </w:r>
    </w:p>
    <w:p w14:paraId="26D19CA3" w14:textId="77777777" w:rsidR="00D53CC4" w:rsidRPr="00294018" w:rsidRDefault="00D53CC4" w:rsidP="00D53CC4">
      <w:pPr>
        <w:spacing w:after="120" w:line="264" w:lineRule="auto"/>
        <w:jc w:val="center"/>
        <w:rPr>
          <w:color w:val="000000" w:themeColor="text1"/>
        </w:rPr>
      </w:pPr>
      <w:r w:rsidRPr="00294018">
        <w:rPr>
          <w:snapToGrid w:val="0"/>
          <w:color w:val="000000"/>
          <w:w w:val="0"/>
          <w:sz w:val="0"/>
          <w:szCs w:val="0"/>
          <w:u w:color="000000"/>
          <w:bdr w:val="none" w:sz="0" w:space="0" w:color="000000"/>
          <w:shd w:val="clear" w:color="000000" w:fill="000000"/>
          <w:lang w:eastAsia="x-none" w:bidi="x-none"/>
        </w:rPr>
        <w:t xml:space="preserve"> </w:t>
      </w:r>
    </w:p>
    <w:p w14:paraId="5272DD53" w14:textId="77777777" w:rsidR="00D53CC4" w:rsidRPr="00294018" w:rsidRDefault="00D53CC4" w:rsidP="00D53CC4">
      <w:pPr>
        <w:spacing w:after="120" w:line="264" w:lineRule="auto"/>
        <w:jc w:val="center"/>
        <w:rPr>
          <w:color w:val="000000" w:themeColor="text1"/>
        </w:rPr>
      </w:pPr>
      <w:r w:rsidRPr="00294018">
        <w:rPr>
          <w:noProof/>
          <w:color w:val="000000" w:themeColor="text1"/>
        </w:rPr>
        <w:drawing>
          <wp:inline distT="0" distB="0" distL="0" distR="0" wp14:anchorId="5A5A3848" wp14:editId="522E1193">
            <wp:extent cx="4302767" cy="2173390"/>
            <wp:effectExtent l="0" t="0" r="2540" b="0"/>
            <wp:docPr id="3" name="Picture 3" descr="H:\6. Bao cao KTXH hang quy\2026\Dich BC KTXH thang 5.2026\2aOboQb7X18KY5ymG2sW69vqTf6coxIlUPUcno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6. Bao cao KTXH hang quy\2026\Dich BC KTXH thang 5.2026\2aOboQb7X18KY5ymG2sW69vqTf6coxIlUPUcnoiu.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9057" cy="2227078"/>
                    </a:xfrm>
                    <a:prstGeom prst="rect">
                      <a:avLst/>
                    </a:prstGeom>
                    <a:noFill/>
                    <a:ln>
                      <a:noFill/>
                    </a:ln>
                  </pic:spPr>
                </pic:pic>
              </a:graphicData>
            </a:graphic>
          </wp:inline>
        </w:drawing>
      </w:r>
    </w:p>
    <w:p w14:paraId="1BA19744" w14:textId="77777777" w:rsidR="00D53CC4" w:rsidRPr="00294018" w:rsidRDefault="00D53CC4" w:rsidP="00D53CC4">
      <w:pPr>
        <w:spacing w:after="120" w:line="264" w:lineRule="auto"/>
        <w:ind w:firstLine="567"/>
        <w:jc w:val="both"/>
        <w:rPr>
          <w:color w:val="000000" w:themeColor="text1"/>
        </w:rPr>
      </w:pPr>
      <w:r w:rsidRPr="00294018">
        <w:rPr>
          <w:color w:val="000000" w:themeColor="text1"/>
        </w:rPr>
        <w:t xml:space="preserve">Overall, in the five months of 2026, the number of enterprises temporarily suspended </w:t>
      </w:r>
      <w:r w:rsidRPr="00294018">
        <w:rPr>
          <w:color w:val="000000" w:themeColor="text1"/>
          <w:spacing w:val="-2"/>
        </w:rPr>
        <w:t>for a definite time</w:t>
      </w:r>
      <w:r w:rsidRPr="00294018">
        <w:rPr>
          <w:color w:val="000000" w:themeColor="text1"/>
        </w:rPr>
        <w:t xml:space="preserve"> was 78.8 thousand enterprises, a year-on-year increase of 5.7%; 31.4 thousand enterprises suspended operation waiting for dissolution procedures, a year-on-year increase of 14.2%; and 19.0 thousand enterprises completed procedures for dissolution, a year-on-year increase of 99.1%. On average, 25.9 thousand enterprises</w:t>
      </w:r>
      <w:r w:rsidRPr="00294018" w:rsidDel="004B3290">
        <w:rPr>
          <w:color w:val="000000" w:themeColor="text1"/>
        </w:rPr>
        <w:t xml:space="preserve"> </w:t>
      </w:r>
      <w:r w:rsidRPr="00294018">
        <w:rPr>
          <w:color w:val="000000" w:themeColor="text1"/>
        </w:rPr>
        <w:t>withdrew from the market per month.</w:t>
      </w:r>
    </w:p>
    <w:p w14:paraId="2134C493" w14:textId="77777777" w:rsidR="00D53CC4" w:rsidRPr="00294018" w:rsidRDefault="00D53CC4" w:rsidP="00D53CC4">
      <w:pPr>
        <w:tabs>
          <w:tab w:val="left" w:pos="6810"/>
        </w:tabs>
        <w:spacing w:after="120" w:line="264" w:lineRule="auto"/>
        <w:jc w:val="center"/>
        <w:rPr>
          <w:rFonts w:ascii="Arial" w:hAnsi="Arial" w:cs="Arial"/>
          <w:b/>
          <w:color w:val="000000" w:themeColor="text1"/>
          <w:sz w:val="24"/>
          <w:szCs w:val="20"/>
        </w:rPr>
      </w:pPr>
      <w:r w:rsidRPr="00294018">
        <w:rPr>
          <w:rFonts w:ascii="Arial" w:hAnsi="Arial" w:cs="Arial"/>
          <w:b/>
          <w:color w:val="000000" w:themeColor="text1"/>
          <w:sz w:val="24"/>
          <w:szCs w:val="20"/>
        </w:rPr>
        <w:t xml:space="preserve">Table 2. Newly established and completely dissolved enterprises </w:t>
      </w:r>
      <w:r w:rsidRPr="00294018">
        <w:rPr>
          <w:rFonts w:ascii="Arial" w:hAnsi="Arial" w:cs="Arial"/>
          <w:b/>
          <w:color w:val="000000" w:themeColor="text1"/>
          <w:sz w:val="24"/>
          <w:szCs w:val="20"/>
        </w:rPr>
        <w:br/>
        <w:t>in the five months of 2026 by kind of economic activity</w:t>
      </w:r>
    </w:p>
    <w:p w14:paraId="00661013" w14:textId="77777777" w:rsidR="00D53CC4" w:rsidRPr="00294018" w:rsidRDefault="00D53CC4" w:rsidP="00D53CC4">
      <w:pPr>
        <w:tabs>
          <w:tab w:val="left" w:pos="6810"/>
        </w:tabs>
        <w:spacing w:after="120" w:line="264" w:lineRule="auto"/>
        <w:jc w:val="center"/>
        <w:rPr>
          <w:rFonts w:ascii="Arial" w:hAnsi="Arial" w:cs="Arial"/>
          <w:b/>
          <w:color w:val="000000" w:themeColor="text1"/>
          <w:sz w:val="4"/>
          <w:szCs w:val="20"/>
        </w:rPr>
      </w:pPr>
    </w:p>
    <w:tbl>
      <w:tblPr>
        <w:tblW w:w="9540" w:type="dxa"/>
        <w:jc w:val="center"/>
        <w:tblLook w:val="04A0" w:firstRow="1" w:lastRow="0" w:firstColumn="1" w:lastColumn="0" w:noHBand="0" w:noVBand="1"/>
      </w:tblPr>
      <w:tblGrid>
        <w:gridCol w:w="3996"/>
        <w:gridCol w:w="1585"/>
        <w:gridCol w:w="1217"/>
        <w:gridCol w:w="1525"/>
        <w:gridCol w:w="1217"/>
      </w:tblGrid>
      <w:tr w:rsidR="00D53CC4" w:rsidRPr="00294018" w14:paraId="55C57306" w14:textId="77777777" w:rsidTr="0060017F">
        <w:trPr>
          <w:cantSplit/>
          <w:trHeight w:val="595"/>
          <w:jc w:val="center"/>
        </w:trPr>
        <w:tc>
          <w:tcPr>
            <w:tcW w:w="3996" w:type="dxa"/>
            <w:vMerge w:val="restart"/>
            <w:tcBorders>
              <w:top w:val="single" w:sz="4" w:space="0" w:color="auto"/>
            </w:tcBorders>
            <w:noWrap/>
            <w:vAlign w:val="bottom"/>
            <w:hideMark/>
          </w:tcPr>
          <w:p w14:paraId="6683661E" w14:textId="77777777" w:rsidR="00D53CC4" w:rsidRPr="00294018" w:rsidRDefault="00D53CC4"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 </w:t>
            </w:r>
          </w:p>
        </w:tc>
        <w:tc>
          <w:tcPr>
            <w:tcW w:w="2802" w:type="dxa"/>
            <w:gridSpan w:val="2"/>
            <w:tcBorders>
              <w:top w:val="single" w:sz="4" w:space="0" w:color="auto"/>
              <w:bottom w:val="single" w:sz="4" w:space="0" w:color="auto"/>
            </w:tcBorders>
            <w:vAlign w:val="center"/>
            <w:hideMark/>
          </w:tcPr>
          <w:p w14:paraId="59F17619" w14:textId="77777777" w:rsidR="00D53CC4" w:rsidRPr="00294018" w:rsidRDefault="00D53CC4" w:rsidP="0060017F">
            <w:pPr>
              <w:jc w:val="center"/>
              <w:rPr>
                <w:rFonts w:ascii="Arial" w:hAnsi="Arial" w:cs="Arial"/>
                <w:bCs/>
                <w:color w:val="000000" w:themeColor="text1"/>
                <w:sz w:val="20"/>
                <w:szCs w:val="20"/>
              </w:rPr>
            </w:pPr>
            <w:r w:rsidRPr="00294018">
              <w:rPr>
                <w:rFonts w:ascii="Arial" w:hAnsi="Arial" w:cs="Arial"/>
                <w:bCs/>
                <w:color w:val="000000" w:themeColor="text1"/>
                <w:sz w:val="20"/>
                <w:szCs w:val="20"/>
              </w:rPr>
              <w:t>Number of enterprises (Enterprises)</w:t>
            </w:r>
          </w:p>
        </w:tc>
        <w:tc>
          <w:tcPr>
            <w:tcW w:w="2742" w:type="dxa"/>
            <w:gridSpan w:val="2"/>
            <w:tcBorders>
              <w:top w:val="single" w:sz="4" w:space="0" w:color="auto"/>
              <w:bottom w:val="single" w:sz="4" w:space="0" w:color="auto"/>
            </w:tcBorders>
            <w:vAlign w:val="center"/>
            <w:hideMark/>
          </w:tcPr>
          <w:p w14:paraId="1F4C8635" w14:textId="77777777" w:rsidR="00D53CC4" w:rsidRPr="00294018" w:rsidRDefault="00D53CC4" w:rsidP="0060017F">
            <w:pPr>
              <w:jc w:val="center"/>
              <w:rPr>
                <w:rFonts w:ascii="Arial" w:hAnsi="Arial" w:cs="Arial"/>
                <w:bCs/>
                <w:color w:val="000000" w:themeColor="text1"/>
                <w:sz w:val="20"/>
                <w:szCs w:val="20"/>
              </w:rPr>
            </w:pPr>
            <w:r w:rsidRPr="00294018">
              <w:rPr>
                <w:rFonts w:ascii="Arial" w:hAnsi="Arial" w:cs="Arial"/>
                <w:bCs/>
                <w:color w:val="000000" w:themeColor="text1"/>
                <w:sz w:val="20"/>
                <w:szCs w:val="20"/>
              </w:rPr>
              <w:t>Year-on-year growth rate (%)</w:t>
            </w:r>
          </w:p>
        </w:tc>
      </w:tr>
      <w:tr w:rsidR="00D53CC4" w:rsidRPr="00294018" w14:paraId="16668F28" w14:textId="77777777" w:rsidTr="0060017F">
        <w:trPr>
          <w:cantSplit/>
          <w:trHeight w:val="312"/>
          <w:jc w:val="center"/>
        </w:trPr>
        <w:tc>
          <w:tcPr>
            <w:tcW w:w="3996" w:type="dxa"/>
            <w:vMerge/>
            <w:vAlign w:val="center"/>
            <w:hideMark/>
          </w:tcPr>
          <w:p w14:paraId="12DA89DE" w14:textId="77777777" w:rsidR="00D53CC4" w:rsidRPr="00294018" w:rsidRDefault="00D53CC4" w:rsidP="0060017F">
            <w:pPr>
              <w:rPr>
                <w:rFonts w:ascii="Arial" w:hAnsi="Arial" w:cs="Arial"/>
                <w:color w:val="000000" w:themeColor="text1"/>
                <w:sz w:val="20"/>
                <w:szCs w:val="20"/>
              </w:rPr>
            </w:pPr>
          </w:p>
        </w:tc>
        <w:tc>
          <w:tcPr>
            <w:tcW w:w="1585" w:type="dxa"/>
            <w:tcBorders>
              <w:top w:val="single" w:sz="4" w:space="0" w:color="auto"/>
              <w:bottom w:val="single" w:sz="4" w:space="0" w:color="auto"/>
            </w:tcBorders>
            <w:vAlign w:val="center"/>
            <w:hideMark/>
          </w:tcPr>
          <w:p w14:paraId="64E7D792" w14:textId="77777777" w:rsidR="00D53CC4" w:rsidRPr="00294018" w:rsidRDefault="00D53CC4" w:rsidP="0060017F">
            <w:pPr>
              <w:jc w:val="center"/>
              <w:rPr>
                <w:rFonts w:ascii="Arial" w:hAnsi="Arial" w:cs="Arial"/>
                <w:bCs/>
                <w:color w:val="000000" w:themeColor="text1"/>
                <w:sz w:val="20"/>
                <w:szCs w:val="20"/>
              </w:rPr>
            </w:pPr>
            <w:r w:rsidRPr="00294018">
              <w:rPr>
                <w:rFonts w:ascii="Arial" w:hAnsi="Arial" w:cs="Arial"/>
                <w:bCs/>
                <w:color w:val="000000" w:themeColor="text1"/>
                <w:sz w:val="20"/>
                <w:szCs w:val="20"/>
              </w:rPr>
              <w:t>Newly established</w:t>
            </w:r>
          </w:p>
        </w:tc>
        <w:tc>
          <w:tcPr>
            <w:tcW w:w="1217" w:type="dxa"/>
            <w:tcBorders>
              <w:top w:val="single" w:sz="4" w:space="0" w:color="auto"/>
              <w:bottom w:val="single" w:sz="4" w:space="0" w:color="auto"/>
            </w:tcBorders>
            <w:vAlign w:val="center"/>
            <w:hideMark/>
          </w:tcPr>
          <w:p w14:paraId="2D45F8A5" w14:textId="77777777" w:rsidR="00D53CC4" w:rsidRPr="00294018" w:rsidRDefault="00D53CC4" w:rsidP="0060017F">
            <w:pPr>
              <w:jc w:val="center"/>
              <w:rPr>
                <w:rFonts w:ascii="Arial" w:hAnsi="Arial" w:cs="Arial"/>
                <w:bCs/>
                <w:color w:val="000000" w:themeColor="text1"/>
                <w:sz w:val="20"/>
                <w:szCs w:val="20"/>
              </w:rPr>
            </w:pPr>
            <w:r w:rsidRPr="00294018">
              <w:rPr>
                <w:rFonts w:ascii="Arial" w:hAnsi="Arial" w:cs="Arial"/>
                <w:bCs/>
                <w:color w:val="000000" w:themeColor="text1"/>
                <w:sz w:val="20"/>
                <w:szCs w:val="20"/>
              </w:rPr>
              <w:t>Completely dissolved</w:t>
            </w:r>
          </w:p>
        </w:tc>
        <w:tc>
          <w:tcPr>
            <w:tcW w:w="1525" w:type="dxa"/>
            <w:tcBorders>
              <w:top w:val="single" w:sz="4" w:space="0" w:color="auto"/>
              <w:bottom w:val="single" w:sz="4" w:space="0" w:color="auto"/>
            </w:tcBorders>
            <w:vAlign w:val="center"/>
            <w:hideMark/>
          </w:tcPr>
          <w:p w14:paraId="7060AE66" w14:textId="77777777" w:rsidR="00D53CC4" w:rsidRPr="00294018" w:rsidRDefault="00D53CC4" w:rsidP="0060017F">
            <w:pPr>
              <w:jc w:val="center"/>
              <w:rPr>
                <w:rFonts w:ascii="Arial" w:hAnsi="Arial" w:cs="Arial"/>
                <w:bCs/>
                <w:color w:val="000000" w:themeColor="text1"/>
                <w:sz w:val="20"/>
                <w:szCs w:val="20"/>
              </w:rPr>
            </w:pPr>
            <w:r w:rsidRPr="00294018">
              <w:rPr>
                <w:rFonts w:ascii="Arial" w:hAnsi="Arial" w:cs="Arial"/>
                <w:bCs/>
                <w:color w:val="000000" w:themeColor="text1"/>
                <w:sz w:val="20"/>
                <w:szCs w:val="20"/>
              </w:rPr>
              <w:t>Newly established</w:t>
            </w:r>
          </w:p>
        </w:tc>
        <w:tc>
          <w:tcPr>
            <w:tcW w:w="1217" w:type="dxa"/>
            <w:tcBorders>
              <w:top w:val="single" w:sz="4" w:space="0" w:color="auto"/>
              <w:bottom w:val="single" w:sz="4" w:space="0" w:color="auto"/>
            </w:tcBorders>
            <w:vAlign w:val="center"/>
            <w:hideMark/>
          </w:tcPr>
          <w:p w14:paraId="480F84CD" w14:textId="77777777" w:rsidR="00D53CC4" w:rsidRPr="00294018" w:rsidRDefault="00D53CC4" w:rsidP="0060017F">
            <w:pPr>
              <w:jc w:val="center"/>
              <w:rPr>
                <w:rFonts w:ascii="Arial" w:hAnsi="Arial" w:cs="Arial"/>
                <w:bCs/>
                <w:color w:val="000000" w:themeColor="text1"/>
                <w:sz w:val="20"/>
                <w:szCs w:val="20"/>
              </w:rPr>
            </w:pPr>
            <w:r w:rsidRPr="00294018">
              <w:rPr>
                <w:rFonts w:ascii="Arial" w:hAnsi="Arial" w:cs="Arial"/>
                <w:bCs/>
                <w:color w:val="000000" w:themeColor="text1"/>
                <w:sz w:val="20"/>
                <w:szCs w:val="20"/>
              </w:rPr>
              <w:t>Completely dissolved</w:t>
            </w:r>
          </w:p>
        </w:tc>
      </w:tr>
      <w:tr w:rsidR="00D53CC4" w:rsidRPr="00294018" w14:paraId="6F64087C" w14:textId="77777777" w:rsidTr="0060017F">
        <w:trPr>
          <w:cantSplit/>
          <w:trHeight w:val="282"/>
          <w:jc w:val="center"/>
        </w:trPr>
        <w:tc>
          <w:tcPr>
            <w:tcW w:w="3996" w:type="dxa"/>
            <w:noWrap/>
            <w:vAlign w:val="bottom"/>
            <w:hideMark/>
          </w:tcPr>
          <w:p w14:paraId="778EAD79"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sz w:val="20"/>
                <w:szCs w:val="20"/>
              </w:rPr>
              <w:lastRenderedPageBreak/>
              <w:t>Wholesale and retail, repair of motor vehicle and motorcycle</w:t>
            </w:r>
          </w:p>
        </w:tc>
        <w:tc>
          <w:tcPr>
            <w:tcW w:w="1585" w:type="dxa"/>
            <w:tcBorders>
              <w:top w:val="single" w:sz="4" w:space="0" w:color="auto"/>
            </w:tcBorders>
            <w:noWrap/>
            <w:vAlign w:val="bottom"/>
          </w:tcPr>
          <w:p w14:paraId="37A1E0C9"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39,730</w:t>
            </w:r>
          </w:p>
        </w:tc>
        <w:tc>
          <w:tcPr>
            <w:tcW w:w="1217" w:type="dxa"/>
            <w:tcBorders>
              <w:top w:val="single" w:sz="4" w:space="0" w:color="auto"/>
            </w:tcBorders>
            <w:noWrap/>
            <w:vAlign w:val="bottom"/>
          </w:tcPr>
          <w:p w14:paraId="5839532A"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7,189</w:t>
            </w:r>
          </w:p>
        </w:tc>
        <w:tc>
          <w:tcPr>
            <w:tcW w:w="1525" w:type="dxa"/>
            <w:tcBorders>
              <w:top w:val="single" w:sz="4" w:space="0" w:color="auto"/>
            </w:tcBorders>
            <w:noWrap/>
            <w:vAlign w:val="bottom"/>
          </w:tcPr>
          <w:p w14:paraId="2A384B6D"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59.3</w:t>
            </w:r>
          </w:p>
        </w:tc>
        <w:tc>
          <w:tcPr>
            <w:tcW w:w="1217" w:type="dxa"/>
            <w:tcBorders>
              <w:top w:val="single" w:sz="4" w:space="0" w:color="auto"/>
            </w:tcBorders>
            <w:noWrap/>
            <w:vAlign w:val="bottom"/>
          </w:tcPr>
          <w:p w14:paraId="4CB24DEB"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104.7</w:t>
            </w:r>
          </w:p>
        </w:tc>
      </w:tr>
      <w:tr w:rsidR="00D53CC4" w:rsidRPr="00294018" w14:paraId="1448356F" w14:textId="77777777" w:rsidTr="0060017F">
        <w:trPr>
          <w:cantSplit/>
          <w:trHeight w:val="297"/>
          <w:jc w:val="center"/>
        </w:trPr>
        <w:tc>
          <w:tcPr>
            <w:tcW w:w="3996" w:type="dxa"/>
            <w:noWrap/>
            <w:vAlign w:val="bottom"/>
            <w:hideMark/>
          </w:tcPr>
          <w:p w14:paraId="6BA66E43"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sz w:val="20"/>
                <w:szCs w:val="20"/>
              </w:rPr>
              <w:t xml:space="preserve">Manufacturing </w:t>
            </w:r>
          </w:p>
        </w:tc>
        <w:tc>
          <w:tcPr>
            <w:tcW w:w="1585" w:type="dxa"/>
            <w:noWrap/>
            <w:vAlign w:val="bottom"/>
          </w:tcPr>
          <w:p w14:paraId="6AE0EBDC"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12,814</w:t>
            </w:r>
          </w:p>
        </w:tc>
        <w:tc>
          <w:tcPr>
            <w:tcW w:w="1217" w:type="dxa"/>
            <w:noWrap/>
            <w:vAlign w:val="bottom"/>
          </w:tcPr>
          <w:p w14:paraId="51C549F0"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2,042</w:t>
            </w:r>
          </w:p>
        </w:tc>
        <w:tc>
          <w:tcPr>
            <w:tcW w:w="1525" w:type="dxa"/>
            <w:noWrap/>
            <w:vAlign w:val="bottom"/>
          </w:tcPr>
          <w:p w14:paraId="18B24F23"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50.1</w:t>
            </w:r>
          </w:p>
        </w:tc>
        <w:tc>
          <w:tcPr>
            <w:tcW w:w="1217" w:type="dxa"/>
            <w:noWrap/>
            <w:vAlign w:val="bottom"/>
          </w:tcPr>
          <w:p w14:paraId="0B92A81E"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101.2</w:t>
            </w:r>
          </w:p>
        </w:tc>
      </w:tr>
      <w:tr w:rsidR="00D53CC4" w:rsidRPr="00294018" w14:paraId="6ED8114B" w14:textId="77777777" w:rsidTr="0060017F">
        <w:trPr>
          <w:cantSplit/>
          <w:trHeight w:val="297"/>
          <w:jc w:val="center"/>
        </w:trPr>
        <w:tc>
          <w:tcPr>
            <w:tcW w:w="3996" w:type="dxa"/>
            <w:noWrap/>
            <w:vAlign w:val="bottom"/>
            <w:hideMark/>
          </w:tcPr>
          <w:p w14:paraId="31368F15"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sz w:val="20"/>
                <w:szCs w:val="20"/>
              </w:rPr>
              <w:t>Construction</w:t>
            </w:r>
          </w:p>
        </w:tc>
        <w:tc>
          <w:tcPr>
            <w:tcW w:w="1585" w:type="dxa"/>
            <w:noWrap/>
            <w:vAlign w:val="bottom"/>
          </w:tcPr>
          <w:p w14:paraId="151BF578"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9,107</w:t>
            </w:r>
          </w:p>
        </w:tc>
        <w:tc>
          <w:tcPr>
            <w:tcW w:w="1217" w:type="dxa"/>
            <w:noWrap/>
            <w:vAlign w:val="bottom"/>
          </w:tcPr>
          <w:p w14:paraId="6CA4B217"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1,352</w:t>
            </w:r>
          </w:p>
        </w:tc>
        <w:tc>
          <w:tcPr>
            <w:tcW w:w="1525" w:type="dxa"/>
            <w:noWrap/>
            <w:vAlign w:val="bottom"/>
          </w:tcPr>
          <w:p w14:paraId="055110B9"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53.2</w:t>
            </w:r>
          </w:p>
        </w:tc>
        <w:tc>
          <w:tcPr>
            <w:tcW w:w="1217" w:type="dxa"/>
            <w:noWrap/>
            <w:vAlign w:val="bottom"/>
          </w:tcPr>
          <w:p w14:paraId="11FB4022"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98.5</w:t>
            </w:r>
          </w:p>
        </w:tc>
      </w:tr>
      <w:tr w:rsidR="00D53CC4" w:rsidRPr="00294018" w14:paraId="408462CC" w14:textId="77777777" w:rsidTr="0060017F">
        <w:trPr>
          <w:cantSplit/>
          <w:trHeight w:val="297"/>
          <w:jc w:val="center"/>
        </w:trPr>
        <w:tc>
          <w:tcPr>
            <w:tcW w:w="3996" w:type="dxa"/>
            <w:noWrap/>
            <w:vAlign w:val="bottom"/>
            <w:hideMark/>
          </w:tcPr>
          <w:p w14:paraId="721C6C3E"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sz w:val="20"/>
                <w:szCs w:val="20"/>
              </w:rPr>
              <w:t>Real estate business</w:t>
            </w:r>
          </w:p>
        </w:tc>
        <w:tc>
          <w:tcPr>
            <w:tcW w:w="1585" w:type="dxa"/>
            <w:noWrap/>
            <w:vAlign w:val="bottom"/>
          </w:tcPr>
          <w:p w14:paraId="47718C6C"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2,638</w:t>
            </w:r>
          </w:p>
        </w:tc>
        <w:tc>
          <w:tcPr>
            <w:tcW w:w="1217" w:type="dxa"/>
            <w:noWrap/>
            <w:vAlign w:val="bottom"/>
          </w:tcPr>
          <w:p w14:paraId="6A24D57C"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1,149</w:t>
            </w:r>
          </w:p>
        </w:tc>
        <w:tc>
          <w:tcPr>
            <w:tcW w:w="1525" w:type="dxa"/>
            <w:noWrap/>
            <w:vAlign w:val="bottom"/>
          </w:tcPr>
          <w:p w14:paraId="221EF67A"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27.8</w:t>
            </w:r>
          </w:p>
        </w:tc>
        <w:tc>
          <w:tcPr>
            <w:tcW w:w="1217" w:type="dxa"/>
            <w:noWrap/>
            <w:vAlign w:val="bottom"/>
          </w:tcPr>
          <w:p w14:paraId="18E26689"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119.3</w:t>
            </w:r>
          </w:p>
        </w:tc>
      </w:tr>
      <w:tr w:rsidR="00D53CC4" w:rsidRPr="00294018" w14:paraId="16E6BDF6" w14:textId="77777777" w:rsidTr="0060017F">
        <w:trPr>
          <w:cantSplit/>
          <w:trHeight w:val="297"/>
          <w:jc w:val="center"/>
        </w:trPr>
        <w:tc>
          <w:tcPr>
            <w:tcW w:w="3996" w:type="dxa"/>
            <w:noWrap/>
            <w:vAlign w:val="bottom"/>
            <w:hideMark/>
          </w:tcPr>
          <w:p w14:paraId="31CEFB76"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kern w:val="2"/>
                <w:sz w:val="20"/>
                <w:szCs w:val="20"/>
                <w14:ligatures w14:val="standardContextual"/>
              </w:rPr>
              <w:t>Transportation and storage</w:t>
            </w:r>
          </w:p>
        </w:tc>
        <w:tc>
          <w:tcPr>
            <w:tcW w:w="1585" w:type="dxa"/>
            <w:noWrap/>
            <w:vAlign w:val="bottom"/>
          </w:tcPr>
          <w:p w14:paraId="6C919F0D"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6,088</w:t>
            </w:r>
          </w:p>
        </w:tc>
        <w:tc>
          <w:tcPr>
            <w:tcW w:w="1217" w:type="dxa"/>
            <w:noWrap/>
            <w:vAlign w:val="bottom"/>
          </w:tcPr>
          <w:p w14:paraId="298FB6FA"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708</w:t>
            </w:r>
          </w:p>
        </w:tc>
        <w:tc>
          <w:tcPr>
            <w:tcW w:w="1525" w:type="dxa"/>
            <w:noWrap/>
            <w:vAlign w:val="bottom"/>
          </w:tcPr>
          <w:p w14:paraId="096B550A"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69.8</w:t>
            </w:r>
          </w:p>
        </w:tc>
        <w:tc>
          <w:tcPr>
            <w:tcW w:w="1217" w:type="dxa"/>
            <w:noWrap/>
            <w:vAlign w:val="bottom"/>
          </w:tcPr>
          <w:p w14:paraId="75AA074B"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93.4</w:t>
            </w:r>
          </w:p>
        </w:tc>
      </w:tr>
      <w:tr w:rsidR="00D53CC4" w:rsidRPr="00294018" w14:paraId="2C0638C3" w14:textId="77777777" w:rsidTr="0060017F">
        <w:trPr>
          <w:cantSplit/>
          <w:trHeight w:val="297"/>
          <w:jc w:val="center"/>
        </w:trPr>
        <w:tc>
          <w:tcPr>
            <w:tcW w:w="3996" w:type="dxa"/>
            <w:noWrap/>
            <w:vAlign w:val="bottom"/>
            <w:hideMark/>
          </w:tcPr>
          <w:p w14:paraId="2D1247A2"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sz w:val="20"/>
                <w:szCs w:val="20"/>
              </w:rPr>
              <w:t>Accommodation and food services</w:t>
            </w:r>
          </w:p>
        </w:tc>
        <w:tc>
          <w:tcPr>
            <w:tcW w:w="1585" w:type="dxa"/>
            <w:noWrap/>
            <w:vAlign w:val="bottom"/>
          </w:tcPr>
          <w:p w14:paraId="3152CD59"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4,287</w:t>
            </w:r>
          </w:p>
        </w:tc>
        <w:tc>
          <w:tcPr>
            <w:tcW w:w="1217" w:type="dxa"/>
            <w:noWrap/>
            <w:vAlign w:val="bottom"/>
          </w:tcPr>
          <w:p w14:paraId="509C8B59"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912</w:t>
            </w:r>
          </w:p>
        </w:tc>
        <w:tc>
          <w:tcPr>
            <w:tcW w:w="1525" w:type="dxa"/>
            <w:noWrap/>
            <w:vAlign w:val="bottom"/>
          </w:tcPr>
          <w:p w14:paraId="209AC221"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95.0</w:t>
            </w:r>
          </w:p>
        </w:tc>
        <w:tc>
          <w:tcPr>
            <w:tcW w:w="1217" w:type="dxa"/>
            <w:noWrap/>
            <w:vAlign w:val="bottom"/>
          </w:tcPr>
          <w:p w14:paraId="6C163BEF"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80.6</w:t>
            </w:r>
          </w:p>
        </w:tc>
      </w:tr>
      <w:tr w:rsidR="00D53CC4" w:rsidRPr="00294018" w14:paraId="5207AFC2" w14:textId="77777777" w:rsidTr="0060017F">
        <w:trPr>
          <w:cantSplit/>
          <w:trHeight w:val="297"/>
          <w:jc w:val="center"/>
        </w:trPr>
        <w:tc>
          <w:tcPr>
            <w:tcW w:w="3996" w:type="dxa"/>
            <w:tcBorders>
              <w:bottom w:val="single" w:sz="4" w:space="0" w:color="auto"/>
            </w:tcBorders>
            <w:noWrap/>
            <w:vAlign w:val="bottom"/>
          </w:tcPr>
          <w:p w14:paraId="05BC4AEA" w14:textId="77777777" w:rsidR="00D53CC4" w:rsidRPr="00294018" w:rsidRDefault="00D53CC4" w:rsidP="0060017F">
            <w:pPr>
              <w:rPr>
                <w:rFonts w:ascii="Arial" w:hAnsi="Arial" w:cs="Arial"/>
                <w:color w:val="000000" w:themeColor="text1"/>
                <w:sz w:val="20"/>
                <w:szCs w:val="20"/>
              </w:rPr>
            </w:pPr>
            <w:r w:rsidRPr="00294018">
              <w:rPr>
                <w:rFonts w:ascii="Arial" w:hAnsi="Arial" w:cs="Arial"/>
                <w:color w:val="000000" w:themeColor="text1"/>
                <w:kern w:val="2"/>
                <w:sz w:val="20"/>
                <w:szCs w:val="20"/>
                <w14:ligatures w14:val="standardContextual"/>
              </w:rPr>
              <w:t>Electricity, water and gas supply</w:t>
            </w:r>
          </w:p>
        </w:tc>
        <w:tc>
          <w:tcPr>
            <w:tcW w:w="1585" w:type="dxa"/>
            <w:tcBorders>
              <w:bottom w:val="single" w:sz="4" w:space="0" w:color="auto"/>
            </w:tcBorders>
            <w:noWrap/>
            <w:vAlign w:val="bottom"/>
          </w:tcPr>
          <w:p w14:paraId="23929DB8"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918</w:t>
            </w:r>
          </w:p>
        </w:tc>
        <w:tc>
          <w:tcPr>
            <w:tcW w:w="1217" w:type="dxa"/>
            <w:tcBorders>
              <w:bottom w:val="single" w:sz="4" w:space="0" w:color="auto"/>
            </w:tcBorders>
            <w:noWrap/>
            <w:vAlign w:val="bottom"/>
          </w:tcPr>
          <w:p w14:paraId="4AB963D9"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176</w:t>
            </w:r>
          </w:p>
        </w:tc>
        <w:tc>
          <w:tcPr>
            <w:tcW w:w="1525" w:type="dxa"/>
            <w:tcBorders>
              <w:bottom w:val="single" w:sz="4" w:space="0" w:color="auto"/>
            </w:tcBorders>
            <w:noWrap/>
            <w:vAlign w:val="bottom"/>
          </w:tcPr>
          <w:p w14:paraId="45386B07" w14:textId="77777777" w:rsidR="00D53CC4" w:rsidRPr="00294018" w:rsidRDefault="00D53CC4" w:rsidP="0060017F">
            <w:pPr>
              <w:ind w:right="316"/>
              <w:jc w:val="right"/>
              <w:rPr>
                <w:rFonts w:ascii="Arial" w:hAnsi="Arial" w:cs="Arial"/>
                <w:color w:val="000000" w:themeColor="text1"/>
                <w:sz w:val="20"/>
                <w:szCs w:val="20"/>
              </w:rPr>
            </w:pPr>
            <w:r w:rsidRPr="00294018">
              <w:rPr>
                <w:rFonts w:ascii="Arial" w:hAnsi="Arial" w:cs="Arial"/>
                <w:color w:val="000000" w:themeColor="text1"/>
                <w:sz w:val="20"/>
                <w:szCs w:val="20"/>
              </w:rPr>
              <w:t>78.3</w:t>
            </w:r>
          </w:p>
        </w:tc>
        <w:tc>
          <w:tcPr>
            <w:tcW w:w="1217" w:type="dxa"/>
            <w:tcBorders>
              <w:bottom w:val="single" w:sz="4" w:space="0" w:color="auto"/>
            </w:tcBorders>
            <w:noWrap/>
            <w:vAlign w:val="bottom"/>
          </w:tcPr>
          <w:p w14:paraId="206EB44D" w14:textId="77777777" w:rsidR="00D53CC4" w:rsidRPr="00294018" w:rsidRDefault="00D53CC4" w:rsidP="0060017F">
            <w:pPr>
              <w:ind w:right="176"/>
              <w:jc w:val="right"/>
              <w:rPr>
                <w:rFonts w:ascii="Arial" w:hAnsi="Arial" w:cs="Arial"/>
                <w:color w:val="000000" w:themeColor="text1"/>
                <w:sz w:val="20"/>
                <w:szCs w:val="20"/>
              </w:rPr>
            </w:pPr>
            <w:r w:rsidRPr="00294018">
              <w:rPr>
                <w:rFonts w:ascii="Arial" w:hAnsi="Arial" w:cs="Arial"/>
                <w:color w:val="000000" w:themeColor="text1"/>
                <w:sz w:val="20"/>
                <w:szCs w:val="20"/>
              </w:rPr>
              <w:t>43.1</w:t>
            </w:r>
          </w:p>
        </w:tc>
      </w:tr>
    </w:tbl>
    <w:p w14:paraId="28BDC5FC" w14:textId="77777777" w:rsidR="00D53CC4" w:rsidRPr="00294018" w:rsidRDefault="00D53CC4" w:rsidP="00D53CC4">
      <w:pPr>
        <w:spacing w:before="240" w:after="120" w:line="264" w:lineRule="auto"/>
        <w:ind w:firstLine="720"/>
        <w:rPr>
          <w:b/>
          <w:bCs/>
          <w:color w:val="000000" w:themeColor="text1"/>
        </w:rPr>
      </w:pPr>
      <w:r w:rsidRPr="00294018">
        <w:rPr>
          <w:b/>
          <w:bCs/>
          <w:color w:val="000000" w:themeColor="text1"/>
        </w:rPr>
        <w:t>4. Investment</w:t>
      </w:r>
    </w:p>
    <w:p w14:paraId="136118A9" w14:textId="2B858892" w:rsidR="00D53CC4" w:rsidRPr="00294018" w:rsidRDefault="00471664" w:rsidP="00D53CC4">
      <w:pPr>
        <w:spacing w:after="120" w:line="257" w:lineRule="auto"/>
        <w:ind w:firstLine="709"/>
        <w:jc w:val="both"/>
        <w:rPr>
          <w:bCs/>
          <w:i/>
          <w:color w:val="000000" w:themeColor="text1"/>
          <w:spacing w:val="-4"/>
        </w:rPr>
      </w:pPr>
      <w:r w:rsidRPr="00294018">
        <w:rPr>
          <w:i/>
          <w:color w:val="000000" w:themeColor="text1"/>
          <w:spacing w:val="-4"/>
        </w:rPr>
        <w:t>State budget investment in May was actively promoted by ministries, agencies, and localities, creating momentum for economic growth throughout 2026. Cumulatively, during the first five months of 2026, investment from the State budget reached an estimated 24.0% of the annual plan, representing an 11.2% expansion compared to the corresponding period last year. Disbursed foreign direct investment (FDI) in Viet</w:t>
      </w:r>
      <w:r w:rsidR="00460695" w:rsidRPr="00294018">
        <w:rPr>
          <w:i/>
          <w:color w:val="000000" w:themeColor="text1"/>
          <w:spacing w:val="-4"/>
        </w:rPr>
        <w:t xml:space="preserve"> N</w:t>
      </w:r>
      <w:r w:rsidRPr="00294018">
        <w:rPr>
          <w:i/>
          <w:color w:val="000000" w:themeColor="text1"/>
          <w:spacing w:val="-4"/>
        </w:rPr>
        <w:t>am over the same five-month period stood at an estimated 9.75 billion USD, marking a 9.6% increase year-on-year.</w:t>
      </w:r>
    </w:p>
    <w:p w14:paraId="0EFBC325" w14:textId="67893C9F" w:rsidR="00D53CC4" w:rsidRPr="00294018" w:rsidRDefault="00471664" w:rsidP="00D53CC4">
      <w:pPr>
        <w:spacing w:after="120" w:line="257" w:lineRule="auto"/>
        <w:ind w:firstLine="567"/>
        <w:jc w:val="both"/>
        <w:rPr>
          <w:color w:val="000000" w:themeColor="text1"/>
        </w:rPr>
      </w:pPr>
      <w:r w:rsidRPr="00294018">
        <w:rPr>
          <w:color w:val="000000" w:themeColor="text1"/>
        </w:rPr>
        <w:t xml:space="preserve">In May alone, disbursed investment from the State budget reached nearly 65 trillion VND, growing by 10.2% year-on-year. This total comprised centrally-managed investment at nearly 10.2 trillion VND (up 17.4%) and locally-managed investment at 54.8 trillion VND (up 8.9%). Cumulatively, for the first five months of 2026, overall disbursed State budget investment reached an estimated 254.1 trillion VND, equivalent to 24.0% of the annual plan and representing an 11.2% year-on-year expansion (compared to 22.5% of the plan and a 21.1% growth rate recorded in the same period of 2025). </w:t>
      </w:r>
      <w:r w:rsidR="00F262C0">
        <w:rPr>
          <w:color w:val="000000" w:themeColor="text1"/>
        </w:rPr>
        <w:t>The</w:t>
      </w:r>
      <w:r w:rsidRPr="00294018">
        <w:rPr>
          <w:color w:val="000000" w:themeColor="text1"/>
        </w:rPr>
        <w:t xml:space="preserve"> </w:t>
      </w:r>
      <w:r w:rsidR="00F262C0" w:rsidRPr="00294018">
        <w:rPr>
          <w:color w:val="000000" w:themeColor="text1"/>
        </w:rPr>
        <w:t xml:space="preserve">detailed </w:t>
      </w:r>
      <w:r w:rsidRPr="00294018">
        <w:rPr>
          <w:color w:val="000000" w:themeColor="text1"/>
        </w:rPr>
        <w:t xml:space="preserve">performance </w:t>
      </w:r>
      <w:r w:rsidR="00F262C0">
        <w:rPr>
          <w:color w:val="000000" w:themeColor="text1"/>
        </w:rPr>
        <w:t>was as</w:t>
      </w:r>
      <w:r w:rsidRPr="00294018">
        <w:rPr>
          <w:color w:val="000000" w:themeColor="text1"/>
        </w:rPr>
        <w:t xml:space="preserve"> below</w:t>
      </w:r>
      <w:r w:rsidR="00D53CC4" w:rsidRPr="00294018">
        <w:rPr>
          <w:color w:val="000000" w:themeColor="text1"/>
        </w:rPr>
        <w:t>:</w:t>
      </w:r>
    </w:p>
    <w:p w14:paraId="6B7A1B4F" w14:textId="5DAB1A44" w:rsidR="00D53CC4" w:rsidRPr="00294018" w:rsidRDefault="00D53CC4" w:rsidP="00D53CC4">
      <w:pPr>
        <w:spacing w:after="120" w:line="257" w:lineRule="auto"/>
        <w:ind w:firstLine="567"/>
        <w:jc w:val="both"/>
        <w:rPr>
          <w:color w:val="000000" w:themeColor="text1"/>
        </w:rPr>
      </w:pPr>
      <w:r w:rsidRPr="00294018">
        <w:rPr>
          <w:color w:val="000000" w:themeColor="text1"/>
        </w:rPr>
        <w:t>- Centrally-managed investment was estimated to reach 35.9 trillion VND, equivalent to 13.6% of the annual plan and an expansion of 8.9% year-on-year. Of which, investment managed by specific ministries witnessed divergent trends, such as Ministry of Construction: 16.5 trillion VND (down 18.7%); Ministry of Agriculture and Environment: 1.9 trillion VND (shrank by 59.9%); Ministry of Health: 401.6 billion VND (contracted by 52.5%); Ministry of Culture, Sports and Tourism: 244.1 billion VND (rose by 9.1%); Ministry of Education and Training: 211.4 billion VND (dropped by 54.6%); Ministry of Industry and Trade: 28.2 billion VND (decreased by 63.6%); Ministry of Science and Technology: 13.3 billion VND (slumped by 86.2%).</w:t>
      </w:r>
    </w:p>
    <w:p w14:paraId="4676A0BB" w14:textId="77777777" w:rsidR="00D53CC4" w:rsidRPr="00294018" w:rsidRDefault="00D53CC4" w:rsidP="00D53CC4">
      <w:pPr>
        <w:spacing w:after="120" w:line="257" w:lineRule="auto"/>
        <w:ind w:firstLine="567"/>
        <w:jc w:val="both"/>
        <w:rPr>
          <w:color w:val="000000" w:themeColor="text1"/>
        </w:rPr>
      </w:pPr>
      <w:r w:rsidRPr="00294018">
        <w:rPr>
          <w:color w:val="000000" w:themeColor="text1"/>
        </w:rPr>
        <w:t>- Locally-managed investment was estimated at 218.2 trillion VND, equal to 27.5% of the annual plan and a growth of 11.6% year-on-year, including:</w:t>
      </w:r>
    </w:p>
    <w:p w14:paraId="500109AA" w14:textId="77777777" w:rsidR="00D53CC4" w:rsidRPr="00294018" w:rsidRDefault="00D53CC4" w:rsidP="00D53CC4">
      <w:pPr>
        <w:spacing w:after="120" w:line="257" w:lineRule="auto"/>
        <w:ind w:firstLine="567"/>
        <w:jc w:val="both"/>
        <w:rPr>
          <w:color w:val="000000" w:themeColor="text1"/>
        </w:rPr>
      </w:pPr>
      <w:r w:rsidRPr="00294018">
        <w:rPr>
          <w:color w:val="000000" w:themeColor="text1"/>
        </w:rPr>
        <w:t xml:space="preserve">State budget investment at the provincial level reached 170.4 trillion VND, equivalent to 26.9% and a 9.0% upturn compared to 2025; </w:t>
      </w:r>
    </w:p>
    <w:p w14:paraId="52DC8F88" w14:textId="77777777" w:rsidR="00D53CC4" w:rsidRPr="00294018" w:rsidRDefault="00D53CC4" w:rsidP="00D53CC4">
      <w:pPr>
        <w:spacing w:after="120" w:line="257" w:lineRule="auto"/>
        <w:ind w:firstLine="567"/>
        <w:jc w:val="both"/>
        <w:rPr>
          <w:color w:val="000000" w:themeColor="text1"/>
        </w:rPr>
      </w:pPr>
      <w:r w:rsidRPr="00294018">
        <w:rPr>
          <w:color w:val="000000" w:themeColor="text1"/>
        </w:rPr>
        <w:lastRenderedPageBreak/>
        <w:t xml:space="preserve">State budget investment at the commune level reached 47.8 trillion VND, equivalent to 29.6% and a 22.0% surge year-on-year. </w:t>
      </w:r>
    </w:p>
    <w:p w14:paraId="727B26E6" w14:textId="77777777" w:rsidR="00D53CC4" w:rsidRPr="00294018" w:rsidRDefault="00D53CC4" w:rsidP="00D53CC4">
      <w:pPr>
        <w:spacing w:after="120" w:line="257" w:lineRule="auto"/>
        <w:ind w:firstLine="567"/>
        <w:jc w:val="both"/>
        <w:rPr>
          <w:color w:val="000000" w:themeColor="text1"/>
        </w:rPr>
      </w:pPr>
      <w:r w:rsidRPr="00294018">
        <w:rPr>
          <w:color w:val="000000" w:themeColor="text1"/>
        </w:rPr>
        <w:t>The disbursed State budget investment in the first five months of 2026 in some provinces and centrally-run cities was as follows:</w:t>
      </w:r>
    </w:p>
    <w:p w14:paraId="7990453B" w14:textId="77777777" w:rsidR="00D53CC4" w:rsidRPr="00294018" w:rsidRDefault="00D53CC4" w:rsidP="00D53CC4">
      <w:pPr>
        <w:spacing w:line="276" w:lineRule="auto"/>
        <w:jc w:val="center"/>
        <w:rPr>
          <w:rFonts w:ascii="Arial" w:hAnsi="Arial" w:cs="Arial"/>
          <w:b/>
          <w:bCs/>
          <w:color w:val="000000" w:themeColor="text1"/>
          <w:sz w:val="24"/>
          <w:szCs w:val="24"/>
        </w:rPr>
      </w:pPr>
      <w:r w:rsidRPr="00294018">
        <w:rPr>
          <w:rFonts w:ascii="Arial" w:hAnsi="Arial" w:cs="Arial"/>
          <w:b/>
          <w:bCs/>
          <w:color w:val="000000" w:themeColor="text1"/>
          <w:sz w:val="24"/>
          <w:szCs w:val="24"/>
        </w:rPr>
        <w:t>Figure 6. Disbursed investment from the State budget</w:t>
      </w:r>
    </w:p>
    <w:p w14:paraId="2EBCD60E" w14:textId="77777777" w:rsidR="00D53CC4" w:rsidRPr="00294018" w:rsidRDefault="00D53CC4" w:rsidP="00D53CC4">
      <w:pPr>
        <w:spacing w:line="276" w:lineRule="auto"/>
        <w:jc w:val="center"/>
        <w:rPr>
          <w:rFonts w:ascii="Arial" w:hAnsi="Arial" w:cs="Arial"/>
          <w:b/>
          <w:bCs/>
          <w:color w:val="000000" w:themeColor="text1"/>
          <w:sz w:val="24"/>
          <w:szCs w:val="24"/>
        </w:rPr>
      </w:pPr>
      <w:r w:rsidRPr="00294018">
        <w:rPr>
          <w:rFonts w:ascii="Arial" w:hAnsi="Arial" w:cs="Arial"/>
          <w:b/>
          <w:bCs/>
          <w:color w:val="000000" w:themeColor="text1"/>
          <w:sz w:val="24"/>
          <w:szCs w:val="24"/>
        </w:rPr>
        <w:t xml:space="preserve">in the first five months of 2026 in selected localities </w:t>
      </w:r>
    </w:p>
    <w:p w14:paraId="1D6CA709" w14:textId="77777777" w:rsidR="00D53CC4" w:rsidRPr="00294018" w:rsidRDefault="00D53CC4" w:rsidP="00D53CC4">
      <w:pPr>
        <w:spacing w:line="276" w:lineRule="auto"/>
        <w:jc w:val="center"/>
        <w:rPr>
          <w:rFonts w:ascii="Arial" w:hAnsi="Arial" w:cs="Arial"/>
          <w:b/>
          <w:bCs/>
          <w:color w:val="000000" w:themeColor="text1"/>
          <w:sz w:val="24"/>
          <w:szCs w:val="24"/>
        </w:rPr>
      </w:pPr>
      <w:r w:rsidRPr="00294018">
        <w:rPr>
          <w:noProof/>
        </w:rPr>
        <w:drawing>
          <wp:inline distT="0" distB="0" distL="0" distR="0" wp14:anchorId="55F7EDD8" wp14:editId="236C6A69">
            <wp:extent cx="5791200" cy="3028950"/>
            <wp:effectExtent l="0" t="0" r="0" b="0"/>
            <wp:docPr id="1838858940" name="Chart 1">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50D6D7" w14:textId="2006FC83" w:rsidR="00D53CC4" w:rsidRPr="00294018" w:rsidRDefault="00D53CC4" w:rsidP="00D53CC4">
      <w:pPr>
        <w:spacing w:before="240" w:after="120" w:line="264" w:lineRule="auto"/>
        <w:ind w:firstLine="720"/>
        <w:jc w:val="both"/>
        <w:rPr>
          <w:iCs/>
          <w:color w:val="000000" w:themeColor="text1"/>
        </w:rPr>
      </w:pPr>
      <w:r w:rsidRPr="00294018">
        <w:rPr>
          <w:i/>
          <w:iCs/>
          <w:color w:val="000000" w:themeColor="text1"/>
        </w:rPr>
        <w:t>Total inward foreign investment in Viet Nam</w:t>
      </w:r>
      <w:r w:rsidRPr="00294018">
        <w:rPr>
          <w:i/>
          <w:iCs/>
          <w:color w:val="000000" w:themeColor="text1"/>
          <w:vertAlign w:val="superscript"/>
        </w:rPr>
        <w:footnoteReference w:id="14"/>
      </w:r>
      <w:r w:rsidRPr="00294018">
        <w:rPr>
          <w:i/>
          <w:iCs/>
          <w:color w:val="000000" w:themeColor="text1"/>
        </w:rPr>
        <w:t xml:space="preserve"> </w:t>
      </w:r>
      <w:r w:rsidRPr="00294018">
        <w:rPr>
          <w:iCs/>
          <w:color w:val="000000" w:themeColor="text1"/>
        </w:rPr>
        <w:t>as of May 31</w:t>
      </w:r>
      <w:r w:rsidR="0031544E">
        <w:rPr>
          <w:iCs/>
          <w:color w:val="000000" w:themeColor="text1"/>
          <w:vertAlign w:val="superscript"/>
        </w:rPr>
        <w:t>st</w:t>
      </w:r>
      <w:r w:rsidRPr="00294018">
        <w:rPr>
          <w:iCs/>
          <w:color w:val="000000" w:themeColor="text1"/>
        </w:rPr>
        <w:t>, 2026, including newly registered capital, adjusting registered capital, and the value of capital contribution and purchasing shares by foreign investors reached 24.81 billion USD, a year-on-year increase of 34.9%.</w:t>
      </w:r>
    </w:p>
    <w:p w14:paraId="744ED663" w14:textId="77777777" w:rsidR="00D53CC4" w:rsidRPr="00294018" w:rsidRDefault="00D53CC4" w:rsidP="00D53CC4">
      <w:pPr>
        <w:jc w:val="center"/>
        <w:rPr>
          <w:rFonts w:ascii="Arial" w:hAnsi="Arial" w:cs="Arial"/>
          <w:b/>
          <w:bCs/>
          <w:color w:val="000000" w:themeColor="text1"/>
          <w:sz w:val="24"/>
          <w:szCs w:val="24"/>
        </w:rPr>
      </w:pPr>
      <w:r w:rsidRPr="00294018">
        <w:rPr>
          <w:rFonts w:ascii="Arial" w:hAnsi="Arial" w:cs="Arial"/>
          <w:b/>
          <w:bCs/>
          <w:color w:val="000000" w:themeColor="text1"/>
          <w:sz w:val="24"/>
          <w:szCs w:val="24"/>
        </w:rPr>
        <w:t>Figure 7. Inward foreign investment in Viet Nam</w:t>
      </w:r>
    </w:p>
    <w:p w14:paraId="0F837D8B" w14:textId="77777777" w:rsidR="00D53CC4" w:rsidRPr="00294018" w:rsidRDefault="00D53CC4" w:rsidP="00D53CC4">
      <w:pPr>
        <w:jc w:val="center"/>
        <w:rPr>
          <w:rFonts w:ascii="Arial" w:hAnsi="Arial" w:cs="Arial"/>
          <w:b/>
          <w:bCs/>
          <w:color w:val="000000" w:themeColor="text1"/>
          <w:sz w:val="24"/>
          <w:szCs w:val="24"/>
        </w:rPr>
      </w:pPr>
      <w:r w:rsidRPr="00294018">
        <w:rPr>
          <w:rFonts w:ascii="Arial" w:hAnsi="Arial" w:cs="Arial"/>
          <w:b/>
          <w:bCs/>
          <w:color w:val="000000" w:themeColor="text1"/>
          <w:sz w:val="24"/>
          <w:szCs w:val="24"/>
        </w:rPr>
        <w:t>in the first five months of 2022-2026 (Billion USD)</w:t>
      </w:r>
    </w:p>
    <w:p w14:paraId="4273EE6D" w14:textId="77777777" w:rsidR="00D53CC4" w:rsidRPr="00294018" w:rsidRDefault="00D53CC4" w:rsidP="00D53CC4">
      <w:pPr>
        <w:jc w:val="center"/>
        <w:rPr>
          <w:rFonts w:ascii="Arial" w:hAnsi="Arial" w:cs="Arial"/>
          <w:b/>
          <w:bCs/>
          <w:color w:val="000000" w:themeColor="text1"/>
          <w:sz w:val="24"/>
          <w:szCs w:val="24"/>
        </w:rPr>
      </w:pPr>
    </w:p>
    <w:p w14:paraId="748E9686" w14:textId="77777777" w:rsidR="00D53CC4" w:rsidRPr="00294018" w:rsidRDefault="00D53CC4" w:rsidP="00D53CC4">
      <w:pPr>
        <w:jc w:val="center"/>
        <w:rPr>
          <w:rFonts w:ascii="Arial" w:hAnsi="Arial" w:cs="Arial"/>
          <w:b/>
          <w:bCs/>
          <w:color w:val="000000" w:themeColor="text1"/>
          <w:sz w:val="24"/>
          <w:szCs w:val="24"/>
        </w:rPr>
      </w:pPr>
      <w:r w:rsidRPr="00294018">
        <w:rPr>
          <w:noProof/>
        </w:rPr>
        <w:drawing>
          <wp:inline distT="0" distB="0" distL="0" distR="0" wp14:anchorId="113B0A0D" wp14:editId="20FD4847">
            <wp:extent cx="5760085" cy="2524125"/>
            <wp:effectExtent l="0" t="0" r="12065" b="9525"/>
            <wp:docPr id="271560665"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D318519" w14:textId="77777777" w:rsidR="00D53CC4" w:rsidRPr="00294018" w:rsidRDefault="00D53CC4" w:rsidP="00D53CC4">
      <w:pPr>
        <w:spacing w:before="240" w:after="120" w:line="264" w:lineRule="auto"/>
        <w:ind w:firstLine="720"/>
        <w:jc w:val="both"/>
        <w:rPr>
          <w:iCs/>
          <w:color w:val="000000" w:themeColor="text1"/>
        </w:rPr>
      </w:pPr>
      <w:r w:rsidRPr="00294018">
        <w:rPr>
          <w:iCs/>
          <w:color w:val="000000" w:themeColor="text1"/>
        </w:rPr>
        <w:lastRenderedPageBreak/>
        <w:t>- In terms of newly registered capital: 1,576 projects were licensed with a registered capital of 14.84 billion USD, a 1.7% increase year-on-year in the number of projects and an upturn of 2.1 times in registered capital. Of which, the largest newly licensed FDI was the manufacturing and processing industry with 9.64 billion USD, accounting for 65.0% of the total newly registered capital; the electricity, gas, water, and air conditioning production and distribution reached 2.45 billion USD, making up 16.5%; and other activities was 2.75 billion USD, constituting 18.5%.</w:t>
      </w:r>
    </w:p>
    <w:p w14:paraId="0FCBD1A6" w14:textId="77777777" w:rsidR="00D53CC4" w:rsidRPr="00294018" w:rsidRDefault="00D53CC4" w:rsidP="00D53CC4">
      <w:pPr>
        <w:spacing w:after="120" w:line="264" w:lineRule="auto"/>
        <w:ind w:firstLine="720"/>
        <w:jc w:val="both"/>
        <w:rPr>
          <w:iCs/>
          <w:color w:val="000000" w:themeColor="text1"/>
        </w:rPr>
      </w:pPr>
      <w:r w:rsidRPr="00294018">
        <w:rPr>
          <w:iCs/>
          <w:color w:val="000000" w:themeColor="text1"/>
        </w:rPr>
        <w:t xml:space="preserve">Among the 58 countries and territories with newly licensed investment projects in Viet Nam during the first five months of 2026, Singapore was the largest investor with 6.8 billion USD, comprising 45.9% of the total newly registered capital; followed by South Korea with 4.22 billion USD, equivalent to 28.4%; China with 1.79 billion USD, representing 12.1%; Japan with 712.6 million USD, accounting for 4.8%; Hong Kong Special Administrative Region (China) with 397.3 million USD, making up 2.7%; and the Netherlands with 380.3 million USD, constituting 2.6%. </w:t>
      </w:r>
    </w:p>
    <w:p w14:paraId="19367E4F" w14:textId="77777777" w:rsidR="00D53CC4" w:rsidRPr="00294018" w:rsidRDefault="00D53CC4" w:rsidP="00D53CC4">
      <w:pPr>
        <w:spacing w:after="120" w:line="264" w:lineRule="auto"/>
        <w:ind w:firstLine="720"/>
        <w:jc w:val="both"/>
        <w:rPr>
          <w:iCs/>
          <w:color w:val="000000" w:themeColor="text1"/>
        </w:rPr>
      </w:pPr>
      <w:r w:rsidRPr="00294018">
        <w:rPr>
          <w:iCs/>
          <w:color w:val="000000" w:themeColor="text1"/>
        </w:rPr>
        <w:t xml:space="preserve"> - The adjusted registered capital: 415 turns of projects licensed from the previous years registered to adjust investment capital upwards by an additional 5.78 billion USD, a year-on-year decrease of 32.1%.</w:t>
      </w:r>
    </w:p>
    <w:p w14:paraId="5A986E98" w14:textId="77777777" w:rsidR="00D53CC4" w:rsidRPr="00294018" w:rsidRDefault="00D53CC4" w:rsidP="00D53CC4">
      <w:pPr>
        <w:spacing w:after="120" w:line="264" w:lineRule="auto"/>
        <w:ind w:firstLine="720"/>
        <w:jc w:val="both"/>
        <w:rPr>
          <w:iCs/>
          <w:color w:val="000000" w:themeColor="text1"/>
        </w:rPr>
      </w:pPr>
      <w:r w:rsidRPr="00294018">
        <w:rPr>
          <w:iCs/>
          <w:color w:val="000000" w:themeColor="text1"/>
        </w:rPr>
        <w:t>If including newly registered capital and adjusted registered capital of licensed projects in the previous years, the registered FDI in the processing and manufacturing industry reached 14.52 billion USD, equivalent to 70.4% of the total newly registered and increased capital; the electricity, gas, water, and air conditioning production and distribution reached 2.45 billion USD, comprising 11.9%; and other activities reached 3.65 billion USD, making up 17.7%.</w:t>
      </w:r>
    </w:p>
    <w:p w14:paraId="24D7AB84" w14:textId="77777777" w:rsidR="00D53CC4" w:rsidRPr="00294018" w:rsidRDefault="00D53CC4" w:rsidP="00D53CC4">
      <w:pPr>
        <w:spacing w:after="120" w:line="264" w:lineRule="auto"/>
        <w:ind w:firstLine="720"/>
        <w:jc w:val="both"/>
        <w:rPr>
          <w:iCs/>
          <w:color w:val="000000" w:themeColor="text1"/>
        </w:rPr>
      </w:pPr>
      <w:r w:rsidRPr="00294018">
        <w:rPr>
          <w:iCs/>
          <w:color w:val="000000" w:themeColor="text1"/>
        </w:rPr>
        <w:t>- There were 1,164 turns of registered capital contributions and purchasing shares by foreign investors with a total value of 4.19 billion USD, a 46.7% surge year-on-year. Of which, 336 turns of capital contributions and purchasing shares increased the charter capital of enterprises with a value of 565.3 million USD, and 828 turns of foreign investors rebought domestic shares without increasing the charter capital with a value of 3.62 billion USD. The capital contributions and purchasing shares by foreign investors in the wholesale and retail trade and repair of motor vehicles and motorcycles reached 1.9 billion USD, accounting for 45.4% of the total capital contribution; the professional, scientific, and technical activities reached 1.16 billion USD, constituting 27.7%; and the other economic activities stood at 1.13 billion USD, representing 26.9%.</w:t>
      </w:r>
    </w:p>
    <w:p w14:paraId="00DBA8D2" w14:textId="4B8A63C0" w:rsidR="00D53CC4" w:rsidRPr="00294018" w:rsidRDefault="005F1165" w:rsidP="00D53CC4">
      <w:pPr>
        <w:spacing w:after="120" w:line="264" w:lineRule="auto"/>
        <w:ind w:firstLine="720"/>
        <w:jc w:val="both"/>
        <w:rPr>
          <w:rFonts w:ascii="Arial" w:hAnsi="Arial" w:cs="Arial"/>
          <w:b/>
          <w:bCs/>
          <w:color w:val="000000" w:themeColor="text1"/>
          <w:sz w:val="24"/>
        </w:rPr>
      </w:pPr>
      <w:r w:rsidRPr="00294018">
        <w:rPr>
          <w:i/>
          <w:iCs/>
          <w:color w:val="000000" w:themeColor="text1"/>
        </w:rPr>
        <w:t>Total disbursed FDI in Viet</w:t>
      </w:r>
      <w:r w:rsidR="00460695" w:rsidRPr="00294018">
        <w:rPr>
          <w:i/>
          <w:iCs/>
          <w:color w:val="000000" w:themeColor="text1"/>
        </w:rPr>
        <w:t xml:space="preserve"> N</w:t>
      </w:r>
      <w:r w:rsidRPr="00294018">
        <w:rPr>
          <w:i/>
          <w:iCs/>
          <w:color w:val="000000" w:themeColor="text1"/>
        </w:rPr>
        <w:t xml:space="preserve">am </w:t>
      </w:r>
      <w:r w:rsidRPr="00294018">
        <w:rPr>
          <w:iCs/>
          <w:color w:val="000000" w:themeColor="text1"/>
        </w:rPr>
        <w:t xml:space="preserve">during the first five months of 2026 reached an estimated 9.75 billion USD, a year-on-year growth rate of 9.6%, setting the highest </w:t>
      </w:r>
      <w:r w:rsidR="00D53CC4" w:rsidRPr="00294018">
        <w:rPr>
          <w:iCs/>
          <w:color w:val="000000" w:themeColor="text1"/>
        </w:rPr>
        <w:t>figure in the disbursed FDI in the first</w:t>
      </w:r>
      <w:r w:rsidRPr="00294018">
        <w:rPr>
          <w:iCs/>
          <w:color w:val="000000" w:themeColor="text1"/>
        </w:rPr>
        <w:t xml:space="preserve"> five-month window </w:t>
      </w:r>
      <w:r w:rsidRPr="00294018">
        <w:rPr>
          <w:iCs/>
          <w:color w:val="000000" w:themeColor="text1"/>
        </w:rPr>
        <w:lastRenderedPageBreak/>
        <w:t xml:space="preserve">over the past five years. Sectoral deployment of this disbursed capital was led by the manufacturing at 8.06 billion USD (comprising 82.7% of the total disbursed FDI); followed by real estate activities at 716.5 million USD (representing 7.3%); and electricity, gas, hot water, steam, and air conditioning </w:t>
      </w:r>
      <w:r w:rsidR="00D53CC4" w:rsidRPr="00294018">
        <w:rPr>
          <w:iCs/>
          <w:color w:val="000000" w:themeColor="text1"/>
        </w:rPr>
        <w:t xml:space="preserve">production and distribution </w:t>
      </w:r>
      <w:r w:rsidR="00FE5AEA" w:rsidRPr="00294018">
        <w:rPr>
          <w:iCs/>
          <w:color w:val="000000" w:themeColor="text1"/>
        </w:rPr>
        <w:t>reached at</w:t>
      </w:r>
      <w:r w:rsidRPr="00294018">
        <w:rPr>
          <w:iCs/>
          <w:color w:val="000000" w:themeColor="text1"/>
        </w:rPr>
        <w:t xml:space="preserve"> 356.6 million USD (accounting for 3.7%).</w:t>
      </w:r>
    </w:p>
    <w:p w14:paraId="05E826CE" w14:textId="77777777" w:rsidR="00D53CC4" w:rsidRPr="00294018" w:rsidRDefault="00D53CC4" w:rsidP="00D53CC4">
      <w:pPr>
        <w:jc w:val="center"/>
        <w:rPr>
          <w:rFonts w:ascii="Arial" w:hAnsi="Arial" w:cs="Arial"/>
          <w:b/>
          <w:bCs/>
          <w:color w:val="000000" w:themeColor="text1"/>
          <w:sz w:val="24"/>
        </w:rPr>
      </w:pPr>
      <w:r w:rsidRPr="00294018">
        <w:rPr>
          <w:rFonts w:ascii="Arial" w:hAnsi="Arial" w:cs="Arial"/>
          <w:b/>
          <w:bCs/>
          <w:color w:val="000000" w:themeColor="text1"/>
          <w:sz w:val="24"/>
        </w:rPr>
        <w:t xml:space="preserve">Figure 8. Disbursed foreign direct investment </w:t>
      </w:r>
      <w:r w:rsidRPr="00294018">
        <w:rPr>
          <w:rFonts w:ascii="Arial" w:hAnsi="Arial" w:cs="Arial"/>
          <w:b/>
          <w:bCs/>
          <w:color w:val="000000" w:themeColor="text1"/>
          <w:sz w:val="24"/>
        </w:rPr>
        <w:br/>
        <w:t>in the first five months of 2022-2026 period (Billion USD)</w:t>
      </w:r>
    </w:p>
    <w:p w14:paraId="36256E40" w14:textId="38EF741C" w:rsidR="00D53CC4" w:rsidRPr="00294018" w:rsidRDefault="00D53CC4" w:rsidP="00D53CC4">
      <w:pPr>
        <w:jc w:val="center"/>
        <w:rPr>
          <w:rFonts w:ascii="Arial" w:hAnsi="Arial" w:cs="Arial"/>
          <w:b/>
          <w:bCs/>
          <w:color w:val="000000" w:themeColor="text1"/>
          <w:sz w:val="24"/>
        </w:rPr>
      </w:pPr>
      <w:r w:rsidRPr="00294018">
        <w:rPr>
          <w:noProof/>
          <w:color w:val="000000" w:themeColor="text1"/>
          <w14:ligatures w14:val="standardContextual"/>
        </w:rPr>
        <w:drawing>
          <wp:inline distT="0" distB="0" distL="0" distR="0" wp14:anchorId="2FCA7E12" wp14:editId="06534DD0">
            <wp:extent cx="4572000" cy="1645920"/>
            <wp:effectExtent l="0" t="0" r="0" b="11430"/>
            <wp:docPr id="168089994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503622D" w14:textId="29FA0A92" w:rsidR="00D53CC4" w:rsidRPr="00294018" w:rsidRDefault="005F1165" w:rsidP="00D53CC4">
      <w:pPr>
        <w:spacing w:before="120" w:after="120"/>
        <w:ind w:firstLine="720"/>
        <w:jc w:val="both"/>
        <w:rPr>
          <w:color w:val="000000" w:themeColor="text1"/>
        </w:rPr>
      </w:pPr>
      <w:r w:rsidRPr="00294018">
        <w:rPr>
          <w:i/>
          <w:iCs/>
          <w:color w:val="000000" w:themeColor="text1"/>
        </w:rPr>
        <w:t>Viet</w:t>
      </w:r>
      <w:r w:rsidR="00460695" w:rsidRPr="00294018">
        <w:rPr>
          <w:i/>
          <w:iCs/>
          <w:color w:val="000000" w:themeColor="text1"/>
        </w:rPr>
        <w:t xml:space="preserve"> N</w:t>
      </w:r>
      <w:r w:rsidRPr="00294018">
        <w:rPr>
          <w:i/>
          <w:iCs/>
          <w:color w:val="000000" w:themeColor="text1"/>
        </w:rPr>
        <w:t xml:space="preserve">am’s outward investment activities </w:t>
      </w:r>
      <w:r w:rsidRPr="00294018">
        <w:rPr>
          <w:iCs/>
          <w:color w:val="000000" w:themeColor="text1"/>
        </w:rPr>
        <w:t xml:space="preserve">during the first five months of 2026 included 85 projects granted new offshore investment certificates with a combined capital value of 760.8 million USD, a 2.8-fold increase over the corresponding period last year. Concurrently, 10 </w:t>
      </w:r>
      <w:r w:rsidR="00D53CC4" w:rsidRPr="00294018">
        <w:rPr>
          <w:iCs/>
          <w:color w:val="000000" w:themeColor="text1"/>
        </w:rPr>
        <w:t>turns of</w:t>
      </w:r>
      <w:r w:rsidRPr="00294018">
        <w:rPr>
          <w:iCs/>
          <w:color w:val="000000" w:themeColor="text1"/>
        </w:rPr>
        <w:t xml:space="preserve"> projects adjusted their investment capital upwards by an additional 33.8 million USD, representing an 18.7% contraction</w:t>
      </w:r>
      <w:r w:rsidR="00D53CC4" w:rsidRPr="00294018">
        <w:rPr>
          <w:iCs/>
          <w:color w:val="000000" w:themeColor="text1"/>
        </w:rPr>
        <w:t>.</w:t>
      </w:r>
    </w:p>
    <w:p w14:paraId="7DDA3987" w14:textId="37E6E220" w:rsidR="00D53CC4" w:rsidRPr="00294018" w:rsidRDefault="005F1165" w:rsidP="00D53CC4">
      <w:pPr>
        <w:spacing w:after="120"/>
        <w:ind w:firstLine="720"/>
        <w:jc w:val="both"/>
        <w:rPr>
          <w:iCs/>
          <w:color w:val="000000" w:themeColor="text1"/>
          <w:spacing w:val="-4"/>
        </w:rPr>
      </w:pPr>
      <w:r w:rsidRPr="00294018">
        <w:rPr>
          <w:iCs/>
          <w:color w:val="000000" w:themeColor="text1"/>
          <w:spacing w:val="-4"/>
        </w:rPr>
        <w:t xml:space="preserve">In aggregate, total </w:t>
      </w:r>
      <w:r w:rsidR="00D53CC4" w:rsidRPr="00294018">
        <w:rPr>
          <w:iCs/>
          <w:color w:val="000000" w:themeColor="text1"/>
          <w:spacing w:val="-4"/>
        </w:rPr>
        <w:t>Viet Nam’s outward</w:t>
      </w:r>
      <w:r w:rsidRPr="00294018">
        <w:rPr>
          <w:iCs/>
          <w:color w:val="000000" w:themeColor="text1"/>
          <w:spacing w:val="-4"/>
        </w:rPr>
        <w:t xml:space="preserve"> FDI from Viet</w:t>
      </w:r>
      <w:r w:rsidR="001824EB">
        <w:rPr>
          <w:iCs/>
          <w:color w:val="000000" w:themeColor="text1"/>
          <w:spacing w:val="-4"/>
        </w:rPr>
        <w:t xml:space="preserve"> N</w:t>
      </w:r>
      <w:r w:rsidRPr="00294018">
        <w:rPr>
          <w:iCs/>
          <w:color w:val="000000" w:themeColor="text1"/>
          <w:spacing w:val="-4"/>
        </w:rPr>
        <w:t>am (encompassing both new</w:t>
      </w:r>
      <w:r w:rsidR="009A2D75" w:rsidRPr="00294018">
        <w:rPr>
          <w:iCs/>
          <w:color w:val="000000" w:themeColor="text1"/>
          <w:spacing w:val="-4"/>
        </w:rPr>
        <w:t>ly granted</w:t>
      </w:r>
      <w:r w:rsidRPr="00294018">
        <w:rPr>
          <w:iCs/>
          <w:color w:val="000000" w:themeColor="text1"/>
          <w:spacing w:val="-4"/>
        </w:rPr>
        <w:t xml:space="preserve"> and adjusted capital) reached 794.6 million USD, expanding 2.5 times compared to the same period last year. By sector, the construction </w:t>
      </w:r>
      <w:r w:rsidR="00D53CC4" w:rsidRPr="00294018">
        <w:rPr>
          <w:iCs/>
          <w:color w:val="000000" w:themeColor="text1"/>
          <w:spacing w:val="-4"/>
        </w:rPr>
        <w:t>reached</w:t>
      </w:r>
      <w:r w:rsidRPr="00294018">
        <w:rPr>
          <w:iCs/>
          <w:color w:val="000000" w:themeColor="text1"/>
          <w:spacing w:val="-4"/>
        </w:rPr>
        <w:t xml:space="preserve"> 178.8 million USD (constituting 22.5</w:t>
      </w:r>
      <w:r w:rsidR="00D53CC4" w:rsidRPr="00294018">
        <w:rPr>
          <w:iCs/>
          <w:color w:val="000000" w:themeColor="text1"/>
          <w:spacing w:val="-4"/>
        </w:rPr>
        <w:t>%</w:t>
      </w:r>
      <w:r w:rsidR="00CC2E6F" w:rsidRPr="00294018">
        <w:rPr>
          <w:iCs/>
          <w:color w:val="000000" w:themeColor="text1"/>
          <w:spacing w:val="-4"/>
        </w:rPr>
        <w:t>)</w:t>
      </w:r>
      <w:r w:rsidR="00D53CC4" w:rsidRPr="00294018">
        <w:rPr>
          <w:iCs/>
          <w:color w:val="000000" w:themeColor="text1"/>
          <w:spacing w:val="-4"/>
        </w:rPr>
        <w:t>; the</w:t>
      </w:r>
      <w:r w:rsidRPr="00294018">
        <w:rPr>
          <w:iCs/>
          <w:color w:val="000000" w:themeColor="text1"/>
          <w:spacing w:val="-4"/>
        </w:rPr>
        <w:t xml:space="preserve"> electricity, gas, hot water, steam, and air conditioning </w:t>
      </w:r>
      <w:r w:rsidR="00D53CC4" w:rsidRPr="00294018">
        <w:rPr>
          <w:iCs/>
          <w:color w:val="000000" w:themeColor="text1"/>
          <w:spacing w:val="-4"/>
        </w:rPr>
        <w:t>production and distribution reached</w:t>
      </w:r>
      <w:r w:rsidRPr="00294018">
        <w:rPr>
          <w:iCs/>
          <w:color w:val="000000" w:themeColor="text1"/>
          <w:spacing w:val="-4"/>
        </w:rPr>
        <w:t xml:space="preserve"> 163.8 million USD (comprising 20.6%); and transportation and storage </w:t>
      </w:r>
      <w:r w:rsidR="00D53CC4" w:rsidRPr="00294018">
        <w:rPr>
          <w:iCs/>
          <w:color w:val="000000" w:themeColor="text1"/>
          <w:spacing w:val="-4"/>
        </w:rPr>
        <w:t>reached</w:t>
      </w:r>
      <w:r w:rsidRPr="00294018">
        <w:rPr>
          <w:iCs/>
          <w:color w:val="000000" w:themeColor="text1"/>
          <w:spacing w:val="-4"/>
        </w:rPr>
        <w:t xml:space="preserve"> 150.5 million USD (representing 18.9%).</w:t>
      </w:r>
    </w:p>
    <w:p w14:paraId="6E2A216B" w14:textId="5946A8F5" w:rsidR="00CD5C89" w:rsidRPr="00294018" w:rsidRDefault="00D53CC4" w:rsidP="00D53CC4">
      <w:pPr>
        <w:spacing w:after="120"/>
        <w:ind w:firstLine="720"/>
        <w:jc w:val="both"/>
        <w:rPr>
          <w:rFonts w:ascii="Arial" w:hAnsi="Arial" w:cs="Arial"/>
          <w:b/>
          <w:bCs/>
          <w:color w:val="000000" w:themeColor="text1"/>
          <w:sz w:val="24"/>
        </w:rPr>
      </w:pPr>
      <w:r w:rsidRPr="00294018">
        <w:rPr>
          <w:iCs/>
          <w:color w:val="000000" w:themeColor="text1"/>
          <w:spacing w:val="2"/>
        </w:rPr>
        <w:t xml:space="preserve">In the first five months of 2026, 33 countries and territories received investment from Viet Nam, of which: </w:t>
      </w:r>
      <w:r w:rsidR="000D1DF8" w:rsidRPr="00294018">
        <w:rPr>
          <w:iCs/>
          <w:color w:val="000000" w:themeColor="text1"/>
          <w:spacing w:val="2"/>
        </w:rPr>
        <w:t>Laos emerged as the leading recipient with 199.5 million USD (comprising 25.1% of total outward capital); followed by Kyrgyzstan with 149.9 million USD (representing 18.9%); the United Kingdom with 82.8 million USD (constituting 10.4%); Kazakhstan with 36.0 million USD (accounting for 4.5%); Cambodia with 32.9 million USD (making up 4.1%); the United States with 31.9 million USD (comprising 4.0%); and the British Virgin Islands with 30.1 million USD (representing 3.8%).</w:t>
      </w:r>
      <w:r w:rsidR="00CD5C89" w:rsidRPr="00294018">
        <w:rPr>
          <w:b/>
          <w:bCs/>
          <w:iCs/>
          <w:color w:val="000000" w:themeColor="text1"/>
          <w:spacing w:val="2"/>
        </w:rPr>
        <w:t xml:space="preserve"> </w:t>
      </w:r>
    </w:p>
    <w:p w14:paraId="7B7724AD" w14:textId="77777777" w:rsidR="00E05F24" w:rsidRPr="00294018" w:rsidRDefault="00E05F24" w:rsidP="00E05F24">
      <w:pPr>
        <w:spacing w:after="120"/>
        <w:ind w:firstLine="720"/>
        <w:jc w:val="both"/>
        <w:rPr>
          <w:b/>
          <w:bCs/>
          <w:color w:val="000000" w:themeColor="text1"/>
        </w:rPr>
      </w:pPr>
      <w:r w:rsidRPr="00294018">
        <w:rPr>
          <w:b/>
          <w:color w:val="000000" w:themeColor="text1"/>
        </w:rPr>
        <w:t>5. State budget revenue and expenditure</w:t>
      </w:r>
      <w:r w:rsidRPr="00294018">
        <w:rPr>
          <w:b/>
          <w:bCs/>
          <w:color w:val="000000" w:themeColor="text1"/>
          <w:vertAlign w:val="superscript"/>
        </w:rPr>
        <w:footnoteReference w:id="15"/>
      </w:r>
    </w:p>
    <w:p w14:paraId="24C7015A" w14:textId="11101F6D" w:rsidR="00E05F24" w:rsidRPr="00294018" w:rsidRDefault="000D1DF8" w:rsidP="00E05F24">
      <w:pPr>
        <w:spacing w:after="120"/>
        <w:ind w:firstLine="720"/>
        <w:jc w:val="both"/>
        <w:rPr>
          <w:i/>
          <w:color w:val="000000" w:themeColor="text1"/>
        </w:rPr>
      </w:pPr>
      <w:r w:rsidRPr="00294018">
        <w:rPr>
          <w:i/>
          <w:color w:val="000000" w:themeColor="text1"/>
        </w:rPr>
        <w:t xml:space="preserve">State budget revenue in the first five months of 2026 recorded an estimated expansion of 15.3% over the corresponding period last year. Concurrently, </w:t>
      </w:r>
      <w:r w:rsidR="00CC2E6F" w:rsidRPr="00294018">
        <w:rPr>
          <w:i/>
          <w:color w:val="000000" w:themeColor="text1"/>
        </w:rPr>
        <w:t>S</w:t>
      </w:r>
      <w:r w:rsidRPr="00294018">
        <w:rPr>
          <w:i/>
          <w:color w:val="000000" w:themeColor="text1"/>
        </w:rPr>
        <w:t xml:space="preserve">ate budget expenditure grew by an estimated 3.1% year-on-year, successfully </w:t>
      </w:r>
      <w:r w:rsidRPr="00294018">
        <w:rPr>
          <w:i/>
          <w:color w:val="000000" w:themeColor="text1"/>
        </w:rPr>
        <w:lastRenderedPageBreak/>
        <w:t>funding socio-economic development priorities, national defense, security, administrative operations, public debt service obligations, and timely social security disbursements to eligible beneficiaries in compliance with statutory regulations</w:t>
      </w:r>
      <w:r w:rsidR="00E05F24" w:rsidRPr="00294018">
        <w:rPr>
          <w:i/>
          <w:color w:val="000000" w:themeColor="text1"/>
        </w:rPr>
        <w:t>.</w:t>
      </w:r>
    </w:p>
    <w:p w14:paraId="018BA0F5" w14:textId="77777777" w:rsidR="00E05F24" w:rsidRPr="00294018" w:rsidRDefault="00E05F24" w:rsidP="00E05F24">
      <w:pPr>
        <w:spacing w:after="120" w:line="264" w:lineRule="auto"/>
        <w:jc w:val="center"/>
        <w:rPr>
          <w:rFonts w:ascii="Arial" w:hAnsi="Arial" w:cs="Arial"/>
          <w:b/>
          <w:bCs/>
          <w:color w:val="000000" w:themeColor="text1"/>
          <w:sz w:val="24"/>
          <w:szCs w:val="24"/>
        </w:rPr>
      </w:pPr>
      <w:r w:rsidRPr="00294018">
        <w:rPr>
          <w:rFonts w:ascii="Arial" w:hAnsi="Arial"/>
          <w:b/>
          <w:color w:val="000000" w:themeColor="text1"/>
          <w:sz w:val="24"/>
        </w:rPr>
        <w:t>Figure 9. State budget revenue and expenditure in the first 5 months 2026</w:t>
      </w:r>
    </w:p>
    <w:p w14:paraId="64AA8083" w14:textId="77777777" w:rsidR="00E05F24" w:rsidRPr="00294018" w:rsidRDefault="00E05F24" w:rsidP="00E05F24">
      <w:pPr>
        <w:spacing w:after="120" w:line="264" w:lineRule="auto"/>
        <w:rPr>
          <w:b/>
          <w:bCs/>
          <w:color w:val="000000" w:themeColor="text1"/>
        </w:rPr>
      </w:pPr>
      <w:r w:rsidRPr="00294018">
        <w:rPr>
          <w:b/>
          <w:noProof/>
          <w:color w:val="000000" w:themeColor="text1"/>
        </w:rPr>
        <w:drawing>
          <wp:inline distT="0" distB="0" distL="0" distR="0" wp14:anchorId="49B9A4F8" wp14:editId="71FA9322">
            <wp:extent cx="5699760" cy="2378165"/>
            <wp:effectExtent l="0" t="0" r="0" b="3175"/>
            <wp:docPr id="10" name="Picture 10" descr="E:\GSO tailieu Kien\3. CÔNG VIỆC\2026\5. Dich bao cao Quy 2026\5. Dich BC T5 2026\thu chi NSNN T5_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SO tailieu Kien\3. CÔNG VIỆC\2026\5. Dich bao cao Quy 2026\5. Dich BC T5 2026\thu chi NSNN T5_E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99760" cy="2378165"/>
                    </a:xfrm>
                    <a:prstGeom prst="rect">
                      <a:avLst/>
                    </a:prstGeom>
                    <a:noFill/>
                    <a:ln>
                      <a:noFill/>
                    </a:ln>
                  </pic:spPr>
                </pic:pic>
              </a:graphicData>
            </a:graphic>
          </wp:inline>
        </w:drawing>
      </w:r>
    </w:p>
    <w:p w14:paraId="7C11138E" w14:textId="77777777" w:rsidR="00E05F24" w:rsidRPr="00294018" w:rsidRDefault="00E05F24" w:rsidP="00E05F24">
      <w:pPr>
        <w:spacing w:after="120" w:line="259" w:lineRule="auto"/>
        <w:ind w:firstLine="720"/>
        <w:jc w:val="both"/>
        <w:rPr>
          <w:i/>
          <w:color w:val="000000" w:themeColor="text1"/>
        </w:rPr>
      </w:pPr>
      <w:r w:rsidRPr="00294018">
        <w:rPr>
          <w:i/>
          <w:color w:val="000000" w:themeColor="text1"/>
        </w:rPr>
        <w:t>State budget revenue</w:t>
      </w:r>
    </w:p>
    <w:p w14:paraId="36281E74" w14:textId="77777777" w:rsidR="00E05F24" w:rsidRPr="00294018" w:rsidRDefault="00E05F24" w:rsidP="00E05F24">
      <w:pPr>
        <w:spacing w:after="120" w:line="259" w:lineRule="auto"/>
        <w:ind w:firstLine="720"/>
        <w:jc w:val="both"/>
        <w:rPr>
          <w:color w:val="000000" w:themeColor="text1"/>
        </w:rPr>
      </w:pPr>
      <w:r w:rsidRPr="00294018">
        <w:rPr>
          <w:color w:val="000000" w:themeColor="text1"/>
        </w:rPr>
        <w:t>Total state budget revenue in May 2026 was estimated at nearly 215.0 trillion VND</w:t>
      </w:r>
      <w:r w:rsidRPr="00294018">
        <w:rPr>
          <w:color w:val="000000" w:themeColor="text1"/>
          <w:vertAlign w:val="superscript"/>
        </w:rPr>
        <w:footnoteReference w:id="16"/>
      </w:r>
      <w:r w:rsidRPr="00294018">
        <w:rPr>
          <w:color w:val="000000" w:themeColor="text1"/>
        </w:rPr>
        <w:t>. The accrued revenue in the first 5 months of 2026 reached 1,339.7 trillion VND, reaching 53.0% of the annual estimate (+15.3% YoY)</w:t>
      </w:r>
      <w:r w:rsidRPr="00294018">
        <w:rPr>
          <w:color w:val="000000" w:themeColor="text1"/>
          <w:vertAlign w:val="superscript"/>
        </w:rPr>
        <w:footnoteReference w:id="17"/>
      </w:r>
      <w:r w:rsidRPr="00294018">
        <w:rPr>
          <w:color w:val="000000" w:themeColor="text1"/>
        </w:rPr>
        <w:t>. In particular, selected revenue items were as follows:</w:t>
      </w:r>
    </w:p>
    <w:p w14:paraId="3C252953" w14:textId="77777777" w:rsidR="00E05F24" w:rsidRPr="00294018" w:rsidRDefault="00E05F24" w:rsidP="00E05F24">
      <w:pPr>
        <w:spacing w:after="120" w:line="259" w:lineRule="auto"/>
        <w:ind w:firstLine="720"/>
        <w:jc w:val="both"/>
        <w:rPr>
          <w:color w:val="000000" w:themeColor="text1"/>
        </w:rPr>
      </w:pPr>
      <w:r w:rsidRPr="00294018">
        <w:rPr>
          <w:color w:val="000000" w:themeColor="text1"/>
        </w:rPr>
        <w:t xml:space="preserve">- </w:t>
      </w:r>
      <w:r w:rsidRPr="00294018">
        <w:rPr>
          <w:i/>
          <w:iCs/>
          <w:color w:val="000000" w:themeColor="text1"/>
        </w:rPr>
        <w:t>Domestic revenue</w:t>
      </w:r>
      <w:r w:rsidRPr="00294018">
        <w:rPr>
          <w:color w:val="000000" w:themeColor="text1"/>
        </w:rPr>
        <w:t xml:space="preserve"> in May 2026 was estimated at 173.8 trillion VND. The accrued revenue in the first five months of 2026 was 1,165.9 trillion VND, reaching 53.0% of the annual estimate (+15.6% YoY)</w:t>
      </w:r>
      <w:r w:rsidRPr="00294018">
        <w:rPr>
          <w:color w:val="000000" w:themeColor="text1"/>
          <w:vertAlign w:val="superscript"/>
        </w:rPr>
        <w:footnoteReference w:id="18"/>
      </w:r>
      <w:r w:rsidRPr="00294018">
        <w:rPr>
          <w:color w:val="000000" w:themeColor="text1"/>
        </w:rPr>
        <w:t>.</w:t>
      </w:r>
    </w:p>
    <w:p w14:paraId="78AF1F2E" w14:textId="0851E731" w:rsidR="00E05F24" w:rsidRPr="00294018" w:rsidRDefault="00E05F24" w:rsidP="00E05F24">
      <w:pPr>
        <w:spacing w:after="120" w:line="259" w:lineRule="auto"/>
        <w:ind w:firstLine="720"/>
        <w:jc w:val="both"/>
        <w:rPr>
          <w:color w:val="000000" w:themeColor="text1"/>
        </w:rPr>
      </w:pPr>
      <w:r w:rsidRPr="00294018">
        <w:rPr>
          <w:color w:val="000000" w:themeColor="text1"/>
        </w:rPr>
        <w:t xml:space="preserve">- </w:t>
      </w:r>
      <w:r w:rsidR="00CC2E6F" w:rsidRPr="00294018">
        <w:rPr>
          <w:i/>
          <w:color w:val="000000" w:themeColor="text1"/>
        </w:rPr>
        <w:t xml:space="preserve">Oil </w:t>
      </w:r>
      <w:r w:rsidR="00CC2E6F" w:rsidRPr="00294018">
        <w:rPr>
          <w:i/>
          <w:iCs/>
          <w:color w:val="000000" w:themeColor="text1"/>
        </w:rPr>
        <w:t xml:space="preserve">revenue </w:t>
      </w:r>
      <w:r w:rsidRPr="00294018">
        <w:rPr>
          <w:color w:val="000000" w:themeColor="text1"/>
        </w:rPr>
        <w:t xml:space="preserve">in May 2026 was estimated at 5.6 trillion VND; the accrued revenue in the first five months of 2026 reached 23.4 trillion VND, reaching 54.5% of the annual estimate (+9.1% YoY). </w:t>
      </w:r>
    </w:p>
    <w:p w14:paraId="714C133B" w14:textId="77777777" w:rsidR="00E05F24" w:rsidRPr="00294018" w:rsidRDefault="00E05F24" w:rsidP="00E05F24">
      <w:pPr>
        <w:spacing w:after="120" w:line="259" w:lineRule="auto"/>
        <w:ind w:firstLine="720"/>
        <w:jc w:val="both"/>
        <w:rPr>
          <w:i/>
          <w:color w:val="000000" w:themeColor="text1"/>
        </w:rPr>
      </w:pPr>
      <w:r w:rsidRPr="00294018">
        <w:rPr>
          <w:color w:val="000000" w:themeColor="text1"/>
        </w:rPr>
        <w:t xml:space="preserve">- </w:t>
      </w:r>
      <w:r w:rsidRPr="00294018">
        <w:rPr>
          <w:i/>
          <w:iCs/>
          <w:color w:val="000000" w:themeColor="text1"/>
        </w:rPr>
        <w:t>Revenue from budget balance of import-export activities</w:t>
      </w:r>
      <w:r w:rsidRPr="00294018">
        <w:rPr>
          <w:color w:val="000000" w:themeColor="text1"/>
        </w:rPr>
        <w:t xml:space="preserve"> in May 2026 was estimated at nearly 35.4 trillion VND; accrued revenue in the first five months of 2026 was estimated at 149.6 trillion VND, reaching 53.8% of the annual estimate (+14% YoY). This growth was driven by the sustained positive momentum in import-export activities during the first five months of 2026, </w:t>
      </w:r>
      <w:r w:rsidRPr="00294018">
        <w:rPr>
          <w:color w:val="000000" w:themeColor="text1"/>
        </w:rPr>
        <w:lastRenderedPageBreak/>
        <w:t xml:space="preserve">alongside an increase in major imported commodities compared to the same period last year, which ultimately boosted state budget revenue. </w:t>
      </w:r>
    </w:p>
    <w:p w14:paraId="0E8AB174" w14:textId="77777777" w:rsidR="00E05F24" w:rsidRPr="00294018" w:rsidRDefault="00E05F24" w:rsidP="00E05F24">
      <w:pPr>
        <w:spacing w:after="120" w:line="259" w:lineRule="auto"/>
        <w:ind w:firstLine="720"/>
        <w:jc w:val="both"/>
        <w:rPr>
          <w:i/>
          <w:color w:val="000000" w:themeColor="text1"/>
        </w:rPr>
      </w:pPr>
      <w:r w:rsidRPr="00294018">
        <w:rPr>
          <w:i/>
          <w:color w:val="000000" w:themeColor="text1"/>
        </w:rPr>
        <w:t>State budget expenditure</w:t>
      </w:r>
    </w:p>
    <w:p w14:paraId="384922CF" w14:textId="4A6807BC" w:rsidR="00EE51C7" w:rsidRPr="00294018" w:rsidRDefault="00E05F24" w:rsidP="00E05F24">
      <w:pPr>
        <w:spacing w:after="120" w:line="259" w:lineRule="auto"/>
        <w:ind w:firstLine="720"/>
        <w:jc w:val="both"/>
        <w:rPr>
          <w:color w:val="000000" w:themeColor="text1"/>
        </w:rPr>
      </w:pPr>
      <w:r w:rsidRPr="00294018">
        <w:rPr>
          <w:color w:val="000000" w:themeColor="text1"/>
        </w:rPr>
        <w:t>Total state budget expenditure in May 2026 was estimated at 184.8 trillion VND. The accrued revenue in the first five months of 2026 was 843.7 trillion VND, reaching 26.7% of the annual estimate (+3.1% YoY). Specifically, recurrent expenditure in the first five months of 2026 was estimated at 586.0 trillion VND, equal to 32.4% of the annual estimate (+0.1% YoY); development investment expenditure gained 206.2 trillion VND, reaching 18.4% of the annual estimate (+11.8% YoY); interest payment was 50.4 trillion VND, reaching 41.6% of the annual estimate (+7.8% YoY).</w:t>
      </w:r>
    </w:p>
    <w:p w14:paraId="4DA9CC9A" w14:textId="77777777" w:rsidR="003F393F" w:rsidRPr="00294018" w:rsidRDefault="003F393F" w:rsidP="003F393F">
      <w:pPr>
        <w:spacing w:after="120" w:line="259" w:lineRule="auto"/>
        <w:ind w:firstLine="720"/>
        <w:jc w:val="both"/>
        <w:rPr>
          <w:b/>
          <w:bCs/>
          <w:color w:val="000000" w:themeColor="text1"/>
        </w:rPr>
      </w:pPr>
      <w:bookmarkStart w:id="1" w:name="_Hlk223342446"/>
      <w:bookmarkEnd w:id="0"/>
      <w:r w:rsidRPr="00294018">
        <w:rPr>
          <w:b/>
          <w:bCs/>
          <w:color w:val="000000" w:themeColor="text1"/>
        </w:rPr>
        <w:t xml:space="preserve">6. </w:t>
      </w:r>
      <w:r w:rsidRPr="00294018">
        <w:rPr>
          <w:b/>
          <w:bCs/>
        </w:rPr>
        <w:t>Trade, prices, transport and tourism</w:t>
      </w:r>
    </w:p>
    <w:p w14:paraId="061B018C" w14:textId="77777777" w:rsidR="003F393F" w:rsidRPr="00294018" w:rsidRDefault="003F393F" w:rsidP="003F393F">
      <w:pPr>
        <w:spacing w:after="120" w:line="259" w:lineRule="auto"/>
        <w:ind w:firstLine="720"/>
        <w:rPr>
          <w:b/>
          <w:i/>
          <w:color w:val="000000" w:themeColor="text1"/>
        </w:rPr>
      </w:pPr>
      <w:r w:rsidRPr="00294018">
        <w:rPr>
          <w:b/>
          <w:i/>
          <w:color w:val="000000" w:themeColor="text1"/>
        </w:rPr>
        <w:t xml:space="preserve">a) </w:t>
      </w:r>
      <w:r w:rsidRPr="00294018">
        <w:rPr>
          <w:b/>
          <w:i/>
        </w:rPr>
        <w:t>Retail sales of goods and services</w:t>
      </w:r>
    </w:p>
    <w:p w14:paraId="551703EB" w14:textId="04A59666" w:rsidR="003F393F" w:rsidRPr="00294018" w:rsidRDefault="000D1DF8" w:rsidP="003F393F">
      <w:pPr>
        <w:spacing w:after="120" w:line="259" w:lineRule="auto"/>
        <w:ind w:firstLine="720"/>
        <w:jc w:val="both"/>
        <w:rPr>
          <w:i/>
          <w:color w:val="000000" w:themeColor="text1"/>
        </w:rPr>
      </w:pPr>
      <w:r w:rsidRPr="00294018">
        <w:rPr>
          <w:i/>
          <w:color w:val="000000" w:themeColor="text1"/>
        </w:rPr>
        <w:t xml:space="preserve">Commercial and service activities in May 2026 maintained a positive growth trajectory, with the retail sales of goods and services expanding by an estimated 11.8% year-on-year. For the first five months of 2026 cumulatively, overall retail sales of goods and services increased by 11.2% over the corresponding period last year. Within this structure, revenues from accommodation and food </w:t>
      </w:r>
      <w:r w:rsidR="003F393F" w:rsidRPr="00294018">
        <w:rPr>
          <w:i/>
          <w:color w:val="000000" w:themeColor="text1"/>
        </w:rPr>
        <w:t xml:space="preserve">service activities </w:t>
      </w:r>
      <w:r w:rsidRPr="00294018">
        <w:rPr>
          <w:i/>
          <w:color w:val="000000" w:themeColor="text1"/>
        </w:rPr>
        <w:t>climbed by 13.3%, while traveling services grew by 12.2%, reflecting a robust recovery in consumer demand and tourism activities.</w:t>
      </w:r>
    </w:p>
    <w:p w14:paraId="6EFE20B7" w14:textId="77777777" w:rsidR="003F393F" w:rsidRPr="00294018" w:rsidRDefault="003F393F" w:rsidP="003F393F">
      <w:pPr>
        <w:pStyle w:val="ListParagraph"/>
        <w:spacing w:after="120" w:line="259" w:lineRule="auto"/>
        <w:ind w:left="0" w:firstLine="720"/>
        <w:contextualSpacing w:val="0"/>
        <w:jc w:val="both"/>
        <w:rPr>
          <w:iCs/>
          <w:color w:val="000000" w:themeColor="text1"/>
        </w:rPr>
      </w:pPr>
      <w:r w:rsidRPr="00294018">
        <w:rPr>
          <w:iCs/>
          <w:spacing w:val="-2"/>
        </w:rPr>
        <w:t>The retail sales of goods and services at current prices in May 2026 were estimated at</w:t>
      </w:r>
      <w:r w:rsidRPr="00294018">
        <w:rPr>
          <w:iCs/>
          <w:color w:val="000000" w:themeColor="text1"/>
        </w:rPr>
        <w:t xml:space="preserve"> 647.1 </w:t>
      </w:r>
      <w:r w:rsidRPr="00294018">
        <w:t>trillion VND</w:t>
      </w:r>
      <w:r w:rsidRPr="00294018">
        <w:rPr>
          <w:iCs/>
          <w:color w:val="000000" w:themeColor="text1"/>
        </w:rPr>
        <w:t xml:space="preserve">, a month-on-month increase of 0.5% and </w:t>
      </w:r>
      <w:r w:rsidRPr="00294018">
        <w:rPr>
          <w:bCs/>
        </w:rPr>
        <w:t>a year-on-year increase of</w:t>
      </w:r>
      <w:r w:rsidRPr="00294018">
        <w:rPr>
          <w:iCs/>
          <w:color w:val="000000" w:themeColor="text1"/>
        </w:rPr>
        <w:t xml:space="preserve"> 11.8%. </w:t>
      </w:r>
      <w:r w:rsidRPr="00294018">
        <w:t>Of which, several commodity groups continued to maintain an upward trend</w:t>
      </w:r>
      <w:r w:rsidRPr="00294018">
        <w:rPr>
          <w:iCs/>
          <w:color w:val="000000" w:themeColor="text1"/>
        </w:rPr>
        <w:t>: timber and construction materials increased by 1.1% month-on-month and by 12.3% year-on-year, driven by favorable weather conditions, accelerated construction progress, and higher material prices during the peak season; garments rose slightly by 0.1% month-on-month and by 7.3% year-on-year, supported by increased demand for summer clothing; cultural and educational items grew by 0.9% month-on-month and by 5.9% year-on-year, reflecting a stronger demand for stationery, reference books for the exam season, as well as gifts and rewards for the end of the academic year.</w:t>
      </w:r>
      <w:r w:rsidRPr="00294018">
        <w:rPr>
          <w:bCs/>
          <w:iCs/>
          <w:color w:val="000000" w:themeColor="text1"/>
        </w:rPr>
        <w:t xml:space="preserve"> </w:t>
      </w:r>
      <w:r w:rsidRPr="00294018">
        <w:t xml:space="preserve">Some essential commodity groups showed signs of slowing compared to previous months: petroleum products declined by 1.4% month-on-month but increased by 17.1% year-on-year, as prices, although lower than in the previous month, remained higher than in the same period last year; food and foodstuff decreased by 0.9% month-on-month and rose by 7.7% year-on-year, reflecting market stabilization after holiday periods and increased supply from harvest seasons, which eased price pressures; household </w:t>
      </w:r>
      <w:r w:rsidRPr="00294018">
        <w:rPr>
          <w:iCs/>
        </w:rPr>
        <w:t>appliances</w:t>
      </w:r>
      <w:r w:rsidRPr="00294018">
        <w:t xml:space="preserve"> and equipment edged down by 0.1% </w:t>
      </w:r>
      <w:r w:rsidRPr="00294018">
        <w:lastRenderedPageBreak/>
        <w:t>month-on-month and increased by 7.0% year-on-year, due to weakening demand following promotional campaigns during holidays and Tet, as well as the end of the early-season surge in purchases of cooling appliances</w:t>
      </w:r>
      <w:r w:rsidRPr="00294018">
        <w:rPr>
          <w:iCs/>
          <w:color w:val="000000" w:themeColor="text1"/>
        </w:rPr>
        <w:t xml:space="preserve">. </w:t>
      </w:r>
      <w:r w:rsidRPr="00294018">
        <w:t>Accommodation and food service activities increased by 4.2% month-on-month and by 15.4% year-on-year; travelling services rose by 5.4% and by 15.4%, respectively; other services grew by 1.9% and by 10.8%</w:t>
      </w:r>
      <w:r w:rsidRPr="00294018">
        <w:rPr>
          <w:iCs/>
          <w:color w:val="000000" w:themeColor="text1"/>
        </w:rPr>
        <w:t>.</w:t>
      </w:r>
    </w:p>
    <w:p w14:paraId="2639FE39" w14:textId="77777777" w:rsidR="003F393F" w:rsidRPr="00294018" w:rsidRDefault="003F393F" w:rsidP="003F393F">
      <w:pPr>
        <w:spacing w:after="120" w:line="254" w:lineRule="auto"/>
        <w:jc w:val="center"/>
        <w:rPr>
          <w:rFonts w:ascii="Arial" w:hAnsi="Arial" w:cs="Arial"/>
          <w:b/>
          <w:spacing w:val="-2"/>
          <w:sz w:val="24"/>
          <w:szCs w:val="26"/>
        </w:rPr>
      </w:pPr>
      <w:r w:rsidRPr="00294018">
        <w:rPr>
          <w:rFonts w:ascii="Arial" w:hAnsi="Arial" w:cs="Arial"/>
          <w:b/>
          <w:color w:val="000000" w:themeColor="text1"/>
          <w:spacing w:val="-2"/>
          <w:sz w:val="24"/>
          <w:szCs w:val="26"/>
        </w:rPr>
        <w:t xml:space="preserve">Table 3. </w:t>
      </w:r>
      <w:r w:rsidRPr="00294018">
        <w:rPr>
          <w:rFonts w:ascii="Arial" w:hAnsi="Arial" w:cs="Arial"/>
          <w:b/>
          <w:spacing w:val="-2"/>
          <w:sz w:val="24"/>
          <w:szCs w:val="26"/>
        </w:rPr>
        <w:t xml:space="preserve">Retail sales of consumer goods and services at current prices </w:t>
      </w:r>
    </w:p>
    <w:p w14:paraId="19DAA05C" w14:textId="77777777" w:rsidR="003F393F" w:rsidRPr="00294018" w:rsidRDefault="003F393F" w:rsidP="003F393F">
      <w:pPr>
        <w:spacing w:after="120" w:line="254" w:lineRule="auto"/>
        <w:jc w:val="center"/>
        <w:rPr>
          <w:rFonts w:ascii="Arial" w:hAnsi="Arial" w:cs="Arial"/>
          <w:b/>
          <w:bCs/>
          <w:color w:val="000000" w:themeColor="text1"/>
          <w:spacing w:val="-6"/>
          <w:sz w:val="24"/>
          <w:szCs w:val="26"/>
        </w:rPr>
      </w:pPr>
      <w:r w:rsidRPr="00294018">
        <w:rPr>
          <w:rFonts w:ascii="Arial" w:hAnsi="Arial" w:cs="Arial"/>
          <w:b/>
          <w:spacing w:val="-2"/>
          <w:sz w:val="24"/>
          <w:szCs w:val="26"/>
        </w:rPr>
        <w:t>in</w:t>
      </w:r>
      <w:r w:rsidRPr="00294018">
        <w:rPr>
          <w:rFonts w:ascii="Arial" w:hAnsi="Arial" w:cs="Arial"/>
          <w:b/>
          <w:bCs/>
          <w:color w:val="000000" w:themeColor="text1"/>
          <w:spacing w:val="-6"/>
          <w:sz w:val="24"/>
          <w:szCs w:val="26"/>
        </w:rPr>
        <w:t xml:space="preserve"> the five months of 2026</w:t>
      </w:r>
    </w:p>
    <w:p w14:paraId="7346A01E" w14:textId="77777777" w:rsidR="003F393F" w:rsidRPr="00294018" w:rsidRDefault="003F393F" w:rsidP="003F393F">
      <w:pPr>
        <w:tabs>
          <w:tab w:val="left" w:pos="2835"/>
        </w:tabs>
        <w:ind w:firstLine="561"/>
        <w:jc w:val="right"/>
        <w:rPr>
          <w:rFonts w:ascii="Arial" w:hAnsi="Arial" w:cs="Arial"/>
          <w:b/>
          <w:i/>
          <w:color w:val="000000" w:themeColor="text1"/>
          <w:spacing w:val="-6"/>
          <w:sz w:val="20"/>
          <w:szCs w:val="20"/>
        </w:rPr>
      </w:pPr>
      <w:r w:rsidRPr="00294018">
        <w:rPr>
          <w:rFonts w:ascii="Arial" w:hAnsi="Arial"/>
          <w:b/>
          <w:i/>
          <w:sz w:val="20"/>
        </w:rPr>
        <w:t>Trillion VND</w:t>
      </w:r>
    </w:p>
    <w:tbl>
      <w:tblPr>
        <w:tblW w:w="9038" w:type="dxa"/>
        <w:jc w:val="center"/>
        <w:tblLayout w:type="fixed"/>
        <w:tblLook w:val="04A0" w:firstRow="1" w:lastRow="0" w:firstColumn="1" w:lastColumn="0" w:noHBand="0" w:noVBand="1"/>
      </w:tblPr>
      <w:tblGrid>
        <w:gridCol w:w="3014"/>
        <w:gridCol w:w="1433"/>
        <w:gridCol w:w="1588"/>
        <w:gridCol w:w="1686"/>
        <w:gridCol w:w="1317"/>
      </w:tblGrid>
      <w:tr w:rsidR="003F393F" w:rsidRPr="00294018" w14:paraId="37247D29" w14:textId="77777777" w:rsidTr="0060017F">
        <w:trPr>
          <w:cantSplit/>
          <w:trHeight w:val="541"/>
          <w:jc w:val="center"/>
        </w:trPr>
        <w:tc>
          <w:tcPr>
            <w:tcW w:w="3014" w:type="dxa"/>
            <w:vMerge w:val="restart"/>
            <w:tcBorders>
              <w:top w:val="single" w:sz="4" w:space="0" w:color="auto"/>
              <w:left w:val="nil"/>
              <w:bottom w:val="single" w:sz="4" w:space="0" w:color="auto"/>
              <w:right w:val="nil"/>
            </w:tcBorders>
            <w:vAlign w:val="center"/>
            <w:hideMark/>
          </w:tcPr>
          <w:p w14:paraId="77798FAA" w14:textId="77777777" w:rsidR="003F393F" w:rsidRPr="00294018" w:rsidRDefault="003F393F" w:rsidP="0060017F">
            <w:pPr>
              <w:jc w:val="both"/>
              <w:rPr>
                <w:rFonts w:ascii="Arial" w:hAnsi="Arial" w:cs="Arial"/>
                <w:color w:val="000000" w:themeColor="text1"/>
                <w:sz w:val="20"/>
                <w:szCs w:val="20"/>
              </w:rPr>
            </w:pPr>
            <w:r w:rsidRPr="00294018">
              <w:rPr>
                <w:rFonts w:ascii="Arial" w:hAnsi="Arial" w:cs="Arial"/>
                <w:bCs/>
                <w:color w:val="000000" w:themeColor="text1"/>
                <w:sz w:val="20"/>
                <w:szCs w:val="20"/>
              </w:rPr>
              <w:t> </w:t>
            </w:r>
          </w:p>
        </w:tc>
        <w:tc>
          <w:tcPr>
            <w:tcW w:w="1433" w:type="dxa"/>
            <w:vMerge w:val="restart"/>
            <w:tcBorders>
              <w:top w:val="single" w:sz="4" w:space="0" w:color="auto"/>
              <w:left w:val="nil"/>
              <w:bottom w:val="single" w:sz="4" w:space="0" w:color="auto"/>
              <w:right w:val="nil"/>
            </w:tcBorders>
            <w:vAlign w:val="center"/>
            <w:hideMark/>
          </w:tcPr>
          <w:p w14:paraId="0D8954D6"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bCs/>
                <w:sz w:val="20"/>
                <w:szCs w:val="20"/>
              </w:rPr>
              <w:t>Estimate</w:t>
            </w:r>
          </w:p>
          <w:p w14:paraId="688854C1"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for May</w:t>
            </w:r>
          </w:p>
          <w:p w14:paraId="51286719"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2026</w:t>
            </w:r>
          </w:p>
        </w:tc>
        <w:tc>
          <w:tcPr>
            <w:tcW w:w="1588" w:type="dxa"/>
            <w:vMerge w:val="restart"/>
            <w:tcBorders>
              <w:top w:val="single" w:sz="4" w:space="0" w:color="auto"/>
              <w:left w:val="nil"/>
              <w:bottom w:val="single" w:sz="4" w:space="0" w:color="auto"/>
              <w:right w:val="nil"/>
            </w:tcBorders>
            <w:vAlign w:val="center"/>
            <w:hideMark/>
          </w:tcPr>
          <w:p w14:paraId="16081502"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bCs/>
                <w:sz w:val="20"/>
                <w:szCs w:val="20"/>
              </w:rPr>
              <w:t>Estimate</w:t>
            </w:r>
          </w:p>
          <w:p w14:paraId="4F1AA8EB"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5 months of</w:t>
            </w:r>
          </w:p>
          <w:p w14:paraId="4CCF2C3E"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2026</w:t>
            </w:r>
          </w:p>
        </w:tc>
        <w:tc>
          <w:tcPr>
            <w:tcW w:w="3003" w:type="dxa"/>
            <w:gridSpan w:val="2"/>
            <w:tcBorders>
              <w:top w:val="single" w:sz="4" w:space="0" w:color="auto"/>
              <w:left w:val="nil"/>
              <w:bottom w:val="single" w:sz="4" w:space="0" w:color="auto"/>
              <w:right w:val="nil"/>
            </w:tcBorders>
            <w:vAlign w:val="center"/>
            <w:hideMark/>
          </w:tcPr>
          <w:p w14:paraId="42E11D71" w14:textId="77777777" w:rsidR="003F393F" w:rsidRPr="00294018" w:rsidRDefault="003F393F" w:rsidP="0060017F">
            <w:pPr>
              <w:spacing w:line="256" w:lineRule="auto"/>
              <w:jc w:val="center"/>
              <w:rPr>
                <w:rFonts w:ascii="Arial" w:hAnsi="Arial" w:cs="Arial"/>
                <w:sz w:val="20"/>
                <w:szCs w:val="20"/>
              </w:rPr>
            </w:pPr>
            <w:r w:rsidRPr="00294018">
              <w:rPr>
                <w:rFonts w:ascii="Arial" w:hAnsi="Arial" w:cs="Arial"/>
                <w:sz w:val="20"/>
                <w:szCs w:val="20"/>
              </w:rPr>
              <w:t xml:space="preserve">Year-on-Year </w:t>
            </w:r>
          </w:p>
          <w:p w14:paraId="51334680"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sz w:val="20"/>
                <w:szCs w:val="20"/>
              </w:rPr>
              <w:t>Growth rate (%)</w:t>
            </w:r>
          </w:p>
        </w:tc>
      </w:tr>
      <w:tr w:rsidR="003F393F" w:rsidRPr="00294018" w14:paraId="6985338B" w14:textId="77777777" w:rsidTr="0060017F">
        <w:trPr>
          <w:cantSplit/>
          <w:trHeight w:val="452"/>
          <w:jc w:val="center"/>
        </w:trPr>
        <w:tc>
          <w:tcPr>
            <w:tcW w:w="3014" w:type="dxa"/>
            <w:vMerge/>
            <w:tcBorders>
              <w:top w:val="single" w:sz="4" w:space="0" w:color="auto"/>
              <w:left w:val="nil"/>
              <w:bottom w:val="single" w:sz="4" w:space="0" w:color="auto"/>
              <w:right w:val="nil"/>
            </w:tcBorders>
            <w:vAlign w:val="center"/>
            <w:hideMark/>
          </w:tcPr>
          <w:p w14:paraId="0DE24D83" w14:textId="77777777" w:rsidR="003F393F" w:rsidRPr="00294018" w:rsidRDefault="003F393F" w:rsidP="0060017F">
            <w:pPr>
              <w:rPr>
                <w:rFonts w:ascii="Arial" w:hAnsi="Arial" w:cs="Arial"/>
                <w:color w:val="000000" w:themeColor="text1"/>
                <w:sz w:val="20"/>
                <w:szCs w:val="20"/>
              </w:rPr>
            </w:pPr>
          </w:p>
        </w:tc>
        <w:tc>
          <w:tcPr>
            <w:tcW w:w="1433" w:type="dxa"/>
            <w:vMerge/>
            <w:tcBorders>
              <w:top w:val="single" w:sz="4" w:space="0" w:color="auto"/>
              <w:left w:val="nil"/>
              <w:bottom w:val="single" w:sz="4" w:space="0" w:color="auto"/>
              <w:right w:val="nil"/>
            </w:tcBorders>
            <w:vAlign w:val="center"/>
            <w:hideMark/>
          </w:tcPr>
          <w:p w14:paraId="3DC4563C" w14:textId="77777777" w:rsidR="003F393F" w:rsidRPr="00294018" w:rsidRDefault="003F393F" w:rsidP="0060017F">
            <w:pPr>
              <w:rPr>
                <w:rFonts w:ascii="Arial" w:hAnsi="Arial" w:cs="Arial"/>
                <w:color w:val="000000" w:themeColor="text1"/>
                <w:sz w:val="20"/>
                <w:szCs w:val="20"/>
              </w:rPr>
            </w:pPr>
          </w:p>
        </w:tc>
        <w:tc>
          <w:tcPr>
            <w:tcW w:w="1588" w:type="dxa"/>
            <w:vMerge/>
            <w:tcBorders>
              <w:top w:val="single" w:sz="4" w:space="0" w:color="auto"/>
              <w:left w:val="nil"/>
              <w:bottom w:val="single" w:sz="4" w:space="0" w:color="auto"/>
              <w:right w:val="nil"/>
            </w:tcBorders>
            <w:vAlign w:val="center"/>
            <w:hideMark/>
          </w:tcPr>
          <w:p w14:paraId="302D05C1" w14:textId="77777777" w:rsidR="003F393F" w:rsidRPr="00294018" w:rsidRDefault="003F393F" w:rsidP="0060017F">
            <w:pPr>
              <w:rPr>
                <w:rFonts w:ascii="Arial" w:hAnsi="Arial" w:cs="Arial"/>
                <w:color w:val="000000" w:themeColor="text1"/>
                <w:sz w:val="20"/>
                <w:szCs w:val="20"/>
              </w:rPr>
            </w:pPr>
          </w:p>
        </w:tc>
        <w:tc>
          <w:tcPr>
            <w:tcW w:w="1686" w:type="dxa"/>
            <w:tcBorders>
              <w:top w:val="single" w:sz="4" w:space="0" w:color="auto"/>
              <w:left w:val="nil"/>
              <w:bottom w:val="single" w:sz="4" w:space="0" w:color="auto"/>
              <w:right w:val="nil"/>
            </w:tcBorders>
            <w:vAlign w:val="center"/>
            <w:hideMark/>
          </w:tcPr>
          <w:p w14:paraId="4A427B4E"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May</w:t>
            </w:r>
          </w:p>
          <w:p w14:paraId="73813008"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2026</w:t>
            </w:r>
          </w:p>
        </w:tc>
        <w:tc>
          <w:tcPr>
            <w:tcW w:w="1317" w:type="dxa"/>
            <w:tcBorders>
              <w:top w:val="single" w:sz="4" w:space="0" w:color="auto"/>
              <w:left w:val="nil"/>
              <w:bottom w:val="single" w:sz="4" w:space="0" w:color="auto"/>
              <w:right w:val="nil"/>
            </w:tcBorders>
            <w:vAlign w:val="center"/>
            <w:hideMark/>
          </w:tcPr>
          <w:p w14:paraId="3E1C94CC" w14:textId="77777777" w:rsidR="003F393F" w:rsidRPr="00294018" w:rsidRDefault="003F393F" w:rsidP="0060017F">
            <w:pPr>
              <w:jc w:val="center"/>
              <w:rPr>
                <w:rFonts w:ascii="Arial" w:hAnsi="Arial" w:cs="Arial"/>
                <w:color w:val="000000" w:themeColor="text1"/>
                <w:sz w:val="20"/>
                <w:szCs w:val="20"/>
              </w:rPr>
            </w:pPr>
            <w:r w:rsidRPr="00294018">
              <w:rPr>
                <w:rFonts w:ascii="Arial" w:hAnsi="Arial" w:cs="Arial"/>
                <w:color w:val="000000" w:themeColor="text1"/>
                <w:sz w:val="20"/>
                <w:szCs w:val="20"/>
              </w:rPr>
              <w:t>5 months of 2026</w:t>
            </w:r>
          </w:p>
        </w:tc>
      </w:tr>
      <w:tr w:rsidR="003F393F" w:rsidRPr="00294018" w14:paraId="51F00E43" w14:textId="77777777" w:rsidTr="0060017F">
        <w:trPr>
          <w:cantSplit/>
          <w:trHeight w:val="276"/>
          <w:jc w:val="center"/>
        </w:trPr>
        <w:tc>
          <w:tcPr>
            <w:tcW w:w="3014" w:type="dxa"/>
            <w:tcBorders>
              <w:top w:val="single" w:sz="4" w:space="0" w:color="auto"/>
              <w:left w:val="nil"/>
              <w:bottom w:val="nil"/>
              <w:right w:val="nil"/>
            </w:tcBorders>
            <w:vAlign w:val="center"/>
            <w:hideMark/>
          </w:tcPr>
          <w:p w14:paraId="361748BE" w14:textId="77777777" w:rsidR="003F393F" w:rsidRPr="00294018" w:rsidRDefault="003F393F" w:rsidP="0060017F">
            <w:pPr>
              <w:spacing w:before="60" w:after="60" w:line="256" w:lineRule="auto"/>
              <w:rPr>
                <w:rFonts w:ascii="Arial" w:hAnsi="Arial" w:cs="Arial"/>
                <w:b/>
                <w:bCs/>
                <w:color w:val="000000" w:themeColor="text1"/>
                <w:sz w:val="20"/>
                <w:szCs w:val="20"/>
              </w:rPr>
            </w:pPr>
            <w:r w:rsidRPr="00294018">
              <w:rPr>
                <w:rFonts w:ascii="Arial" w:hAnsi="Arial" w:cs="Arial"/>
                <w:b/>
                <w:bCs/>
                <w:color w:val="000000" w:themeColor="text1"/>
                <w:sz w:val="20"/>
                <w:szCs w:val="20"/>
              </w:rPr>
              <w:t>Total</w:t>
            </w:r>
          </w:p>
        </w:tc>
        <w:tc>
          <w:tcPr>
            <w:tcW w:w="1433" w:type="dxa"/>
            <w:tcBorders>
              <w:top w:val="single" w:sz="4" w:space="0" w:color="auto"/>
              <w:left w:val="nil"/>
              <w:bottom w:val="nil"/>
              <w:right w:val="nil"/>
            </w:tcBorders>
            <w:vAlign w:val="center"/>
            <w:hideMark/>
          </w:tcPr>
          <w:p w14:paraId="364E746B" w14:textId="77777777" w:rsidR="003F393F" w:rsidRPr="00294018" w:rsidRDefault="003F393F" w:rsidP="0060017F">
            <w:pPr>
              <w:spacing w:before="60" w:after="60" w:line="256" w:lineRule="auto"/>
              <w:ind w:right="281"/>
              <w:jc w:val="right"/>
              <w:rPr>
                <w:rFonts w:ascii="Arial" w:hAnsi="Arial" w:cs="Arial"/>
                <w:b/>
                <w:bCs/>
                <w:color w:val="000000" w:themeColor="text1"/>
                <w:sz w:val="20"/>
                <w:szCs w:val="20"/>
              </w:rPr>
            </w:pPr>
            <w:r w:rsidRPr="00294018">
              <w:rPr>
                <w:rFonts w:ascii="Arial" w:hAnsi="Arial" w:cs="Arial"/>
                <w:b/>
                <w:bCs/>
                <w:color w:val="000000" w:themeColor="text1"/>
                <w:sz w:val="20"/>
                <w:szCs w:val="20"/>
              </w:rPr>
              <w:t>647.1</w:t>
            </w:r>
          </w:p>
        </w:tc>
        <w:tc>
          <w:tcPr>
            <w:tcW w:w="1588" w:type="dxa"/>
            <w:tcBorders>
              <w:top w:val="single" w:sz="4" w:space="0" w:color="auto"/>
              <w:left w:val="nil"/>
              <w:bottom w:val="nil"/>
              <w:right w:val="nil"/>
            </w:tcBorders>
            <w:vAlign w:val="center"/>
            <w:hideMark/>
          </w:tcPr>
          <w:p w14:paraId="7AD50D13" w14:textId="77777777" w:rsidR="003F393F" w:rsidRPr="00294018" w:rsidRDefault="003F393F" w:rsidP="0060017F">
            <w:pPr>
              <w:spacing w:before="60" w:after="60" w:line="256" w:lineRule="auto"/>
              <w:ind w:right="281"/>
              <w:jc w:val="right"/>
              <w:rPr>
                <w:rFonts w:ascii="Arial" w:hAnsi="Arial" w:cs="Arial"/>
                <w:b/>
                <w:bCs/>
                <w:color w:val="000000" w:themeColor="text1"/>
                <w:sz w:val="20"/>
                <w:szCs w:val="20"/>
              </w:rPr>
            </w:pPr>
            <w:r w:rsidRPr="00294018">
              <w:rPr>
                <w:rFonts w:ascii="Arial" w:hAnsi="Arial" w:cs="Arial"/>
                <w:b/>
                <w:bCs/>
                <w:color w:val="000000" w:themeColor="text1"/>
                <w:sz w:val="20"/>
                <w:szCs w:val="20"/>
              </w:rPr>
              <w:t>3,185.0</w:t>
            </w:r>
          </w:p>
        </w:tc>
        <w:tc>
          <w:tcPr>
            <w:tcW w:w="1686" w:type="dxa"/>
            <w:tcBorders>
              <w:top w:val="single" w:sz="4" w:space="0" w:color="auto"/>
              <w:left w:val="nil"/>
              <w:bottom w:val="nil"/>
              <w:right w:val="nil"/>
            </w:tcBorders>
            <w:vAlign w:val="center"/>
            <w:hideMark/>
          </w:tcPr>
          <w:p w14:paraId="5A639ACC" w14:textId="77777777" w:rsidR="003F393F" w:rsidRPr="00294018" w:rsidRDefault="003F393F" w:rsidP="0060017F">
            <w:pPr>
              <w:spacing w:before="60" w:after="60" w:line="256" w:lineRule="auto"/>
              <w:ind w:right="486"/>
              <w:jc w:val="right"/>
              <w:rPr>
                <w:rFonts w:ascii="Arial" w:hAnsi="Arial" w:cs="Arial"/>
                <w:b/>
                <w:bCs/>
                <w:color w:val="000000" w:themeColor="text1"/>
                <w:sz w:val="20"/>
                <w:szCs w:val="20"/>
              </w:rPr>
            </w:pPr>
            <w:r w:rsidRPr="00294018">
              <w:rPr>
                <w:rFonts w:ascii="Arial" w:hAnsi="Arial" w:cs="Arial"/>
                <w:b/>
                <w:bCs/>
                <w:color w:val="000000" w:themeColor="text1"/>
                <w:sz w:val="20"/>
                <w:szCs w:val="20"/>
              </w:rPr>
              <w:t>11.8</w:t>
            </w:r>
          </w:p>
        </w:tc>
        <w:tc>
          <w:tcPr>
            <w:tcW w:w="1317" w:type="dxa"/>
            <w:tcBorders>
              <w:top w:val="single" w:sz="4" w:space="0" w:color="auto"/>
              <w:left w:val="nil"/>
              <w:bottom w:val="nil"/>
              <w:right w:val="nil"/>
            </w:tcBorders>
            <w:vAlign w:val="center"/>
            <w:hideMark/>
          </w:tcPr>
          <w:p w14:paraId="3A36588E" w14:textId="77777777" w:rsidR="003F393F" w:rsidRPr="00294018" w:rsidRDefault="003F393F" w:rsidP="0060017F">
            <w:pPr>
              <w:spacing w:before="60" w:after="60" w:line="256" w:lineRule="auto"/>
              <w:ind w:right="410"/>
              <w:jc w:val="right"/>
              <w:rPr>
                <w:rFonts w:ascii="Arial" w:hAnsi="Arial" w:cs="Arial"/>
                <w:b/>
                <w:bCs/>
                <w:color w:val="000000" w:themeColor="text1"/>
                <w:sz w:val="20"/>
                <w:szCs w:val="20"/>
              </w:rPr>
            </w:pPr>
            <w:r w:rsidRPr="00294018">
              <w:rPr>
                <w:rFonts w:ascii="Arial" w:hAnsi="Arial" w:cs="Arial"/>
                <w:b/>
                <w:bCs/>
                <w:color w:val="000000" w:themeColor="text1"/>
                <w:sz w:val="20"/>
                <w:szCs w:val="20"/>
              </w:rPr>
              <w:t>11.2</w:t>
            </w:r>
          </w:p>
        </w:tc>
      </w:tr>
      <w:tr w:rsidR="003F393F" w:rsidRPr="00294018" w14:paraId="17908626" w14:textId="77777777" w:rsidTr="0060017F">
        <w:trPr>
          <w:cantSplit/>
          <w:trHeight w:val="287"/>
          <w:jc w:val="center"/>
        </w:trPr>
        <w:tc>
          <w:tcPr>
            <w:tcW w:w="3014" w:type="dxa"/>
            <w:vAlign w:val="center"/>
            <w:hideMark/>
          </w:tcPr>
          <w:p w14:paraId="015FEF8B" w14:textId="77777777" w:rsidR="003F393F" w:rsidRPr="00294018" w:rsidRDefault="003F393F" w:rsidP="0060017F">
            <w:pPr>
              <w:spacing w:before="60" w:after="60" w:line="256" w:lineRule="auto"/>
              <w:ind w:firstLine="317"/>
              <w:rPr>
                <w:rFonts w:ascii="Arial" w:hAnsi="Arial" w:cs="Arial"/>
                <w:color w:val="000000" w:themeColor="text1"/>
                <w:sz w:val="20"/>
                <w:szCs w:val="20"/>
              </w:rPr>
            </w:pPr>
            <w:r w:rsidRPr="00294018">
              <w:rPr>
                <w:rFonts w:ascii="Arial" w:hAnsi="Arial" w:cs="Arial"/>
                <w:bCs/>
                <w:sz w:val="20"/>
                <w:szCs w:val="20"/>
              </w:rPr>
              <w:t>Retail sales of goods</w:t>
            </w:r>
          </w:p>
        </w:tc>
        <w:tc>
          <w:tcPr>
            <w:tcW w:w="1433" w:type="dxa"/>
            <w:vAlign w:val="center"/>
            <w:hideMark/>
          </w:tcPr>
          <w:p w14:paraId="58755ABF" w14:textId="77777777" w:rsidR="003F393F" w:rsidRPr="00294018" w:rsidRDefault="003F393F" w:rsidP="0060017F">
            <w:pPr>
              <w:spacing w:before="60" w:after="60" w:line="256" w:lineRule="auto"/>
              <w:ind w:right="281"/>
              <w:jc w:val="right"/>
              <w:rPr>
                <w:rFonts w:ascii="Arial" w:hAnsi="Arial" w:cs="Arial"/>
                <w:bCs/>
                <w:color w:val="000000" w:themeColor="text1"/>
                <w:sz w:val="20"/>
                <w:szCs w:val="20"/>
              </w:rPr>
            </w:pPr>
            <w:r w:rsidRPr="00294018">
              <w:rPr>
                <w:rFonts w:ascii="Arial" w:hAnsi="Arial" w:cs="Arial"/>
                <w:color w:val="000000" w:themeColor="text1"/>
                <w:sz w:val="20"/>
                <w:szCs w:val="20"/>
              </w:rPr>
              <w:t>486.5</w:t>
            </w:r>
          </w:p>
        </w:tc>
        <w:tc>
          <w:tcPr>
            <w:tcW w:w="1588" w:type="dxa"/>
            <w:vAlign w:val="center"/>
            <w:hideMark/>
          </w:tcPr>
          <w:p w14:paraId="29273485" w14:textId="77777777" w:rsidR="003F393F" w:rsidRPr="00294018" w:rsidRDefault="003F393F" w:rsidP="0060017F">
            <w:pPr>
              <w:spacing w:before="60" w:after="60" w:line="256" w:lineRule="auto"/>
              <w:ind w:right="281"/>
              <w:jc w:val="right"/>
              <w:rPr>
                <w:rFonts w:ascii="Arial" w:hAnsi="Arial" w:cs="Arial"/>
                <w:color w:val="000000" w:themeColor="text1"/>
                <w:sz w:val="20"/>
                <w:szCs w:val="20"/>
              </w:rPr>
            </w:pPr>
            <w:r w:rsidRPr="00294018">
              <w:rPr>
                <w:rFonts w:ascii="Arial" w:hAnsi="Arial" w:cs="Arial"/>
                <w:color w:val="000000" w:themeColor="text1"/>
                <w:sz w:val="20"/>
                <w:szCs w:val="20"/>
              </w:rPr>
              <w:t>2,418.1</w:t>
            </w:r>
          </w:p>
        </w:tc>
        <w:tc>
          <w:tcPr>
            <w:tcW w:w="1686" w:type="dxa"/>
            <w:vAlign w:val="center"/>
            <w:hideMark/>
          </w:tcPr>
          <w:p w14:paraId="60169D2B" w14:textId="77777777" w:rsidR="003F393F" w:rsidRPr="00294018" w:rsidRDefault="003F393F" w:rsidP="0060017F">
            <w:pPr>
              <w:spacing w:before="60" w:after="60" w:line="256" w:lineRule="auto"/>
              <w:ind w:right="486"/>
              <w:jc w:val="right"/>
              <w:rPr>
                <w:rFonts w:ascii="Arial" w:hAnsi="Arial" w:cs="Arial"/>
                <w:bCs/>
                <w:color w:val="000000" w:themeColor="text1"/>
                <w:sz w:val="20"/>
                <w:szCs w:val="20"/>
              </w:rPr>
            </w:pPr>
            <w:r w:rsidRPr="00294018">
              <w:rPr>
                <w:rFonts w:ascii="Arial" w:hAnsi="Arial" w:cs="Arial"/>
                <w:color w:val="000000" w:themeColor="text1"/>
                <w:sz w:val="20"/>
                <w:szCs w:val="20"/>
              </w:rPr>
              <w:t>11.3</w:t>
            </w:r>
          </w:p>
        </w:tc>
        <w:tc>
          <w:tcPr>
            <w:tcW w:w="1317" w:type="dxa"/>
            <w:vAlign w:val="center"/>
            <w:hideMark/>
          </w:tcPr>
          <w:p w14:paraId="5E986611" w14:textId="77777777" w:rsidR="003F393F" w:rsidRPr="00294018" w:rsidRDefault="003F393F" w:rsidP="0060017F">
            <w:pPr>
              <w:spacing w:before="60" w:after="60" w:line="256" w:lineRule="auto"/>
              <w:ind w:right="410"/>
              <w:jc w:val="right"/>
              <w:rPr>
                <w:rFonts w:ascii="Arial" w:hAnsi="Arial" w:cs="Arial"/>
                <w:bCs/>
                <w:color w:val="000000" w:themeColor="text1"/>
                <w:sz w:val="20"/>
                <w:szCs w:val="20"/>
              </w:rPr>
            </w:pPr>
            <w:r w:rsidRPr="00294018">
              <w:rPr>
                <w:rFonts w:ascii="Arial" w:hAnsi="Arial" w:cs="Arial"/>
                <w:color w:val="000000" w:themeColor="text1"/>
                <w:sz w:val="20"/>
                <w:szCs w:val="20"/>
              </w:rPr>
              <w:t>11.1</w:t>
            </w:r>
          </w:p>
        </w:tc>
      </w:tr>
      <w:tr w:rsidR="003F393F" w:rsidRPr="00294018" w14:paraId="26E34204" w14:textId="77777777" w:rsidTr="0060017F">
        <w:trPr>
          <w:cantSplit/>
          <w:trHeight w:val="287"/>
          <w:jc w:val="center"/>
        </w:trPr>
        <w:tc>
          <w:tcPr>
            <w:tcW w:w="3014" w:type="dxa"/>
            <w:vAlign w:val="center"/>
            <w:hideMark/>
          </w:tcPr>
          <w:p w14:paraId="1E772FD5" w14:textId="77777777" w:rsidR="003F393F" w:rsidRPr="00294018" w:rsidRDefault="003F393F" w:rsidP="0060017F">
            <w:pPr>
              <w:spacing w:before="60" w:after="60" w:line="256" w:lineRule="auto"/>
              <w:ind w:firstLine="317"/>
              <w:rPr>
                <w:rFonts w:ascii="Arial" w:hAnsi="Arial" w:cs="Arial"/>
                <w:color w:val="000000" w:themeColor="text1"/>
                <w:sz w:val="20"/>
                <w:szCs w:val="20"/>
              </w:rPr>
            </w:pPr>
            <w:r w:rsidRPr="00294018">
              <w:rPr>
                <w:rFonts w:ascii="Arial" w:hAnsi="Arial" w:cs="Arial"/>
                <w:bCs/>
                <w:sz w:val="20"/>
                <w:szCs w:val="20"/>
              </w:rPr>
              <w:t>Accommodation and food services</w:t>
            </w:r>
          </w:p>
        </w:tc>
        <w:tc>
          <w:tcPr>
            <w:tcW w:w="1433" w:type="dxa"/>
            <w:vAlign w:val="center"/>
            <w:hideMark/>
          </w:tcPr>
          <w:p w14:paraId="5D72B18E" w14:textId="77777777" w:rsidR="003F393F" w:rsidRPr="00294018" w:rsidRDefault="003F393F" w:rsidP="0060017F">
            <w:pPr>
              <w:spacing w:before="60" w:after="60" w:line="256" w:lineRule="auto"/>
              <w:ind w:right="281"/>
              <w:jc w:val="right"/>
              <w:rPr>
                <w:rFonts w:ascii="Arial" w:hAnsi="Arial" w:cs="Arial"/>
                <w:bCs/>
                <w:color w:val="000000" w:themeColor="text1"/>
                <w:sz w:val="20"/>
                <w:szCs w:val="20"/>
              </w:rPr>
            </w:pPr>
            <w:r w:rsidRPr="00294018">
              <w:rPr>
                <w:rFonts w:ascii="Arial" w:hAnsi="Arial" w:cs="Arial"/>
                <w:color w:val="000000" w:themeColor="text1"/>
                <w:sz w:val="20"/>
                <w:szCs w:val="20"/>
              </w:rPr>
              <w:t>84.7</w:t>
            </w:r>
          </w:p>
        </w:tc>
        <w:tc>
          <w:tcPr>
            <w:tcW w:w="1588" w:type="dxa"/>
            <w:vAlign w:val="center"/>
            <w:hideMark/>
          </w:tcPr>
          <w:p w14:paraId="141270C0" w14:textId="77777777" w:rsidR="003F393F" w:rsidRPr="00294018" w:rsidRDefault="003F393F" w:rsidP="0060017F">
            <w:pPr>
              <w:spacing w:before="60" w:after="60" w:line="256" w:lineRule="auto"/>
              <w:ind w:right="281"/>
              <w:jc w:val="right"/>
              <w:rPr>
                <w:rFonts w:ascii="Arial" w:hAnsi="Arial" w:cs="Arial"/>
                <w:color w:val="000000" w:themeColor="text1"/>
                <w:sz w:val="20"/>
                <w:szCs w:val="20"/>
              </w:rPr>
            </w:pPr>
            <w:r w:rsidRPr="00294018">
              <w:rPr>
                <w:rFonts w:ascii="Arial" w:hAnsi="Arial" w:cs="Arial"/>
                <w:color w:val="000000" w:themeColor="text1"/>
                <w:sz w:val="20"/>
                <w:szCs w:val="20"/>
              </w:rPr>
              <w:t>400.4</w:t>
            </w:r>
          </w:p>
        </w:tc>
        <w:tc>
          <w:tcPr>
            <w:tcW w:w="1686" w:type="dxa"/>
            <w:vAlign w:val="center"/>
            <w:hideMark/>
          </w:tcPr>
          <w:p w14:paraId="227C3943" w14:textId="77777777" w:rsidR="003F393F" w:rsidRPr="00294018" w:rsidRDefault="003F393F" w:rsidP="0060017F">
            <w:pPr>
              <w:spacing w:before="60" w:after="60" w:line="256" w:lineRule="auto"/>
              <w:ind w:right="486"/>
              <w:jc w:val="right"/>
              <w:rPr>
                <w:rFonts w:ascii="Arial" w:hAnsi="Arial" w:cs="Arial"/>
                <w:bCs/>
                <w:color w:val="000000" w:themeColor="text1"/>
                <w:sz w:val="20"/>
                <w:szCs w:val="20"/>
              </w:rPr>
            </w:pPr>
            <w:r w:rsidRPr="00294018">
              <w:rPr>
                <w:rFonts w:ascii="Arial" w:hAnsi="Arial" w:cs="Arial"/>
                <w:color w:val="000000" w:themeColor="text1"/>
                <w:sz w:val="20"/>
                <w:szCs w:val="20"/>
              </w:rPr>
              <w:t>15.4</w:t>
            </w:r>
          </w:p>
        </w:tc>
        <w:tc>
          <w:tcPr>
            <w:tcW w:w="1317" w:type="dxa"/>
            <w:vAlign w:val="center"/>
            <w:hideMark/>
          </w:tcPr>
          <w:p w14:paraId="12AD8C12" w14:textId="77777777" w:rsidR="003F393F" w:rsidRPr="00294018" w:rsidRDefault="003F393F" w:rsidP="0060017F">
            <w:pPr>
              <w:spacing w:before="60" w:after="60" w:line="256" w:lineRule="auto"/>
              <w:ind w:right="410"/>
              <w:jc w:val="right"/>
              <w:rPr>
                <w:rFonts w:ascii="Arial" w:hAnsi="Arial" w:cs="Arial"/>
                <w:bCs/>
                <w:color w:val="000000" w:themeColor="text1"/>
                <w:sz w:val="20"/>
                <w:szCs w:val="20"/>
              </w:rPr>
            </w:pPr>
            <w:r w:rsidRPr="00294018">
              <w:rPr>
                <w:rFonts w:ascii="Arial" w:hAnsi="Arial" w:cs="Arial"/>
                <w:color w:val="000000" w:themeColor="text1"/>
                <w:sz w:val="20"/>
                <w:szCs w:val="20"/>
              </w:rPr>
              <w:t>13.3</w:t>
            </w:r>
          </w:p>
        </w:tc>
      </w:tr>
      <w:tr w:rsidR="003F393F" w:rsidRPr="00294018" w14:paraId="0B4E74BC" w14:textId="77777777" w:rsidTr="0060017F">
        <w:trPr>
          <w:cantSplit/>
          <w:trHeight w:val="287"/>
          <w:jc w:val="center"/>
        </w:trPr>
        <w:tc>
          <w:tcPr>
            <w:tcW w:w="3014" w:type="dxa"/>
            <w:vAlign w:val="center"/>
            <w:hideMark/>
          </w:tcPr>
          <w:p w14:paraId="7768651F" w14:textId="77777777" w:rsidR="003F393F" w:rsidRPr="00294018" w:rsidRDefault="003F393F" w:rsidP="0060017F">
            <w:pPr>
              <w:spacing w:before="60" w:after="60" w:line="256" w:lineRule="auto"/>
              <w:ind w:firstLine="317"/>
              <w:rPr>
                <w:rFonts w:ascii="Arial" w:hAnsi="Arial" w:cs="Arial"/>
                <w:color w:val="000000" w:themeColor="text1"/>
                <w:sz w:val="20"/>
                <w:szCs w:val="20"/>
              </w:rPr>
            </w:pPr>
            <w:r w:rsidRPr="00294018">
              <w:rPr>
                <w:rFonts w:ascii="Arial" w:hAnsi="Arial" w:cs="Arial"/>
                <w:bCs/>
                <w:sz w:val="20"/>
                <w:szCs w:val="20"/>
              </w:rPr>
              <w:t>Travelling services</w:t>
            </w:r>
          </w:p>
        </w:tc>
        <w:tc>
          <w:tcPr>
            <w:tcW w:w="1433" w:type="dxa"/>
            <w:vAlign w:val="center"/>
            <w:hideMark/>
          </w:tcPr>
          <w:p w14:paraId="7AFC5603" w14:textId="77777777" w:rsidR="003F393F" w:rsidRPr="00294018" w:rsidRDefault="003F393F" w:rsidP="0060017F">
            <w:pPr>
              <w:spacing w:before="60" w:after="60" w:line="256" w:lineRule="auto"/>
              <w:ind w:right="281"/>
              <w:jc w:val="right"/>
              <w:rPr>
                <w:rFonts w:ascii="Arial" w:hAnsi="Arial" w:cs="Arial"/>
                <w:bCs/>
                <w:color w:val="000000" w:themeColor="text1"/>
                <w:sz w:val="20"/>
                <w:szCs w:val="20"/>
              </w:rPr>
            </w:pPr>
            <w:r w:rsidRPr="00294018">
              <w:rPr>
                <w:rFonts w:ascii="Arial" w:hAnsi="Arial" w:cs="Arial"/>
                <w:color w:val="000000" w:themeColor="text1"/>
                <w:sz w:val="20"/>
                <w:szCs w:val="20"/>
              </w:rPr>
              <w:t>8.9</w:t>
            </w:r>
          </w:p>
        </w:tc>
        <w:tc>
          <w:tcPr>
            <w:tcW w:w="1588" w:type="dxa"/>
            <w:vAlign w:val="center"/>
            <w:hideMark/>
          </w:tcPr>
          <w:p w14:paraId="3D7CA5C1" w14:textId="77777777" w:rsidR="003F393F" w:rsidRPr="00294018" w:rsidRDefault="003F393F" w:rsidP="0060017F">
            <w:pPr>
              <w:spacing w:before="60" w:after="60" w:line="256" w:lineRule="auto"/>
              <w:ind w:right="281"/>
              <w:jc w:val="right"/>
              <w:rPr>
                <w:rFonts w:ascii="Arial" w:hAnsi="Arial" w:cs="Arial"/>
                <w:color w:val="000000" w:themeColor="text1"/>
                <w:sz w:val="20"/>
                <w:szCs w:val="20"/>
              </w:rPr>
            </w:pPr>
            <w:r w:rsidRPr="00294018">
              <w:rPr>
                <w:rFonts w:ascii="Arial" w:hAnsi="Arial" w:cs="Arial"/>
                <w:color w:val="000000" w:themeColor="text1"/>
                <w:sz w:val="20"/>
                <w:szCs w:val="20"/>
              </w:rPr>
              <w:t>40.6</w:t>
            </w:r>
          </w:p>
        </w:tc>
        <w:tc>
          <w:tcPr>
            <w:tcW w:w="1686" w:type="dxa"/>
            <w:vAlign w:val="center"/>
            <w:hideMark/>
          </w:tcPr>
          <w:p w14:paraId="71EFAFE8" w14:textId="77777777" w:rsidR="003F393F" w:rsidRPr="00294018" w:rsidRDefault="003F393F" w:rsidP="0060017F">
            <w:pPr>
              <w:spacing w:before="60" w:after="60" w:line="256" w:lineRule="auto"/>
              <w:ind w:right="486"/>
              <w:jc w:val="right"/>
              <w:rPr>
                <w:rFonts w:ascii="Arial" w:hAnsi="Arial" w:cs="Arial"/>
                <w:bCs/>
                <w:color w:val="000000" w:themeColor="text1"/>
                <w:sz w:val="20"/>
                <w:szCs w:val="20"/>
              </w:rPr>
            </w:pPr>
            <w:r w:rsidRPr="00294018">
              <w:rPr>
                <w:rFonts w:ascii="Arial" w:hAnsi="Arial" w:cs="Arial"/>
                <w:color w:val="000000" w:themeColor="text1"/>
                <w:sz w:val="20"/>
                <w:szCs w:val="20"/>
              </w:rPr>
              <w:t>15.4</w:t>
            </w:r>
          </w:p>
        </w:tc>
        <w:tc>
          <w:tcPr>
            <w:tcW w:w="1317" w:type="dxa"/>
            <w:vAlign w:val="center"/>
            <w:hideMark/>
          </w:tcPr>
          <w:p w14:paraId="133C4C79" w14:textId="77777777" w:rsidR="003F393F" w:rsidRPr="00294018" w:rsidRDefault="003F393F" w:rsidP="0060017F">
            <w:pPr>
              <w:spacing w:before="60" w:after="60" w:line="256" w:lineRule="auto"/>
              <w:ind w:right="410"/>
              <w:jc w:val="right"/>
              <w:rPr>
                <w:rFonts w:ascii="Arial" w:hAnsi="Arial" w:cs="Arial"/>
                <w:bCs/>
                <w:color w:val="000000" w:themeColor="text1"/>
                <w:sz w:val="20"/>
                <w:szCs w:val="20"/>
              </w:rPr>
            </w:pPr>
            <w:r w:rsidRPr="00294018">
              <w:rPr>
                <w:rFonts w:ascii="Arial" w:hAnsi="Arial" w:cs="Arial"/>
                <w:color w:val="000000" w:themeColor="text1"/>
                <w:sz w:val="20"/>
                <w:szCs w:val="20"/>
              </w:rPr>
              <w:t>12.2</w:t>
            </w:r>
          </w:p>
        </w:tc>
      </w:tr>
      <w:tr w:rsidR="003F393F" w:rsidRPr="00294018" w14:paraId="0CE252E3" w14:textId="77777777" w:rsidTr="0060017F">
        <w:trPr>
          <w:cantSplit/>
          <w:trHeight w:val="287"/>
          <w:jc w:val="center"/>
        </w:trPr>
        <w:tc>
          <w:tcPr>
            <w:tcW w:w="3014" w:type="dxa"/>
            <w:tcBorders>
              <w:top w:val="nil"/>
              <w:left w:val="nil"/>
              <w:bottom w:val="single" w:sz="4" w:space="0" w:color="auto"/>
              <w:right w:val="nil"/>
            </w:tcBorders>
            <w:vAlign w:val="center"/>
            <w:hideMark/>
          </w:tcPr>
          <w:p w14:paraId="5BE0FB4E" w14:textId="77777777" w:rsidR="003F393F" w:rsidRPr="00294018" w:rsidRDefault="003F393F" w:rsidP="0060017F">
            <w:pPr>
              <w:spacing w:before="60" w:after="60" w:line="256" w:lineRule="auto"/>
              <w:ind w:firstLine="317"/>
              <w:rPr>
                <w:rFonts w:ascii="Arial" w:hAnsi="Arial" w:cs="Arial"/>
                <w:color w:val="000000" w:themeColor="text1"/>
                <w:sz w:val="20"/>
                <w:szCs w:val="20"/>
              </w:rPr>
            </w:pPr>
            <w:r w:rsidRPr="00294018">
              <w:rPr>
                <w:rFonts w:ascii="Arial" w:hAnsi="Arial" w:cs="Arial"/>
                <w:bCs/>
                <w:sz w:val="20"/>
                <w:szCs w:val="20"/>
              </w:rPr>
              <w:t>Other services</w:t>
            </w:r>
          </w:p>
        </w:tc>
        <w:tc>
          <w:tcPr>
            <w:tcW w:w="1433" w:type="dxa"/>
            <w:tcBorders>
              <w:top w:val="nil"/>
              <w:left w:val="nil"/>
              <w:bottom w:val="single" w:sz="4" w:space="0" w:color="auto"/>
              <w:right w:val="nil"/>
            </w:tcBorders>
            <w:vAlign w:val="center"/>
            <w:hideMark/>
          </w:tcPr>
          <w:p w14:paraId="6115C337" w14:textId="77777777" w:rsidR="003F393F" w:rsidRPr="00294018" w:rsidRDefault="003F393F" w:rsidP="0060017F">
            <w:pPr>
              <w:spacing w:before="60" w:after="60" w:line="256" w:lineRule="auto"/>
              <w:ind w:right="281"/>
              <w:jc w:val="right"/>
              <w:rPr>
                <w:rFonts w:ascii="Arial" w:hAnsi="Arial" w:cs="Arial"/>
                <w:bCs/>
                <w:color w:val="000000" w:themeColor="text1"/>
                <w:sz w:val="20"/>
                <w:szCs w:val="20"/>
              </w:rPr>
            </w:pPr>
            <w:r w:rsidRPr="00294018">
              <w:rPr>
                <w:rFonts w:ascii="Arial" w:hAnsi="Arial" w:cs="Arial"/>
                <w:color w:val="000000" w:themeColor="text1"/>
                <w:sz w:val="20"/>
                <w:szCs w:val="20"/>
              </w:rPr>
              <w:t>67.0</w:t>
            </w:r>
          </w:p>
        </w:tc>
        <w:tc>
          <w:tcPr>
            <w:tcW w:w="1588" w:type="dxa"/>
            <w:tcBorders>
              <w:top w:val="nil"/>
              <w:left w:val="nil"/>
              <w:bottom w:val="single" w:sz="4" w:space="0" w:color="auto"/>
              <w:right w:val="nil"/>
            </w:tcBorders>
            <w:vAlign w:val="center"/>
            <w:hideMark/>
          </w:tcPr>
          <w:p w14:paraId="1AEEF3B1" w14:textId="77777777" w:rsidR="003F393F" w:rsidRPr="00294018" w:rsidRDefault="003F393F" w:rsidP="0060017F">
            <w:pPr>
              <w:spacing w:before="60" w:after="60" w:line="256" w:lineRule="auto"/>
              <w:ind w:right="281"/>
              <w:jc w:val="right"/>
              <w:rPr>
                <w:rFonts w:ascii="Arial" w:hAnsi="Arial" w:cs="Arial"/>
                <w:color w:val="000000" w:themeColor="text1"/>
                <w:sz w:val="20"/>
                <w:szCs w:val="20"/>
              </w:rPr>
            </w:pPr>
            <w:r w:rsidRPr="00294018">
              <w:rPr>
                <w:rFonts w:ascii="Arial" w:hAnsi="Arial" w:cs="Arial"/>
                <w:color w:val="000000" w:themeColor="text1"/>
                <w:sz w:val="20"/>
                <w:szCs w:val="20"/>
              </w:rPr>
              <w:t>325.9</w:t>
            </w:r>
          </w:p>
        </w:tc>
        <w:tc>
          <w:tcPr>
            <w:tcW w:w="1686" w:type="dxa"/>
            <w:tcBorders>
              <w:top w:val="nil"/>
              <w:left w:val="nil"/>
              <w:bottom w:val="single" w:sz="4" w:space="0" w:color="auto"/>
              <w:right w:val="nil"/>
            </w:tcBorders>
            <w:vAlign w:val="center"/>
            <w:hideMark/>
          </w:tcPr>
          <w:p w14:paraId="5C07978E" w14:textId="77777777" w:rsidR="003F393F" w:rsidRPr="00294018" w:rsidRDefault="003F393F" w:rsidP="0060017F">
            <w:pPr>
              <w:spacing w:before="60" w:after="60" w:line="256" w:lineRule="auto"/>
              <w:ind w:right="486"/>
              <w:jc w:val="right"/>
              <w:rPr>
                <w:rFonts w:ascii="Arial" w:hAnsi="Arial" w:cs="Arial"/>
                <w:bCs/>
                <w:color w:val="000000" w:themeColor="text1"/>
                <w:sz w:val="20"/>
                <w:szCs w:val="20"/>
              </w:rPr>
            </w:pPr>
            <w:r w:rsidRPr="00294018">
              <w:rPr>
                <w:rFonts w:ascii="Arial" w:hAnsi="Arial" w:cs="Arial"/>
                <w:color w:val="000000" w:themeColor="text1"/>
                <w:sz w:val="20"/>
                <w:szCs w:val="20"/>
              </w:rPr>
              <w:t>10.8</w:t>
            </w:r>
          </w:p>
        </w:tc>
        <w:tc>
          <w:tcPr>
            <w:tcW w:w="1317" w:type="dxa"/>
            <w:tcBorders>
              <w:top w:val="nil"/>
              <w:left w:val="nil"/>
              <w:bottom w:val="single" w:sz="4" w:space="0" w:color="auto"/>
              <w:right w:val="nil"/>
            </w:tcBorders>
            <w:vAlign w:val="center"/>
            <w:hideMark/>
          </w:tcPr>
          <w:p w14:paraId="2A4DFCA7" w14:textId="77777777" w:rsidR="003F393F" w:rsidRPr="00294018" w:rsidRDefault="003F393F" w:rsidP="0060017F">
            <w:pPr>
              <w:spacing w:before="60" w:after="60" w:line="256" w:lineRule="auto"/>
              <w:ind w:right="410"/>
              <w:jc w:val="right"/>
              <w:rPr>
                <w:rFonts w:ascii="Arial" w:hAnsi="Arial" w:cs="Arial"/>
                <w:bCs/>
                <w:color w:val="000000" w:themeColor="text1"/>
                <w:sz w:val="20"/>
                <w:szCs w:val="20"/>
              </w:rPr>
            </w:pPr>
            <w:r w:rsidRPr="00294018">
              <w:rPr>
                <w:rFonts w:ascii="Arial" w:hAnsi="Arial" w:cs="Arial"/>
                <w:color w:val="000000" w:themeColor="text1"/>
                <w:sz w:val="20"/>
                <w:szCs w:val="20"/>
              </w:rPr>
              <w:t>9.1</w:t>
            </w:r>
          </w:p>
        </w:tc>
      </w:tr>
    </w:tbl>
    <w:p w14:paraId="61927520" w14:textId="37E140E2" w:rsidR="003F393F" w:rsidRPr="00294018" w:rsidRDefault="003F393F" w:rsidP="003F393F">
      <w:pPr>
        <w:spacing w:before="120" w:after="120" w:line="264" w:lineRule="auto"/>
        <w:ind w:firstLine="720"/>
        <w:jc w:val="both"/>
        <w:rPr>
          <w:iCs/>
          <w:color w:val="000000" w:themeColor="text1"/>
        </w:rPr>
      </w:pPr>
      <w:r w:rsidRPr="00294018">
        <w:rPr>
          <w:rFonts w:eastAsia="Calibri"/>
          <w:bCs/>
          <w:spacing w:val="2"/>
        </w:rPr>
        <w:t xml:space="preserve">Generally, </w:t>
      </w:r>
      <w:r w:rsidR="00323402" w:rsidRPr="00294018">
        <w:rPr>
          <w:rFonts w:eastAsia="Calibri"/>
          <w:bCs/>
          <w:spacing w:val="2"/>
        </w:rPr>
        <w:t xml:space="preserve">for the first five months of 2026, </w:t>
      </w:r>
      <w:r w:rsidRPr="00294018">
        <w:rPr>
          <w:rFonts w:eastAsia="Calibri"/>
          <w:bCs/>
          <w:spacing w:val="2"/>
        </w:rPr>
        <w:t>the</w:t>
      </w:r>
      <w:r w:rsidR="00323402" w:rsidRPr="00294018">
        <w:rPr>
          <w:rFonts w:eastAsia="Calibri"/>
          <w:bCs/>
          <w:spacing w:val="2"/>
        </w:rPr>
        <w:t xml:space="preserve"> retail sales of goods and services at current prices reached an </w:t>
      </w:r>
      <w:r w:rsidR="00FE5AEA" w:rsidRPr="00294018">
        <w:rPr>
          <w:rFonts w:eastAsia="Calibri"/>
          <w:bCs/>
          <w:spacing w:val="2"/>
        </w:rPr>
        <w:t xml:space="preserve">estimated </w:t>
      </w:r>
      <w:r w:rsidR="00FE5AEA" w:rsidRPr="00294018">
        <w:rPr>
          <w:spacing w:val="2"/>
        </w:rPr>
        <w:t>3,185.0</w:t>
      </w:r>
      <w:r w:rsidR="00323402" w:rsidRPr="00294018">
        <w:rPr>
          <w:spacing w:val="2"/>
        </w:rPr>
        <w:t xml:space="preserve"> </w:t>
      </w:r>
      <w:r w:rsidR="00FE5AEA" w:rsidRPr="00294018">
        <w:rPr>
          <w:rFonts w:eastAsia="Calibri"/>
          <w:bCs/>
          <w:spacing w:val="2"/>
        </w:rPr>
        <w:t>trillion ND</w:t>
      </w:r>
      <w:r w:rsidR="00323402" w:rsidRPr="00294018">
        <w:rPr>
          <w:rFonts w:eastAsia="Calibri"/>
          <w:bCs/>
          <w:spacing w:val="2"/>
        </w:rPr>
        <w:t>, marking an</w:t>
      </w:r>
      <w:r w:rsidR="00323402" w:rsidRPr="00294018">
        <w:rPr>
          <w:spacing w:val="2"/>
        </w:rPr>
        <w:t xml:space="preserve"> 11.2% </w:t>
      </w:r>
      <w:r w:rsidR="00323402" w:rsidRPr="00294018">
        <w:rPr>
          <w:rFonts w:eastAsia="Calibri"/>
          <w:bCs/>
          <w:spacing w:val="2"/>
        </w:rPr>
        <w:t>expansion compared to the same period last year</w:t>
      </w:r>
      <w:r w:rsidR="00CC2E6F" w:rsidRPr="00294018">
        <w:rPr>
          <w:iCs/>
          <w:color w:val="000000" w:themeColor="text1"/>
        </w:rPr>
        <w:t>.</w:t>
      </w:r>
      <w:r w:rsidRPr="00294018">
        <w:rPr>
          <w:iCs/>
          <w:color w:val="000000" w:themeColor="text1"/>
        </w:rPr>
        <w:t xml:space="preserve"> </w:t>
      </w:r>
      <w:r w:rsidR="00CC2E6F" w:rsidRPr="00294018">
        <w:rPr>
          <w:rFonts w:eastAsia="Calibri"/>
          <w:bCs/>
          <w:spacing w:val="2"/>
        </w:rPr>
        <w:t xml:space="preserve">Excluding </w:t>
      </w:r>
      <w:r w:rsidRPr="00294018">
        <w:rPr>
          <w:rFonts w:eastAsia="Calibri"/>
          <w:bCs/>
          <w:spacing w:val="2"/>
        </w:rPr>
        <w:t>the price factor</w:t>
      </w:r>
      <w:r w:rsidR="00FE5AEA" w:rsidRPr="00294018">
        <w:rPr>
          <w:rFonts w:eastAsia="Calibri"/>
          <w:bCs/>
          <w:spacing w:val="2"/>
        </w:rPr>
        <w:t>,</w:t>
      </w:r>
      <w:r w:rsidR="00323402" w:rsidRPr="00294018">
        <w:rPr>
          <w:rFonts w:eastAsia="Calibri"/>
          <w:bCs/>
          <w:spacing w:val="2"/>
        </w:rPr>
        <w:t xml:space="preserve"> the growth rate stood at 6.1%, compared to a 7.2% increase documented during the corresponding five-month window in </w:t>
      </w:r>
      <w:r w:rsidR="00323402" w:rsidRPr="00294018">
        <w:rPr>
          <w:spacing w:val="2"/>
        </w:rPr>
        <w:t>2025</w:t>
      </w:r>
      <w:r w:rsidR="00323402" w:rsidRPr="00294018">
        <w:rPr>
          <w:rFonts w:eastAsia="Calibri"/>
          <w:bCs/>
          <w:spacing w:val="2"/>
        </w:rPr>
        <w:t>.</w:t>
      </w:r>
    </w:p>
    <w:p w14:paraId="4AA44256" w14:textId="77777777" w:rsidR="003F393F" w:rsidRPr="00294018" w:rsidRDefault="003F393F" w:rsidP="003F393F">
      <w:pPr>
        <w:spacing w:before="120" w:after="120"/>
        <w:jc w:val="center"/>
        <w:rPr>
          <w:rFonts w:ascii="Arial" w:hAnsi="Arial" w:cs="Arial"/>
          <w:b/>
          <w:bCs/>
          <w:color w:val="000000" w:themeColor="text1"/>
          <w:sz w:val="24"/>
          <w:szCs w:val="24"/>
        </w:rPr>
      </w:pPr>
    </w:p>
    <w:p w14:paraId="1A91C4CC" w14:textId="77777777" w:rsidR="003F393F" w:rsidRPr="00294018" w:rsidRDefault="003F393F" w:rsidP="003F393F">
      <w:pPr>
        <w:spacing w:before="120" w:after="120"/>
        <w:jc w:val="center"/>
        <w:rPr>
          <w:rFonts w:ascii="Arial" w:hAnsi="Arial" w:cs="Arial"/>
          <w:b/>
          <w:bCs/>
          <w:color w:val="000000" w:themeColor="text1"/>
          <w:sz w:val="24"/>
          <w:szCs w:val="24"/>
        </w:rPr>
      </w:pPr>
    </w:p>
    <w:p w14:paraId="65377AA2" w14:textId="1D9F3998" w:rsidR="003F393F" w:rsidRPr="00294018" w:rsidRDefault="003F393F" w:rsidP="003F393F">
      <w:pPr>
        <w:spacing w:before="120" w:after="120"/>
        <w:jc w:val="center"/>
        <w:rPr>
          <w:rFonts w:ascii="Arial" w:hAnsi="Arial" w:cs="Arial"/>
          <w:b/>
          <w:bCs/>
          <w:color w:val="000000" w:themeColor="text1"/>
          <w:sz w:val="24"/>
          <w:szCs w:val="24"/>
        </w:rPr>
      </w:pPr>
      <w:r w:rsidRPr="00294018">
        <w:rPr>
          <w:rFonts w:ascii="Arial" w:hAnsi="Arial" w:cs="Arial"/>
          <w:b/>
          <w:bCs/>
          <w:color w:val="000000" w:themeColor="text1"/>
          <w:sz w:val="24"/>
          <w:szCs w:val="24"/>
        </w:rPr>
        <w:t xml:space="preserve">Figure 10. </w:t>
      </w:r>
      <w:r w:rsidRPr="00294018">
        <w:rPr>
          <w:rFonts w:ascii="Arial" w:hAnsi="Arial" w:cs="Arial"/>
          <w:b/>
          <w:bCs/>
          <w:sz w:val="24"/>
          <w:szCs w:val="24"/>
        </w:rPr>
        <w:t xml:space="preserve">Retail sales of goods and services at current prices </w:t>
      </w:r>
      <w:r w:rsidRPr="00294018">
        <w:rPr>
          <w:rFonts w:ascii="Arial" w:hAnsi="Arial" w:cs="Arial"/>
          <w:b/>
          <w:bCs/>
          <w:sz w:val="24"/>
          <w:szCs w:val="24"/>
        </w:rPr>
        <w:br/>
        <w:t>in the first five months of 2022-2026</w:t>
      </w:r>
    </w:p>
    <w:p w14:paraId="1C687F5B" w14:textId="4117F6D9" w:rsidR="003F393F" w:rsidRPr="00294018" w:rsidRDefault="003F393F" w:rsidP="003F393F">
      <w:pPr>
        <w:spacing w:after="120"/>
        <w:jc w:val="center"/>
        <w:rPr>
          <w:iCs/>
          <w:color w:val="EE0000"/>
        </w:rPr>
      </w:pPr>
      <w:r w:rsidRPr="00294018">
        <w:rPr>
          <w:iCs/>
          <w:color w:val="000000" w:themeColor="text1"/>
        </w:rPr>
        <w:t xml:space="preserve"> </w:t>
      </w:r>
      <w:r w:rsidR="001C3A06" w:rsidRPr="00294018">
        <w:rPr>
          <w:noProof/>
        </w:rPr>
        <w:drawing>
          <wp:inline distT="0" distB="0" distL="0" distR="0" wp14:anchorId="4F65CBE2" wp14:editId="647A383D">
            <wp:extent cx="4382190" cy="2608028"/>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405274" cy="2621766"/>
                    </a:xfrm>
                    <a:prstGeom prst="rect">
                      <a:avLst/>
                    </a:prstGeom>
                  </pic:spPr>
                </pic:pic>
              </a:graphicData>
            </a:graphic>
          </wp:inline>
        </w:drawing>
      </w:r>
    </w:p>
    <w:p w14:paraId="6FEA8C1D" w14:textId="136CBC35" w:rsidR="003F393F" w:rsidRPr="00294018" w:rsidRDefault="003F393F" w:rsidP="003F393F">
      <w:pPr>
        <w:spacing w:before="120" w:after="120" w:line="259" w:lineRule="auto"/>
        <w:ind w:firstLine="720"/>
        <w:jc w:val="both"/>
        <w:rPr>
          <w:iCs/>
          <w:color w:val="000000" w:themeColor="text1"/>
        </w:rPr>
      </w:pPr>
      <w:r w:rsidRPr="00294018">
        <w:rPr>
          <w:iCs/>
          <w:color w:val="000000" w:themeColor="text1"/>
        </w:rPr>
        <w:lastRenderedPageBreak/>
        <w:t xml:space="preserve">The retail sales of goods in five months of 2026 were estimated at 2,418.1 </w:t>
      </w:r>
      <w:r w:rsidRPr="00294018">
        <w:rPr>
          <w:bCs/>
          <w:spacing w:val="-2"/>
        </w:rPr>
        <w:t>trillion VND</w:t>
      </w:r>
      <w:r w:rsidRPr="00294018">
        <w:rPr>
          <w:iCs/>
          <w:color w:val="000000" w:themeColor="text1"/>
        </w:rPr>
        <w:t xml:space="preserve">, </w:t>
      </w:r>
      <w:r w:rsidRPr="00294018">
        <w:rPr>
          <w:bCs/>
          <w:spacing w:val="-2"/>
        </w:rPr>
        <w:t>accounting for</w:t>
      </w:r>
      <w:r w:rsidRPr="00294018">
        <w:rPr>
          <w:iCs/>
          <w:color w:val="000000" w:themeColor="text1"/>
        </w:rPr>
        <w:t xml:space="preserve"> 75.9% </w:t>
      </w:r>
      <w:r w:rsidRPr="00294018">
        <w:rPr>
          <w:bCs/>
          <w:spacing w:val="-2"/>
        </w:rPr>
        <w:t>of the total and increasing by</w:t>
      </w:r>
      <w:r w:rsidRPr="00294018">
        <w:rPr>
          <w:iCs/>
          <w:color w:val="000000" w:themeColor="text1"/>
        </w:rPr>
        <w:t xml:space="preserve"> 11.1% </w:t>
      </w:r>
      <w:r w:rsidRPr="00294018">
        <w:rPr>
          <w:bCs/>
          <w:spacing w:val="-2"/>
        </w:rPr>
        <w:t>year-on-year</w:t>
      </w:r>
      <w:r w:rsidRPr="00294018">
        <w:rPr>
          <w:iCs/>
          <w:color w:val="000000" w:themeColor="text1"/>
        </w:rPr>
        <w:t xml:space="preserve">. </w:t>
      </w:r>
      <w:r w:rsidRPr="00294018">
        <w:rPr>
          <w:bCs/>
        </w:rPr>
        <w:t>Of which</w:t>
      </w:r>
      <w:r w:rsidRPr="00294018">
        <w:rPr>
          <w:bCs/>
          <w:shd w:val="clear" w:color="auto" w:fill="FFFFFF"/>
        </w:rPr>
        <w:t>, turnover from</w:t>
      </w:r>
      <w:r w:rsidRPr="00294018">
        <w:rPr>
          <w:iCs/>
          <w:color w:val="000000" w:themeColor="text1"/>
        </w:rPr>
        <w:t xml:space="preserve"> </w:t>
      </w:r>
      <w:r w:rsidR="0021361B" w:rsidRPr="00294018">
        <w:rPr>
          <w:iCs/>
          <w:color w:val="000000" w:themeColor="text1"/>
        </w:rPr>
        <w:t>P</w:t>
      </w:r>
      <w:r w:rsidRPr="00294018">
        <w:rPr>
          <w:iCs/>
          <w:color w:val="000000" w:themeColor="text1"/>
        </w:rPr>
        <w:t xml:space="preserve">etrolimex </w:t>
      </w:r>
      <w:r w:rsidRPr="00294018">
        <w:rPr>
          <w:bCs/>
          <w:shd w:val="clear" w:color="auto" w:fill="FFFFFF"/>
        </w:rPr>
        <w:t>rose by</w:t>
      </w:r>
      <w:r w:rsidRPr="00294018">
        <w:rPr>
          <w:iCs/>
          <w:color w:val="000000" w:themeColor="text1"/>
        </w:rPr>
        <w:t xml:space="preserve"> 12.7% </w:t>
      </w:r>
      <w:r w:rsidRPr="00294018">
        <w:rPr>
          <w:bCs/>
          <w:shd w:val="clear" w:color="auto" w:fill="FFFFFF"/>
        </w:rPr>
        <w:t>year-on-year</w:t>
      </w:r>
      <w:r w:rsidRPr="00294018">
        <w:rPr>
          <w:iCs/>
          <w:color w:val="000000" w:themeColor="text1"/>
        </w:rPr>
        <w:t xml:space="preserve">; </w:t>
      </w:r>
      <w:r w:rsidRPr="00294018">
        <w:rPr>
          <w:bCs/>
          <w:shd w:val="clear" w:color="auto" w:fill="FFFFFF"/>
        </w:rPr>
        <w:t>garments rose by</w:t>
      </w:r>
      <w:r w:rsidRPr="00294018">
        <w:rPr>
          <w:iCs/>
          <w:color w:val="000000" w:themeColor="text1"/>
        </w:rPr>
        <w:t xml:space="preserve"> 10.2%; </w:t>
      </w:r>
      <w:r w:rsidRPr="00294018">
        <w:rPr>
          <w:bCs/>
          <w:iCs/>
          <w:spacing w:val="-4"/>
        </w:rPr>
        <w:t>food and foodstuffs increased by</w:t>
      </w:r>
      <w:r w:rsidRPr="00294018">
        <w:rPr>
          <w:iCs/>
          <w:color w:val="000000" w:themeColor="text1"/>
        </w:rPr>
        <w:t xml:space="preserve"> 9.6%; </w:t>
      </w:r>
      <w:r w:rsidRPr="00294018">
        <w:rPr>
          <w:bCs/>
        </w:rPr>
        <w:t>household appliances, tools and equipment increased by</w:t>
      </w:r>
      <w:r w:rsidRPr="00294018">
        <w:rPr>
          <w:iCs/>
          <w:color w:val="000000" w:themeColor="text1"/>
        </w:rPr>
        <w:t xml:space="preserve"> 7.5%; </w:t>
      </w:r>
      <w:r w:rsidRPr="00294018">
        <w:rPr>
          <w:bCs/>
          <w:iCs/>
          <w:spacing w:val="-4"/>
        </w:rPr>
        <w:t>cultural and educational items increased by</w:t>
      </w:r>
      <w:r w:rsidRPr="00294018">
        <w:rPr>
          <w:iCs/>
          <w:color w:val="000000" w:themeColor="text1"/>
        </w:rPr>
        <w:t xml:space="preserve"> 5.6% and </w:t>
      </w:r>
      <w:r w:rsidRPr="00294018">
        <w:rPr>
          <w:iCs/>
          <w:spacing w:val="-2"/>
        </w:rPr>
        <w:t>other services</w:t>
      </w:r>
      <w:r w:rsidRPr="00294018">
        <w:rPr>
          <w:iCs/>
          <w:color w:val="000000" w:themeColor="text1"/>
        </w:rPr>
        <w:t xml:space="preserve"> </w:t>
      </w:r>
      <w:r w:rsidRPr="00294018">
        <w:rPr>
          <w:bCs/>
          <w:iCs/>
          <w:spacing w:val="-4"/>
        </w:rPr>
        <w:t>increased by</w:t>
      </w:r>
      <w:r w:rsidRPr="00294018">
        <w:rPr>
          <w:iCs/>
          <w:color w:val="000000" w:themeColor="text1"/>
        </w:rPr>
        <w:t xml:space="preserve"> 17.6%. </w:t>
      </w:r>
      <w:r w:rsidRPr="00294018">
        <w:rPr>
          <w:bCs/>
        </w:rPr>
        <w:t>Retail sales of goods in</w:t>
      </w:r>
      <w:r w:rsidRPr="00294018">
        <w:rPr>
          <w:bCs/>
          <w:shd w:val="clear" w:color="auto" w:fill="FFFFFF"/>
        </w:rPr>
        <w:t xml:space="preserve"> five months of 2026 </w:t>
      </w:r>
      <w:r w:rsidRPr="00294018">
        <w:rPr>
          <w:bCs/>
        </w:rPr>
        <w:t>of some localities saw a year-on-year increase including</w:t>
      </w:r>
      <w:r w:rsidRPr="00294018">
        <w:rPr>
          <w:iCs/>
          <w:color w:val="000000" w:themeColor="text1"/>
        </w:rPr>
        <w:t xml:space="preserve"> Quang Ninh (+12.9%); Da Nang (+12.7%); </w:t>
      </w:r>
      <w:r w:rsidRPr="00294018">
        <w:rPr>
          <w:bCs/>
          <w:color w:val="000000" w:themeColor="text1"/>
        </w:rPr>
        <w:t>Dong Nai (+11.4%); Can Tho (+11.2%); Ha Noi (+11.1%); Ho Chi Minh City (+10.9%).</w:t>
      </w:r>
    </w:p>
    <w:p w14:paraId="140E2E5F" w14:textId="79A88638" w:rsidR="003F393F" w:rsidRPr="00294018" w:rsidRDefault="003F393F" w:rsidP="003F393F">
      <w:pPr>
        <w:spacing w:before="120" w:after="120" w:line="259" w:lineRule="auto"/>
        <w:ind w:firstLine="720"/>
        <w:jc w:val="both"/>
        <w:rPr>
          <w:rFonts w:eastAsia="Calibri"/>
          <w:iCs/>
          <w:color w:val="000000" w:themeColor="text1"/>
        </w:rPr>
      </w:pPr>
      <w:r w:rsidRPr="00294018">
        <w:rPr>
          <w:iCs/>
          <w:color w:val="000000" w:themeColor="text1"/>
        </w:rPr>
        <w:t xml:space="preserve">The turnover from accommodation and food service activities in the five months of 2026 were estimated at 400.4 </w:t>
      </w:r>
      <w:r w:rsidRPr="00294018">
        <w:rPr>
          <w:bCs/>
          <w:shd w:val="clear" w:color="auto" w:fill="FFFFFF"/>
        </w:rPr>
        <w:t>trillion VND</w:t>
      </w:r>
      <w:r w:rsidRPr="00294018">
        <w:rPr>
          <w:iCs/>
          <w:color w:val="000000" w:themeColor="text1"/>
        </w:rPr>
        <w:t xml:space="preserve">, </w:t>
      </w:r>
      <w:r w:rsidRPr="00294018">
        <w:rPr>
          <w:bCs/>
          <w:shd w:val="clear" w:color="auto" w:fill="FFFFFF"/>
        </w:rPr>
        <w:t>accounting for</w:t>
      </w:r>
      <w:r w:rsidR="0021361B" w:rsidRPr="00294018">
        <w:rPr>
          <w:iCs/>
          <w:color w:val="000000" w:themeColor="text1"/>
        </w:rPr>
        <w:t xml:space="preserve"> 12.</w:t>
      </w:r>
      <w:r w:rsidRPr="00294018">
        <w:rPr>
          <w:iCs/>
          <w:color w:val="000000" w:themeColor="text1"/>
        </w:rPr>
        <w:t xml:space="preserve">6% of the total turnover and increasing by 13.3% </w:t>
      </w:r>
      <w:r w:rsidRPr="00294018">
        <w:rPr>
          <w:bCs/>
          <w:shd w:val="clear" w:color="auto" w:fill="FFFFFF"/>
        </w:rPr>
        <w:t>over the same period last year</w:t>
      </w:r>
      <w:r w:rsidRPr="00294018">
        <w:rPr>
          <w:iCs/>
          <w:color w:val="000000" w:themeColor="text1"/>
        </w:rPr>
        <w:t xml:space="preserve">. </w:t>
      </w:r>
      <w:r w:rsidRPr="00294018">
        <w:t>In comparison to the same period last year, the turnover in five months of 2026</w:t>
      </w:r>
      <w:r w:rsidRPr="00294018">
        <w:rPr>
          <w:bCs/>
          <w:spacing w:val="-2"/>
        </w:rPr>
        <w:t xml:space="preserve"> </w:t>
      </w:r>
      <w:r w:rsidRPr="00294018">
        <w:t>in some localities experienced an increase as follows</w:t>
      </w:r>
      <w:r w:rsidRPr="00294018">
        <w:rPr>
          <w:iCs/>
          <w:color w:val="000000" w:themeColor="text1"/>
        </w:rPr>
        <w:t xml:space="preserve">: An Giang (+24.4%); Ninh Binh (+19.2%); </w:t>
      </w:r>
      <w:r w:rsidRPr="00294018">
        <w:rPr>
          <w:rFonts w:eastAsia="Calibri"/>
          <w:iCs/>
          <w:color w:val="000000" w:themeColor="text1"/>
        </w:rPr>
        <w:t>Da Nang (+18.9%); Hue (+18.6%); Quang Ninh (+18.5%); Hai Phong (+14.6%); Can Tho (+13.1%); Ho Chi Minh City (+10.3%); Ha Noi (+9,2%).</w:t>
      </w:r>
    </w:p>
    <w:p w14:paraId="7F15B379" w14:textId="77777777" w:rsidR="003F393F" w:rsidRPr="00294018" w:rsidRDefault="003F393F" w:rsidP="003F393F">
      <w:pPr>
        <w:spacing w:before="120" w:after="120" w:line="259" w:lineRule="auto"/>
        <w:ind w:firstLine="720"/>
        <w:jc w:val="both"/>
        <w:rPr>
          <w:color w:val="000000" w:themeColor="text1"/>
        </w:rPr>
      </w:pPr>
      <w:r w:rsidRPr="00294018">
        <w:rPr>
          <w:iCs/>
          <w:color w:val="000000" w:themeColor="text1"/>
        </w:rPr>
        <w:t xml:space="preserve">The turnover of travelling in the five months of 2026 was estimated at 40.6 </w:t>
      </w:r>
      <w:r w:rsidRPr="00294018">
        <w:rPr>
          <w:bCs/>
          <w:spacing w:val="-2"/>
          <w:shd w:val="clear" w:color="auto" w:fill="FFFFFF"/>
        </w:rPr>
        <w:t>trillion VND</w:t>
      </w:r>
      <w:r w:rsidRPr="00294018">
        <w:rPr>
          <w:iCs/>
          <w:color w:val="000000" w:themeColor="text1"/>
        </w:rPr>
        <w:t xml:space="preserve">, </w:t>
      </w:r>
      <w:r w:rsidRPr="00294018">
        <w:rPr>
          <w:bCs/>
          <w:spacing w:val="-2"/>
          <w:shd w:val="clear" w:color="auto" w:fill="FFFFFF"/>
        </w:rPr>
        <w:t>accounting for</w:t>
      </w:r>
      <w:r w:rsidRPr="00294018">
        <w:rPr>
          <w:iCs/>
          <w:color w:val="000000" w:themeColor="text1"/>
        </w:rPr>
        <w:t xml:space="preserve"> 1.3% </w:t>
      </w:r>
      <w:r w:rsidRPr="00294018">
        <w:rPr>
          <w:bCs/>
          <w:spacing w:val="-2"/>
          <w:shd w:val="clear" w:color="auto" w:fill="FFFFFF"/>
        </w:rPr>
        <w:t xml:space="preserve">of the total and </w:t>
      </w:r>
      <w:r w:rsidRPr="00294018">
        <w:rPr>
          <w:bCs/>
          <w:spacing w:val="-6"/>
        </w:rPr>
        <w:t>a year-on-year growth of</w:t>
      </w:r>
      <w:r w:rsidRPr="00294018">
        <w:rPr>
          <w:iCs/>
          <w:color w:val="000000" w:themeColor="text1"/>
        </w:rPr>
        <w:t xml:space="preserve"> 12.2% </w:t>
      </w:r>
      <w:r w:rsidRPr="00294018">
        <w:t>supported by a combination of optimized visa policies, effective promotion and stimulus campaigns, and improving tourism service quality, which attracted both domestic and international visitors</w:t>
      </w:r>
      <w:r w:rsidRPr="00294018">
        <w:rPr>
          <w:iCs/>
          <w:color w:val="000000" w:themeColor="text1"/>
        </w:rPr>
        <w:t xml:space="preserve">. </w:t>
      </w:r>
      <w:r w:rsidRPr="00294018">
        <w:rPr>
          <w:bCs/>
          <w:shd w:val="clear" w:color="auto" w:fill="FFFFFF"/>
        </w:rPr>
        <w:t xml:space="preserve">Some localities recorded a high year-on-year increase in turnover in </w:t>
      </w:r>
      <w:r w:rsidRPr="00294018">
        <w:rPr>
          <w:bCs/>
          <w:iCs/>
        </w:rPr>
        <w:t>five months of 2026</w:t>
      </w:r>
      <w:r w:rsidRPr="00294018">
        <w:rPr>
          <w:bCs/>
          <w:shd w:val="clear" w:color="auto" w:fill="FFFFFF"/>
        </w:rPr>
        <w:t>, including</w:t>
      </w:r>
      <w:r w:rsidRPr="00294018">
        <w:rPr>
          <w:iCs/>
          <w:color w:val="000000" w:themeColor="text1"/>
        </w:rPr>
        <w:t xml:space="preserve"> Khanh Hoa (+33.8%); Quang Ninh (+25.4%); Quang Ngai (+23.3%); Hue (+18.7%); </w:t>
      </w:r>
      <w:r w:rsidRPr="00294018">
        <w:rPr>
          <w:color w:val="000000" w:themeColor="text1"/>
        </w:rPr>
        <w:t>Hai Phong (+15.6%); Ha Noi (+12.5%); Ho Chi Minh City (+8.2%).</w:t>
      </w:r>
    </w:p>
    <w:p w14:paraId="7E93154D" w14:textId="2ED8273D" w:rsidR="003F393F" w:rsidRPr="00294018" w:rsidRDefault="003F393F" w:rsidP="003F393F">
      <w:pPr>
        <w:spacing w:before="120" w:after="120" w:line="259" w:lineRule="auto"/>
        <w:ind w:firstLine="720"/>
        <w:jc w:val="both"/>
        <w:rPr>
          <w:rFonts w:eastAsia="Calibri"/>
          <w:color w:val="000000" w:themeColor="text1"/>
        </w:rPr>
      </w:pPr>
      <w:r w:rsidRPr="00294018">
        <w:rPr>
          <w:iCs/>
          <w:color w:val="000000" w:themeColor="text1"/>
        </w:rPr>
        <w:t xml:space="preserve">The turnover of other services in the five months of 2026 was estimated at 325.9 </w:t>
      </w:r>
      <w:r w:rsidRPr="00294018">
        <w:t>trillion VND</w:t>
      </w:r>
      <w:r w:rsidRPr="00294018">
        <w:rPr>
          <w:iCs/>
          <w:color w:val="000000" w:themeColor="text1"/>
        </w:rPr>
        <w:t xml:space="preserve">, </w:t>
      </w:r>
      <w:r w:rsidRPr="00294018">
        <w:t>accounting for</w:t>
      </w:r>
      <w:r w:rsidRPr="00294018">
        <w:rPr>
          <w:iCs/>
          <w:color w:val="000000" w:themeColor="text1"/>
        </w:rPr>
        <w:t xml:space="preserve"> 10.2% </w:t>
      </w:r>
      <w:r w:rsidRPr="00294018">
        <w:t>of the gross and increasing by</w:t>
      </w:r>
      <w:r w:rsidRPr="00294018">
        <w:rPr>
          <w:iCs/>
          <w:color w:val="000000" w:themeColor="text1"/>
        </w:rPr>
        <w:t xml:space="preserve"> 9.1% </w:t>
      </w:r>
      <w:r w:rsidRPr="00294018">
        <w:t>year-on-year</w:t>
      </w:r>
      <w:r w:rsidRPr="00294018">
        <w:rPr>
          <w:iCs/>
          <w:color w:val="000000" w:themeColor="text1"/>
        </w:rPr>
        <w:t xml:space="preserve">. Specifically, the turnover increase in five months of 2026 in some localities was as follows: </w:t>
      </w:r>
      <w:r w:rsidR="0021361B" w:rsidRPr="00294018">
        <w:rPr>
          <w:rFonts w:eastAsia="Calibri"/>
          <w:color w:val="000000" w:themeColor="text1"/>
        </w:rPr>
        <w:t>Hue (+28.</w:t>
      </w:r>
      <w:r w:rsidRPr="00294018">
        <w:rPr>
          <w:rFonts w:eastAsia="Calibri"/>
          <w:color w:val="000000" w:themeColor="text1"/>
        </w:rPr>
        <w:t>2%); Quang Ninh (+25.2%); Bac Ninh (+19</w:t>
      </w:r>
      <w:r w:rsidR="0021361B" w:rsidRPr="00294018">
        <w:rPr>
          <w:rFonts w:eastAsia="Calibri"/>
          <w:color w:val="000000" w:themeColor="text1"/>
        </w:rPr>
        <w:t>.</w:t>
      </w:r>
      <w:r w:rsidRPr="00294018">
        <w:rPr>
          <w:rFonts w:eastAsia="Calibri"/>
          <w:color w:val="000000" w:themeColor="text1"/>
        </w:rPr>
        <w:t>3%); Ninh Binh (+17</w:t>
      </w:r>
      <w:r w:rsidR="0021361B" w:rsidRPr="00294018">
        <w:rPr>
          <w:rFonts w:eastAsia="Calibri"/>
          <w:color w:val="000000" w:themeColor="text1"/>
        </w:rPr>
        <w:t>.</w:t>
      </w:r>
      <w:r w:rsidRPr="00294018">
        <w:rPr>
          <w:rFonts w:eastAsia="Calibri"/>
          <w:color w:val="000000" w:themeColor="text1"/>
        </w:rPr>
        <w:t>3%); Ha Noi (+9.1%); Ho Cho Minh City (+5.7%).</w:t>
      </w:r>
    </w:p>
    <w:p w14:paraId="6BA51DFC" w14:textId="77777777" w:rsidR="003F393F" w:rsidRPr="00294018" w:rsidRDefault="003F393F" w:rsidP="003F393F">
      <w:pPr>
        <w:tabs>
          <w:tab w:val="num" w:pos="0"/>
          <w:tab w:val="left" w:pos="9475"/>
        </w:tabs>
        <w:spacing w:after="120" w:line="259" w:lineRule="auto"/>
        <w:ind w:right="119" w:firstLine="720"/>
        <w:jc w:val="both"/>
        <w:rPr>
          <w:b/>
          <w:bCs/>
          <w:i/>
          <w:iCs/>
          <w:color w:val="000000" w:themeColor="text1"/>
        </w:rPr>
      </w:pPr>
      <w:r w:rsidRPr="00294018">
        <w:rPr>
          <w:b/>
          <w:bCs/>
          <w:i/>
          <w:iCs/>
          <w:color w:val="000000" w:themeColor="text1"/>
        </w:rPr>
        <w:t xml:space="preserve">b) </w:t>
      </w:r>
      <w:r w:rsidRPr="00294018">
        <w:rPr>
          <w:rStyle w:val="Strong"/>
          <w:rFonts w:eastAsia="Calibri"/>
          <w:i/>
          <w:iCs/>
        </w:rPr>
        <w:t>Export and import of goods</w:t>
      </w:r>
      <w:r w:rsidRPr="00294018">
        <w:rPr>
          <w:b/>
          <w:bCs/>
          <w:i/>
          <w:iCs/>
          <w:color w:val="000000" w:themeColor="text1"/>
          <w:vertAlign w:val="superscript"/>
        </w:rPr>
        <w:footnoteReference w:id="19"/>
      </w:r>
      <w:r w:rsidRPr="00294018">
        <w:rPr>
          <w:b/>
          <w:bCs/>
          <w:i/>
          <w:iCs/>
          <w:color w:val="000000" w:themeColor="text1"/>
        </w:rPr>
        <w:t xml:space="preserve"> </w:t>
      </w:r>
    </w:p>
    <w:p w14:paraId="387C45DB" w14:textId="77777777" w:rsidR="003F393F" w:rsidRPr="00294018" w:rsidRDefault="003F393F" w:rsidP="003F393F">
      <w:pPr>
        <w:tabs>
          <w:tab w:val="num" w:pos="0"/>
          <w:tab w:val="left" w:pos="9475"/>
        </w:tabs>
        <w:spacing w:after="120" w:line="259" w:lineRule="auto"/>
        <w:ind w:right="119" w:firstLine="720"/>
        <w:jc w:val="both"/>
        <w:rPr>
          <w:rFonts w:ascii="Times New Roman Italic" w:hAnsi="Times New Roman Italic"/>
          <w:i/>
          <w:color w:val="000000" w:themeColor="text1"/>
        </w:rPr>
      </w:pPr>
      <w:r w:rsidRPr="00294018">
        <w:rPr>
          <w:i/>
          <w:color w:val="000000" w:themeColor="text1"/>
        </w:rPr>
        <w:t xml:space="preserve">In May, </w:t>
      </w:r>
      <w:bookmarkStart w:id="2" w:name="_Hlk213089801"/>
      <w:r w:rsidRPr="00294018">
        <w:rPr>
          <w:rFonts w:ascii="Times New Roman Italic" w:hAnsi="Times New Roman Italic"/>
          <w:i/>
          <w:spacing w:val="-4"/>
        </w:rPr>
        <w:t>the total export and import turnover of goods</w:t>
      </w:r>
      <w:r w:rsidRPr="00294018">
        <w:rPr>
          <w:b/>
          <w:bCs/>
          <w:i/>
          <w:iCs/>
          <w:color w:val="000000" w:themeColor="text1"/>
          <w:vertAlign w:val="superscript"/>
        </w:rPr>
        <w:footnoteReference w:id="20"/>
      </w:r>
      <w:bookmarkEnd w:id="2"/>
      <w:r w:rsidRPr="00294018">
        <w:rPr>
          <w:i/>
          <w:color w:val="000000" w:themeColor="text1"/>
        </w:rPr>
        <w:t xml:space="preserve"> reached 99.07 billion USD, </w:t>
      </w:r>
      <w:r w:rsidRPr="00294018">
        <w:rPr>
          <w:i/>
        </w:rPr>
        <w:t>a month-on-month increase of</w:t>
      </w:r>
      <w:r w:rsidRPr="00294018">
        <w:rPr>
          <w:i/>
          <w:color w:val="000000" w:themeColor="text1"/>
        </w:rPr>
        <w:t xml:space="preserve"> 3.2% and </w:t>
      </w:r>
      <w:r w:rsidRPr="00294018">
        <w:rPr>
          <w:i/>
        </w:rPr>
        <w:t>a year-on-year increase of</w:t>
      </w:r>
      <w:r w:rsidRPr="00294018">
        <w:rPr>
          <w:i/>
          <w:color w:val="000000" w:themeColor="text1"/>
        </w:rPr>
        <w:t xml:space="preserve"> 25.8%. </w:t>
      </w:r>
      <w:r w:rsidRPr="00294018">
        <w:rPr>
          <w:rFonts w:ascii="Times New Roman Italic" w:hAnsi="Times New Roman Italic"/>
          <w:i/>
          <w:spacing w:val="-4"/>
        </w:rPr>
        <w:t>Generally, in the five months of 2026, the total export and import turnover of goods reached</w:t>
      </w:r>
      <w:r w:rsidRPr="00294018">
        <w:rPr>
          <w:i/>
          <w:color w:val="000000" w:themeColor="text1"/>
        </w:rPr>
        <w:t xml:space="preserve"> 445.12 billion USD, </w:t>
      </w:r>
      <w:r w:rsidRPr="00294018">
        <w:rPr>
          <w:rFonts w:ascii="Times New Roman Italic" w:hAnsi="Times New Roman Italic"/>
          <w:i/>
          <w:spacing w:val="-4"/>
        </w:rPr>
        <w:t>going up</w:t>
      </w:r>
      <w:r w:rsidRPr="00294018">
        <w:rPr>
          <w:i/>
          <w:color w:val="000000" w:themeColor="text1"/>
        </w:rPr>
        <w:t xml:space="preserve"> 25.0% </w:t>
      </w:r>
      <w:r w:rsidRPr="00294018">
        <w:rPr>
          <w:rFonts w:ascii="Times New Roman Italic" w:hAnsi="Times New Roman Italic"/>
          <w:i/>
          <w:spacing w:val="-4"/>
        </w:rPr>
        <w:t>over that in the same period last year</w:t>
      </w:r>
      <w:r w:rsidRPr="00294018">
        <w:rPr>
          <w:i/>
          <w:color w:val="000000" w:themeColor="text1"/>
        </w:rPr>
        <w:t xml:space="preserve">, </w:t>
      </w:r>
      <w:r w:rsidRPr="00294018">
        <w:rPr>
          <w:rFonts w:ascii="Times New Roman Italic" w:hAnsi="Times New Roman Italic"/>
          <w:i/>
          <w:spacing w:val="-4"/>
        </w:rPr>
        <w:t>of which exports increased by</w:t>
      </w:r>
      <w:r w:rsidRPr="00294018">
        <w:rPr>
          <w:i/>
          <w:color w:val="000000" w:themeColor="text1"/>
        </w:rPr>
        <w:t xml:space="preserve"> 19.5%; </w:t>
      </w:r>
      <w:r w:rsidRPr="00294018">
        <w:rPr>
          <w:rFonts w:ascii="Times New Roman Italic" w:hAnsi="Times New Roman Italic"/>
          <w:i/>
          <w:spacing w:val="-4"/>
        </w:rPr>
        <w:t xml:space="preserve">and imports </w:t>
      </w:r>
      <w:r w:rsidRPr="00294018">
        <w:rPr>
          <w:rFonts w:ascii="Times New Roman Italic" w:hAnsi="Times New Roman Italic"/>
          <w:i/>
          <w:spacing w:val="-4"/>
        </w:rPr>
        <w:lastRenderedPageBreak/>
        <w:t>increased by</w:t>
      </w:r>
      <w:r w:rsidRPr="00294018">
        <w:rPr>
          <w:i/>
          <w:color w:val="000000" w:themeColor="text1"/>
        </w:rPr>
        <w:t xml:space="preserve"> 30.8%</w:t>
      </w:r>
      <w:bookmarkStart w:id="3" w:name="_Hlk213089840"/>
      <w:r w:rsidRPr="00294018">
        <w:rPr>
          <w:i/>
          <w:color w:val="000000" w:themeColor="text1"/>
          <w:vertAlign w:val="superscript"/>
        </w:rPr>
        <w:footnoteReference w:id="21"/>
      </w:r>
      <w:bookmarkEnd w:id="3"/>
      <w:r w:rsidRPr="00294018">
        <w:rPr>
          <w:i/>
          <w:color w:val="000000" w:themeColor="text1"/>
        </w:rPr>
        <w:t>.</w:t>
      </w:r>
      <w:r w:rsidRPr="00294018">
        <w:rPr>
          <w:rFonts w:ascii="Times New Roman Italic" w:hAnsi="Times New Roman Italic"/>
          <w:i/>
          <w:iCs/>
          <w:spacing w:val="-4"/>
        </w:rPr>
        <w:t>The trade balance of goods recorded a trade deficit of</w:t>
      </w:r>
      <w:r w:rsidRPr="00294018">
        <w:rPr>
          <w:i/>
          <w:iCs/>
          <w:color w:val="000000" w:themeColor="text1"/>
        </w:rPr>
        <w:t xml:space="preserve"> 13.80 billion USD.</w:t>
      </w:r>
      <w:r w:rsidRPr="00294018">
        <w:rPr>
          <w:rFonts w:ascii="Times New Roman Italic" w:hAnsi="Times New Roman Italic"/>
          <w:i/>
          <w:color w:val="000000" w:themeColor="text1"/>
        </w:rPr>
        <w:t xml:space="preserve"> </w:t>
      </w:r>
    </w:p>
    <w:p w14:paraId="1290BF66" w14:textId="77777777" w:rsidR="003F393F" w:rsidRPr="00294018" w:rsidRDefault="003F393F" w:rsidP="003F393F">
      <w:pPr>
        <w:tabs>
          <w:tab w:val="num" w:pos="0"/>
          <w:tab w:val="left" w:pos="9475"/>
        </w:tabs>
        <w:spacing w:before="40" w:after="40" w:line="288" w:lineRule="auto"/>
        <w:ind w:right="119"/>
        <w:jc w:val="center"/>
        <w:rPr>
          <w:rFonts w:ascii="Arial" w:hAnsi="Arial" w:cs="Arial"/>
          <w:b/>
          <w:bCs/>
          <w:color w:val="000000" w:themeColor="text1"/>
          <w:sz w:val="24"/>
          <w:szCs w:val="24"/>
        </w:rPr>
      </w:pPr>
      <w:r w:rsidRPr="00294018">
        <w:rPr>
          <w:rFonts w:ascii="Arial" w:hAnsi="Arial" w:cs="Arial"/>
          <w:b/>
          <w:bCs/>
          <w:color w:val="000000" w:themeColor="text1"/>
          <w:sz w:val="24"/>
          <w:szCs w:val="24"/>
        </w:rPr>
        <w:t xml:space="preserve">Figure 11. </w:t>
      </w:r>
      <w:r w:rsidRPr="00294018">
        <w:rPr>
          <w:rFonts w:ascii="Arial" w:hAnsi="Arial" w:cs="Arial"/>
          <w:b/>
          <w:bCs/>
          <w:sz w:val="24"/>
          <w:szCs w:val="24"/>
        </w:rPr>
        <w:t>Export and import of goods in the five months of 2026</w:t>
      </w:r>
    </w:p>
    <w:p w14:paraId="560B618D" w14:textId="77777777" w:rsidR="003F393F" w:rsidRPr="00294018" w:rsidRDefault="003F393F" w:rsidP="003F393F">
      <w:pPr>
        <w:tabs>
          <w:tab w:val="num" w:pos="0"/>
          <w:tab w:val="left" w:pos="9475"/>
        </w:tabs>
        <w:spacing w:before="40" w:after="40" w:line="288" w:lineRule="auto"/>
        <w:ind w:right="119"/>
        <w:jc w:val="both"/>
        <w:rPr>
          <w:rFonts w:ascii="Arial" w:hAnsi="Arial" w:cs="Arial"/>
          <w:color w:val="000000" w:themeColor="text1"/>
          <w:sz w:val="24"/>
          <w:szCs w:val="24"/>
        </w:rPr>
      </w:pPr>
      <w:r w:rsidRPr="00294018">
        <w:rPr>
          <w:rFonts w:ascii="Arial" w:hAnsi="Arial" w:cs="Arial"/>
          <w:noProof/>
          <w:color w:val="000000" w:themeColor="text1"/>
          <w:sz w:val="24"/>
          <w:szCs w:val="24"/>
        </w:rPr>
        <w:drawing>
          <wp:inline distT="0" distB="0" distL="0" distR="0" wp14:anchorId="4651A8B5" wp14:editId="45C2045E">
            <wp:extent cx="5699760" cy="19500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99760" cy="1950085"/>
                    </a:xfrm>
                    <a:prstGeom prst="rect">
                      <a:avLst/>
                    </a:prstGeom>
                  </pic:spPr>
                </pic:pic>
              </a:graphicData>
            </a:graphic>
          </wp:inline>
        </w:drawing>
      </w:r>
    </w:p>
    <w:p w14:paraId="0DAA5297" w14:textId="77777777" w:rsidR="003F393F" w:rsidRPr="00294018" w:rsidRDefault="003F393F" w:rsidP="003F393F">
      <w:pPr>
        <w:tabs>
          <w:tab w:val="num" w:pos="0"/>
          <w:tab w:val="left" w:pos="9475"/>
        </w:tabs>
        <w:spacing w:after="120" w:line="264" w:lineRule="auto"/>
        <w:ind w:right="119" w:firstLine="720"/>
        <w:jc w:val="both"/>
        <w:rPr>
          <w:b/>
          <w:bCs/>
          <w:i/>
          <w:iCs/>
          <w:color w:val="000000" w:themeColor="text1"/>
        </w:rPr>
      </w:pPr>
      <w:r w:rsidRPr="00294018">
        <w:rPr>
          <w:b/>
          <w:bCs/>
          <w:i/>
          <w:iCs/>
        </w:rPr>
        <w:t>Export of goods</w:t>
      </w:r>
      <w:r w:rsidRPr="00294018">
        <w:rPr>
          <w:b/>
          <w:bCs/>
          <w:i/>
          <w:iCs/>
          <w:color w:val="000000" w:themeColor="text1"/>
        </w:rPr>
        <w:t xml:space="preserve"> </w:t>
      </w:r>
    </w:p>
    <w:p w14:paraId="5A2F21B4" w14:textId="77777777" w:rsidR="003F393F" w:rsidRPr="00294018" w:rsidRDefault="003F393F" w:rsidP="003F393F">
      <w:pPr>
        <w:tabs>
          <w:tab w:val="num" w:pos="0"/>
          <w:tab w:val="left" w:pos="9475"/>
        </w:tabs>
        <w:spacing w:after="120" w:line="264" w:lineRule="auto"/>
        <w:ind w:right="119" w:firstLine="720"/>
        <w:jc w:val="both"/>
        <w:rPr>
          <w:rFonts w:asciiTheme="minorHAnsi" w:eastAsiaTheme="minorHAnsi" w:hAnsiTheme="minorHAnsi" w:cstheme="minorBidi"/>
          <w:color w:val="000000" w:themeColor="text1"/>
          <w:sz w:val="22"/>
          <w:szCs w:val="22"/>
        </w:rPr>
      </w:pPr>
      <w:r w:rsidRPr="00294018">
        <w:rPr>
          <w:bCs/>
        </w:rPr>
        <w:t>The export turnover of goods in</w:t>
      </w:r>
      <w:r w:rsidRPr="00294018">
        <w:rPr>
          <w:bCs/>
          <w:color w:val="000000" w:themeColor="text1"/>
        </w:rPr>
        <w:t xml:space="preserve"> April 2026 </w:t>
      </w:r>
      <w:r w:rsidRPr="00294018">
        <w:rPr>
          <w:bCs/>
        </w:rPr>
        <w:t>preliminarily reached</w:t>
      </w:r>
      <w:r w:rsidRPr="00294018">
        <w:rPr>
          <w:bCs/>
          <w:color w:val="000000" w:themeColor="text1"/>
        </w:rPr>
        <w:t xml:space="preserve"> 45.99 billion USD</w:t>
      </w:r>
      <w:bookmarkStart w:id="4" w:name="_Hlk213089853"/>
      <w:r w:rsidRPr="00294018">
        <w:rPr>
          <w:bCs/>
          <w:color w:val="000000" w:themeColor="text1"/>
          <w:vertAlign w:val="superscript"/>
        </w:rPr>
        <w:footnoteReference w:id="22"/>
      </w:r>
      <w:bookmarkEnd w:id="4"/>
      <w:r w:rsidRPr="00294018">
        <w:rPr>
          <w:bCs/>
          <w:color w:val="000000" w:themeColor="text1"/>
        </w:rPr>
        <w:t>.</w:t>
      </w:r>
    </w:p>
    <w:p w14:paraId="5D2CCEBB" w14:textId="77777777" w:rsidR="003F393F" w:rsidRPr="00294018" w:rsidRDefault="003F393F" w:rsidP="003F393F">
      <w:pPr>
        <w:tabs>
          <w:tab w:val="num" w:pos="0"/>
          <w:tab w:val="left" w:pos="9475"/>
        </w:tabs>
        <w:spacing w:after="120" w:line="264" w:lineRule="auto"/>
        <w:ind w:right="119" w:firstLine="720"/>
        <w:jc w:val="both"/>
        <w:rPr>
          <w:bCs/>
          <w:color w:val="000000" w:themeColor="text1"/>
        </w:rPr>
      </w:pPr>
      <w:r w:rsidRPr="00294018">
        <w:rPr>
          <w:bCs/>
        </w:rPr>
        <w:t xml:space="preserve">In May 2026, the </w:t>
      </w:r>
      <w:r w:rsidRPr="00294018">
        <w:t>export turnover of goods</w:t>
      </w:r>
      <w:r w:rsidRPr="00294018">
        <w:rPr>
          <w:bCs/>
        </w:rPr>
        <w:t xml:space="preserve"> amounted to</w:t>
      </w:r>
      <w:r w:rsidRPr="00294018">
        <w:rPr>
          <w:bCs/>
          <w:color w:val="000000" w:themeColor="text1"/>
        </w:rPr>
        <w:t xml:space="preserve"> 46.93 billion USD, </w:t>
      </w:r>
      <w:r w:rsidRPr="00294018">
        <w:rPr>
          <w:bCs/>
        </w:rPr>
        <w:t>increasing by</w:t>
      </w:r>
      <w:r w:rsidRPr="00294018">
        <w:rPr>
          <w:bCs/>
          <w:color w:val="000000" w:themeColor="text1"/>
        </w:rPr>
        <w:t xml:space="preserve"> 2.1% </w:t>
      </w:r>
      <w:r w:rsidRPr="00294018">
        <w:rPr>
          <w:bCs/>
        </w:rPr>
        <w:t>over the previous month</w:t>
      </w:r>
      <w:r w:rsidRPr="00294018">
        <w:rPr>
          <w:bCs/>
          <w:color w:val="000000" w:themeColor="text1"/>
        </w:rPr>
        <w:t xml:space="preserve">. </w:t>
      </w:r>
      <w:r w:rsidRPr="00294018">
        <w:rPr>
          <w:bCs/>
        </w:rPr>
        <w:t>Of which, the domestic economic sector reached</w:t>
      </w:r>
      <w:r w:rsidRPr="00294018">
        <w:rPr>
          <w:bCs/>
          <w:color w:val="000000" w:themeColor="text1"/>
        </w:rPr>
        <w:t xml:space="preserve"> 9.05 billion USD, going down 4.1%; </w:t>
      </w:r>
      <w:r w:rsidRPr="00294018">
        <w:rPr>
          <w:bCs/>
        </w:rPr>
        <w:t>while the FDI sector (including crude oil) reached</w:t>
      </w:r>
      <w:r w:rsidRPr="00294018">
        <w:rPr>
          <w:bCs/>
          <w:color w:val="000000" w:themeColor="text1"/>
        </w:rPr>
        <w:t xml:space="preserve"> 37.88 billion USD, going up 3.6%. </w:t>
      </w:r>
      <w:r w:rsidRPr="00294018">
        <w:rPr>
          <w:bCs/>
        </w:rPr>
        <w:t>Compared to the same period last year, the export turnover of goods in</w:t>
      </w:r>
      <w:r w:rsidRPr="00294018">
        <w:rPr>
          <w:bCs/>
          <w:color w:val="000000" w:themeColor="text1"/>
        </w:rPr>
        <w:t xml:space="preserve"> May </w:t>
      </w:r>
      <w:r w:rsidRPr="00294018">
        <w:rPr>
          <w:bCs/>
        </w:rPr>
        <w:t>increased by</w:t>
      </w:r>
      <w:r w:rsidRPr="00294018">
        <w:rPr>
          <w:bCs/>
          <w:color w:val="000000" w:themeColor="text1"/>
        </w:rPr>
        <w:t xml:space="preserve"> 18.0%, </w:t>
      </w:r>
      <w:r w:rsidRPr="00294018">
        <w:rPr>
          <w:bCs/>
        </w:rPr>
        <w:t>of which the domestic economic sector increased by</w:t>
      </w:r>
      <w:r w:rsidRPr="00294018">
        <w:rPr>
          <w:bCs/>
          <w:color w:val="000000" w:themeColor="text1"/>
        </w:rPr>
        <w:t xml:space="preserve"> 3.5%, </w:t>
      </w:r>
      <w:r w:rsidRPr="00294018">
        <w:rPr>
          <w:bCs/>
        </w:rPr>
        <w:t>the FDI sector (including crude oil) rose by</w:t>
      </w:r>
      <w:r w:rsidRPr="00294018">
        <w:rPr>
          <w:bCs/>
          <w:color w:val="000000" w:themeColor="text1"/>
        </w:rPr>
        <w:t xml:space="preserve"> 22.0%.</w:t>
      </w:r>
    </w:p>
    <w:p w14:paraId="1B03BBB2" w14:textId="77777777" w:rsidR="003F393F" w:rsidRPr="00294018" w:rsidRDefault="003F393F" w:rsidP="003F393F">
      <w:pPr>
        <w:tabs>
          <w:tab w:val="num" w:pos="0"/>
          <w:tab w:val="left" w:pos="9475"/>
        </w:tabs>
        <w:spacing w:after="120" w:line="264" w:lineRule="auto"/>
        <w:ind w:right="119" w:firstLine="720"/>
        <w:jc w:val="both"/>
        <w:rPr>
          <w:bCs/>
          <w:color w:val="000000" w:themeColor="text1"/>
        </w:rPr>
      </w:pPr>
      <w:r w:rsidRPr="00294018">
        <w:rPr>
          <w:bCs/>
          <w:spacing w:val="-4"/>
        </w:rPr>
        <w:t>Overall, in the five months of</w:t>
      </w:r>
      <w:r w:rsidRPr="00294018">
        <w:rPr>
          <w:bCs/>
          <w:color w:val="000000" w:themeColor="text1"/>
        </w:rPr>
        <w:t xml:space="preserve"> 2026, the </w:t>
      </w:r>
      <w:r w:rsidRPr="00294018">
        <w:rPr>
          <w:bCs/>
        </w:rPr>
        <w:t>export turnover reached</w:t>
      </w:r>
      <w:r w:rsidRPr="00294018">
        <w:rPr>
          <w:bCs/>
          <w:color w:val="000000" w:themeColor="text1"/>
        </w:rPr>
        <w:t xml:space="preserve"> 215.66 billion USD, </w:t>
      </w:r>
      <w:r w:rsidRPr="00294018">
        <w:rPr>
          <w:bCs/>
        </w:rPr>
        <w:t>increasing by</w:t>
      </w:r>
      <w:r w:rsidRPr="00294018">
        <w:rPr>
          <w:bCs/>
          <w:color w:val="000000" w:themeColor="text1"/>
        </w:rPr>
        <w:t xml:space="preserve"> 19.5% </w:t>
      </w:r>
      <w:r w:rsidRPr="00294018">
        <w:rPr>
          <w:bCs/>
        </w:rPr>
        <w:t>over the same period last year</w:t>
      </w:r>
      <w:r w:rsidRPr="00294018">
        <w:rPr>
          <w:bCs/>
          <w:color w:val="000000" w:themeColor="text1"/>
        </w:rPr>
        <w:t xml:space="preserve">. </w:t>
      </w:r>
      <w:r w:rsidRPr="00294018">
        <w:rPr>
          <w:bCs/>
        </w:rPr>
        <w:t>Of which, the domestic economic sector reached</w:t>
      </w:r>
      <w:r w:rsidRPr="00294018">
        <w:rPr>
          <w:bCs/>
          <w:color w:val="000000" w:themeColor="text1"/>
        </w:rPr>
        <w:t xml:space="preserve"> 43.5 billion USD, rose by 2.5%, </w:t>
      </w:r>
      <w:r w:rsidRPr="00294018">
        <w:rPr>
          <w:bCs/>
        </w:rPr>
        <w:t>accounting for</w:t>
      </w:r>
      <w:r w:rsidRPr="00294018">
        <w:rPr>
          <w:bCs/>
          <w:color w:val="000000" w:themeColor="text1"/>
        </w:rPr>
        <w:t xml:space="preserve"> 20.2% </w:t>
      </w:r>
      <w:r w:rsidRPr="00294018">
        <w:rPr>
          <w:bCs/>
        </w:rPr>
        <w:t xml:space="preserve">of the total export </w:t>
      </w:r>
      <w:r w:rsidRPr="00294018">
        <w:rPr>
          <w:iCs/>
        </w:rPr>
        <w:t>turnover</w:t>
      </w:r>
      <w:r w:rsidRPr="00294018">
        <w:rPr>
          <w:bCs/>
          <w:color w:val="000000" w:themeColor="text1"/>
        </w:rPr>
        <w:t xml:space="preserve">; </w:t>
      </w:r>
      <w:r w:rsidRPr="00294018">
        <w:rPr>
          <w:bCs/>
        </w:rPr>
        <w:t xml:space="preserve">the FDI sector (including crude oil) </w:t>
      </w:r>
      <w:r w:rsidRPr="00294018">
        <w:rPr>
          <w:iCs/>
        </w:rPr>
        <w:t>attained</w:t>
      </w:r>
      <w:r w:rsidRPr="00294018">
        <w:rPr>
          <w:bCs/>
          <w:color w:val="000000" w:themeColor="text1"/>
        </w:rPr>
        <w:t xml:space="preserve"> 172.16 billion USD, went up by 24.7%, </w:t>
      </w:r>
      <w:r w:rsidRPr="00294018">
        <w:rPr>
          <w:bCs/>
        </w:rPr>
        <w:t>accounting for</w:t>
      </w:r>
      <w:r w:rsidRPr="00294018">
        <w:rPr>
          <w:bCs/>
          <w:color w:val="000000" w:themeColor="text1"/>
        </w:rPr>
        <w:t xml:space="preserve"> 79.8%.</w:t>
      </w:r>
    </w:p>
    <w:p w14:paraId="79445462" w14:textId="77777777" w:rsidR="003F393F" w:rsidRPr="00294018" w:rsidRDefault="003F393F" w:rsidP="003F393F">
      <w:pPr>
        <w:tabs>
          <w:tab w:val="num" w:pos="0"/>
          <w:tab w:val="left" w:pos="9475"/>
        </w:tabs>
        <w:spacing w:after="120" w:line="264" w:lineRule="auto"/>
        <w:ind w:right="119" w:firstLine="720"/>
        <w:jc w:val="both"/>
        <w:rPr>
          <w:color w:val="000000" w:themeColor="text1"/>
          <w:spacing w:val="-4"/>
        </w:rPr>
      </w:pPr>
      <w:r w:rsidRPr="00294018">
        <w:rPr>
          <w:bCs/>
          <w:color w:val="000000" w:themeColor="text1"/>
        </w:rPr>
        <w:t xml:space="preserve">In the five months of 2026, </w:t>
      </w:r>
      <w:r w:rsidRPr="00294018">
        <w:rPr>
          <w:bCs/>
        </w:rPr>
        <w:t>there were</w:t>
      </w:r>
      <w:r w:rsidRPr="00294018">
        <w:rPr>
          <w:bCs/>
          <w:color w:val="000000" w:themeColor="text1"/>
        </w:rPr>
        <w:t xml:space="preserve"> 26 </w:t>
      </w:r>
      <w:r w:rsidRPr="00294018">
        <w:t>export items</w:t>
      </w:r>
      <w:r w:rsidRPr="00294018">
        <w:rPr>
          <w:bCs/>
        </w:rPr>
        <w:t xml:space="preserve"> with a value exceeding 1 billion USD</w:t>
      </w:r>
      <w:r w:rsidRPr="00294018">
        <w:rPr>
          <w:bCs/>
          <w:color w:val="000000" w:themeColor="text1"/>
        </w:rPr>
        <w:t xml:space="preserve">, </w:t>
      </w:r>
      <w:r w:rsidRPr="00294018">
        <w:rPr>
          <w:bCs/>
        </w:rPr>
        <w:t>accounting for</w:t>
      </w:r>
      <w:r w:rsidRPr="00294018">
        <w:rPr>
          <w:bCs/>
          <w:color w:val="000000" w:themeColor="text1"/>
        </w:rPr>
        <w:t xml:space="preserve"> 90.7% </w:t>
      </w:r>
      <w:r w:rsidRPr="00294018">
        <w:rPr>
          <w:bCs/>
        </w:rPr>
        <w:t xml:space="preserve">of the total export </w:t>
      </w:r>
      <w:r w:rsidRPr="00294018">
        <w:t>turnover</w:t>
      </w:r>
      <w:r w:rsidRPr="00294018">
        <w:rPr>
          <w:bCs/>
        </w:rPr>
        <w:t xml:space="preserve"> (</w:t>
      </w:r>
      <w:r w:rsidRPr="00294018">
        <w:t>including</w:t>
      </w:r>
      <w:r w:rsidRPr="00294018">
        <w:rPr>
          <w:bCs/>
          <w:color w:val="000000" w:themeColor="text1"/>
        </w:rPr>
        <w:t xml:space="preserve"> 7 </w:t>
      </w:r>
      <w:r w:rsidRPr="00294018">
        <w:rPr>
          <w:bCs/>
        </w:rPr>
        <w:t>items recorded export values of over 5 billion USD, accounting for</w:t>
      </w:r>
      <w:r w:rsidRPr="00294018">
        <w:rPr>
          <w:bCs/>
          <w:color w:val="000000" w:themeColor="text1"/>
        </w:rPr>
        <w:t xml:space="preserve"> 69.3</w:t>
      </w:r>
      <w:r w:rsidRPr="00294018">
        <w:rPr>
          <w:color w:val="000000" w:themeColor="text1"/>
          <w:spacing w:val="-4"/>
        </w:rPr>
        <w:t>%).</w:t>
      </w:r>
    </w:p>
    <w:p w14:paraId="4D6620B2" w14:textId="77777777" w:rsidR="003F393F" w:rsidRPr="00294018" w:rsidRDefault="003F393F" w:rsidP="003F393F">
      <w:pPr>
        <w:tabs>
          <w:tab w:val="num" w:pos="0"/>
          <w:tab w:val="left" w:pos="9475"/>
        </w:tabs>
        <w:spacing w:before="40" w:after="40" w:line="288" w:lineRule="auto"/>
        <w:ind w:right="119" w:firstLine="567"/>
        <w:jc w:val="center"/>
        <w:rPr>
          <w:rFonts w:ascii="Arial" w:hAnsi="Arial" w:cs="Arial"/>
          <w:b/>
          <w:color w:val="000000" w:themeColor="text1"/>
          <w:spacing w:val="-2"/>
          <w:sz w:val="24"/>
          <w:szCs w:val="20"/>
        </w:rPr>
      </w:pPr>
    </w:p>
    <w:p w14:paraId="6201387C" w14:textId="77777777" w:rsidR="003F393F" w:rsidRPr="00294018" w:rsidRDefault="003F393F" w:rsidP="003F393F">
      <w:pPr>
        <w:tabs>
          <w:tab w:val="num" w:pos="0"/>
          <w:tab w:val="left" w:pos="9475"/>
        </w:tabs>
        <w:spacing w:before="40" w:after="40" w:line="288" w:lineRule="auto"/>
        <w:ind w:right="119" w:firstLine="567"/>
        <w:jc w:val="center"/>
        <w:rPr>
          <w:rFonts w:asciiTheme="minorHAnsi" w:eastAsiaTheme="minorHAnsi" w:hAnsiTheme="minorHAnsi" w:cstheme="minorBidi"/>
          <w:color w:val="000000" w:themeColor="text1"/>
          <w:sz w:val="22"/>
          <w:szCs w:val="22"/>
        </w:rPr>
      </w:pPr>
      <w:r w:rsidRPr="00294018">
        <w:rPr>
          <w:rFonts w:ascii="Arial" w:hAnsi="Arial" w:cs="Arial"/>
          <w:b/>
          <w:color w:val="000000" w:themeColor="text1"/>
          <w:spacing w:val="-2"/>
          <w:sz w:val="24"/>
          <w:szCs w:val="20"/>
        </w:rPr>
        <w:t xml:space="preserve">Table 4. </w:t>
      </w:r>
      <w:r w:rsidRPr="00294018">
        <w:rPr>
          <w:rFonts w:ascii="Arial" w:hAnsi="Arial" w:cs="Arial"/>
          <w:b/>
          <w:spacing w:val="-2"/>
          <w:sz w:val="24"/>
          <w:szCs w:val="20"/>
        </w:rPr>
        <w:t>Value of selected export products in the five months of</w:t>
      </w:r>
      <w:r w:rsidRPr="00294018">
        <w:rPr>
          <w:rFonts w:ascii="Arial" w:hAnsi="Arial" w:cs="Arial"/>
          <w:b/>
          <w:bCs/>
          <w:color w:val="000000" w:themeColor="text1"/>
          <w:sz w:val="24"/>
          <w:szCs w:val="24"/>
        </w:rPr>
        <w:t xml:space="preserve"> 2026</w:t>
      </w:r>
    </w:p>
    <w:tbl>
      <w:tblPr>
        <w:tblStyle w:val="TableGrid11"/>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3F393F" w:rsidRPr="00294018" w14:paraId="3D400FFA" w14:textId="77777777" w:rsidTr="0060017F">
        <w:tc>
          <w:tcPr>
            <w:tcW w:w="4395" w:type="dxa"/>
          </w:tcPr>
          <w:p w14:paraId="63E0D57F" w14:textId="77777777" w:rsidR="003F393F" w:rsidRPr="00294018" w:rsidRDefault="003F393F" w:rsidP="0060017F">
            <w:pPr>
              <w:tabs>
                <w:tab w:val="num" w:pos="0"/>
                <w:tab w:val="left" w:pos="9475"/>
              </w:tabs>
              <w:spacing w:before="40" w:after="40"/>
              <w:ind w:right="119" w:firstLine="567"/>
              <w:jc w:val="both"/>
              <w:rPr>
                <w:rFonts w:ascii="Arial" w:hAnsi="Arial" w:cs="Arial"/>
                <w:b/>
                <w:bCs/>
                <w:i/>
                <w:iCs/>
                <w:color w:val="000000" w:themeColor="text1"/>
                <w:sz w:val="20"/>
                <w:szCs w:val="20"/>
                <w:lang w:val="en-US"/>
              </w:rPr>
            </w:pPr>
            <w:r w:rsidRPr="00294018">
              <w:rPr>
                <w:rFonts w:ascii="Arial" w:hAnsi="Arial" w:cs="Arial"/>
                <w:b/>
                <w:bCs/>
                <w:i/>
                <w:iCs/>
                <w:color w:val="000000" w:themeColor="text1"/>
                <w:sz w:val="20"/>
                <w:szCs w:val="20"/>
                <w:lang w:val="en-US"/>
              </w:rPr>
              <w:t xml:space="preserve"> </w:t>
            </w:r>
          </w:p>
        </w:tc>
        <w:tc>
          <w:tcPr>
            <w:tcW w:w="1842" w:type="dxa"/>
            <w:tcBorders>
              <w:top w:val="single" w:sz="4" w:space="0" w:color="auto"/>
              <w:bottom w:val="single" w:sz="4" w:space="0" w:color="auto"/>
            </w:tcBorders>
          </w:tcPr>
          <w:p w14:paraId="436B4AEB" w14:textId="77777777" w:rsidR="003F393F" w:rsidRPr="00294018" w:rsidRDefault="003F393F" w:rsidP="0060017F">
            <w:pPr>
              <w:spacing w:before="40" w:after="40"/>
              <w:jc w:val="center"/>
              <w:rPr>
                <w:rFonts w:ascii="Arial" w:hAnsi="Arial" w:cs="Arial"/>
                <w:color w:val="000000" w:themeColor="text1"/>
                <w:sz w:val="20"/>
                <w:szCs w:val="20"/>
                <w:lang w:val="en-US"/>
              </w:rPr>
            </w:pPr>
            <w:r w:rsidRPr="00294018">
              <w:rPr>
                <w:rFonts w:ascii="Arial" w:hAnsi="Arial" w:cs="Arial"/>
                <w:color w:val="000000" w:themeColor="text1"/>
                <w:sz w:val="20"/>
                <w:szCs w:val="20"/>
                <w:lang w:val="en-US"/>
              </w:rPr>
              <w:t xml:space="preserve">Value </w:t>
            </w:r>
          </w:p>
          <w:p w14:paraId="0625F4CA" w14:textId="77777777" w:rsidR="003F393F" w:rsidRPr="00294018" w:rsidRDefault="003F393F" w:rsidP="0060017F">
            <w:pPr>
              <w:spacing w:before="40" w:after="40"/>
              <w:jc w:val="center"/>
              <w:rPr>
                <w:rFonts w:ascii="Arial" w:hAnsi="Arial" w:cs="Arial"/>
                <w:b/>
                <w:bCs/>
                <w:i/>
                <w:iCs/>
                <w:color w:val="000000" w:themeColor="text1"/>
                <w:sz w:val="20"/>
                <w:szCs w:val="20"/>
                <w:lang w:val="en-US"/>
              </w:rPr>
            </w:pPr>
            <w:r w:rsidRPr="00294018">
              <w:rPr>
                <w:rFonts w:ascii="Arial" w:hAnsi="Arial" w:cs="Arial"/>
                <w:i/>
                <w:iCs/>
                <w:color w:val="000000" w:themeColor="text1"/>
                <w:sz w:val="20"/>
                <w:szCs w:val="20"/>
                <w:lang w:val="en-US"/>
              </w:rPr>
              <w:lastRenderedPageBreak/>
              <w:t>(Mill. USD)</w:t>
            </w:r>
          </w:p>
        </w:tc>
        <w:tc>
          <w:tcPr>
            <w:tcW w:w="2551" w:type="dxa"/>
            <w:tcBorders>
              <w:top w:val="single" w:sz="4" w:space="0" w:color="auto"/>
              <w:bottom w:val="single" w:sz="4" w:space="0" w:color="auto"/>
            </w:tcBorders>
            <w:vAlign w:val="center"/>
          </w:tcPr>
          <w:p w14:paraId="792C8D92" w14:textId="77777777" w:rsidR="003F393F" w:rsidRPr="00294018" w:rsidRDefault="003F393F" w:rsidP="0060017F">
            <w:pPr>
              <w:spacing w:before="40" w:after="40"/>
              <w:jc w:val="center"/>
              <w:rPr>
                <w:rFonts w:ascii="Arial" w:hAnsi="Arial" w:cs="Arial"/>
                <w:b/>
                <w:bCs/>
                <w:i/>
                <w:iCs/>
                <w:color w:val="000000" w:themeColor="text1"/>
                <w:sz w:val="20"/>
                <w:szCs w:val="20"/>
                <w:lang w:val="en-US"/>
              </w:rPr>
            </w:pPr>
            <w:r w:rsidRPr="00294018">
              <w:rPr>
                <w:rFonts w:ascii="Arial" w:hAnsi="Arial" w:cs="Arial"/>
                <w:sz w:val="20"/>
                <w:szCs w:val="20"/>
                <w:lang w:val="en-US"/>
              </w:rPr>
              <w:lastRenderedPageBreak/>
              <w:t>Growth rate Y-o-Y (%)</w:t>
            </w:r>
          </w:p>
        </w:tc>
      </w:tr>
      <w:tr w:rsidR="003F393F" w:rsidRPr="00294018" w14:paraId="1D7E0C2C" w14:textId="77777777" w:rsidTr="0060017F">
        <w:tc>
          <w:tcPr>
            <w:tcW w:w="4395" w:type="dxa"/>
            <w:vAlign w:val="bottom"/>
          </w:tcPr>
          <w:p w14:paraId="5DB1C010" w14:textId="77777777" w:rsidR="003F393F" w:rsidRPr="00294018" w:rsidRDefault="003F393F" w:rsidP="0060017F">
            <w:pPr>
              <w:spacing w:before="40" w:after="40"/>
              <w:ind w:firstLine="567"/>
              <w:jc w:val="both"/>
              <w:rPr>
                <w:rFonts w:ascii="Arial" w:hAnsi="Arial" w:cs="Arial"/>
                <w:b/>
                <w:bCs/>
                <w:color w:val="000000" w:themeColor="text1"/>
                <w:sz w:val="20"/>
                <w:szCs w:val="20"/>
                <w:lang w:val="en-US"/>
              </w:rPr>
            </w:pPr>
            <w:r w:rsidRPr="00294018">
              <w:rPr>
                <w:rFonts w:ascii="Arial" w:hAnsi="Arial" w:cs="Arial"/>
                <w:b/>
                <w:bCs/>
                <w:spacing w:val="-10"/>
                <w:sz w:val="20"/>
                <w:szCs w:val="20"/>
                <w:lang w:val="en-US"/>
              </w:rPr>
              <w:t>Products with a value of over 5 billion USD</w:t>
            </w:r>
          </w:p>
        </w:tc>
        <w:tc>
          <w:tcPr>
            <w:tcW w:w="1842" w:type="dxa"/>
            <w:tcBorders>
              <w:top w:val="single" w:sz="4" w:space="0" w:color="auto"/>
            </w:tcBorders>
          </w:tcPr>
          <w:p w14:paraId="07220247" w14:textId="77777777" w:rsidR="003F393F" w:rsidRPr="00294018" w:rsidRDefault="003F393F" w:rsidP="0060017F">
            <w:pPr>
              <w:tabs>
                <w:tab w:val="num" w:pos="0"/>
                <w:tab w:val="left" w:pos="9475"/>
              </w:tabs>
              <w:spacing w:before="40" w:after="40"/>
              <w:ind w:right="119" w:firstLine="567"/>
              <w:jc w:val="both"/>
              <w:rPr>
                <w:rFonts w:ascii="Arial" w:hAnsi="Arial" w:cs="Arial"/>
                <w:b/>
                <w:bCs/>
                <w:i/>
                <w:iCs/>
                <w:color w:val="000000" w:themeColor="text1"/>
                <w:sz w:val="20"/>
                <w:szCs w:val="20"/>
                <w:lang w:val="en-US"/>
              </w:rPr>
            </w:pPr>
          </w:p>
        </w:tc>
        <w:tc>
          <w:tcPr>
            <w:tcW w:w="2551" w:type="dxa"/>
            <w:tcBorders>
              <w:top w:val="single" w:sz="4" w:space="0" w:color="auto"/>
            </w:tcBorders>
          </w:tcPr>
          <w:p w14:paraId="3EBE16D0" w14:textId="77777777" w:rsidR="003F393F" w:rsidRPr="00294018" w:rsidRDefault="003F393F" w:rsidP="0060017F">
            <w:pPr>
              <w:tabs>
                <w:tab w:val="num" w:pos="0"/>
                <w:tab w:val="left" w:pos="9475"/>
              </w:tabs>
              <w:spacing w:before="40" w:after="40"/>
              <w:ind w:right="119" w:firstLine="567"/>
              <w:jc w:val="both"/>
              <w:rPr>
                <w:rFonts w:ascii="Arial" w:hAnsi="Arial" w:cs="Arial"/>
                <w:b/>
                <w:bCs/>
                <w:i/>
                <w:iCs/>
                <w:color w:val="000000" w:themeColor="text1"/>
                <w:sz w:val="20"/>
                <w:szCs w:val="20"/>
                <w:lang w:val="en-US"/>
              </w:rPr>
            </w:pPr>
          </w:p>
        </w:tc>
      </w:tr>
      <w:tr w:rsidR="003F393F" w:rsidRPr="00294018" w14:paraId="3775F509" w14:textId="77777777" w:rsidTr="0060017F">
        <w:tc>
          <w:tcPr>
            <w:tcW w:w="4395" w:type="dxa"/>
            <w:vAlign w:val="bottom"/>
          </w:tcPr>
          <w:p w14:paraId="07A5A8F6"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spacing w:val="-6"/>
                <w:sz w:val="20"/>
                <w:szCs w:val="20"/>
                <w:lang w:val="en-US"/>
              </w:rPr>
              <w:t>Electronic goods, computers and their parts</w:t>
            </w:r>
          </w:p>
        </w:tc>
        <w:tc>
          <w:tcPr>
            <w:tcW w:w="1842" w:type="dxa"/>
            <w:vAlign w:val="bottom"/>
          </w:tcPr>
          <w:p w14:paraId="794FA8F3"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56,187</w:t>
            </w:r>
          </w:p>
        </w:tc>
        <w:tc>
          <w:tcPr>
            <w:tcW w:w="2551" w:type="dxa"/>
            <w:vAlign w:val="bottom"/>
          </w:tcPr>
          <w:p w14:paraId="00116C57"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46.2</w:t>
            </w:r>
          </w:p>
        </w:tc>
      </w:tr>
      <w:tr w:rsidR="003F393F" w:rsidRPr="00294018" w14:paraId="041DF605" w14:textId="77777777" w:rsidTr="0060017F">
        <w:tc>
          <w:tcPr>
            <w:tcW w:w="4395" w:type="dxa"/>
            <w:vAlign w:val="bottom"/>
          </w:tcPr>
          <w:p w14:paraId="43463349"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sz w:val="20"/>
                <w:szCs w:val="20"/>
                <w:lang w:val="en-US"/>
              </w:rPr>
              <w:t>Machinery, instrument, accessory</w:t>
            </w:r>
          </w:p>
        </w:tc>
        <w:tc>
          <w:tcPr>
            <w:tcW w:w="1842" w:type="dxa"/>
            <w:vAlign w:val="bottom"/>
          </w:tcPr>
          <w:p w14:paraId="772A56E6"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26,971</w:t>
            </w:r>
          </w:p>
        </w:tc>
        <w:tc>
          <w:tcPr>
            <w:tcW w:w="2551" w:type="dxa"/>
            <w:vAlign w:val="bottom"/>
          </w:tcPr>
          <w:p w14:paraId="2E54BE86"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22.1</w:t>
            </w:r>
          </w:p>
        </w:tc>
      </w:tr>
      <w:tr w:rsidR="003F393F" w:rsidRPr="00294018" w14:paraId="59DB45A9" w14:textId="77777777" w:rsidTr="0060017F">
        <w:tc>
          <w:tcPr>
            <w:tcW w:w="4395" w:type="dxa"/>
            <w:vAlign w:val="bottom"/>
          </w:tcPr>
          <w:p w14:paraId="0C73E168"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sz w:val="20"/>
                <w:szCs w:val="20"/>
                <w:lang w:val="en-US"/>
              </w:rPr>
              <w:t>Phones all of kinds and their parts</w:t>
            </w:r>
          </w:p>
        </w:tc>
        <w:tc>
          <w:tcPr>
            <w:tcW w:w="1842" w:type="dxa"/>
            <w:vAlign w:val="bottom"/>
          </w:tcPr>
          <w:p w14:paraId="549B001D"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26,370</w:t>
            </w:r>
          </w:p>
        </w:tc>
        <w:tc>
          <w:tcPr>
            <w:tcW w:w="2551" w:type="dxa"/>
            <w:vAlign w:val="bottom"/>
          </w:tcPr>
          <w:p w14:paraId="59602E40"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17.7</w:t>
            </w:r>
          </w:p>
        </w:tc>
      </w:tr>
      <w:tr w:rsidR="003F393F" w:rsidRPr="00294018" w14:paraId="4FB0B806" w14:textId="77777777" w:rsidTr="0060017F">
        <w:tc>
          <w:tcPr>
            <w:tcW w:w="4395" w:type="dxa"/>
            <w:vAlign w:val="bottom"/>
          </w:tcPr>
          <w:p w14:paraId="4C0C3A43"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sz w:val="20"/>
                <w:szCs w:val="20"/>
                <w:lang w:val="en-US"/>
              </w:rPr>
              <w:t>Textiles and sewing products</w:t>
            </w:r>
          </w:p>
        </w:tc>
        <w:tc>
          <w:tcPr>
            <w:tcW w:w="1842" w:type="dxa"/>
            <w:vAlign w:val="bottom"/>
          </w:tcPr>
          <w:p w14:paraId="0C23FC54"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15,130</w:t>
            </w:r>
          </w:p>
        </w:tc>
        <w:tc>
          <w:tcPr>
            <w:tcW w:w="2551" w:type="dxa"/>
            <w:vAlign w:val="bottom"/>
          </w:tcPr>
          <w:p w14:paraId="5B93C9C7"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0.4</w:t>
            </w:r>
          </w:p>
        </w:tc>
      </w:tr>
      <w:tr w:rsidR="003F393F" w:rsidRPr="00294018" w14:paraId="0DE6FF68" w14:textId="77777777" w:rsidTr="0060017F">
        <w:tc>
          <w:tcPr>
            <w:tcW w:w="4395" w:type="dxa"/>
            <w:vAlign w:val="bottom"/>
          </w:tcPr>
          <w:p w14:paraId="4990AB20"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sz w:val="20"/>
                <w:szCs w:val="20"/>
                <w:lang w:val="en-US"/>
              </w:rPr>
              <w:t>Footwear</w:t>
            </w:r>
          </w:p>
        </w:tc>
        <w:tc>
          <w:tcPr>
            <w:tcW w:w="1842" w:type="dxa"/>
            <w:vAlign w:val="bottom"/>
          </w:tcPr>
          <w:p w14:paraId="4E01C882"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9,780</w:t>
            </w:r>
          </w:p>
        </w:tc>
        <w:tc>
          <w:tcPr>
            <w:tcW w:w="2551" w:type="dxa"/>
            <w:vAlign w:val="bottom"/>
          </w:tcPr>
          <w:p w14:paraId="357613EB"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0.2</w:t>
            </w:r>
          </w:p>
        </w:tc>
      </w:tr>
      <w:tr w:rsidR="003F393F" w:rsidRPr="00294018" w14:paraId="15D65015" w14:textId="77777777" w:rsidTr="0060017F">
        <w:tc>
          <w:tcPr>
            <w:tcW w:w="4395" w:type="dxa"/>
            <w:vAlign w:val="bottom"/>
          </w:tcPr>
          <w:p w14:paraId="71E0F4DF"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color w:val="000000" w:themeColor="text1"/>
                <w:sz w:val="20"/>
                <w:szCs w:val="20"/>
                <w:lang w:val="en-US"/>
              </w:rPr>
              <w:t>Means of transport and spare parts</w:t>
            </w:r>
          </w:p>
        </w:tc>
        <w:tc>
          <w:tcPr>
            <w:tcW w:w="1842" w:type="dxa"/>
            <w:vAlign w:val="bottom"/>
          </w:tcPr>
          <w:p w14:paraId="5E1F02C6"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7,987</w:t>
            </w:r>
          </w:p>
        </w:tc>
        <w:tc>
          <w:tcPr>
            <w:tcW w:w="2551" w:type="dxa"/>
            <w:vAlign w:val="bottom"/>
          </w:tcPr>
          <w:p w14:paraId="66BA5831"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17.1</w:t>
            </w:r>
          </w:p>
        </w:tc>
      </w:tr>
      <w:tr w:rsidR="003F393F" w:rsidRPr="00294018" w14:paraId="4DBCDDE2" w14:textId="77777777" w:rsidTr="0060017F">
        <w:tc>
          <w:tcPr>
            <w:tcW w:w="4395" w:type="dxa"/>
            <w:vAlign w:val="bottom"/>
          </w:tcPr>
          <w:p w14:paraId="59CAE7E8"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color w:val="000000" w:themeColor="text1"/>
                <w:sz w:val="20"/>
                <w:szCs w:val="20"/>
                <w:lang w:val="en-US"/>
              </w:rPr>
              <w:t>Wood and wood products</w:t>
            </w:r>
          </w:p>
        </w:tc>
        <w:tc>
          <w:tcPr>
            <w:tcW w:w="1842" w:type="dxa"/>
            <w:vAlign w:val="bottom"/>
          </w:tcPr>
          <w:p w14:paraId="582F848C"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7,020</w:t>
            </w:r>
          </w:p>
        </w:tc>
        <w:tc>
          <w:tcPr>
            <w:tcW w:w="2551" w:type="dxa"/>
            <w:vAlign w:val="bottom"/>
          </w:tcPr>
          <w:p w14:paraId="31FCE3D3"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2.9</w:t>
            </w:r>
          </w:p>
        </w:tc>
      </w:tr>
    </w:tbl>
    <w:p w14:paraId="619904D6" w14:textId="26B66AEC" w:rsidR="003F393F" w:rsidRPr="00294018" w:rsidRDefault="003F393F" w:rsidP="003F393F">
      <w:pPr>
        <w:tabs>
          <w:tab w:val="left" w:pos="9475"/>
        </w:tabs>
        <w:spacing w:before="40" w:after="40" w:line="288" w:lineRule="auto"/>
        <w:ind w:right="6"/>
        <w:jc w:val="both"/>
        <w:rPr>
          <w:b/>
          <w:bCs/>
          <w:i/>
          <w:iCs/>
          <w:color w:val="000000" w:themeColor="text1"/>
        </w:rPr>
      </w:pPr>
      <w:bookmarkStart w:id="5" w:name="_Hlk223342364"/>
      <w:r w:rsidRPr="00294018">
        <w:rPr>
          <w:noProof/>
          <w:color w:val="000000" w:themeColor="text1"/>
          <w:spacing w:val="-2"/>
        </w:rPr>
        <mc:AlternateContent>
          <mc:Choice Requires="wps">
            <w:drawing>
              <wp:anchor distT="0" distB="0" distL="114300" distR="114300" simplePos="0" relativeHeight="251666432" behindDoc="0" locked="0" layoutInCell="1" allowOverlap="1" wp14:anchorId="3F2E511B" wp14:editId="6EEA532B">
                <wp:simplePos x="0" y="0"/>
                <wp:positionH relativeFrom="column">
                  <wp:posOffset>204470</wp:posOffset>
                </wp:positionH>
                <wp:positionV relativeFrom="paragraph">
                  <wp:posOffset>76200</wp:posOffset>
                </wp:positionV>
                <wp:extent cx="3170555" cy="2641600"/>
                <wp:effectExtent l="0" t="0" r="0" b="63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0555" cy="2641600"/>
                        </a:xfrm>
                        <a:prstGeom prst="rect">
                          <a:avLst/>
                        </a:prstGeom>
                        <a:solidFill>
                          <a:srgbClr val="FFFFFF"/>
                        </a:solidFill>
                        <a:ln w="9525">
                          <a:noFill/>
                          <a:miter lim="800000"/>
                          <a:headEnd/>
                          <a:tailEnd/>
                        </a:ln>
                      </wps:spPr>
                      <wps:txbx>
                        <w:txbxContent>
                          <w:p w14:paraId="2CBA6B48" w14:textId="77777777" w:rsidR="00045DD9" w:rsidRDefault="00045DD9" w:rsidP="003F393F">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Pr>
                                <w:rFonts w:ascii="Arial" w:hAnsi="Arial" w:cs="Arial"/>
                                <w:b/>
                                <w:bCs/>
                                <w:sz w:val="24"/>
                                <w:szCs w:val="24"/>
                              </w:rPr>
                              <w:t>Structure of exported goods</w:t>
                            </w:r>
                          </w:p>
                          <w:p w14:paraId="06B2627B" w14:textId="77777777" w:rsidR="00045DD9" w:rsidRPr="00806D60" w:rsidRDefault="00045DD9" w:rsidP="003F393F">
                            <w:pPr>
                              <w:spacing w:after="120"/>
                              <w:jc w:val="center"/>
                              <w:rPr>
                                <w:rFonts w:asciiTheme="minorHAnsi" w:eastAsiaTheme="minorHAnsi" w:hAnsiTheme="minorHAnsi" w:cstheme="minorBidi"/>
                                <w:sz w:val="22"/>
                                <w:szCs w:val="22"/>
                              </w:rPr>
                            </w:pPr>
                            <w:r>
                              <w:rPr>
                                <w:rFonts w:ascii="Arial" w:hAnsi="Arial" w:cs="Arial"/>
                                <w:b/>
                                <w:bCs/>
                                <w:sz w:val="24"/>
                                <w:szCs w:val="24"/>
                              </w:rPr>
                              <w:t>in the five months of</w:t>
                            </w:r>
                            <w:r w:rsidRPr="006822A2">
                              <w:rPr>
                                <w:rFonts w:ascii="Arial" w:hAnsi="Arial" w:cs="Arial"/>
                                <w:b/>
                                <w:bCs/>
                                <w:sz w:val="24"/>
                                <w:szCs w:val="24"/>
                              </w:rPr>
                              <w:t xml:space="preserve"> 202</w:t>
                            </w:r>
                            <w:r>
                              <w:rPr>
                                <w:rFonts w:ascii="Arial" w:hAnsi="Arial" w:cs="Arial"/>
                                <w:b/>
                                <w:bCs/>
                                <w:sz w:val="24"/>
                                <w:szCs w:val="24"/>
                              </w:rPr>
                              <w:t>6</w:t>
                            </w:r>
                          </w:p>
                          <w:p w14:paraId="0478BA71" w14:textId="77777777" w:rsidR="00045DD9" w:rsidRPr="00271B83" w:rsidRDefault="00045DD9" w:rsidP="003F393F">
                            <w:pPr>
                              <w:spacing w:before="120" w:after="120"/>
                              <w:ind w:left="-142"/>
                              <w:jc w:val="center"/>
                              <w:rPr>
                                <w:rFonts w:ascii="Arial" w:hAnsi="Arial" w:cs="Arial"/>
                                <w:sz w:val="24"/>
                                <w:szCs w:val="24"/>
                              </w:rPr>
                            </w:pPr>
                            <w:r>
                              <w:rPr>
                                <w:noProof/>
                              </w:rPr>
                              <w:drawing>
                                <wp:inline distT="0" distB="0" distL="0" distR="0" wp14:anchorId="2695258B" wp14:editId="42CE0A95">
                                  <wp:extent cx="3218815" cy="1990564"/>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7668" cy="2082617"/>
                                          </a:xfrm>
                                          <a:prstGeom prst="rect">
                                            <a:avLst/>
                                          </a:prstGeom>
                                          <a:noFill/>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3F2E511B" id="_x0000_t202" coordsize="21600,21600" o:spt="202" path="m,l,21600r21600,l21600,xe">
                <v:stroke joinstyle="miter"/>
                <v:path gradientshapeok="t" o:connecttype="rect"/>
              </v:shapetype>
              <v:shape id="Text Box 2" o:spid="_x0000_s1026" type="#_x0000_t202" style="position:absolute;left:0;text-align:left;margin-left:16.1pt;margin-top:6pt;width:249.65pt;height:2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" stroked="f">
                <v:textbox inset="1mm,1mm,1mm,1mm">
                  <w:txbxContent>
                    <w:p w14:paraId="2CBA6B48" w14:textId="77777777" w:rsidR="00045DD9" w:rsidRDefault="00045DD9" w:rsidP="003F393F">
                      <w:pPr>
                        <w:spacing w:after="120"/>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12</w:t>
                      </w:r>
                      <w:r w:rsidRPr="006822A2">
                        <w:rPr>
                          <w:rFonts w:ascii="Arial" w:hAnsi="Arial" w:cs="Arial"/>
                          <w:b/>
                          <w:bCs/>
                          <w:sz w:val="24"/>
                          <w:szCs w:val="24"/>
                        </w:rPr>
                        <w:t xml:space="preserve">. </w:t>
                      </w:r>
                      <w:r>
                        <w:rPr>
                          <w:rFonts w:ascii="Arial" w:hAnsi="Arial" w:cs="Arial"/>
                          <w:b/>
                          <w:bCs/>
                          <w:sz w:val="24"/>
                          <w:szCs w:val="24"/>
                        </w:rPr>
                        <w:t>Structure of exported goods</w:t>
                      </w:r>
                    </w:p>
                    <w:p w14:paraId="06B2627B" w14:textId="77777777" w:rsidR="00045DD9" w:rsidRPr="00806D60" w:rsidRDefault="00045DD9" w:rsidP="003F393F">
                      <w:pPr>
                        <w:spacing w:after="120"/>
                        <w:jc w:val="center"/>
                        <w:rPr>
                          <w:rFonts w:asciiTheme="minorHAnsi" w:eastAsiaTheme="minorHAnsi" w:hAnsiTheme="minorHAnsi" w:cstheme="minorBidi"/>
                          <w:sz w:val="22"/>
                          <w:szCs w:val="22"/>
                        </w:rPr>
                      </w:pPr>
                      <w:r>
                        <w:rPr>
                          <w:rFonts w:ascii="Arial" w:hAnsi="Arial" w:cs="Arial"/>
                          <w:b/>
                          <w:bCs/>
                          <w:sz w:val="24"/>
                          <w:szCs w:val="24"/>
                        </w:rPr>
                        <w:t>in the five months of</w:t>
                      </w:r>
                      <w:r w:rsidRPr="006822A2">
                        <w:rPr>
                          <w:rFonts w:ascii="Arial" w:hAnsi="Arial" w:cs="Arial"/>
                          <w:b/>
                          <w:bCs/>
                          <w:sz w:val="24"/>
                          <w:szCs w:val="24"/>
                        </w:rPr>
                        <w:t xml:space="preserve"> 202</w:t>
                      </w:r>
                      <w:r>
                        <w:rPr>
                          <w:rFonts w:ascii="Arial" w:hAnsi="Arial" w:cs="Arial"/>
                          <w:b/>
                          <w:bCs/>
                          <w:sz w:val="24"/>
                          <w:szCs w:val="24"/>
                        </w:rPr>
                        <w:t>6</w:t>
                      </w:r>
                    </w:p>
                    <w:p w14:paraId="0478BA71" w14:textId="77777777" w:rsidR="00045DD9" w:rsidRPr="00271B83" w:rsidRDefault="00045DD9" w:rsidP="003F393F">
                      <w:pPr>
                        <w:spacing w:before="120" w:after="120"/>
                        <w:ind w:left="-142"/>
                        <w:jc w:val="center"/>
                        <w:rPr>
                          <w:rFonts w:ascii="Arial" w:hAnsi="Arial" w:cs="Arial"/>
                          <w:sz w:val="24"/>
                          <w:szCs w:val="24"/>
                        </w:rPr>
                      </w:pPr>
                      <w:r>
                        <w:rPr>
                          <w:noProof/>
                        </w:rPr>
                        <w:drawing>
                          <wp:inline distT="0" distB="0" distL="0" distR="0" wp14:anchorId="2695258B" wp14:editId="42CE0A95">
                            <wp:extent cx="3218815" cy="1990564"/>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67668" cy="2082617"/>
                                    </a:xfrm>
                                    <a:prstGeom prst="rect">
                                      <a:avLst/>
                                    </a:prstGeom>
                                    <a:noFill/>
                                  </pic:spPr>
                                </pic:pic>
                              </a:graphicData>
                            </a:graphic>
                          </wp:inline>
                        </w:drawing>
                      </w:r>
                    </w:p>
                  </w:txbxContent>
                </v:textbox>
                <w10:wrap type="square"/>
              </v:shape>
            </w:pict>
          </mc:Fallback>
        </mc:AlternateContent>
      </w:r>
      <w:r w:rsidRPr="00294018">
        <w:rPr>
          <w:rFonts w:eastAsia="Batang"/>
          <w:bCs/>
          <w:i/>
          <w:spacing w:val="-2"/>
        </w:rPr>
        <w:t>Regarding the structure of exported goods in the five months of 2026</w:t>
      </w:r>
      <w:r w:rsidRPr="00294018">
        <w:rPr>
          <w:rFonts w:eastAsia="Batang"/>
          <w:bCs/>
          <w:i/>
          <w:color w:val="000000" w:themeColor="text1"/>
          <w:spacing w:val="-2"/>
        </w:rPr>
        <w:t xml:space="preserve">, </w:t>
      </w:r>
      <w:r w:rsidRPr="00294018">
        <w:rPr>
          <w:rFonts w:eastAsia="Batang"/>
          <w:bCs/>
          <w:iCs/>
        </w:rPr>
        <w:t>the group of manufactured products</w:t>
      </w:r>
      <w:r w:rsidRPr="00294018">
        <w:rPr>
          <w:rFonts w:eastAsia="Batang"/>
          <w:bCs/>
          <w:spacing w:val="-2"/>
        </w:rPr>
        <w:t xml:space="preserve"> reached</w:t>
      </w:r>
      <w:r w:rsidRPr="00294018">
        <w:rPr>
          <w:rFonts w:eastAsia="Batang"/>
          <w:bCs/>
          <w:iCs/>
          <w:color w:val="000000" w:themeColor="text1"/>
          <w:spacing w:val="-2"/>
        </w:rPr>
        <w:t xml:space="preserve"> 193.71 billion USD, </w:t>
      </w:r>
      <w:r w:rsidRPr="00294018">
        <w:rPr>
          <w:rFonts w:eastAsia="Batang"/>
          <w:bCs/>
          <w:spacing w:val="-2"/>
        </w:rPr>
        <w:t>accounting for</w:t>
      </w:r>
      <w:r w:rsidRPr="00294018">
        <w:rPr>
          <w:rFonts w:eastAsia="Batang"/>
          <w:bCs/>
          <w:iCs/>
          <w:color w:val="000000" w:themeColor="text1"/>
          <w:spacing w:val="-2"/>
        </w:rPr>
        <w:t xml:space="preserve"> 89.8%; </w:t>
      </w:r>
      <w:r w:rsidRPr="00294018">
        <w:rPr>
          <w:rFonts w:eastAsia="Batang"/>
          <w:bCs/>
          <w:spacing w:val="-2"/>
        </w:rPr>
        <w:t>the group of agricultural and forestry products reached</w:t>
      </w:r>
      <w:r w:rsidRPr="00294018">
        <w:rPr>
          <w:rFonts w:eastAsia="Batang"/>
          <w:bCs/>
          <w:iCs/>
          <w:color w:val="000000" w:themeColor="text1"/>
          <w:spacing w:val="-2"/>
        </w:rPr>
        <w:t xml:space="preserve"> 15.79 billion USD, </w:t>
      </w:r>
      <w:r w:rsidRPr="00294018">
        <w:rPr>
          <w:rFonts w:eastAsia="Batang"/>
          <w:bCs/>
          <w:spacing w:val="-2"/>
        </w:rPr>
        <w:t>accounting for</w:t>
      </w:r>
      <w:r w:rsidRPr="00294018">
        <w:rPr>
          <w:rFonts w:eastAsia="Batang"/>
          <w:bCs/>
          <w:iCs/>
          <w:color w:val="000000" w:themeColor="text1"/>
          <w:spacing w:val="-2"/>
        </w:rPr>
        <w:t xml:space="preserve"> 7.3%; </w:t>
      </w:r>
      <w:r w:rsidRPr="00294018">
        <w:rPr>
          <w:rFonts w:eastAsia="Batang"/>
          <w:bCs/>
          <w:spacing w:val="-2"/>
        </w:rPr>
        <w:t xml:space="preserve">the group of fishery products </w:t>
      </w:r>
      <w:r w:rsidRPr="00294018">
        <w:rPr>
          <w:rFonts w:eastAsia="Batang"/>
          <w:bCs/>
          <w:iCs/>
        </w:rPr>
        <w:t>attained</w:t>
      </w:r>
      <w:r w:rsidRPr="00294018">
        <w:rPr>
          <w:rFonts w:eastAsia="Batang"/>
          <w:bCs/>
          <w:iCs/>
          <w:color w:val="000000" w:themeColor="text1"/>
          <w:spacing w:val="-2"/>
        </w:rPr>
        <w:t xml:space="preserve"> 4.67 billion USD, </w:t>
      </w:r>
      <w:r w:rsidRPr="00294018">
        <w:rPr>
          <w:rFonts w:eastAsia="Batang"/>
          <w:bCs/>
          <w:spacing w:val="-2"/>
        </w:rPr>
        <w:t>accounting for</w:t>
      </w:r>
      <w:r w:rsidRPr="00294018">
        <w:rPr>
          <w:rFonts w:eastAsia="Batang"/>
          <w:bCs/>
          <w:iCs/>
          <w:color w:val="000000" w:themeColor="text1"/>
          <w:spacing w:val="-2"/>
        </w:rPr>
        <w:t xml:space="preserve"> 2.2%; </w:t>
      </w:r>
      <w:r w:rsidRPr="00294018">
        <w:rPr>
          <w:rFonts w:eastAsia="Batang"/>
          <w:bCs/>
          <w:spacing w:val="-2"/>
        </w:rPr>
        <w:t>and the group of fuels and minerals reached</w:t>
      </w:r>
      <w:r w:rsidRPr="00294018">
        <w:rPr>
          <w:rFonts w:eastAsia="Batang"/>
          <w:bCs/>
          <w:iCs/>
          <w:color w:val="000000" w:themeColor="text1"/>
          <w:spacing w:val="-2"/>
        </w:rPr>
        <w:t xml:space="preserve"> 1.49 billion USD, </w:t>
      </w:r>
      <w:r w:rsidRPr="00294018">
        <w:rPr>
          <w:rFonts w:eastAsia="Batang"/>
          <w:bCs/>
          <w:spacing w:val="-2"/>
        </w:rPr>
        <w:t>accounting for</w:t>
      </w:r>
      <w:r w:rsidRPr="00294018">
        <w:rPr>
          <w:rFonts w:eastAsia="Batang"/>
          <w:bCs/>
          <w:iCs/>
          <w:color w:val="000000" w:themeColor="text1"/>
          <w:spacing w:val="-2"/>
        </w:rPr>
        <w:t xml:space="preserve"> 0</w:t>
      </w:r>
      <w:r w:rsidR="0021361B" w:rsidRPr="00294018">
        <w:rPr>
          <w:rFonts w:eastAsia="Batang"/>
          <w:bCs/>
          <w:iCs/>
          <w:color w:val="000000" w:themeColor="text1"/>
          <w:spacing w:val="-2"/>
        </w:rPr>
        <w:t>.</w:t>
      </w:r>
      <w:r w:rsidRPr="00294018">
        <w:rPr>
          <w:rFonts w:eastAsia="Batang"/>
          <w:bCs/>
          <w:iCs/>
          <w:color w:val="000000" w:themeColor="text1"/>
          <w:spacing w:val="-2"/>
        </w:rPr>
        <w:t>7%</w:t>
      </w:r>
      <w:r w:rsidRPr="00294018">
        <w:rPr>
          <w:rFonts w:eastAsia="Batang"/>
          <w:bCs/>
          <w:i/>
          <w:color w:val="000000" w:themeColor="text1"/>
          <w:spacing w:val="-2"/>
        </w:rPr>
        <w:t>.</w:t>
      </w:r>
    </w:p>
    <w:bookmarkEnd w:id="5"/>
    <w:p w14:paraId="465B687F" w14:textId="77777777" w:rsidR="003F393F" w:rsidRPr="00294018" w:rsidRDefault="003F393F" w:rsidP="003F393F">
      <w:pPr>
        <w:tabs>
          <w:tab w:val="left" w:pos="9475"/>
        </w:tabs>
        <w:spacing w:after="120" w:line="264" w:lineRule="auto"/>
        <w:ind w:right="6" w:firstLine="720"/>
        <w:jc w:val="both"/>
        <w:rPr>
          <w:b/>
          <w:bCs/>
          <w:i/>
          <w:iCs/>
          <w:color w:val="000000" w:themeColor="text1"/>
        </w:rPr>
      </w:pPr>
      <w:r w:rsidRPr="00294018">
        <w:rPr>
          <w:b/>
          <w:bCs/>
          <w:i/>
          <w:iCs/>
        </w:rPr>
        <w:t>Import of goods</w:t>
      </w:r>
    </w:p>
    <w:p w14:paraId="3BC4B969" w14:textId="77777777" w:rsidR="003F393F" w:rsidRPr="00294018" w:rsidRDefault="003F393F" w:rsidP="003F393F">
      <w:pPr>
        <w:tabs>
          <w:tab w:val="left" w:pos="9475"/>
        </w:tabs>
        <w:spacing w:after="120" w:line="264" w:lineRule="auto"/>
        <w:ind w:right="6" w:firstLine="720"/>
        <w:jc w:val="both"/>
        <w:rPr>
          <w:bCs/>
          <w:color w:val="000000" w:themeColor="text1"/>
        </w:rPr>
      </w:pPr>
      <w:r w:rsidRPr="00294018">
        <w:rPr>
          <w:bCs/>
        </w:rPr>
        <w:t>Import turnover of goods in</w:t>
      </w:r>
      <w:r w:rsidRPr="00294018">
        <w:rPr>
          <w:bCs/>
          <w:color w:val="000000" w:themeColor="text1"/>
        </w:rPr>
        <w:t xml:space="preserve"> April 2026 </w:t>
      </w:r>
      <w:r w:rsidRPr="00294018">
        <w:rPr>
          <w:bCs/>
        </w:rPr>
        <w:t>preliminarily</w:t>
      </w:r>
      <w:r w:rsidRPr="00294018">
        <w:rPr>
          <w:bCs/>
          <w:color w:val="000000" w:themeColor="text1"/>
        </w:rPr>
        <w:t xml:space="preserve"> reached 49.98 billion USD</w:t>
      </w:r>
      <w:bookmarkStart w:id="6" w:name="_Hlk213089943"/>
      <w:r w:rsidRPr="00294018">
        <w:rPr>
          <w:bCs/>
          <w:color w:val="000000" w:themeColor="text1"/>
          <w:vertAlign w:val="superscript"/>
        </w:rPr>
        <w:footnoteReference w:id="23"/>
      </w:r>
      <w:bookmarkEnd w:id="6"/>
      <w:r w:rsidRPr="00294018">
        <w:rPr>
          <w:bCs/>
          <w:color w:val="000000" w:themeColor="text1"/>
        </w:rPr>
        <w:t xml:space="preserve">. </w:t>
      </w:r>
    </w:p>
    <w:p w14:paraId="0509D2DB" w14:textId="77777777" w:rsidR="003F393F" w:rsidRPr="00294018" w:rsidRDefault="003F393F" w:rsidP="003F393F">
      <w:pPr>
        <w:tabs>
          <w:tab w:val="left" w:pos="9475"/>
        </w:tabs>
        <w:spacing w:after="120" w:line="264" w:lineRule="auto"/>
        <w:ind w:right="6" w:firstLine="720"/>
        <w:jc w:val="both"/>
        <w:rPr>
          <w:bCs/>
          <w:color w:val="000000" w:themeColor="text1"/>
        </w:rPr>
      </w:pPr>
      <w:r w:rsidRPr="00294018">
        <w:rPr>
          <w:bCs/>
        </w:rPr>
        <w:t>Import turnover of goods in May 2026</w:t>
      </w:r>
      <w:r w:rsidRPr="00294018">
        <w:rPr>
          <w:bCs/>
          <w:color w:val="000000" w:themeColor="text1"/>
        </w:rPr>
        <w:t xml:space="preserve"> reach 52.14 billion USD, </w:t>
      </w:r>
      <w:r w:rsidRPr="00294018">
        <w:rPr>
          <w:bCs/>
        </w:rPr>
        <w:t>a rise of</w:t>
      </w:r>
      <w:r w:rsidRPr="00294018">
        <w:rPr>
          <w:bCs/>
          <w:color w:val="000000" w:themeColor="text1"/>
        </w:rPr>
        <w:t xml:space="preserve"> 4.3% </w:t>
      </w:r>
      <w:r w:rsidRPr="00294018">
        <w:rPr>
          <w:bCs/>
        </w:rPr>
        <w:t>over the previous month</w:t>
      </w:r>
      <w:r w:rsidRPr="00294018">
        <w:rPr>
          <w:bCs/>
          <w:color w:val="000000" w:themeColor="text1"/>
        </w:rPr>
        <w:t xml:space="preserve">. </w:t>
      </w:r>
      <w:r w:rsidRPr="00294018">
        <w:rPr>
          <w:bCs/>
        </w:rPr>
        <w:t>Of which, the domestic economic sector reached</w:t>
      </w:r>
      <w:r w:rsidRPr="00294018">
        <w:rPr>
          <w:bCs/>
          <w:color w:val="000000" w:themeColor="text1"/>
        </w:rPr>
        <w:t xml:space="preserve"> 13.17 billion USD, </w:t>
      </w:r>
      <w:r w:rsidRPr="00294018">
        <w:rPr>
          <w:bCs/>
        </w:rPr>
        <w:t>decreasing by</w:t>
      </w:r>
      <w:r w:rsidRPr="00294018">
        <w:rPr>
          <w:bCs/>
          <w:color w:val="000000" w:themeColor="text1"/>
        </w:rPr>
        <w:t xml:space="preserve"> 10.8%; </w:t>
      </w:r>
      <w:r w:rsidRPr="00294018">
        <w:rPr>
          <w:bCs/>
        </w:rPr>
        <w:t>and the FDI sector reached</w:t>
      </w:r>
      <w:r w:rsidRPr="00294018">
        <w:rPr>
          <w:bCs/>
          <w:color w:val="000000" w:themeColor="text1"/>
        </w:rPr>
        <w:t xml:space="preserve"> 38.97 billion USD, </w:t>
      </w:r>
      <w:r w:rsidRPr="00294018">
        <w:rPr>
          <w:bCs/>
        </w:rPr>
        <w:t>increasing by</w:t>
      </w:r>
      <w:r w:rsidRPr="00294018">
        <w:rPr>
          <w:bCs/>
          <w:color w:val="000000" w:themeColor="text1"/>
        </w:rPr>
        <w:t xml:space="preserve"> 10.7%. </w:t>
      </w:r>
      <w:r w:rsidRPr="00294018">
        <w:rPr>
          <w:bCs/>
        </w:rPr>
        <w:t>Compared with the same period last year, the import turnover of goods in May</w:t>
      </w:r>
      <w:r w:rsidRPr="00294018">
        <w:rPr>
          <w:bCs/>
          <w:color w:val="000000" w:themeColor="text1"/>
        </w:rPr>
        <w:t xml:space="preserve"> </w:t>
      </w:r>
      <w:r w:rsidRPr="00294018">
        <w:rPr>
          <w:bCs/>
        </w:rPr>
        <w:t>increased by</w:t>
      </w:r>
      <w:r w:rsidRPr="00294018">
        <w:rPr>
          <w:bCs/>
          <w:color w:val="000000" w:themeColor="text1"/>
        </w:rPr>
        <w:t xml:space="preserve"> 33.8%, </w:t>
      </w:r>
      <w:r w:rsidRPr="00294018">
        <w:rPr>
          <w:bCs/>
        </w:rPr>
        <w:t>of which the domestic economic sector increased by</w:t>
      </w:r>
      <w:r w:rsidRPr="00294018">
        <w:rPr>
          <w:bCs/>
          <w:color w:val="000000" w:themeColor="text1"/>
        </w:rPr>
        <w:t xml:space="preserve"> 22.2%; </w:t>
      </w:r>
      <w:r w:rsidRPr="00294018">
        <w:rPr>
          <w:bCs/>
        </w:rPr>
        <w:t>and the FDI sector increased by</w:t>
      </w:r>
      <w:r w:rsidRPr="00294018">
        <w:rPr>
          <w:bCs/>
          <w:color w:val="000000" w:themeColor="text1"/>
        </w:rPr>
        <w:t xml:space="preserve"> 38.2%. </w:t>
      </w:r>
    </w:p>
    <w:p w14:paraId="64EAC9A3" w14:textId="77777777" w:rsidR="003F393F" w:rsidRPr="00294018" w:rsidRDefault="003F393F" w:rsidP="003F393F">
      <w:pPr>
        <w:tabs>
          <w:tab w:val="left" w:pos="9475"/>
        </w:tabs>
        <w:spacing w:after="120" w:line="264" w:lineRule="auto"/>
        <w:ind w:right="6" w:firstLine="720"/>
        <w:jc w:val="both"/>
        <w:rPr>
          <w:bCs/>
          <w:color w:val="000000" w:themeColor="text1"/>
        </w:rPr>
      </w:pPr>
      <w:r w:rsidRPr="00294018">
        <w:rPr>
          <w:bCs/>
        </w:rPr>
        <w:t>Overall, in the five months of</w:t>
      </w:r>
      <w:r w:rsidRPr="00294018">
        <w:rPr>
          <w:bCs/>
          <w:color w:val="000000" w:themeColor="text1"/>
        </w:rPr>
        <w:t xml:space="preserve"> 2026, </w:t>
      </w:r>
      <w:r w:rsidRPr="00294018">
        <w:rPr>
          <w:bCs/>
          <w:spacing w:val="-4"/>
        </w:rPr>
        <w:t xml:space="preserve">the </w:t>
      </w:r>
      <w:r w:rsidRPr="00294018">
        <w:t>import turnover of goods</w:t>
      </w:r>
      <w:r w:rsidRPr="00294018">
        <w:rPr>
          <w:bCs/>
          <w:spacing w:val="-4"/>
        </w:rPr>
        <w:t xml:space="preserve"> reached</w:t>
      </w:r>
      <w:r w:rsidRPr="00294018">
        <w:rPr>
          <w:bCs/>
          <w:color w:val="000000" w:themeColor="text1"/>
        </w:rPr>
        <w:t xml:space="preserve"> 229.46 billion USD, </w:t>
      </w:r>
      <w:r w:rsidRPr="00294018">
        <w:t>a year-on-year surge of</w:t>
      </w:r>
      <w:r w:rsidRPr="00294018">
        <w:rPr>
          <w:bCs/>
          <w:color w:val="000000" w:themeColor="text1"/>
        </w:rPr>
        <w:t xml:space="preserve"> 30.8%, </w:t>
      </w:r>
      <w:r w:rsidRPr="00294018">
        <w:rPr>
          <w:bCs/>
          <w:spacing w:val="-4"/>
        </w:rPr>
        <w:t>of which, the domestic economic sector reached</w:t>
      </w:r>
      <w:r w:rsidRPr="00294018">
        <w:rPr>
          <w:bCs/>
          <w:color w:val="000000" w:themeColor="text1"/>
        </w:rPr>
        <w:t xml:space="preserve"> 64.26 billion USD, an upturn of 22.7%; </w:t>
      </w:r>
      <w:r w:rsidRPr="00294018">
        <w:rPr>
          <w:bCs/>
          <w:spacing w:val="-4"/>
        </w:rPr>
        <w:t>and the FDI sector reached</w:t>
      </w:r>
      <w:r w:rsidRPr="00294018">
        <w:rPr>
          <w:bCs/>
          <w:color w:val="000000" w:themeColor="text1"/>
        </w:rPr>
        <w:t xml:space="preserve"> 165.2 billion USD, </w:t>
      </w:r>
      <w:r w:rsidRPr="00294018">
        <w:t>an expansion of</w:t>
      </w:r>
      <w:r w:rsidRPr="00294018">
        <w:rPr>
          <w:bCs/>
          <w:color w:val="000000" w:themeColor="text1"/>
        </w:rPr>
        <w:t xml:space="preserve"> 34.3%.</w:t>
      </w:r>
    </w:p>
    <w:p w14:paraId="1E466741" w14:textId="77777777" w:rsidR="003F393F" w:rsidRPr="00294018" w:rsidRDefault="003F393F" w:rsidP="003F393F">
      <w:pPr>
        <w:tabs>
          <w:tab w:val="left" w:pos="9475"/>
        </w:tabs>
        <w:spacing w:after="120" w:line="264" w:lineRule="auto"/>
        <w:ind w:right="6" w:firstLine="720"/>
        <w:jc w:val="both"/>
        <w:rPr>
          <w:rFonts w:asciiTheme="minorHAnsi" w:eastAsiaTheme="minorHAnsi" w:hAnsiTheme="minorHAnsi" w:cstheme="minorBidi"/>
          <w:color w:val="000000" w:themeColor="text1"/>
          <w:sz w:val="22"/>
          <w:szCs w:val="22"/>
        </w:rPr>
      </w:pPr>
      <w:r w:rsidRPr="00294018">
        <w:rPr>
          <w:bCs/>
        </w:rPr>
        <w:t>In the five months of 2026,</w:t>
      </w:r>
      <w:r w:rsidRPr="00294018">
        <w:rPr>
          <w:bCs/>
          <w:color w:val="000000" w:themeColor="text1"/>
        </w:rPr>
        <w:t xml:space="preserve"> </w:t>
      </w:r>
      <w:r w:rsidRPr="00294018">
        <w:rPr>
          <w:bCs/>
        </w:rPr>
        <w:t>there were</w:t>
      </w:r>
      <w:r w:rsidRPr="00294018">
        <w:rPr>
          <w:bCs/>
          <w:color w:val="000000" w:themeColor="text1"/>
        </w:rPr>
        <w:t xml:space="preserve"> 36 </w:t>
      </w:r>
      <w:r w:rsidRPr="00294018">
        <w:rPr>
          <w:bCs/>
        </w:rPr>
        <w:t xml:space="preserve">imported </w:t>
      </w:r>
      <w:r w:rsidRPr="00294018">
        <w:t>products</w:t>
      </w:r>
      <w:r w:rsidRPr="00294018">
        <w:rPr>
          <w:bCs/>
        </w:rPr>
        <w:t xml:space="preserve"> with their value exceeding 1 billion USD</w:t>
      </w:r>
      <w:r w:rsidRPr="00294018">
        <w:rPr>
          <w:bCs/>
          <w:color w:val="000000" w:themeColor="text1"/>
        </w:rPr>
        <w:t xml:space="preserve">, </w:t>
      </w:r>
      <w:r w:rsidRPr="00294018">
        <w:rPr>
          <w:bCs/>
        </w:rPr>
        <w:t>accounting for</w:t>
      </w:r>
      <w:r w:rsidRPr="00294018">
        <w:rPr>
          <w:bCs/>
          <w:color w:val="000000" w:themeColor="text1"/>
        </w:rPr>
        <w:t xml:space="preserve"> 91.2% </w:t>
      </w:r>
      <w:r w:rsidRPr="00294018">
        <w:rPr>
          <w:bCs/>
        </w:rPr>
        <w:t>of the total import turnover</w:t>
      </w:r>
      <w:r w:rsidRPr="00294018">
        <w:rPr>
          <w:bCs/>
          <w:color w:val="000000" w:themeColor="text1"/>
        </w:rPr>
        <w:t xml:space="preserve"> </w:t>
      </w:r>
      <w:r w:rsidRPr="00294018">
        <w:rPr>
          <w:bCs/>
          <w:color w:val="000000" w:themeColor="text1"/>
        </w:rPr>
        <w:lastRenderedPageBreak/>
        <w:t>(</w:t>
      </w:r>
      <w:r w:rsidRPr="00294018">
        <w:rPr>
          <w:bCs/>
        </w:rPr>
        <w:t xml:space="preserve">including 6 </w:t>
      </w:r>
      <w:r w:rsidRPr="00294018">
        <w:rPr>
          <w:spacing w:val="-2"/>
        </w:rPr>
        <w:t>imported products</w:t>
      </w:r>
      <w:r w:rsidRPr="00294018">
        <w:rPr>
          <w:bCs/>
        </w:rPr>
        <w:t xml:space="preserve"> with the value of over 5 billion USD, accounting for</w:t>
      </w:r>
      <w:r w:rsidRPr="00294018">
        <w:rPr>
          <w:bCs/>
          <w:color w:val="000000" w:themeColor="text1"/>
        </w:rPr>
        <w:t xml:space="preserve"> 60.7%)</w:t>
      </w:r>
      <w:r w:rsidRPr="00294018">
        <w:rPr>
          <w:color w:val="000000" w:themeColor="text1"/>
        </w:rPr>
        <w:t>.</w:t>
      </w:r>
    </w:p>
    <w:p w14:paraId="0DF3F7D1" w14:textId="77777777" w:rsidR="003F393F" w:rsidRPr="00294018" w:rsidRDefault="003F393F" w:rsidP="003F393F">
      <w:pPr>
        <w:tabs>
          <w:tab w:val="left" w:pos="9475"/>
        </w:tabs>
        <w:spacing w:before="40" w:after="40" w:line="288" w:lineRule="auto"/>
        <w:ind w:right="6" w:firstLine="567"/>
        <w:jc w:val="center"/>
        <w:rPr>
          <w:rFonts w:ascii="Arial" w:hAnsi="Arial" w:cs="Arial"/>
          <w:b/>
          <w:bCs/>
          <w:color w:val="000000" w:themeColor="text1"/>
          <w:sz w:val="8"/>
          <w:szCs w:val="24"/>
        </w:rPr>
      </w:pPr>
      <w:r w:rsidRPr="00294018">
        <w:rPr>
          <w:rFonts w:ascii="Arial" w:hAnsi="Arial" w:cs="Arial"/>
          <w:b/>
          <w:color w:val="000000" w:themeColor="text1"/>
          <w:spacing w:val="-2"/>
          <w:sz w:val="24"/>
          <w:szCs w:val="20"/>
        </w:rPr>
        <w:t xml:space="preserve">Table 5. </w:t>
      </w:r>
      <w:r w:rsidRPr="00294018">
        <w:rPr>
          <w:rFonts w:ascii="Arial" w:hAnsi="Arial" w:cs="Arial"/>
          <w:b/>
          <w:spacing w:val="-2"/>
          <w:sz w:val="24"/>
          <w:szCs w:val="20"/>
        </w:rPr>
        <w:t>Value of some imported goods in five months of</w:t>
      </w:r>
      <w:r w:rsidRPr="00294018">
        <w:rPr>
          <w:rFonts w:ascii="Arial" w:hAnsi="Arial" w:cs="Arial"/>
          <w:b/>
          <w:bCs/>
          <w:color w:val="000000" w:themeColor="text1"/>
          <w:sz w:val="24"/>
          <w:szCs w:val="24"/>
        </w:rPr>
        <w:t xml:space="preserve"> 2026</w:t>
      </w:r>
    </w:p>
    <w:tbl>
      <w:tblPr>
        <w:tblStyle w:val="TableGrid11"/>
        <w:tblW w:w="90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8"/>
        <w:gridCol w:w="1794"/>
        <w:gridCol w:w="68"/>
        <w:gridCol w:w="2767"/>
      </w:tblGrid>
      <w:tr w:rsidR="003F393F" w:rsidRPr="00294018" w14:paraId="702E4DAE" w14:textId="77777777" w:rsidTr="0060017F">
        <w:tc>
          <w:tcPr>
            <w:tcW w:w="4395" w:type="dxa"/>
          </w:tcPr>
          <w:p w14:paraId="6376C02D" w14:textId="77777777" w:rsidR="003F393F" w:rsidRPr="00294018" w:rsidRDefault="003F393F" w:rsidP="0060017F">
            <w:pPr>
              <w:tabs>
                <w:tab w:val="num" w:pos="0"/>
                <w:tab w:val="left" w:pos="9475"/>
              </w:tabs>
              <w:spacing w:before="40" w:after="40"/>
              <w:ind w:right="119" w:firstLine="567"/>
              <w:jc w:val="both"/>
              <w:rPr>
                <w:rFonts w:ascii="Arial" w:hAnsi="Arial" w:cs="Arial"/>
                <w:b/>
                <w:bCs/>
                <w:i/>
                <w:iCs/>
                <w:color w:val="000000" w:themeColor="text1"/>
                <w:sz w:val="20"/>
                <w:szCs w:val="20"/>
                <w:lang w:val="en-US"/>
              </w:rPr>
            </w:pPr>
            <w:r w:rsidRPr="00294018">
              <w:rPr>
                <w:rFonts w:ascii="Arial" w:hAnsi="Arial" w:cs="Arial"/>
                <w:b/>
                <w:bCs/>
                <w:i/>
                <w:iCs/>
                <w:color w:val="000000" w:themeColor="text1"/>
                <w:sz w:val="20"/>
                <w:szCs w:val="20"/>
                <w:lang w:val="en-US"/>
              </w:rPr>
              <w:t xml:space="preserve"> </w:t>
            </w:r>
          </w:p>
        </w:tc>
        <w:tc>
          <w:tcPr>
            <w:tcW w:w="1842" w:type="dxa"/>
            <w:gridSpan w:val="2"/>
            <w:tcBorders>
              <w:top w:val="single" w:sz="4" w:space="0" w:color="auto"/>
              <w:bottom w:val="single" w:sz="4" w:space="0" w:color="auto"/>
            </w:tcBorders>
          </w:tcPr>
          <w:p w14:paraId="5DB7617A" w14:textId="77777777" w:rsidR="003F393F" w:rsidRPr="00294018" w:rsidRDefault="003F393F" w:rsidP="0060017F">
            <w:pPr>
              <w:spacing w:before="40" w:after="40" w:line="288" w:lineRule="auto"/>
              <w:ind w:firstLine="31"/>
              <w:jc w:val="center"/>
              <w:rPr>
                <w:rFonts w:ascii="Arial" w:hAnsi="Arial" w:cs="Arial"/>
                <w:sz w:val="20"/>
                <w:szCs w:val="20"/>
                <w:lang w:val="en-US"/>
              </w:rPr>
            </w:pPr>
            <w:r w:rsidRPr="00294018">
              <w:rPr>
                <w:rFonts w:ascii="Arial" w:hAnsi="Arial" w:cs="Arial"/>
                <w:sz w:val="20"/>
                <w:szCs w:val="20"/>
                <w:lang w:val="en-US"/>
              </w:rPr>
              <w:t>Value</w:t>
            </w:r>
          </w:p>
          <w:p w14:paraId="5F236B12" w14:textId="77777777" w:rsidR="003F393F" w:rsidRPr="00294018" w:rsidRDefault="003F393F" w:rsidP="0060017F">
            <w:pPr>
              <w:spacing w:before="40" w:after="40"/>
              <w:ind w:firstLine="31"/>
              <w:jc w:val="center"/>
              <w:rPr>
                <w:rFonts w:ascii="Arial" w:hAnsi="Arial" w:cs="Arial"/>
                <w:b/>
                <w:bCs/>
                <w:i/>
                <w:iCs/>
                <w:color w:val="000000" w:themeColor="text1"/>
                <w:sz w:val="20"/>
                <w:szCs w:val="20"/>
                <w:lang w:val="en-US"/>
              </w:rPr>
            </w:pPr>
            <w:r w:rsidRPr="00294018">
              <w:rPr>
                <w:rFonts w:ascii="Arial" w:hAnsi="Arial" w:cs="Arial"/>
                <w:sz w:val="20"/>
                <w:szCs w:val="20"/>
                <w:lang w:val="en-US"/>
              </w:rPr>
              <w:t>(Mill. USD)</w:t>
            </w:r>
          </w:p>
        </w:tc>
        <w:tc>
          <w:tcPr>
            <w:tcW w:w="2835" w:type="dxa"/>
            <w:gridSpan w:val="2"/>
            <w:tcBorders>
              <w:top w:val="single" w:sz="4" w:space="0" w:color="auto"/>
              <w:bottom w:val="single" w:sz="4" w:space="0" w:color="auto"/>
            </w:tcBorders>
            <w:vAlign w:val="center"/>
          </w:tcPr>
          <w:p w14:paraId="6CCF8500" w14:textId="77777777" w:rsidR="003F393F" w:rsidRPr="00294018" w:rsidRDefault="003F393F" w:rsidP="0060017F">
            <w:pPr>
              <w:spacing w:before="40" w:after="40"/>
              <w:jc w:val="center"/>
              <w:rPr>
                <w:rFonts w:ascii="Arial" w:hAnsi="Arial" w:cs="Arial"/>
                <w:b/>
                <w:bCs/>
                <w:i/>
                <w:iCs/>
                <w:color w:val="000000" w:themeColor="text1"/>
                <w:sz w:val="20"/>
                <w:szCs w:val="20"/>
                <w:lang w:val="en-US"/>
              </w:rPr>
            </w:pPr>
            <w:r w:rsidRPr="00294018">
              <w:rPr>
                <w:rFonts w:ascii="Arial" w:hAnsi="Arial" w:cs="Arial"/>
                <w:sz w:val="20"/>
                <w:szCs w:val="20"/>
                <w:lang w:val="en-US"/>
              </w:rPr>
              <w:t>Growth rate year-on-year (%)</w:t>
            </w:r>
          </w:p>
        </w:tc>
      </w:tr>
      <w:tr w:rsidR="003F393F" w:rsidRPr="00294018" w14:paraId="300F65DA" w14:textId="77777777" w:rsidTr="0060017F">
        <w:tblPrEx>
          <w:tblBorders>
            <w:bottom w:val="none" w:sz="0" w:space="0" w:color="auto"/>
          </w:tblBorders>
        </w:tblPrEx>
        <w:trPr>
          <w:trHeight w:val="394"/>
        </w:trPr>
        <w:tc>
          <w:tcPr>
            <w:tcW w:w="4443" w:type="dxa"/>
            <w:gridSpan w:val="2"/>
            <w:vAlign w:val="bottom"/>
          </w:tcPr>
          <w:p w14:paraId="3B66EFA4" w14:textId="77777777" w:rsidR="003F393F" w:rsidRPr="00294018" w:rsidRDefault="003F393F" w:rsidP="0060017F">
            <w:pPr>
              <w:spacing w:before="40" w:after="40"/>
              <w:ind w:firstLine="567"/>
              <w:jc w:val="both"/>
              <w:rPr>
                <w:rFonts w:ascii="Arial" w:hAnsi="Arial" w:cs="Arial"/>
                <w:b/>
                <w:bCs/>
                <w:color w:val="000000" w:themeColor="text1"/>
                <w:sz w:val="20"/>
                <w:szCs w:val="20"/>
                <w:lang w:val="en-US"/>
              </w:rPr>
            </w:pPr>
            <w:r w:rsidRPr="00294018">
              <w:rPr>
                <w:rFonts w:ascii="Arial Bold" w:hAnsi="Arial Bold" w:cs="Arial"/>
                <w:b/>
                <w:bCs/>
                <w:spacing w:val="-8"/>
                <w:sz w:val="20"/>
                <w:szCs w:val="20"/>
                <w:lang w:val="en-US"/>
              </w:rPr>
              <w:t>Products with a value of over 5 billion USD</w:t>
            </w:r>
          </w:p>
        </w:tc>
        <w:tc>
          <w:tcPr>
            <w:tcW w:w="1862" w:type="dxa"/>
            <w:gridSpan w:val="2"/>
            <w:tcBorders>
              <w:top w:val="single" w:sz="4" w:space="0" w:color="auto"/>
            </w:tcBorders>
          </w:tcPr>
          <w:p w14:paraId="770441EA" w14:textId="77777777" w:rsidR="003F393F" w:rsidRPr="00294018" w:rsidRDefault="003F393F" w:rsidP="0060017F">
            <w:pPr>
              <w:tabs>
                <w:tab w:val="num" w:pos="0"/>
                <w:tab w:val="left" w:pos="9475"/>
              </w:tabs>
              <w:spacing w:before="40" w:after="40"/>
              <w:ind w:right="119" w:firstLine="567"/>
              <w:jc w:val="both"/>
              <w:rPr>
                <w:rFonts w:ascii="Arial" w:hAnsi="Arial" w:cs="Arial"/>
                <w:b/>
                <w:bCs/>
                <w:i/>
                <w:iCs/>
                <w:color w:val="000000" w:themeColor="text1"/>
                <w:sz w:val="20"/>
                <w:szCs w:val="20"/>
                <w:lang w:val="en-US"/>
              </w:rPr>
            </w:pPr>
          </w:p>
        </w:tc>
        <w:tc>
          <w:tcPr>
            <w:tcW w:w="2767" w:type="dxa"/>
            <w:tcBorders>
              <w:top w:val="single" w:sz="4" w:space="0" w:color="auto"/>
            </w:tcBorders>
          </w:tcPr>
          <w:p w14:paraId="796197F4" w14:textId="77777777" w:rsidR="003F393F" w:rsidRPr="00294018" w:rsidRDefault="003F393F" w:rsidP="0060017F">
            <w:pPr>
              <w:tabs>
                <w:tab w:val="num" w:pos="0"/>
                <w:tab w:val="left" w:pos="9475"/>
              </w:tabs>
              <w:spacing w:before="40" w:after="40"/>
              <w:ind w:right="119" w:firstLine="567"/>
              <w:jc w:val="both"/>
              <w:rPr>
                <w:rFonts w:ascii="Arial" w:hAnsi="Arial" w:cs="Arial"/>
                <w:b/>
                <w:bCs/>
                <w:i/>
                <w:iCs/>
                <w:color w:val="000000" w:themeColor="text1"/>
                <w:sz w:val="20"/>
                <w:szCs w:val="20"/>
                <w:lang w:val="en-US"/>
              </w:rPr>
            </w:pPr>
          </w:p>
        </w:tc>
      </w:tr>
      <w:tr w:rsidR="003F393F" w:rsidRPr="00294018" w14:paraId="295844BA" w14:textId="77777777" w:rsidTr="0060017F">
        <w:tc>
          <w:tcPr>
            <w:tcW w:w="4395" w:type="dxa"/>
            <w:vAlign w:val="bottom"/>
          </w:tcPr>
          <w:p w14:paraId="59C3198F"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spacing w:val="-8"/>
                <w:sz w:val="20"/>
                <w:szCs w:val="20"/>
                <w:lang w:val="en-US"/>
              </w:rPr>
              <w:t>Electronic goods, computers and their parts</w:t>
            </w:r>
          </w:p>
        </w:tc>
        <w:tc>
          <w:tcPr>
            <w:tcW w:w="1842" w:type="dxa"/>
            <w:gridSpan w:val="2"/>
            <w:vAlign w:val="bottom"/>
          </w:tcPr>
          <w:p w14:paraId="2CB87A16"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88,219</w:t>
            </w:r>
          </w:p>
        </w:tc>
        <w:tc>
          <w:tcPr>
            <w:tcW w:w="2835" w:type="dxa"/>
            <w:gridSpan w:val="2"/>
            <w:vAlign w:val="bottom"/>
          </w:tcPr>
          <w:p w14:paraId="3C30707D"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57.1</w:t>
            </w:r>
          </w:p>
        </w:tc>
      </w:tr>
      <w:tr w:rsidR="003F393F" w:rsidRPr="00294018" w14:paraId="7EDBB45D" w14:textId="77777777" w:rsidTr="0060017F">
        <w:tc>
          <w:tcPr>
            <w:tcW w:w="4395" w:type="dxa"/>
            <w:vAlign w:val="bottom"/>
          </w:tcPr>
          <w:p w14:paraId="3A515AD4" w14:textId="77777777" w:rsidR="003F393F" w:rsidRPr="00294018" w:rsidRDefault="003F393F" w:rsidP="0060017F">
            <w:pPr>
              <w:spacing w:before="40" w:after="40"/>
              <w:ind w:firstLine="567"/>
              <w:jc w:val="both"/>
              <w:rPr>
                <w:rFonts w:ascii="Arial" w:hAnsi="Arial" w:cs="Arial"/>
                <w:color w:val="000000" w:themeColor="text1"/>
                <w:spacing w:val="-4"/>
                <w:sz w:val="20"/>
                <w:szCs w:val="20"/>
                <w:lang w:val="en-US"/>
              </w:rPr>
            </w:pPr>
            <w:r w:rsidRPr="00294018">
              <w:rPr>
                <w:rFonts w:ascii="Arial" w:hAnsi="Arial" w:cs="Arial"/>
                <w:color w:val="000000" w:themeColor="text1"/>
                <w:spacing w:val="-4"/>
                <w:sz w:val="20"/>
                <w:szCs w:val="20"/>
                <w:lang w:val="en-US"/>
              </w:rPr>
              <w:t>Machine, equipment, tools and instruments</w:t>
            </w:r>
          </w:p>
        </w:tc>
        <w:tc>
          <w:tcPr>
            <w:tcW w:w="1842" w:type="dxa"/>
            <w:gridSpan w:val="2"/>
            <w:vAlign w:val="bottom"/>
          </w:tcPr>
          <w:p w14:paraId="5E1646E3"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27,806</w:t>
            </w:r>
          </w:p>
        </w:tc>
        <w:tc>
          <w:tcPr>
            <w:tcW w:w="2835" w:type="dxa"/>
            <w:gridSpan w:val="2"/>
            <w:vAlign w:val="bottom"/>
          </w:tcPr>
          <w:p w14:paraId="17AA646F"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21.6</w:t>
            </w:r>
          </w:p>
        </w:tc>
      </w:tr>
      <w:tr w:rsidR="003F393F" w:rsidRPr="00294018" w14:paraId="7FF872FA" w14:textId="77777777" w:rsidTr="0060017F">
        <w:tc>
          <w:tcPr>
            <w:tcW w:w="4395" w:type="dxa"/>
            <w:vAlign w:val="bottom"/>
          </w:tcPr>
          <w:p w14:paraId="4DA33CE9"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color w:val="000000" w:themeColor="text1"/>
                <w:sz w:val="20"/>
                <w:szCs w:val="20"/>
                <w:lang w:val="en-US"/>
              </w:rPr>
              <w:t>Fabrics</w:t>
            </w:r>
          </w:p>
        </w:tc>
        <w:tc>
          <w:tcPr>
            <w:tcW w:w="1842" w:type="dxa"/>
            <w:gridSpan w:val="2"/>
            <w:vAlign w:val="bottom"/>
          </w:tcPr>
          <w:p w14:paraId="0A648A7E"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6289</w:t>
            </w:r>
          </w:p>
        </w:tc>
        <w:tc>
          <w:tcPr>
            <w:tcW w:w="2835" w:type="dxa"/>
            <w:gridSpan w:val="2"/>
            <w:vAlign w:val="bottom"/>
          </w:tcPr>
          <w:p w14:paraId="4E21C110"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-0.5</w:t>
            </w:r>
          </w:p>
        </w:tc>
      </w:tr>
      <w:tr w:rsidR="003F393F" w:rsidRPr="00294018" w14:paraId="4EFCB7F2" w14:textId="77777777" w:rsidTr="0060017F">
        <w:tc>
          <w:tcPr>
            <w:tcW w:w="4395" w:type="dxa"/>
            <w:vAlign w:val="bottom"/>
          </w:tcPr>
          <w:p w14:paraId="795FDDCC"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color w:val="000000" w:themeColor="text1"/>
                <w:sz w:val="20"/>
                <w:szCs w:val="20"/>
                <w:lang w:val="en-US"/>
              </w:rPr>
              <w:t>Other base metals</w:t>
            </w:r>
          </w:p>
        </w:tc>
        <w:tc>
          <w:tcPr>
            <w:tcW w:w="1842" w:type="dxa"/>
            <w:gridSpan w:val="2"/>
            <w:vAlign w:val="bottom"/>
          </w:tcPr>
          <w:p w14:paraId="6DCCDA69"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5973</w:t>
            </w:r>
          </w:p>
        </w:tc>
        <w:tc>
          <w:tcPr>
            <w:tcW w:w="2835" w:type="dxa"/>
            <w:gridSpan w:val="2"/>
            <w:vAlign w:val="bottom"/>
          </w:tcPr>
          <w:p w14:paraId="66E3DF5C"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32.0</w:t>
            </w:r>
          </w:p>
        </w:tc>
      </w:tr>
      <w:tr w:rsidR="003F393F" w:rsidRPr="00294018" w14:paraId="11A38B7C" w14:textId="77777777" w:rsidTr="0060017F">
        <w:tc>
          <w:tcPr>
            <w:tcW w:w="4395" w:type="dxa"/>
            <w:vAlign w:val="bottom"/>
          </w:tcPr>
          <w:p w14:paraId="50298B7D"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color w:val="000000" w:themeColor="text1"/>
                <w:sz w:val="20"/>
                <w:szCs w:val="20"/>
                <w:lang w:val="en-US"/>
              </w:rPr>
              <w:t xml:space="preserve">Plastics </w:t>
            </w:r>
          </w:p>
        </w:tc>
        <w:tc>
          <w:tcPr>
            <w:tcW w:w="1842" w:type="dxa"/>
            <w:gridSpan w:val="2"/>
            <w:vAlign w:val="bottom"/>
          </w:tcPr>
          <w:p w14:paraId="64D92CAD"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5643</w:t>
            </w:r>
          </w:p>
        </w:tc>
        <w:tc>
          <w:tcPr>
            <w:tcW w:w="2835" w:type="dxa"/>
            <w:gridSpan w:val="2"/>
            <w:vAlign w:val="bottom"/>
          </w:tcPr>
          <w:p w14:paraId="7A93C2C2"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9.0</w:t>
            </w:r>
          </w:p>
        </w:tc>
      </w:tr>
      <w:tr w:rsidR="003F393F" w:rsidRPr="00294018" w14:paraId="2A73050E" w14:textId="77777777" w:rsidTr="0060017F">
        <w:tc>
          <w:tcPr>
            <w:tcW w:w="4395" w:type="dxa"/>
            <w:vAlign w:val="bottom"/>
          </w:tcPr>
          <w:p w14:paraId="4A2AC307" w14:textId="77777777" w:rsidR="003F393F" w:rsidRPr="00294018" w:rsidRDefault="003F393F" w:rsidP="0060017F">
            <w:pPr>
              <w:spacing w:before="40" w:after="40"/>
              <w:ind w:firstLine="567"/>
              <w:jc w:val="both"/>
              <w:rPr>
                <w:rFonts w:ascii="Arial" w:hAnsi="Arial" w:cs="Arial"/>
                <w:color w:val="000000" w:themeColor="text1"/>
                <w:sz w:val="20"/>
                <w:szCs w:val="20"/>
                <w:lang w:val="en-US"/>
              </w:rPr>
            </w:pPr>
            <w:r w:rsidRPr="00294018">
              <w:rPr>
                <w:rFonts w:ascii="Arial" w:hAnsi="Arial" w:cs="Arial"/>
                <w:color w:val="000000" w:themeColor="text1"/>
                <w:sz w:val="20"/>
                <w:szCs w:val="20"/>
                <w:lang w:val="en-US"/>
              </w:rPr>
              <w:t>Motor vehicles</w:t>
            </w:r>
          </w:p>
        </w:tc>
        <w:tc>
          <w:tcPr>
            <w:tcW w:w="1842" w:type="dxa"/>
            <w:gridSpan w:val="2"/>
            <w:vAlign w:val="bottom"/>
          </w:tcPr>
          <w:p w14:paraId="6588B91C" w14:textId="77777777" w:rsidR="003F393F" w:rsidRPr="00294018" w:rsidRDefault="003F393F" w:rsidP="0060017F">
            <w:pPr>
              <w:spacing w:before="40" w:after="40"/>
              <w:ind w:right="456"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5443</w:t>
            </w:r>
          </w:p>
        </w:tc>
        <w:tc>
          <w:tcPr>
            <w:tcW w:w="2835" w:type="dxa"/>
            <w:gridSpan w:val="2"/>
            <w:vAlign w:val="bottom"/>
          </w:tcPr>
          <w:p w14:paraId="493251A5" w14:textId="77777777" w:rsidR="003F393F" w:rsidRPr="00294018" w:rsidRDefault="003F393F" w:rsidP="0060017F">
            <w:pPr>
              <w:spacing w:before="40" w:after="40"/>
              <w:ind w:right="880" w:firstLine="36"/>
              <w:jc w:val="right"/>
              <w:rPr>
                <w:rFonts w:ascii="Arial" w:hAnsi="Arial" w:cs="Arial"/>
                <w:color w:val="000000" w:themeColor="text1"/>
                <w:sz w:val="20"/>
                <w:szCs w:val="20"/>
                <w:lang w:val="en-US"/>
              </w:rPr>
            </w:pPr>
            <w:r w:rsidRPr="00294018">
              <w:rPr>
                <w:rFonts w:ascii="Arial" w:hAnsi="Arial" w:cs="Arial"/>
                <w:color w:val="000000" w:themeColor="text1"/>
                <w:sz w:val="20"/>
                <w:szCs w:val="20"/>
                <w:lang w:val="en-US"/>
              </w:rPr>
              <w:t>36.0</w:t>
            </w:r>
          </w:p>
        </w:tc>
      </w:tr>
    </w:tbl>
    <w:p w14:paraId="1995A2F6" w14:textId="77777777" w:rsidR="003F393F" w:rsidRPr="00294018" w:rsidRDefault="003F393F" w:rsidP="003F393F">
      <w:pPr>
        <w:tabs>
          <w:tab w:val="num" w:pos="0"/>
          <w:tab w:val="left" w:pos="9475"/>
        </w:tabs>
        <w:spacing w:before="40" w:after="40" w:line="288" w:lineRule="auto"/>
        <w:ind w:right="6" w:firstLine="567"/>
        <w:jc w:val="both"/>
        <w:rPr>
          <w:rFonts w:ascii="Arial" w:hAnsi="Arial" w:cs="Arial"/>
          <w:b/>
          <w:bCs/>
          <w:i/>
          <w:iCs/>
          <w:color w:val="000000" w:themeColor="text1"/>
          <w:sz w:val="2"/>
          <w:szCs w:val="20"/>
        </w:rPr>
      </w:pPr>
      <w:r w:rsidRPr="00294018">
        <w:rPr>
          <w:rFonts w:ascii="Arial" w:hAnsi="Arial" w:cs="Arial"/>
          <w:b/>
          <w:bCs/>
          <w:i/>
          <w:iCs/>
          <w:color w:val="000000" w:themeColor="text1"/>
          <w:sz w:val="2"/>
          <w:szCs w:val="20"/>
        </w:rPr>
        <w:t xml:space="preserve"> </w:t>
      </w:r>
    </w:p>
    <w:p w14:paraId="1C9965AD" w14:textId="77777777" w:rsidR="003F393F" w:rsidRPr="00294018" w:rsidRDefault="003F393F" w:rsidP="003F393F">
      <w:pPr>
        <w:tabs>
          <w:tab w:val="num" w:pos="0"/>
          <w:tab w:val="left" w:pos="9475"/>
        </w:tabs>
        <w:spacing w:before="40" w:after="40" w:line="288" w:lineRule="auto"/>
        <w:ind w:right="6"/>
        <w:jc w:val="both"/>
        <w:rPr>
          <w:rFonts w:eastAsia="Batang"/>
          <w:bCs/>
          <w:iCs/>
          <w:color w:val="000000" w:themeColor="text1"/>
          <w:spacing w:val="-6"/>
        </w:rPr>
      </w:pPr>
      <w:r w:rsidRPr="00294018">
        <w:rPr>
          <w:noProof/>
          <w:color w:val="000000" w:themeColor="text1"/>
          <w:spacing w:val="-6"/>
        </w:rPr>
        <mc:AlternateContent>
          <mc:Choice Requires="wps">
            <w:drawing>
              <wp:anchor distT="0" distB="0" distL="114300" distR="114300" simplePos="0" relativeHeight="251667456" behindDoc="0" locked="0" layoutInCell="1" allowOverlap="1" wp14:anchorId="2E859B13" wp14:editId="569AE485">
                <wp:simplePos x="0" y="0"/>
                <wp:positionH relativeFrom="column">
                  <wp:posOffset>84455</wp:posOffset>
                </wp:positionH>
                <wp:positionV relativeFrom="paragraph">
                  <wp:posOffset>55880</wp:posOffset>
                </wp:positionV>
                <wp:extent cx="3591560" cy="2966085"/>
                <wp:effectExtent l="0" t="0" r="8890" b="571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1560" cy="2966085"/>
                        </a:xfrm>
                        <a:prstGeom prst="rect">
                          <a:avLst/>
                        </a:prstGeom>
                        <a:solidFill>
                          <a:srgbClr val="FFFFFF"/>
                        </a:solidFill>
                        <a:ln w="9525">
                          <a:noFill/>
                          <a:miter lim="800000"/>
                          <a:headEnd/>
                          <a:tailEnd/>
                        </a:ln>
                      </wps:spPr>
                      <wps:txbx>
                        <w:txbxContent>
                          <w:p w14:paraId="7578BBBC" w14:textId="77777777" w:rsidR="00045DD9" w:rsidRPr="00CE2D53" w:rsidRDefault="00045DD9" w:rsidP="003F393F">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33C711AF" w14:textId="77777777" w:rsidR="00045DD9" w:rsidRPr="00FF25D5" w:rsidRDefault="00045DD9" w:rsidP="003F393F">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in five</w:t>
                            </w:r>
                            <w:r w:rsidRPr="00CE2D53">
                              <w:rPr>
                                <w:rFonts w:ascii="Arial" w:hAnsi="Arial" w:cs="Arial"/>
                                <w:b/>
                                <w:bCs/>
                                <w:sz w:val="24"/>
                                <w:szCs w:val="24"/>
                              </w:rPr>
                              <w:t xml:space="preserve"> months of 2026</w:t>
                            </w:r>
                          </w:p>
                          <w:p w14:paraId="76FE401C" w14:textId="77777777" w:rsidR="00045DD9" w:rsidRPr="00F66505" w:rsidRDefault="00045DD9" w:rsidP="003F393F">
                            <w:pPr>
                              <w:ind w:left="-284"/>
                              <w:jc w:val="right"/>
                              <w:rPr>
                                <w:rFonts w:ascii="Arial" w:hAnsi="Arial" w:cs="Arial"/>
                                <w:b/>
                                <w:bCs/>
                                <w:sz w:val="14"/>
                                <w:szCs w:val="24"/>
                              </w:rPr>
                            </w:pPr>
                            <w:r>
                              <w:rPr>
                                <w:noProof/>
                              </w:rPr>
                              <w:drawing>
                                <wp:inline distT="0" distB="0" distL="0" distR="0" wp14:anchorId="12EE74B3" wp14:editId="60FFBAB0">
                                  <wp:extent cx="3399790" cy="22115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9790" cy="221156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59B13" id="_x0000_s1027" type="#_x0000_t202" style="position:absolute;left:0;text-align:left;margin-left:6.65pt;margin-top:4.4pt;width:282.8pt;height:23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" stroked="f">
                <v:textbox>
                  <w:txbxContent>
                    <w:p w14:paraId="7578BBBC" w14:textId="77777777" w:rsidR="00045DD9" w:rsidRPr="00CE2D53" w:rsidRDefault="00045DD9" w:rsidP="003F393F">
                      <w:pPr>
                        <w:spacing w:after="120"/>
                        <w:ind w:left="-284" w:firstLine="142"/>
                        <w:jc w:val="center"/>
                        <w:rPr>
                          <w:rFonts w:ascii="Arial" w:hAnsi="Arial" w:cs="Arial"/>
                          <w:b/>
                          <w:bCs/>
                          <w:sz w:val="24"/>
                          <w:szCs w:val="24"/>
                        </w:rPr>
                      </w:pPr>
                      <w:r>
                        <w:rPr>
                          <w:rFonts w:ascii="Arial" w:hAnsi="Arial" w:cs="Arial"/>
                          <w:b/>
                          <w:bCs/>
                          <w:sz w:val="24"/>
                          <w:szCs w:val="24"/>
                        </w:rPr>
                        <w:t>Figure</w:t>
                      </w:r>
                      <w:r w:rsidRPr="006822A2">
                        <w:rPr>
                          <w:rFonts w:ascii="Arial" w:hAnsi="Arial" w:cs="Arial"/>
                          <w:b/>
                          <w:bCs/>
                          <w:sz w:val="24"/>
                          <w:szCs w:val="24"/>
                        </w:rPr>
                        <w:t xml:space="preserve"> </w:t>
                      </w:r>
                      <w:r>
                        <w:rPr>
                          <w:rFonts w:ascii="Arial" w:hAnsi="Arial" w:cs="Arial"/>
                          <w:b/>
                          <w:bCs/>
                          <w:sz w:val="24"/>
                          <w:szCs w:val="24"/>
                        </w:rPr>
                        <w:t>13</w:t>
                      </w:r>
                      <w:r w:rsidRPr="006822A2">
                        <w:rPr>
                          <w:rFonts w:ascii="Arial" w:hAnsi="Arial" w:cs="Arial"/>
                          <w:b/>
                          <w:bCs/>
                          <w:sz w:val="24"/>
                          <w:szCs w:val="24"/>
                        </w:rPr>
                        <w:t xml:space="preserve">. </w:t>
                      </w:r>
                      <w:r w:rsidRPr="00CE2D53">
                        <w:rPr>
                          <w:rFonts w:ascii="Arial" w:hAnsi="Arial" w:cs="Arial"/>
                          <w:b/>
                          <w:bCs/>
                          <w:sz w:val="24"/>
                          <w:szCs w:val="24"/>
                        </w:rPr>
                        <w:t xml:space="preserve">Structure of </w:t>
                      </w:r>
                      <w:r>
                        <w:rPr>
                          <w:rFonts w:ascii="Arial" w:hAnsi="Arial" w:cs="Arial"/>
                          <w:b/>
                          <w:bCs/>
                          <w:sz w:val="24"/>
                          <w:szCs w:val="24"/>
                        </w:rPr>
                        <w:t>im</w:t>
                      </w:r>
                      <w:r w:rsidRPr="00CE2D53">
                        <w:rPr>
                          <w:rFonts w:ascii="Arial" w:hAnsi="Arial" w:cs="Arial"/>
                          <w:b/>
                          <w:bCs/>
                          <w:sz w:val="24"/>
                          <w:szCs w:val="24"/>
                        </w:rPr>
                        <w:t>ported goods</w:t>
                      </w:r>
                    </w:p>
                    <w:p w14:paraId="33C711AF" w14:textId="77777777" w:rsidR="00045DD9" w:rsidRPr="00FF25D5" w:rsidRDefault="00045DD9" w:rsidP="003F393F">
                      <w:pPr>
                        <w:spacing w:after="120"/>
                        <w:ind w:left="-284" w:firstLine="142"/>
                        <w:jc w:val="center"/>
                        <w:rPr>
                          <w:rFonts w:asciiTheme="minorHAnsi" w:eastAsiaTheme="minorHAnsi" w:hAnsiTheme="minorHAnsi" w:cstheme="minorBidi"/>
                          <w:sz w:val="22"/>
                          <w:szCs w:val="22"/>
                        </w:rPr>
                      </w:pPr>
                      <w:r>
                        <w:rPr>
                          <w:rFonts w:ascii="Arial" w:hAnsi="Arial" w:cs="Arial"/>
                          <w:b/>
                          <w:bCs/>
                          <w:sz w:val="24"/>
                          <w:szCs w:val="24"/>
                        </w:rPr>
                        <w:t>in five</w:t>
                      </w:r>
                      <w:r w:rsidRPr="00CE2D53">
                        <w:rPr>
                          <w:rFonts w:ascii="Arial" w:hAnsi="Arial" w:cs="Arial"/>
                          <w:b/>
                          <w:bCs/>
                          <w:sz w:val="24"/>
                          <w:szCs w:val="24"/>
                        </w:rPr>
                        <w:t xml:space="preserve"> months of 2026</w:t>
                      </w:r>
                    </w:p>
                    <w:p w14:paraId="76FE401C" w14:textId="77777777" w:rsidR="00045DD9" w:rsidRPr="00F66505" w:rsidRDefault="00045DD9" w:rsidP="003F393F">
                      <w:pPr>
                        <w:ind w:left="-284"/>
                        <w:jc w:val="right"/>
                        <w:rPr>
                          <w:rFonts w:ascii="Arial" w:hAnsi="Arial" w:cs="Arial"/>
                          <w:b/>
                          <w:bCs/>
                          <w:sz w:val="14"/>
                          <w:szCs w:val="24"/>
                        </w:rPr>
                      </w:pPr>
                      <w:r>
                        <w:rPr>
                          <w:noProof/>
                        </w:rPr>
                        <w:drawing>
                          <wp:inline distT="0" distB="0" distL="0" distR="0" wp14:anchorId="12EE74B3" wp14:editId="60FFBAB0">
                            <wp:extent cx="3399790" cy="221156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9790" cy="2211563"/>
                                    </a:xfrm>
                                    <a:prstGeom prst="rect">
                                      <a:avLst/>
                                    </a:prstGeom>
                                    <a:noFill/>
                                  </pic:spPr>
                                </pic:pic>
                              </a:graphicData>
                            </a:graphic>
                          </wp:inline>
                        </w:drawing>
                      </w:r>
                    </w:p>
                  </w:txbxContent>
                </v:textbox>
                <w10:wrap type="square"/>
              </v:shape>
            </w:pict>
          </mc:Fallback>
        </mc:AlternateContent>
      </w:r>
      <w:r w:rsidRPr="00294018">
        <w:rPr>
          <w:rFonts w:eastAsia="Batang"/>
          <w:i/>
          <w:iCs/>
        </w:rPr>
        <w:t>Regarding the structure of imported goods in the five months of 2026</w:t>
      </w:r>
      <w:r w:rsidRPr="00294018">
        <w:rPr>
          <w:rFonts w:eastAsia="Batang"/>
          <w:i/>
          <w:iCs/>
          <w:color w:val="000000" w:themeColor="text1"/>
        </w:rPr>
        <w:t xml:space="preserve">, </w:t>
      </w:r>
      <w:r w:rsidRPr="00294018">
        <w:rPr>
          <w:rFonts w:eastAsia="Batang"/>
          <w:iCs/>
        </w:rPr>
        <w:t>the group of capital goods reached</w:t>
      </w:r>
      <w:r w:rsidRPr="00294018">
        <w:rPr>
          <w:rFonts w:eastAsia="Batang"/>
          <w:bCs/>
          <w:iCs/>
          <w:color w:val="000000" w:themeColor="text1"/>
          <w:spacing w:val="-6"/>
        </w:rPr>
        <w:t xml:space="preserve"> 215.99 billion USD, </w:t>
      </w:r>
      <w:r w:rsidRPr="00294018">
        <w:rPr>
          <w:rFonts w:eastAsia="Batang"/>
          <w:iCs/>
        </w:rPr>
        <w:t>accounting for</w:t>
      </w:r>
      <w:r w:rsidRPr="00294018">
        <w:rPr>
          <w:rFonts w:eastAsia="Batang"/>
          <w:bCs/>
          <w:iCs/>
          <w:color w:val="000000" w:themeColor="text1"/>
          <w:spacing w:val="-6"/>
        </w:rPr>
        <w:t xml:space="preserve"> 94.1%, </w:t>
      </w:r>
      <w:r w:rsidRPr="00294018">
        <w:rPr>
          <w:rFonts w:eastAsia="Batang"/>
          <w:iCs/>
        </w:rPr>
        <w:t xml:space="preserve">of which </w:t>
      </w:r>
      <w:r w:rsidRPr="00294018">
        <w:rPr>
          <w:rFonts w:eastAsia="Batang"/>
          <w:bCs/>
          <w:spacing w:val="-6"/>
        </w:rPr>
        <w:t>the group of machine, equipment, tools and instruments</w:t>
      </w:r>
      <w:r w:rsidRPr="00294018">
        <w:rPr>
          <w:rFonts w:eastAsia="Batang"/>
          <w:iCs/>
        </w:rPr>
        <w:t xml:space="preserve"> accounted for</w:t>
      </w:r>
      <w:r w:rsidRPr="00294018">
        <w:rPr>
          <w:rFonts w:eastAsia="Batang"/>
          <w:bCs/>
          <w:iCs/>
          <w:color w:val="000000" w:themeColor="text1"/>
          <w:spacing w:val="-6"/>
        </w:rPr>
        <w:t xml:space="preserve"> 55.7%; </w:t>
      </w:r>
      <w:r w:rsidRPr="00294018">
        <w:rPr>
          <w:rFonts w:eastAsia="Batang"/>
          <w:bCs/>
          <w:spacing w:val="-6"/>
        </w:rPr>
        <w:t>the group of</w:t>
      </w:r>
      <w:r w:rsidRPr="00294018">
        <w:rPr>
          <w:rFonts w:eastAsia="Batang"/>
          <w:bCs/>
          <w:iCs/>
          <w:color w:val="000000" w:themeColor="text1"/>
        </w:rPr>
        <w:t xml:space="preserve"> </w:t>
      </w:r>
      <w:r w:rsidRPr="00294018">
        <w:rPr>
          <w:rFonts w:eastAsia="Batang"/>
          <w:iCs/>
        </w:rPr>
        <w:t>fuels, raw materials accounted for</w:t>
      </w:r>
      <w:r w:rsidRPr="00294018">
        <w:rPr>
          <w:rFonts w:eastAsia="Batang"/>
          <w:bCs/>
          <w:iCs/>
          <w:color w:val="000000" w:themeColor="text1"/>
          <w:spacing w:val="-6"/>
        </w:rPr>
        <w:t xml:space="preserve"> 38.4%. </w:t>
      </w:r>
      <w:r w:rsidRPr="00294018">
        <w:rPr>
          <w:rFonts w:eastAsia="Batang"/>
          <w:iCs/>
        </w:rPr>
        <w:t>The group of consumer goods reached</w:t>
      </w:r>
      <w:r w:rsidRPr="00294018">
        <w:rPr>
          <w:rFonts w:eastAsia="Batang"/>
          <w:bCs/>
          <w:iCs/>
          <w:color w:val="000000" w:themeColor="text1"/>
          <w:spacing w:val="-6"/>
        </w:rPr>
        <w:t xml:space="preserve"> 13.47 billion USD, </w:t>
      </w:r>
      <w:r w:rsidRPr="00294018">
        <w:rPr>
          <w:rFonts w:eastAsia="Batang"/>
          <w:iCs/>
        </w:rPr>
        <w:t>accounting for</w:t>
      </w:r>
      <w:r w:rsidRPr="00294018">
        <w:rPr>
          <w:rFonts w:eastAsia="Batang"/>
          <w:bCs/>
          <w:iCs/>
          <w:color w:val="000000" w:themeColor="text1"/>
          <w:spacing w:val="-6"/>
        </w:rPr>
        <w:t xml:space="preserve"> 5.9%.</w:t>
      </w:r>
      <w:r w:rsidRPr="00294018">
        <w:rPr>
          <w:rFonts w:asciiTheme="minorHAnsi" w:eastAsiaTheme="minorHAnsi" w:hAnsiTheme="minorHAnsi" w:cstheme="minorBidi"/>
          <w:color w:val="000000" w:themeColor="text1"/>
          <w:spacing w:val="-6"/>
          <w:sz w:val="22"/>
          <w:szCs w:val="22"/>
        </w:rPr>
        <w:t xml:space="preserve"> </w:t>
      </w:r>
    </w:p>
    <w:p w14:paraId="43DE5B10" w14:textId="77777777" w:rsidR="003F393F" w:rsidRPr="00294018" w:rsidRDefault="003F393F" w:rsidP="003F393F">
      <w:pPr>
        <w:tabs>
          <w:tab w:val="num" w:pos="0"/>
          <w:tab w:val="left" w:pos="9475"/>
        </w:tabs>
        <w:spacing w:before="40" w:after="40" w:line="288" w:lineRule="auto"/>
        <w:ind w:right="6"/>
        <w:jc w:val="both"/>
        <w:rPr>
          <w:rFonts w:asciiTheme="minorHAnsi" w:eastAsiaTheme="minorHAnsi" w:hAnsiTheme="minorHAnsi" w:cstheme="minorBidi"/>
          <w:color w:val="000000" w:themeColor="text1"/>
          <w:sz w:val="22"/>
          <w:szCs w:val="22"/>
        </w:rPr>
      </w:pPr>
    </w:p>
    <w:p w14:paraId="44585E03" w14:textId="77777777" w:rsidR="003F393F" w:rsidRPr="00294018" w:rsidRDefault="003F393F" w:rsidP="003F393F">
      <w:pPr>
        <w:tabs>
          <w:tab w:val="num" w:pos="0"/>
          <w:tab w:val="left" w:pos="9475"/>
        </w:tabs>
        <w:spacing w:before="40" w:after="40" w:line="288" w:lineRule="auto"/>
        <w:ind w:right="6"/>
        <w:jc w:val="center"/>
        <w:rPr>
          <w:rFonts w:asciiTheme="minorHAnsi" w:eastAsiaTheme="minorHAnsi" w:hAnsiTheme="minorHAnsi" w:cstheme="minorBidi"/>
          <w:color w:val="000000" w:themeColor="text1"/>
          <w:sz w:val="22"/>
          <w:szCs w:val="22"/>
        </w:rPr>
      </w:pPr>
      <w:bookmarkStart w:id="7" w:name="_Hlk215671807"/>
      <w:bookmarkStart w:id="8" w:name="_Hlk215671826"/>
      <w:r w:rsidRPr="00294018">
        <w:rPr>
          <w:rFonts w:ascii="Arial" w:hAnsi="Arial" w:cs="Arial"/>
          <w:b/>
          <w:iCs/>
          <w:color w:val="000000" w:themeColor="text1"/>
          <w:spacing w:val="-2"/>
          <w:sz w:val="24"/>
        </w:rPr>
        <w:t xml:space="preserve">Figure 14. </w:t>
      </w:r>
      <w:r w:rsidRPr="00294018">
        <w:rPr>
          <w:rFonts w:ascii="Arial Bold" w:hAnsi="Arial Bold"/>
          <w:b/>
          <w:spacing w:val="-8"/>
          <w:sz w:val="24"/>
        </w:rPr>
        <w:t xml:space="preserve">Major commodity </w:t>
      </w:r>
      <w:r w:rsidRPr="00294018">
        <w:rPr>
          <w:rFonts w:ascii="Arial Bold" w:hAnsi="Arial Bold" w:cs="Arial"/>
          <w:b/>
          <w:iCs/>
          <w:spacing w:val="-8"/>
          <w:sz w:val="24"/>
          <w:szCs w:val="24"/>
        </w:rPr>
        <w:t xml:space="preserve">export and </w:t>
      </w:r>
      <w:r w:rsidRPr="00294018">
        <w:rPr>
          <w:rFonts w:ascii="Arial Bold" w:hAnsi="Arial Bold"/>
          <w:b/>
          <w:spacing w:val="-8"/>
          <w:sz w:val="24"/>
        </w:rPr>
        <w:t xml:space="preserve">import markets </w:t>
      </w:r>
      <w:r w:rsidRPr="00294018">
        <w:rPr>
          <w:rFonts w:ascii="Arial Bold" w:hAnsi="Arial Bold"/>
          <w:b/>
          <w:spacing w:val="-8"/>
          <w:sz w:val="24"/>
        </w:rPr>
        <w:br/>
        <w:t>in the five months of</w:t>
      </w:r>
      <w:r w:rsidRPr="00294018">
        <w:rPr>
          <w:rFonts w:ascii="Arial Bold" w:hAnsi="Arial Bold" w:cs="Arial"/>
          <w:b/>
          <w:iCs/>
          <w:spacing w:val="-8"/>
          <w:sz w:val="24"/>
        </w:rPr>
        <w:t xml:space="preserve"> 2026</w:t>
      </w:r>
    </w:p>
    <w:tbl>
      <w:tblPr>
        <w:tblStyle w:val="TableGrid11"/>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3F393F" w:rsidRPr="00294018" w14:paraId="751A766D" w14:textId="77777777" w:rsidTr="0060017F">
        <w:trPr>
          <w:trHeight w:val="3151"/>
          <w:jc w:val="center"/>
        </w:trPr>
        <w:tc>
          <w:tcPr>
            <w:tcW w:w="4675" w:type="dxa"/>
            <w:gridSpan w:val="3"/>
          </w:tcPr>
          <w:p w14:paraId="0D1B73D5" w14:textId="65BC95E9" w:rsidR="003F393F" w:rsidRPr="00294018" w:rsidRDefault="003F393F" w:rsidP="0060017F">
            <w:pPr>
              <w:tabs>
                <w:tab w:val="num" w:pos="0"/>
                <w:tab w:val="left" w:pos="9475"/>
              </w:tabs>
              <w:spacing w:before="40" w:after="40" w:line="288" w:lineRule="auto"/>
              <w:ind w:right="-118" w:firstLine="37"/>
              <w:jc w:val="both"/>
              <w:rPr>
                <w:iCs/>
                <w:color w:val="000000" w:themeColor="text1"/>
                <w:lang w:val="en-US"/>
              </w:rPr>
            </w:pPr>
            <w:r w:rsidRPr="00294018">
              <w:rPr>
                <w:noProof/>
              </w:rPr>
              <w:drawing>
                <wp:inline distT="0" distB="0" distL="0" distR="0" wp14:anchorId="0F3D9A23" wp14:editId="494EDFB2">
                  <wp:extent cx="2831465" cy="1897380"/>
                  <wp:effectExtent l="0" t="0" r="6985" b="7620"/>
                  <wp:docPr id="15" name="Chart 15">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4818" w:type="dxa"/>
            <w:gridSpan w:val="3"/>
          </w:tcPr>
          <w:p w14:paraId="71376494" w14:textId="0ECFE7E2" w:rsidR="003F393F" w:rsidRPr="00294018" w:rsidRDefault="003F393F" w:rsidP="0060017F">
            <w:pPr>
              <w:tabs>
                <w:tab w:val="num" w:pos="0"/>
                <w:tab w:val="left" w:pos="9475"/>
              </w:tabs>
              <w:spacing w:before="40" w:after="40" w:line="288" w:lineRule="auto"/>
              <w:ind w:right="6" w:firstLine="35"/>
              <w:jc w:val="both"/>
              <w:rPr>
                <w:iCs/>
                <w:color w:val="000000" w:themeColor="text1"/>
                <w:lang w:val="en-US"/>
              </w:rPr>
            </w:pPr>
            <w:r w:rsidRPr="00294018">
              <w:rPr>
                <w:noProof/>
              </w:rPr>
              <w:drawing>
                <wp:inline distT="0" distB="0" distL="0" distR="0" wp14:anchorId="71E8853B" wp14:editId="004C12E9">
                  <wp:extent cx="2922270" cy="1871980"/>
                  <wp:effectExtent l="0" t="0" r="11430" b="13970"/>
                  <wp:docPr id="12" name="Chart 12">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r w:rsidR="003F393F" w:rsidRPr="00294018" w14:paraId="0F66BBF5" w14:textId="77777777" w:rsidTr="0060017F">
        <w:trPr>
          <w:gridAfter w:val="1"/>
          <w:wAfter w:w="532" w:type="dxa"/>
          <w:trHeight w:val="176"/>
          <w:jc w:val="center"/>
        </w:trPr>
        <w:tc>
          <w:tcPr>
            <w:tcW w:w="1791" w:type="dxa"/>
          </w:tcPr>
          <w:p w14:paraId="133E2CC3" w14:textId="77777777" w:rsidR="003F393F" w:rsidRPr="00294018" w:rsidRDefault="003F393F" w:rsidP="0060017F">
            <w:pPr>
              <w:spacing w:before="40" w:after="40" w:line="288" w:lineRule="auto"/>
              <w:ind w:firstLine="567"/>
              <w:jc w:val="both"/>
              <w:rPr>
                <w:b/>
                <w:bCs/>
                <w:i/>
                <w:iCs/>
                <w:color w:val="000000" w:themeColor="text1"/>
                <w:lang w:val="en-US"/>
              </w:rPr>
            </w:pPr>
          </w:p>
        </w:tc>
        <w:tc>
          <w:tcPr>
            <w:tcW w:w="619" w:type="dxa"/>
          </w:tcPr>
          <w:p w14:paraId="5347DD60" w14:textId="77777777" w:rsidR="003F393F" w:rsidRPr="00294018" w:rsidRDefault="003F393F" w:rsidP="0060017F">
            <w:pPr>
              <w:spacing w:before="40" w:after="40" w:line="288" w:lineRule="auto"/>
              <w:ind w:firstLine="567"/>
              <w:jc w:val="both"/>
              <w:rPr>
                <w:b/>
                <w:bCs/>
                <w:i/>
                <w:iCs/>
                <w:color w:val="000000" w:themeColor="text1"/>
                <w:lang w:val="en-US"/>
              </w:rPr>
            </w:pPr>
          </w:p>
        </w:tc>
        <w:tc>
          <w:tcPr>
            <w:tcW w:w="2265" w:type="dxa"/>
          </w:tcPr>
          <w:p w14:paraId="07048FFC" w14:textId="77777777" w:rsidR="003F393F" w:rsidRPr="00294018" w:rsidRDefault="003F393F" w:rsidP="0060017F">
            <w:pPr>
              <w:spacing w:before="40" w:after="40" w:line="288" w:lineRule="auto"/>
              <w:ind w:firstLine="567"/>
              <w:jc w:val="both"/>
              <w:rPr>
                <w:b/>
                <w:bCs/>
                <w:i/>
                <w:iCs/>
                <w:color w:val="000000" w:themeColor="text1"/>
                <w:lang w:val="en-US"/>
              </w:rPr>
            </w:pPr>
            <w:r w:rsidRPr="00294018">
              <w:rPr>
                <w:noProof/>
                <w:color w:val="000000" w:themeColor="text1"/>
              </w:rPr>
              <mc:AlternateContent>
                <mc:Choice Requires="wps">
                  <w:drawing>
                    <wp:anchor distT="0" distB="0" distL="114300" distR="114300" simplePos="0" relativeHeight="251668480" behindDoc="0" locked="0" layoutInCell="1" allowOverlap="1" wp14:anchorId="017E2C78" wp14:editId="607CB76F">
                      <wp:simplePos x="0" y="0"/>
                      <wp:positionH relativeFrom="column">
                        <wp:posOffset>98425</wp:posOffset>
                      </wp:positionH>
                      <wp:positionV relativeFrom="paragraph">
                        <wp:posOffset>36195</wp:posOffset>
                      </wp:positionV>
                      <wp:extent cx="125730" cy="90170"/>
                      <wp:effectExtent l="0" t="0" r="7620" b="5080"/>
                      <wp:wrapNone/>
                      <wp:docPr id="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00B05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D720F"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" fillcolor="#00b050" stroked="f" strokeweight="1pt">
                      <v:path arrowok="t"/>
                    </v:rect>
                  </w:pict>
                </mc:Fallback>
              </mc:AlternateContent>
            </w:r>
            <w:r w:rsidRPr="00294018">
              <w:rPr>
                <w:rFonts w:ascii="Arial" w:hAnsi="Arial" w:cs="Arial"/>
                <w:iCs/>
                <w:color w:val="000000" w:themeColor="text1"/>
                <w:sz w:val="16"/>
                <w:szCs w:val="16"/>
                <w:lang w:val="en-US"/>
              </w:rPr>
              <w:t xml:space="preserve"> </w:t>
            </w:r>
            <w:r w:rsidRPr="00294018">
              <w:rPr>
                <w:rFonts w:ascii="Arial" w:hAnsi="Arial" w:cs="Arial"/>
                <w:iCs/>
                <w:sz w:val="16"/>
                <w:szCs w:val="16"/>
                <w:lang w:val="en-US"/>
              </w:rPr>
              <w:t>Export of goods</w:t>
            </w:r>
          </w:p>
        </w:tc>
        <w:tc>
          <w:tcPr>
            <w:tcW w:w="2838" w:type="dxa"/>
          </w:tcPr>
          <w:p w14:paraId="55145D6F" w14:textId="77777777" w:rsidR="003F393F" w:rsidRPr="00294018" w:rsidRDefault="003F393F" w:rsidP="0060017F">
            <w:pPr>
              <w:spacing w:before="40" w:after="40" w:line="288" w:lineRule="auto"/>
              <w:ind w:firstLine="567"/>
              <w:jc w:val="both"/>
              <w:rPr>
                <w:b/>
                <w:bCs/>
                <w:i/>
                <w:iCs/>
                <w:color w:val="000000" w:themeColor="text1"/>
                <w:lang w:val="en-US"/>
              </w:rPr>
            </w:pPr>
            <w:r w:rsidRPr="00294018">
              <w:rPr>
                <w:noProof/>
                <w:color w:val="000000" w:themeColor="text1"/>
              </w:rPr>
              <mc:AlternateContent>
                <mc:Choice Requires="wps">
                  <w:drawing>
                    <wp:anchor distT="0" distB="0" distL="114300" distR="114300" simplePos="0" relativeHeight="251669504" behindDoc="0" locked="0" layoutInCell="1" allowOverlap="1" wp14:anchorId="2B95FC3F" wp14:editId="33FAD0A8">
                      <wp:simplePos x="0" y="0"/>
                      <wp:positionH relativeFrom="column">
                        <wp:posOffset>414655</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7030A0"/>
                              </a:solidFill>
                              <a:ln w="6350" cap="flat" cmpd="sng" algn="ctr">
                                <a:solidFill>
                                  <a:srgbClr val="E7E6E6">
                                    <a:lumMod val="2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0E3BB" id="Rectangle 29" o:spid="_x0000_s1026" style="position:absolute;margin-left:32.65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" fillcolor="#7030a0" strokecolor="#3b3838" strokeweight=".5pt">
                      <v:path arrowok="t"/>
                    </v:rect>
                  </w:pict>
                </mc:Fallback>
              </mc:AlternateContent>
            </w:r>
            <w:r w:rsidRPr="00294018">
              <w:rPr>
                <w:rFonts w:ascii="Arial" w:hAnsi="Arial" w:cs="Arial"/>
                <w:iCs/>
                <w:color w:val="000000" w:themeColor="text1"/>
                <w:sz w:val="16"/>
                <w:szCs w:val="16"/>
                <w:lang w:val="en-US"/>
              </w:rPr>
              <w:t xml:space="preserve">          </w:t>
            </w:r>
            <w:r w:rsidRPr="00294018">
              <w:rPr>
                <w:rFonts w:ascii="Arial" w:hAnsi="Arial" w:cs="Arial"/>
                <w:iCs/>
                <w:sz w:val="16"/>
                <w:szCs w:val="16"/>
                <w:lang w:val="en-US"/>
              </w:rPr>
              <w:t>Import of goods</w:t>
            </w:r>
          </w:p>
        </w:tc>
        <w:tc>
          <w:tcPr>
            <w:tcW w:w="1448" w:type="dxa"/>
          </w:tcPr>
          <w:p w14:paraId="09514F95" w14:textId="77777777" w:rsidR="003F393F" w:rsidRPr="00294018" w:rsidRDefault="003F393F" w:rsidP="0060017F">
            <w:pPr>
              <w:spacing w:before="40" w:after="40" w:line="288" w:lineRule="auto"/>
              <w:ind w:firstLine="567"/>
              <w:jc w:val="both"/>
              <w:rPr>
                <w:b/>
                <w:bCs/>
                <w:i/>
                <w:iCs/>
                <w:color w:val="000000" w:themeColor="text1"/>
                <w:lang w:val="en-US"/>
              </w:rPr>
            </w:pPr>
          </w:p>
        </w:tc>
      </w:tr>
    </w:tbl>
    <w:bookmarkEnd w:id="7"/>
    <w:bookmarkEnd w:id="8"/>
    <w:p w14:paraId="73455BA6" w14:textId="77777777" w:rsidR="003F393F" w:rsidRPr="00294018" w:rsidRDefault="003F393F" w:rsidP="003F393F">
      <w:pPr>
        <w:tabs>
          <w:tab w:val="num" w:pos="0"/>
          <w:tab w:val="left" w:pos="9475"/>
        </w:tabs>
        <w:spacing w:after="120" w:line="259" w:lineRule="auto"/>
        <w:ind w:firstLine="720"/>
        <w:jc w:val="both"/>
        <w:rPr>
          <w:rFonts w:eastAsiaTheme="minorHAnsi"/>
          <w:color w:val="000000" w:themeColor="text1"/>
        </w:rPr>
      </w:pPr>
      <w:r w:rsidRPr="00294018">
        <w:rPr>
          <w:bCs/>
          <w:i/>
          <w:spacing w:val="-4"/>
        </w:rPr>
        <w:lastRenderedPageBreak/>
        <w:t>Regarding export and import markets of goods in the five months of 2026</w:t>
      </w:r>
      <w:r w:rsidRPr="00294018">
        <w:rPr>
          <w:bCs/>
          <w:i/>
          <w:color w:val="000000" w:themeColor="text1"/>
          <w:spacing w:val="-4"/>
        </w:rPr>
        <w:t>,</w:t>
      </w:r>
      <w:r w:rsidRPr="00294018">
        <w:rPr>
          <w:bCs/>
          <w:iCs/>
          <w:color w:val="000000" w:themeColor="text1"/>
          <w:spacing w:val="-4"/>
        </w:rPr>
        <w:t xml:space="preserve"> </w:t>
      </w:r>
      <w:r w:rsidRPr="00294018">
        <w:rPr>
          <w:bCs/>
          <w:spacing w:val="-4"/>
        </w:rPr>
        <w:t>the United States was Viet Nam’s largest export market with a turnover of</w:t>
      </w:r>
      <w:r w:rsidRPr="00294018">
        <w:rPr>
          <w:bCs/>
          <w:iCs/>
          <w:color w:val="000000" w:themeColor="text1"/>
          <w:spacing w:val="-4"/>
        </w:rPr>
        <w:t xml:space="preserve"> 69.6 billion USD. </w:t>
      </w:r>
      <w:r w:rsidRPr="00294018">
        <w:rPr>
          <w:bCs/>
          <w:spacing w:val="-4"/>
        </w:rPr>
        <w:t>China remained Viet Nam’s largest import market with a turnover of</w:t>
      </w:r>
      <w:r w:rsidRPr="00294018">
        <w:rPr>
          <w:bCs/>
          <w:iCs/>
          <w:color w:val="000000" w:themeColor="text1"/>
          <w:spacing w:val="-4"/>
        </w:rPr>
        <w:t xml:space="preserve"> 92.6 billion USD. </w:t>
      </w:r>
      <w:r w:rsidRPr="00294018">
        <w:rPr>
          <w:iCs/>
          <w:spacing w:val="-4"/>
        </w:rPr>
        <w:t>In the five months of 2026</w:t>
      </w:r>
      <w:r w:rsidRPr="00294018">
        <w:rPr>
          <w:bCs/>
          <w:iCs/>
          <w:color w:val="000000" w:themeColor="text1"/>
          <w:spacing w:val="-4"/>
        </w:rPr>
        <w:t xml:space="preserve">, </w:t>
      </w:r>
      <w:r w:rsidRPr="00294018">
        <w:rPr>
          <w:bCs/>
          <w:spacing w:val="-4"/>
        </w:rPr>
        <w:t>the trade surplus to the United States and EU reached</w:t>
      </w:r>
      <w:r w:rsidRPr="00294018">
        <w:rPr>
          <w:bCs/>
          <w:iCs/>
          <w:color w:val="000000" w:themeColor="text1"/>
          <w:spacing w:val="-4"/>
        </w:rPr>
        <w:t xml:space="preserve"> 60.4 billion USD and 18.1 billion USD, </w:t>
      </w:r>
      <w:r w:rsidRPr="00294018">
        <w:rPr>
          <w:bCs/>
          <w:spacing w:val="-4"/>
        </w:rPr>
        <w:t>respectively, with the corresponding year</w:t>
      </w:r>
      <w:r w:rsidRPr="00294018">
        <w:rPr>
          <w:bCs/>
          <w:iCs/>
          <w:spacing w:val="-2"/>
        </w:rPr>
        <w:t>-on-year surge of</w:t>
      </w:r>
      <w:r w:rsidRPr="00294018">
        <w:rPr>
          <w:bCs/>
          <w:iCs/>
          <w:color w:val="000000" w:themeColor="text1"/>
          <w:spacing w:val="-4"/>
        </w:rPr>
        <w:t xml:space="preserve"> 21.1% and 11,3%; </w:t>
      </w:r>
      <w:r w:rsidRPr="00294018">
        <w:rPr>
          <w:bCs/>
          <w:spacing w:val="-4"/>
        </w:rPr>
        <w:t>the trade surplus to Japan reached</w:t>
      </w:r>
      <w:r w:rsidRPr="00294018">
        <w:rPr>
          <w:bCs/>
          <w:iCs/>
          <w:color w:val="000000" w:themeColor="text1"/>
          <w:spacing w:val="-4"/>
        </w:rPr>
        <w:t xml:space="preserve"> 0.8 billion USD, </w:t>
      </w:r>
      <w:r w:rsidRPr="00294018">
        <w:rPr>
          <w:bCs/>
          <w:iCs/>
          <w:spacing w:val="-2"/>
        </w:rPr>
        <w:t>a downturn of</w:t>
      </w:r>
      <w:r w:rsidRPr="00294018">
        <w:rPr>
          <w:bCs/>
          <w:iCs/>
          <w:color w:val="000000" w:themeColor="text1"/>
          <w:spacing w:val="-4"/>
        </w:rPr>
        <w:t xml:space="preserve"> 13.2%; </w:t>
      </w:r>
      <w:r w:rsidRPr="00294018">
        <w:rPr>
          <w:bCs/>
          <w:spacing w:val="-4"/>
        </w:rPr>
        <w:t>the trade deficit to China, South Korea, ASEAN was</w:t>
      </w:r>
      <w:r w:rsidRPr="00294018">
        <w:rPr>
          <w:bCs/>
          <w:iCs/>
          <w:color w:val="000000" w:themeColor="text1"/>
          <w:spacing w:val="-4"/>
        </w:rPr>
        <w:t xml:space="preserve"> 62.5 billion USD, 21.1 billion USD, 8.6 billion USD, </w:t>
      </w:r>
      <w:r w:rsidRPr="00294018">
        <w:rPr>
          <w:bCs/>
          <w:spacing w:val="-4"/>
        </w:rPr>
        <w:t>respectively, gaining</w:t>
      </w:r>
      <w:r w:rsidRPr="00294018">
        <w:rPr>
          <w:bCs/>
          <w:iCs/>
          <w:spacing w:val="-2"/>
        </w:rPr>
        <w:t xml:space="preserve"> an equivalent expansion of</w:t>
      </w:r>
      <w:r w:rsidRPr="00294018">
        <w:rPr>
          <w:bCs/>
          <w:iCs/>
          <w:color w:val="000000" w:themeColor="text1"/>
          <w:spacing w:val="-4"/>
        </w:rPr>
        <w:t xml:space="preserve"> 36.4%, 72.5% and 33.1</w:t>
      </w:r>
      <w:r w:rsidRPr="00294018">
        <w:rPr>
          <w:iCs/>
          <w:color w:val="000000" w:themeColor="text1"/>
          <w:spacing w:val="-4"/>
        </w:rPr>
        <w:t>%.</w:t>
      </w:r>
    </w:p>
    <w:p w14:paraId="2A4AF515" w14:textId="02092D6C" w:rsidR="00472273" w:rsidRPr="00294018" w:rsidRDefault="003F393F" w:rsidP="003F393F">
      <w:pPr>
        <w:spacing w:after="120" w:line="259" w:lineRule="auto"/>
        <w:ind w:firstLine="720"/>
        <w:jc w:val="both"/>
        <w:rPr>
          <w:rFonts w:eastAsiaTheme="minorHAnsi"/>
          <w:color w:val="000000" w:themeColor="text1"/>
        </w:rPr>
      </w:pPr>
      <w:r w:rsidRPr="00294018">
        <w:rPr>
          <w:iCs/>
          <w:color w:val="000000" w:themeColor="text1"/>
          <w:spacing w:val="8"/>
        </w:rPr>
        <w:t>According to preliminary data, the trade balance of goods recorded a deficit of 3.99 billion USD</w:t>
      </w:r>
      <w:bookmarkStart w:id="9" w:name="_Hlk213089971"/>
      <w:r w:rsidRPr="00294018">
        <w:rPr>
          <w:iCs/>
          <w:color w:val="000000" w:themeColor="text1"/>
          <w:vertAlign w:val="superscript"/>
        </w:rPr>
        <w:footnoteReference w:id="24"/>
      </w:r>
      <w:bookmarkEnd w:id="9"/>
      <w:r w:rsidRPr="00294018">
        <w:rPr>
          <w:iCs/>
          <w:color w:val="000000" w:themeColor="text1"/>
          <w:spacing w:val="8"/>
        </w:rPr>
        <w:t xml:space="preserve"> in April</w:t>
      </w:r>
      <w:r w:rsidRPr="00294018">
        <w:rPr>
          <w:iCs/>
          <w:color w:val="000000" w:themeColor="text1"/>
        </w:rPr>
        <w:t xml:space="preserve">; 8.59 billion USD for four months; and 5.21 billion USD in May. </w:t>
      </w:r>
      <w:r w:rsidRPr="00294018">
        <w:rPr>
          <w:iCs/>
        </w:rPr>
        <w:t>Overall, in the five months of</w:t>
      </w:r>
      <w:r w:rsidRPr="00294018">
        <w:rPr>
          <w:iCs/>
          <w:color w:val="000000" w:themeColor="text1"/>
        </w:rPr>
        <w:t xml:space="preserve"> 2026, </w:t>
      </w:r>
      <w:r w:rsidRPr="00294018">
        <w:rPr>
          <w:iCs/>
        </w:rPr>
        <w:t>the trade balance of goods posted a deficit of</w:t>
      </w:r>
      <w:r w:rsidRPr="00294018">
        <w:rPr>
          <w:iCs/>
          <w:color w:val="000000" w:themeColor="text1"/>
        </w:rPr>
        <w:t xml:space="preserve"> 13.8</w:t>
      </w:r>
      <w:bookmarkStart w:id="10" w:name="_Hlk231309170"/>
      <w:r w:rsidRPr="00294018">
        <w:rPr>
          <w:iCs/>
          <w:color w:val="000000" w:themeColor="text1"/>
        </w:rPr>
        <w:t>0</w:t>
      </w:r>
      <w:r w:rsidRPr="00294018">
        <w:rPr>
          <w:iCs/>
          <w:color w:val="000000" w:themeColor="text1"/>
          <w:vertAlign w:val="superscript"/>
        </w:rPr>
        <w:footnoteReference w:id="25"/>
      </w:r>
      <w:bookmarkEnd w:id="10"/>
      <w:r w:rsidRPr="00294018">
        <w:rPr>
          <w:iCs/>
          <w:color w:val="000000" w:themeColor="text1"/>
        </w:rPr>
        <w:t xml:space="preserve"> billion USD (</w:t>
      </w:r>
      <w:r w:rsidRPr="00294018">
        <w:rPr>
          <w:iCs/>
        </w:rPr>
        <w:t>a surplus of</w:t>
      </w:r>
      <w:r w:rsidRPr="00294018">
        <w:rPr>
          <w:iCs/>
          <w:color w:val="000000" w:themeColor="text1"/>
        </w:rPr>
        <w:t xml:space="preserve"> 5.1 billion USD</w:t>
      </w:r>
      <w:r w:rsidRPr="00294018">
        <w:rPr>
          <w:iCs/>
        </w:rPr>
        <w:t xml:space="preserve"> in the same period last year</w:t>
      </w:r>
      <w:r w:rsidRPr="00294018">
        <w:rPr>
          <w:iCs/>
          <w:color w:val="000000" w:themeColor="text1"/>
        </w:rPr>
        <w:t xml:space="preserve">). </w:t>
      </w:r>
      <w:r w:rsidRPr="00294018">
        <w:rPr>
          <w:iCs/>
        </w:rPr>
        <w:t>Of which, the domestic economic sector recorded a trade deficit of</w:t>
      </w:r>
      <w:r w:rsidRPr="00294018">
        <w:rPr>
          <w:iCs/>
          <w:color w:val="000000" w:themeColor="text1"/>
        </w:rPr>
        <w:t xml:space="preserve"> 20.76 billion USD; </w:t>
      </w:r>
      <w:r w:rsidRPr="00294018">
        <w:rPr>
          <w:iCs/>
        </w:rPr>
        <w:t>while the FDI sector (including crude oil) recorded a trade surplus of</w:t>
      </w:r>
      <w:r w:rsidRPr="00294018">
        <w:rPr>
          <w:iCs/>
          <w:color w:val="000000" w:themeColor="text1"/>
        </w:rPr>
        <w:t xml:space="preserve"> 6.96 billion USD.</w:t>
      </w:r>
      <w:r w:rsidR="00472273" w:rsidRPr="00294018">
        <w:rPr>
          <w:rFonts w:eastAsiaTheme="minorHAnsi"/>
          <w:color w:val="000000" w:themeColor="text1"/>
        </w:rPr>
        <w:t xml:space="preserve"> </w:t>
      </w:r>
      <w:bookmarkEnd w:id="1"/>
    </w:p>
    <w:p w14:paraId="78CFEF59" w14:textId="77777777" w:rsidR="003F393F" w:rsidRPr="00294018" w:rsidRDefault="003F393F" w:rsidP="003F393F">
      <w:pPr>
        <w:spacing w:after="120" w:line="259" w:lineRule="auto"/>
        <w:ind w:firstLine="720"/>
        <w:jc w:val="both"/>
        <w:rPr>
          <w:b/>
          <w:i/>
          <w:color w:val="000000" w:themeColor="text1"/>
        </w:rPr>
      </w:pPr>
      <w:r w:rsidRPr="00294018">
        <w:rPr>
          <w:b/>
          <w:i/>
          <w:color w:val="000000" w:themeColor="text1"/>
        </w:rPr>
        <w:t xml:space="preserve">c) Consumer price index, gold and US dollar price index </w:t>
      </w:r>
    </w:p>
    <w:p w14:paraId="5C1E2257" w14:textId="77777777" w:rsidR="003F393F" w:rsidRPr="00294018" w:rsidRDefault="003F393F" w:rsidP="003F393F">
      <w:pPr>
        <w:pStyle w:val="NormalWeb"/>
        <w:spacing w:before="0" w:beforeAutospacing="0" w:after="120" w:afterAutospacing="0" w:line="259" w:lineRule="auto"/>
        <w:ind w:firstLine="720"/>
        <w:jc w:val="both"/>
        <w:rPr>
          <w:i/>
          <w:color w:val="000000" w:themeColor="text1"/>
          <w:sz w:val="28"/>
          <w:szCs w:val="28"/>
          <w:lang w:val="en-US"/>
        </w:rPr>
      </w:pPr>
      <w:r w:rsidRPr="00294018">
        <w:rPr>
          <w:i/>
          <w:color w:val="000000" w:themeColor="text1"/>
          <w:sz w:val="28"/>
          <w:szCs w:val="28"/>
          <w:lang w:val="en-US"/>
        </w:rPr>
        <w:t>The Consumer Price Index (CPI) in May experienced a month-on-month increase of 0.29% as result of a rise in the prices of electricity and water arising from high demand during hot weather, as well as an increase in the prices of construction material, house rental and gasoline. The CPI in May expanded by 3.61% and 5.60% compared to that in December 2025 and the same period last year, respectively.</w:t>
      </w:r>
    </w:p>
    <w:p w14:paraId="0B184AEF" w14:textId="77777777" w:rsidR="003F393F" w:rsidRPr="00294018" w:rsidRDefault="003F393F" w:rsidP="003F393F">
      <w:pPr>
        <w:pStyle w:val="NormalWeb"/>
        <w:spacing w:before="0" w:beforeAutospacing="0" w:after="120" w:afterAutospacing="0" w:line="259" w:lineRule="auto"/>
        <w:ind w:firstLine="720"/>
        <w:jc w:val="both"/>
        <w:rPr>
          <w:i/>
          <w:color w:val="000000" w:themeColor="text1"/>
          <w:sz w:val="28"/>
          <w:szCs w:val="28"/>
          <w:lang w:val="en-US"/>
        </w:rPr>
      </w:pPr>
      <w:r w:rsidRPr="00294018">
        <w:rPr>
          <w:i/>
          <w:color w:val="000000" w:themeColor="text1"/>
          <w:spacing w:val="4"/>
          <w:sz w:val="28"/>
          <w:szCs w:val="28"/>
          <w:lang w:val="en-US"/>
        </w:rPr>
        <w:t>In general</w:t>
      </w:r>
      <w:r w:rsidRPr="00294018">
        <w:rPr>
          <w:i/>
          <w:color w:val="000000" w:themeColor="text1"/>
          <w:sz w:val="28"/>
          <w:szCs w:val="28"/>
          <w:lang w:val="en-US"/>
        </w:rPr>
        <w:t xml:space="preserve">, the CPI in the five months of 2026 witnessed </w:t>
      </w:r>
      <w:r w:rsidRPr="00294018">
        <w:rPr>
          <w:i/>
          <w:color w:val="000000" w:themeColor="text1"/>
          <w:spacing w:val="4"/>
          <w:sz w:val="28"/>
          <w:szCs w:val="28"/>
          <w:lang w:val="en-US"/>
        </w:rPr>
        <w:t xml:space="preserve">a year-on-year upturn of </w:t>
      </w:r>
      <w:r w:rsidRPr="00294018">
        <w:rPr>
          <w:i/>
          <w:color w:val="000000" w:themeColor="text1"/>
          <w:sz w:val="28"/>
          <w:szCs w:val="28"/>
          <w:lang w:val="en-US"/>
        </w:rPr>
        <w:t>4.31%; core inflation soared by 4.04%.</w:t>
      </w:r>
    </w:p>
    <w:p w14:paraId="3DFF78CF" w14:textId="77777777" w:rsidR="003F393F" w:rsidRPr="00294018" w:rsidRDefault="003F393F" w:rsidP="003F393F">
      <w:pPr>
        <w:spacing w:before="120"/>
        <w:jc w:val="center"/>
        <w:rPr>
          <w:rFonts w:ascii="Arial" w:eastAsia="Calibri" w:hAnsi="Arial" w:cs="Arial"/>
          <w:b/>
          <w:color w:val="000000" w:themeColor="text1"/>
          <w:sz w:val="24"/>
          <w:szCs w:val="24"/>
        </w:rPr>
      </w:pPr>
      <w:r w:rsidRPr="00294018">
        <w:rPr>
          <w:rFonts w:ascii="Arial" w:eastAsia="Calibri" w:hAnsi="Arial" w:cs="Arial"/>
          <w:b/>
          <w:color w:val="000000" w:themeColor="text1"/>
          <w:sz w:val="24"/>
          <w:szCs w:val="24"/>
        </w:rPr>
        <w:t>Figure 15. Month-on-month CPI growth rate</w:t>
      </w:r>
    </w:p>
    <w:p w14:paraId="0CCA69B4" w14:textId="77777777" w:rsidR="003F393F" w:rsidRPr="00294018" w:rsidRDefault="003F393F" w:rsidP="003F393F">
      <w:pPr>
        <w:spacing w:before="120" w:after="120" w:line="288" w:lineRule="auto"/>
        <w:jc w:val="center"/>
        <w:rPr>
          <w:rFonts w:eastAsia="Calibri"/>
          <w:b/>
          <w:color w:val="000000" w:themeColor="text1"/>
        </w:rPr>
      </w:pPr>
      <w:r w:rsidRPr="00294018">
        <w:rPr>
          <w:noProof/>
        </w:rPr>
        <w:lastRenderedPageBreak/>
        <w:drawing>
          <wp:inline distT="0" distB="0" distL="0" distR="0" wp14:anchorId="7AD63A57" wp14:editId="07892720">
            <wp:extent cx="5699760" cy="4420532"/>
            <wp:effectExtent l="0" t="0" r="15240" b="18415"/>
            <wp:docPr id="1602232940"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C45E353" w14:textId="77777777" w:rsidR="003F393F" w:rsidRPr="00294018" w:rsidRDefault="003F393F" w:rsidP="003F393F">
      <w:pPr>
        <w:spacing w:after="120" w:line="259" w:lineRule="auto"/>
        <w:ind w:firstLine="720"/>
        <w:jc w:val="both"/>
        <w:rPr>
          <w:rFonts w:eastAsia="Calibri"/>
          <w:color w:val="000000" w:themeColor="text1"/>
        </w:rPr>
      </w:pPr>
      <w:r w:rsidRPr="00294018">
        <w:rPr>
          <w:rFonts w:eastAsia="Calibri"/>
          <w:color w:val="000000" w:themeColor="text1"/>
        </w:rPr>
        <w:t xml:space="preserve">In the month-on-month increase of 0.29% in the CPI in May, 10 groups of goods possessed an increase in their prices, while the CPI of food and foodstuff services saw a decrease. </w:t>
      </w:r>
    </w:p>
    <w:p w14:paraId="302EC530" w14:textId="77777777" w:rsidR="003F393F" w:rsidRPr="00294018" w:rsidRDefault="003F393F" w:rsidP="003F393F">
      <w:pPr>
        <w:spacing w:after="120" w:line="264" w:lineRule="auto"/>
        <w:ind w:firstLine="720"/>
        <w:jc w:val="both"/>
        <w:rPr>
          <w:color w:val="000000" w:themeColor="text1"/>
        </w:rPr>
      </w:pPr>
      <w:r w:rsidRPr="00294018">
        <w:rPr>
          <w:color w:val="000000" w:themeColor="text1"/>
        </w:rPr>
        <w:t xml:space="preserve">(1) </w:t>
      </w:r>
      <w:r w:rsidRPr="00294018">
        <w:rPr>
          <w:rFonts w:eastAsia="Calibri"/>
          <w:color w:val="000000" w:themeColor="text1"/>
        </w:rPr>
        <w:t xml:space="preserve">10 groups of goods possessed an increase in their prices, </w:t>
      </w:r>
      <w:r w:rsidRPr="00294018">
        <w:rPr>
          <w:color w:val="000000" w:themeColor="text1"/>
        </w:rPr>
        <w:t>including:</w:t>
      </w:r>
    </w:p>
    <w:p w14:paraId="0D4F9AB5" w14:textId="47C576AF" w:rsidR="003F393F" w:rsidRPr="00294018" w:rsidRDefault="003F393F" w:rsidP="003F393F">
      <w:pPr>
        <w:spacing w:after="120" w:line="264" w:lineRule="auto"/>
        <w:ind w:firstLine="720"/>
        <w:jc w:val="both"/>
        <w:rPr>
          <w:rFonts w:eastAsia="Calibri"/>
          <w:color w:val="000000" w:themeColor="text1"/>
        </w:rPr>
      </w:pPr>
      <w:r w:rsidRPr="00294018">
        <w:rPr>
          <w:color w:val="000000" w:themeColor="text1"/>
        </w:rPr>
        <w:t xml:space="preserve">- </w:t>
      </w:r>
      <w:r w:rsidRPr="00294018">
        <w:rPr>
          <w:i/>
          <w:color w:val="000000" w:themeColor="text1"/>
        </w:rPr>
        <w:t>The group of housing, electricity, water, fuel, and construction materials</w:t>
      </w:r>
      <w:r w:rsidRPr="00294018">
        <w:rPr>
          <w:color w:val="000000" w:themeColor="text1"/>
        </w:rPr>
        <w:t xml:space="preserve"> increased by 0.96% (contributing to a rise of 0.22 percentage </w:t>
      </w:r>
      <w:r w:rsidR="0021361B" w:rsidRPr="00294018">
        <w:rPr>
          <w:color w:val="000000" w:themeColor="text1"/>
        </w:rPr>
        <w:t>points</w:t>
      </w:r>
      <w:r w:rsidRPr="00294018">
        <w:rPr>
          <w:color w:val="000000" w:themeColor="text1"/>
        </w:rPr>
        <w:t xml:space="preserve"> in the overall CPI), focusing on an expansion in the prices of the items as follows: house rental added up 0.71%, of which the prices of house repair service; housing maintenance material; household electricity; tap water jumped up 0.69%; 0.81%; 2.38%, 1.41%</w:t>
      </w:r>
      <w:r w:rsidRPr="00294018">
        <w:rPr>
          <w:rStyle w:val="FootnoteReference"/>
          <w:color w:val="000000" w:themeColor="text1"/>
        </w:rPr>
        <w:footnoteReference w:id="26"/>
      </w:r>
      <w:r w:rsidRPr="00294018">
        <w:rPr>
          <w:color w:val="000000" w:themeColor="text1"/>
        </w:rPr>
        <w:t xml:space="preserve"> respectively. In contrast, a decrease of 1.50% in the gas prices in line with the world prices contributed to a decline of 0.02 percentage points in the overall CPI. </w:t>
      </w:r>
    </w:p>
    <w:p w14:paraId="41EEC42E" w14:textId="77777777" w:rsidR="003F393F" w:rsidRPr="00294018" w:rsidRDefault="003F393F" w:rsidP="003F393F">
      <w:pPr>
        <w:pStyle w:val="NormalWeb"/>
        <w:spacing w:before="0" w:beforeAutospacing="0" w:after="120" w:afterAutospacing="0" w:line="259" w:lineRule="auto"/>
        <w:ind w:firstLine="720"/>
        <w:jc w:val="both"/>
        <w:rPr>
          <w:color w:val="000000" w:themeColor="text1"/>
          <w:spacing w:val="-2"/>
          <w:sz w:val="28"/>
          <w:szCs w:val="28"/>
          <w:lang w:val="en-US"/>
        </w:rPr>
      </w:pPr>
      <w:r w:rsidRPr="00294018">
        <w:rPr>
          <w:color w:val="000000" w:themeColor="text1"/>
          <w:spacing w:val="-2"/>
          <w:sz w:val="28"/>
          <w:szCs w:val="28"/>
          <w:lang w:val="en-US"/>
        </w:rPr>
        <w:t xml:space="preserve">- </w:t>
      </w:r>
      <w:r w:rsidRPr="00294018">
        <w:rPr>
          <w:i/>
          <w:color w:val="000000" w:themeColor="text1"/>
          <w:spacing w:val="-2"/>
          <w:sz w:val="28"/>
          <w:szCs w:val="28"/>
          <w:lang w:val="en-US"/>
        </w:rPr>
        <w:t>The transport group</w:t>
      </w:r>
      <w:r w:rsidRPr="00294018">
        <w:rPr>
          <w:color w:val="000000" w:themeColor="text1"/>
          <w:spacing w:val="-2"/>
          <w:sz w:val="28"/>
          <w:szCs w:val="28"/>
          <w:lang w:val="en-US"/>
        </w:rPr>
        <w:t xml:space="preserve"> accelerated by 0.83% (contributing to an increase of 0.08 percentage point in the overall CPI), mainly due to CPI of gasoline; spare parts; vehicle maintenance; driving license fees; road toll; self-drive car and motorbike rental services; parking services edged up 2.12%; 0.32%; 0.59%; 0.82%; 0.68%; 0.46%; and 0.07%, respectively. </w:t>
      </w:r>
      <w:r w:rsidRPr="00294018">
        <w:rPr>
          <w:color w:val="000000" w:themeColor="text1"/>
          <w:sz w:val="28"/>
          <w:szCs w:val="28"/>
          <w:lang w:val="en-US"/>
        </w:rPr>
        <w:t>In contrast,</w:t>
      </w:r>
      <w:r w:rsidRPr="00294018">
        <w:rPr>
          <w:color w:val="000000" w:themeColor="text1"/>
          <w:spacing w:val="-2"/>
          <w:sz w:val="28"/>
          <w:szCs w:val="28"/>
          <w:lang w:val="en-US"/>
        </w:rPr>
        <w:t xml:space="preserve"> some transport goods </w:t>
      </w:r>
      <w:r w:rsidRPr="00294018">
        <w:rPr>
          <w:color w:val="000000" w:themeColor="text1"/>
          <w:spacing w:val="-2"/>
          <w:sz w:val="28"/>
          <w:szCs w:val="28"/>
          <w:lang w:val="en-US"/>
        </w:rPr>
        <w:lastRenderedPageBreak/>
        <w:t xml:space="preserve">and services witnessed a reduction in their prices: the CPI of the diesel; public transport services fell by 16.42%; 1.47%, respectively. </w:t>
      </w:r>
    </w:p>
    <w:p w14:paraId="7FE8FBEA" w14:textId="77777777" w:rsidR="003F393F" w:rsidRPr="00294018" w:rsidRDefault="003F393F" w:rsidP="003F393F">
      <w:pPr>
        <w:pStyle w:val="NormalWeb"/>
        <w:spacing w:before="0" w:beforeAutospacing="0" w:after="120" w:afterAutospacing="0" w:line="259" w:lineRule="auto"/>
        <w:ind w:firstLine="720"/>
        <w:jc w:val="both"/>
        <w:rPr>
          <w:color w:val="000000" w:themeColor="text1"/>
          <w:sz w:val="28"/>
          <w:szCs w:val="28"/>
          <w:lang w:val="en-US"/>
        </w:rPr>
      </w:pPr>
      <w:r w:rsidRPr="00294018">
        <w:rPr>
          <w:color w:val="000000" w:themeColor="text1"/>
          <w:sz w:val="28"/>
          <w:szCs w:val="28"/>
          <w:lang w:val="en-US"/>
        </w:rPr>
        <w:t xml:space="preserve">- </w:t>
      </w:r>
      <w:r w:rsidRPr="00294018">
        <w:rPr>
          <w:i/>
          <w:color w:val="000000" w:themeColor="text1"/>
          <w:sz w:val="28"/>
          <w:szCs w:val="28"/>
          <w:lang w:val="en-US"/>
        </w:rPr>
        <w:t>The group of culture, entertainment, and tourism</w:t>
      </w:r>
      <w:r w:rsidRPr="00294018">
        <w:rPr>
          <w:color w:val="000000" w:themeColor="text1"/>
          <w:sz w:val="28"/>
          <w:szCs w:val="28"/>
          <w:lang w:val="en-US"/>
        </w:rPr>
        <w:t xml:space="preserve"> climbed up 0.48%, focusing on items as follows: The prices of package tour expanded by 1.19% (a rise of 1.35%; 0.27% in domestic tourism; outbound tourism, respectively) due to rising costs of tour organization, especially costs of transport, accommodation, and tourism services; photography and printing; hotels and guesthouses; pet related services; sports services soared by 1.0%; 0.66%; 0.60%; 0.23%, respectively. </w:t>
      </w:r>
    </w:p>
    <w:p w14:paraId="28152CBB" w14:textId="77777777" w:rsidR="003F393F" w:rsidRPr="00294018" w:rsidRDefault="003F393F" w:rsidP="003F393F">
      <w:pPr>
        <w:pStyle w:val="NormalWeb"/>
        <w:spacing w:before="0" w:beforeAutospacing="0" w:after="120" w:afterAutospacing="0" w:line="259" w:lineRule="auto"/>
        <w:ind w:firstLine="720"/>
        <w:jc w:val="both"/>
        <w:rPr>
          <w:bCs/>
          <w:color w:val="000000" w:themeColor="text1"/>
          <w:spacing w:val="2"/>
          <w:sz w:val="28"/>
          <w:szCs w:val="28"/>
          <w:lang w:val="en-US"/>
        </w:rPr>
      </w:pPr>
      <w:r w:rsidRPr="00294018">
        <w:rPr>
          <w:bCs/>
          <w:color w:val="000000" w:themeColor="text1"/>
          <w:spacing w:val="2"/>
          <w:sz w:val="28"/>
          <w:szCs w:val="28"/>
          <w:lang w:val="en-US"/>
        </w:rPr>
        <w:t xml:space="preserve">- </w:t>
      </w:r>
      <w:r w:rsidRPr="00294018">
        <w:rPr>
          <w:bCs/>
          <w:i/>
          <w:color w:val="000000" w:themeColor="text1"/>
          <w:spacing w:val="2"/>
          <w:sz w:val="28"/>
          <w:szCs w:val="28"/>
          <w:lang w:val="en-US"/>
        </w:rPr>
        <w:t>The group of beverages and tobacco</w:t>
      </w:r>
      <w:r w:rsidRPr="00294018">
        <w:rPr>
          <w:bCs/>
          <w:color w:val="000000" w:themeColor="text1"/>
          <w:spacing w:val="2"/>
          <w:sz w:val="28"/>
          <w:szCs w:val="28"/>
          <w:lang w:val="en-US"/>
        </w:rPr>
        <w:t xml:space="preserve"> rose by 0.21% due to increasing costs of import, production, and distribution. Of which, the CPI of fruit juices possessed a month-on-month increase 0.44%; the CPI of bottled energy drinks; cigarettes; </w:t>
      </w:r>
      <w:r w:rsidRPr="00294018">
        <w:rPr>
          <w:color w:val="000000" w:themeColor="text1"/>
          <w:spacing w:val="-2"/>
          <w:sz w:val="28"/>
          <w:szCs w:val="28"/>
          <w:lang w:val="en-US"/>
        </w:rPr>
        <w:t>alcohol and beer of all kinds accelerated by</w:t>
      </w:r>
      <w:r w:rsidRPr="00294018">
        <w:rPr>
          <w:bCs/>
          <w:color w:val="000000" w:themeColor="text1"/>
          <w:spacing w:val="2"/>
          <w:sz w:val="28"/>
          <w:szCs w:val="28"/>
          <w:lang w:val="en-US"/>
        </w:rPr>
        <w:t xml:space="preserve"> 0.09%; 0.47%; and 0.18%, respectively. </w:t>
      </w:r>
    </w:p>
    <w:p w14:paraId="4F61CAFD" w14:textId="745DCAFE" w:rsidR="003F393F" w:rsidRPr="00294018" w:rsidRDefault="003F393F" w:rsidP="003F393F">
      <w:pPr>
        <w:pStyle w:val="NormalWeb"/>
        <w:spacing w:before="0" w:beforeAutospacing="0" w:after="120" w:afterAutospacing="0" w:line="259" w:lineRule="auto"/>
        <w:ind w:firstLine="720"/>
        <w:jc w:val="both"/>
        <w:rPr>
          <w:bCs/>
          <w:color w:val="000000" w:themeColor="text1"/>
          <w:spacing w:val="2"/>
          <w:sz w:val="28"/>
          <w:szCs w:val="28"/>
          <w:lang w:val="en-US"/>
        </w:rPr>
      </w:pPr>
      <w:r w:rsidRPr="00294018">
        <w:rPr>
          <w:bCs/>
          <w:color w:val="000000" w:themeColor="text1"/>
          <w:spacing w:val="2"/>
          <w:sz w:val="28"/>
          <w:szCs w:val="28"/>
          <w:lang w:val="en-US"/>
        </w:rPr>
        <w:t xml:space="preserve">- </w:t>
      </w:r>
      <w:r w:rsidRPr="00294018">
        <w:rPr>
          <w:i/>
          <w:color w:val="000000" w:themeColor="text1"/>
          <w:sz w:val="28"/>
          <w:szCs w:val="28"/>
          <w:lang w:val="en-US"/>
        </w:rPr>
        <w:t>The group of household equipment and goods</w:t>
      </w:r>
      <w:r w:rsidRPr="00294018">
        <w:rPr>
          <w:color w:val="000000" w:themeColor="text1"/>
          <w:sz w:val="28"/>
          <w:szCs w:val="28"/>
          <w:lang w:val="en-US"/>
        </w:rPr>
        <w:t xml:space="preserve"> expanded by 0.17% due to increasing costs of raw material, labor, and transport. Of which, some items witnessed an increase in the prices: the prices of lighting fixtures; air conditioners; electric fans; household equipment repair; gas stoves; beds, wardrobes, tables, and chairs; glassware, ceramic and porcelain products; microwave, ovens, and induction cookers; soap and detergents; refrigerators; </w:t>
      </w:r>
      <w:r w:rsidR="0021361B" w:rsidRPr="00294018">
        <w:rPr>
          <w:color w:val="000000" w:themeColor="text1"/>
          <w:sz w:val="28"/>
          <w:szCs w:val="28"/>
          <w:lang w:val="en-US"/>
        </w:rPr>
        <w:t>metal ware</w:t>
      </w:r>
      <w:r w:rsidRPr="00294018">
        <w:rPr>
          <w:color w:val="000000" w:themeColor="text1"/>
          <w:sz w:val="28"/>
          <w:szCs w:val="28"/>
          <w:lang w:val="en-US"/>
        </w:rPr>
        <w:t>; wall and table clocks, mirrors jumped up 0.51%; 0.50%; 0.35%; 0.31%; 0.30%; 0.27%; 0.23%; 0.22%; 0.17%; 0.18%; 0.16%; 0.14%, respectively. In contrast, prices of bathroom water heaters; blenders and juicers; whisk dropped 0.46%; 0.45%; 0.24% because promotional programs offered by some manufacturers.</w:t>
      </w:r>
    </w:p>
    <w:p w14:paraId="75B52991" w14:textId="118B9E2D" w:rsidR="003F393F" w:rsidRPr="00294018" w:rsidRDefault="003F393F" w:rsidP="003F393F">
      <w:pPr>
        <w:pStyle w:val="NormalWeb"/>
        <w:spacing w:before="0" w:beforeAutospacing="0" w:after="120" w:afterAutospacing="0" w:line="259" w:lineRule="auto"/>
        <w:ind w:firstLine="720"/>
        <w:jc w:val="both"/>
        <w:rPr>
          <w:color w:val="000000" w:themeColor="text1"/>
          <w:sz w:val="28"/>
          <w:szCs w:val="28"/>
          <w:lang w:val="en-US"/>
        </w:rPr>
      </w:pPr>
      <w:r w:rsidRPr="00294018">
        <w:rPr>
          <w:color w:val="000000" w:themeColor="text1"/>
          <w:sz w:val="28"/>
          <w:szCs w:val="28"/>
          <w:lang w:val="en-US"/>
        </w:rPr>
        <w:t xml:space="preserve">- </w:t>
      </w:r>
      <w:r w:rsidRPr="00294018">
        <w:rPr>
          <w:i/>
          <w:color w:val="000000" w:themeColor="text1"/>
          <w:sz w:val="28"/>
          <w:szCs w:val="28"/>
          <w:lang w:val="en-US"/>
        </w:rPr>
        <w:t>The group of other goods and services</w:t>
      </w:r>
      <w:r w:rsidRPr="00294018">
        <w:rPr>
          <w:color w:val="000000" w:themeColor="text1"/>
          <w:sz w:val="28"/>
          <w:szCs w:val="28"/>
          <w:lang w:val="en-US"/>
        </w:rPr>
        <w:t xml:space="preserve"> increased by 0.14%, mainly as the result of a rise of 0.39% in the </w:t>
      </w:r>
      <w:r w:rsidR="00CE3A85" w:rsidRPr="00294018">
        <w:rPr>
          <w:color w:val="000000" w:themeColor="text1"/>
          <w:sz w:val="28"/>
          <w:szCs w:val="28"/>
          <w:lang w:val="en-US"/>
        </w:rPr>
        <w:t>CPI of</w:t>
      </w:r>
      <w:r w:rsidRPr="00294018">
        <w:rPr>
          <w:color w:val="000000" w:themeColor="text1"/>
          <w:sz w:val="28"/>
          <w:szCs w:val="28"/>
          <w:lang w:val="en-US"/>
        </w:rPr>
        <w:t xml:space="preserve"> personal services and an expansion </w:t>
      </w:r>
      <w:r w:rsidR="00CE3A85" w:rsidRPr="00294018">
        <w:rPr>
          <w:color w:val="000000" w:themeColor="text1"/>
          <w:sz w:val="28"/>
          <w:szCs w:val="28"/>
          <w:lang w:val="en-US"/>
        </w:rPr>
        <w:t>of 0.19</w:t>
      </w:r>
      <w:r w:rsidRPr="00294018">
        <w:rPr>
          <w:color w:val="000000" w:themeColor="text1"/>
          <w:sz w:val="28"/>
          <w:szCs w:val="28"/>
          <w:lang w:val="en-US"/>
        </w:rPr>
        <w:t>% in funeral and wedding services. In contrast, the jewelry group fell by 2.58% in line with domestic gold price.</w:t>
      </w:r>
    </w:p>
    <w:p w14:paraId="4208A1D4" w14:textId="77777777" w:rsidR="003F393F" w:rsidRPr="00294018" w:rsidRDefault="003F393F" w:rsidP="003F393F">
      <w:pPr>
        <w:pStyle w:val="NormalWeb"/>
        <w:spacing w:before="0" w:beforeAutospacing="0" w:after="120" w:afterAutospacing="0" w:line="259" w:lineRule="auto"/>
        <w:ind w:firstLine="720"/>
        <w:jc w:val="both"/>
        <w:rPr>
          <w:color w:val="000000" w:themeColor="text1"/>
          <w:sz w:val="28"/>
          <w:szCs w:val="28"/>
          <w:lang w:val="en-US"/>
        </w:rPr>
      </w:pPr>
      <w:r w:rsidRPr="00294018">
        <w:rPr>
          <w:i/>
          <w:color w:val="000000" w:themeColor="text1"/>
          <w:sz w:val="28"/>
          <w:szCs w:val="28"/>
          <w:lang w:val="en-US"/>
        </w:rPr>
        <w:t>- The group of garment, hat and footwear</w:t>
      </w:r>
      <w:r w:rsidRPr="00294018">
        <w:rPr>
          <w:color w:val="000000" w:themeColor="text1"/>
          <w:sz w:val="28"/>
          <w:szCs w:val="28"/>
          <w:lang w:val="en-US"/>
        </w:rPr>
        <w:t xml:space="preserve"> soared by 0.13% due to rising costs of raw material, transport and labor. Of which, the CPI for footwear services; tailoring services; fabrics of all kinds; footwear; hats grew by 0.62%; 0.33%; 0.28%; 0.30%; 0.17%, respectively; both other garments and ready-made clothes jumped up 0.06%.</w:t>
      </w:r>
    </w:p>
    <w:p w14:paraId="6035091F" w14:textId="77777777" w:rsidR="003F393F" w:rsidRPr="00294018" w:rsidRDefault="003F393F" w:rsidP="003F393F">
      <w:pPr>
        <w:pStyle w:val="NormalWeb"/>
        <w:spacing w:before="0" w:beforeAutospacing="0" w:after="120" w:afterAutospacing="0" w:line="259" w:lineRule="auto"/>
        <w:ind w:firstLine="720"/>
        <w:jc w:val="both"/>
        <w:rPr>
          <w:color w:val="000000" w:themeColor="text1"/>
          <w:sz w:val="28"/>
          <w:szCs w:val="28"/>
          <w:lang w:val="en-US"/>
        </w:rPr>
      </w:pPr>
      <w:r w:rsidRPr="00294018">
        <w:rPr>
          <w:i/>
          <w:color w:val="000000" w:themeColor="text1"/>
          <w:sz w:val="28"/>
          <w:szCs w:val="28"/>
          <w:lang w:val="en-US"/>
        </w:rPr>
        <w:t>- The group of medicines and health care services</w:t>
      </w:r>
      <w:r w:rsidRPr="00294018">
        <w:rPr>
          <w:color w:val="000000" w:themeColor="text1"/>
          <w:sz w:val="28"/>
          <w:szCs w:val="28"/>
          <w:lang w:val="en-US"/>
        </w:rPr>
        <w:t xml:space="preserve"> added up 0.10% due to an upturn of 0.32% in the CPI of medicines, resulting from growing demand for drugs in hot weather. Of which, the CPI of pain relief and fever reducing drugs; respiratory drugs; hormones and drugs affecting the endocrine system; anti-allergy drugs; vitamin and mineral drugs; cardiovascular drugs; anti-infective </w:t>
      </w:r>
      <w:r w:rsidRPr="00294018">
        <w:rPr>
          <w:color w:val="000000" w:themeColor="text1"/>
          <w:sz w:val="28"/>
          <w:szCs w:val="28"/>
          <w:lang w:val="en-US"/>
        </w:rPr>
        <w:lastRenderedPageBreak/>
        <w:t xml:space="preserve">and antiparasitic drugs edged up 0.64%; 0.42%; 0.39%; 0.38%; 0.34%; 0.33%; 0.31%, respectively. </w:t>
      </w:r>
    </w:p>
    <w:p w14:paraId="6DABD28F" w14:textId="77777777" w:rsidR="003F393F" w:rsidRPr="00294018" w:rsidRDefault="003F393F" w:rsidP="003F393F">
      <w:pPr>
        <w:pStyle w:val="NormalWeb"/>
        <w:spacing w:before="0" w:beforeAutospacing="0" w:after="120" w:afterAutospacing="0" w:line="259" w:lineRule="auto"/>
        <w:ind w:firstLine="720"/>
        <w:jc w:val="both"/>
        <w:rPr>
          <w:color w:val="000000" w:themeColor="text1"/>
          <w:spacing w:val="-2"/>
          <w:sz w:val="28"/>
          <w:szCs w:val="28"/>
          <w:lang w:val="en-US"/>
        </w:rPr>
      </w:pPr>
      <w:r w:rsidRPr="00294018">
        <w:rPr>
          <w:color w:val="000000" w:themeColor="text1"/>
          <w:spacing w:val="-2"/>
          <w:sz w:val="28"/>
          <w:szCs w:val="28"/>
          <w:lang w:val="en-US"/>
        </w:rPr>
        <w:t xml:space="preserve">- </w:t>
      </w:r>
      <w:r w:rsidRPr="00294018">
        <w:rPr>
          <w:i/>
          <w:color w:val="000000" w:themeColor="text1"/>
          <w:spacing w:val="-2"/>
          <w:sz w:val="28"/>
          <w:szCs w:val="28"/>
          <w:lang w:val="en-US"/>
        </w:rPr>
        <w:t>The group of information and communication</w:t>
      </w:r>
      <w:r w:rsidRPr="00294018">
        <w:rPr>
          <w:color w:val="000000" w:themeColor="text1"/>
          <w:spacing w:val="-2"/>
          <w:sz w:val="28"/>
          <w:szCs w:val="28"/>
          <w:lang w:val="en-US"/>
        </w:rPr>
        <w:t xml:space="preserve"> accelerated by 0.04%, of which the prices of audio equipment; regular mobile phones; computers and accessories; phone repair services; printers, projectors, and scanners; television and internet services rose by 0.81%; 0.41%; 0.37%; 0.26%; 0.19%; 0.03%, respectively. </w:t>
      </w:r>
      <w:r w:rsidRPr="00294018">
        <w:rPr>
          <w:color w:val="000000" w:themeColor="text1"/>
          <w:sz w:val="28"/>
          <w:szCs w:val="28"/>
          <w:lang w:val="en-US"/>
        </w:rPr>
        <w:t>In contrast</w:t>
      </w:r>
      <w:r w:rsidRPr="00294018">
        <w:rPr>
          <w:color w:val="000000" w:themeColor="text1"/>
          <w:spacing w:val="-2"/>
          <w:sz w:val="28"/>
          <w:szCs w:val="28"/>
          <w:lang w:val="en-US"/>
        </w:rPr>
        <w:t xml:space="preserve">, the prices of smartphone and tablet accessories reduced by 0.18%. </w:t>
      </w:r>
    </w:p>
    <w:p w14:paraId="73B9B228" w14:textId="77777777" w:rsidR="003F393F" w:rsidRPr="00294018" w:rsidRDefault="003F393F" w:rsidP="003F393F">
      <w:pPr>
        <w:pStyle w:val="NormalWeb"/>
        <w:spacing w:before="0" w:beforeAutospacing="0" w:after="120" w:afterAutospacing="0" w:line="259" w:lineRule="auto"/>
        <w:ind w:firstLine="720"/>
        <w:jc w:val="both"/>
        <w:rPr>
          <w:color w:val="000000" w:themeColor="text1"/>
          <w:spacing w:val="-4"/>
          <w:sz w:val="28"/>
          <w:szCs w:val="28"/>
          <w:lang w:val="en-US"/>
        </w:rPr>
      </w:pPr>
      <w:r w:rsidRPr="00294018">
        <w:rPr>
          <w:color w:val="000000" w:themeColor="text1"/>
          <w:spacing w:val="-4"/>
          <w:sz w:val="28"/>
          <w:szCs w:val="28"/>
          <w:lang w:val="en-US"/>
        </w:rPr>
        <w:t xml:space="preserve">- </w:t>
      </w:r>
      <w:r w:rsidRPr="00294018">
        <w:rPr>
          <w:i/>
          <w:color w:val="000000" w:themeColor="text1"/>
          <w:spacing w:val="-4"/>
          <w:sz w:val="28"/>
          <w:szCs w:val="28"/>
          <w:lang w:val="en-US"/>
        </w:rPr>
        <w:t>The education group</w:t>
      </w:r>
      <w:r w:rsidRPr="00294018">
        <w:rPr>
          <w:color w:val="000000" w:themeColor="text1"/>
          <w:spacing w:val="-4"/>
          <w:sz w:val="28"/>
          <w:szCs w:val="28"/>
          <w:lang w:val="en-US"/>
        </w:rPr>
        <w:t xml:space="preserve"> soared by 0.03%, mainly due to an expansion of 0.40%; 0.36%; 0.17% in the prices of pens; stationery and other school supplies; paper products, respectively</w:t>
      </w:r>
    </w:p>
    <w:p w14:paraId="35F48C43" w14:textId="77777777" w:rsidR="003F393F" w:rsidRPr="00294018" w:rsidRDefault="003F393F" w:rsidP="003F393F">
      <w:pPr>
        <w:spacing w:after="120" w:line="259" w:lineRule="auto"/>
        <w:ind w:firstLine="720"/>
        <w:jc w:val="both"/>
        <w:rPr>
          <w:iCs/>
          <w:color w:val="000000" w:themeColor="text1"/>
        </w:rPr>
      </w:pPr>
      <w:r w:rsidRPr="00294018">
        <w:rPr>
          <w:i/>
          <w:iCs/>
          <w:color w:val="000000" w:themeColor="text1"/>
        </w:rPr>
        <w:t xml:space="preserve"> (2) The group of food and foodstuff service</w:t>
      </w:r>
      <w:r w:rsidRPr="00294018">
        <w:rPr>
          <w:iCs/>
          <w:color w:val="000000" w:themeColor="text1"/>
        </w:rPr>
        <w:t xml:space="preserve"> decreased by 0.14% (contributing to a reduction of 0.05 percentage point in the overall CPI), of which: food; foodstuff dropped 0.68%</w:t>
      </w:r>
      <w:r w:rsidRPr="00294018">
        <w:rPr>
          <w:rStyle w:val="FootnoteReference"/>
          <w:iCs/>
          <w:color w:val="000000" w:themeColor="text1"/>
        </w:rPr>
        <w:footnoteReference w:id="27"/>
      </w:r>
      <w:r w:rsidRPr="00294018">
        <w:rPr>
          <w:iCs/>
          <w:color w:val="000000" w:themeColor="text1"/>
        </w:rPr>
        <w:t>; 0.25%</w:t>
      </w:r>
      <w:r w:rsidRPr="00294018">
        <w:rPr>
          <w:rStyle w:val="FootnoteReference"/>
          <w:iCs/>
          <w:color w:val="000000" w:themeColor="text1"/>
        </w:rPr>
        <w:footnoteReference w:id="28"/>
      </w:r>
      <w:r w:rsidRPr="00294018">
        <w:rPr>
          <w:iCs/>
          <w:color w:val="000000" w:themeColor="text1"/>
        </w:rPr>
        <w:t>, respectively (contributing to a fall of 0.06 percentage points); while eating out added up 0.36%</w:t>
      </w:r>
      <w:r w:rsidRPr="00294018">
        <w:rPr>
          <w:rStyle w:val="FootnoteReference"/>
          <w:iCs/>
          <w:color w:val="000000" w:themeColor="text1"/>
        </w:rPr>
        <w:footnoteReference w:id="29"/>
      </w:r>
      <w:r w:rsidRPr="00294018">
        <w:rPr>
          <w:iCs/>
          <w:color w:val="000000" w:themeColor="text1"/>
        </w:rPr>
        <w:t>.</w:t>
      </w:r>
    </w:p>
    <w:p w14:paraId="01B5B731" w14:textId="77777777" w:rsidR="003F393F" w:rsidRPr="00294018" w:rsidRDefault="003F393F" w:rsidP="003F393F">
      <w:pPr>
        <w:spacing w:after="120" w:line="259" w:lineRule="auto"/>
        <w:ind w:firstLine="720"/>
        <w:jc w:val="both"/>
        <w:rPr>
          <w:iCs/>
          <w:color w:val="000000" w:themeColor="text1"/>
        </w:rPr>
      </w:pPr>
      <w:r w:rsidRPr="00294018">
        <w:rPr>
          <w:color w:val="000000" w:themeColor="text1"/>
        </w:rPr>
        <w:t>In general, the CPI in the five months of 2026  possessed a year-on-year surge of 4.31%, of which: Housing, electricity, water, fuel and construction materials witnessed the highest increase of 6.64% (contributing to a rise of 1.51 percentage points in the overall CPI); transport shot up 5.22% (contributing to a soar of 0.52 percentage points in the overall CPI); food and foodstuff expanded by 4.77% (contributing to an upturn of 1.71 percentage points in the overall CPI); other goods and services soared by 3.96%; beverages and tobacco jumped up 3.38% (contributing to an increase of 0.06 percentage points in the overall CPI); education climbed up 3.28% (contributing to a soar of 0.20 percentage points in the overall CPI); household equipment and goods grew by 2.53% (contributing to a rise of 0.13 percentage points in the overall CPI); culture, entertainment, and tourism went up 2.22% (contributing to expansion of 0.07 percentage points in the overall CPI); garment, hats, and footwear accelerated by 1.91% (contributing to a rise of 0.07 percentage points in the overall CPI); medicines and healthcare service edged up 0.99%; while information and communication decreased by 0.06%.</w:t>
      </w:r>
    </w:p>
    <w:p w14:paraId="334185E7" w14:textId="77777777" w:rsidR="003F393F" w:rsidRPr="00294018" w:rsidRDefault="003F393F" w:rsidP="003F393F">
      <w:pPr>
        <w:pStyle w:val="NormalWeb"/>
        <w:spacing w:before="0" w:beforeAutospacing="0" w:after="120" w:afterAutospacing="0" w:line="259" w:lineRule="auto"/>
        <w:ind w:firstLine="720"/>
        <w:jc w:val="both"/>
        <w:rPr>
          <w:color w:val="000000" w:themeColor="text1"/>
          <w:spacing w:val="-4"/>
          <w:sz w:val="28"/>
          <w:szCs w:val="28"/>
          <w:lang w:val="en-US"/>
        </w:rPr>
      </w:pPr>
      <w:r w:rsidRPr="00294018">
        <w:rPr>
          <w:color w:val="000000" w:themeColor="text1"/>
          <w:spacing w:val="-4"/>
          <w:sz w:val="28"/>
          <w:szCs w:val="28"/>
          <w:lang w:val="en-US"/>
        </w:rPr>
        <w:lastRenderedPageBreak/>
        <w:t>Core inflation</w:t>
      </w:r>
      <w:r w:rsidRPr="00294018">
        <w:rPr>
          <w:rStyle w:val="FootnoteReference"/>
          <w:color w:val="000000" w:themeColor="text1"/>
          <w:spacing w:val="-4"/>
          <w:sz w:val="28"/>
          <w:szCs w:val="28"/>
          <w:lang w:val="en-US"/>
        </w:rPr>
        <w:footnoteReference w:id="30"/>
      </w:r>
      <w:r w:rsidRPr="00294018">
        <w:rPr>
          <w:color w:val="000000" w:themeColor="text1"/>
          <w:spacing w:val="-4"/>
          <w:sz w:val="28"/>
          <w:szCs w:val="28"/>
          <w:lang w:val="en-US"/>
        </w:rPr>
        <w:t xml:space="preserve"> in May saw a month-on-month increase of 0.34% </w:t>
      </w:r>
      <w:r w:rsidRPr="00294018">
        <w:rPr>
          <w:color w:val="000000" w:themeColor="text1"/>
          <w:sz w:val="28"/>
          <w:szCs w:val="28"/>
          <w:lang w:val="en-US"/>
        </w:rPr>
        <w:t xml:space="preserve">and a year-on-year rise of </w:t>
      </w:r>
      <w:r w:rsidRPr="00294018">
        <w:rPr>
          <w:color w:val="000000" w:themeColor="text1"/>
          <w:spacing w:val="-4"/>
          <w:sz w:val="28"/>
          <w:szCs w:val="28"/>
          <w:lang w:val="en-US"/>
        </w:rPr>
        <w:t xml:space="preserve">4.67%. </w:t>
      </w:r>
      <w:r w:rsidRPr="00294018">
        <w:rPr>
          <w:color w:val="000000" w:themeColor="text1"/>
          <w:sz w:val="28"/>
          <w:szCs w:val="28"/>
          <w:lang w:val="en-US"/>
        </w:rPr>
        <w:t>On average</w:t>
      </w:r>
      <w:r w:rsidRPr="00294018">
        <w:rPr>
          <w:color w:val="000000" w:themeColor="text1"/>
          <w:spacing w:val="-4"/>
          <w:sz w:val="28"/>
          <w:szCs w:val="28"/>
          <w:lang w:val="en-US"/>
        </w:rPr>
        <w:t xml:space="preserve">, core inflation in the five months of 2026 possessed a year-on-year expansion of 4.04%, lower than a soar of 4.31% in the overall CPI due to significant fluctuations in the prices of gasoline, gas, and food, which contributed to an increase in the overall CPI, being the factors </w:t>
      </w:r>
      <w:r w:rsidRPr="00294018">
        <w:rPr>
          <w:color w:val="000000" w:themeColor="text1"/>
          <w:sz w:val="28"/>
          <w:szCs w:val="28"/>
          <w:lang w:val="en-US"/>
        </w:rPr>
        <w:t>were excluded from the list of core inflation calculations</w:t>
      </w:r>
      <w:r w:rsidRPr="00294018">
        <w:rPr>
          <w:color w:val="000000" w:themeColor="text1"/>
          <w:spacing w:val="-4"/>
          <w:sz w:val="28"/>
          <w:szCs w:val="28"/>
          <w:lang w:val="en-US"/>
        </w:rPr>
        <w:t xml:space="preserve">. </w:t>
      </w:r>
    </w:p>
    <w:p w14:paraId="73BAC41C" w14:textId="77777777" w:rsidR="003F393F" w:rsidRPr="00294018" w:rsidRDefault="003F393F" w:rsidP="003F393F">
      <w:pPr>
        <w:spacing w:after="120" w:line="259" w:lineRule="auto"/>
        <w:ind w:firstLine="720"/>
        <w:jc w:val="both"/>
        <w:rPr>
          <w:color w:val="000000" w:themeColor="text1"/>
        </w:rPr>
      </w:pPr>
      <w:r w:rsidRPr="00294018">
        <w:rPr>
          <w:color w:val="000000" w:themeColor="text1"/>
        </w:rPr>
        <w:t>Domestic gold prices fluctuated in line with the world gold prices. As of May 27</w:t>
      </w:r>
      <w:r w:rsidRPr="00294018">
        <w:rPr>
          <w:color w:val="000000" w:themeColor="text1"/>
          <w:vertAlign w:val="superscript"/>
        </w:rPr>
        <w:t>th</w:t>
      </w:r>
      <w:r w:rsidRPr="00294018">
        <w:rPr>
          <w:color w:val="000000" w:themeColor="text1"/>
        </w:rPr>
        <w:t xml:space="preserve">, 2026, the average price of the world gold in May was 4,619.18 USD/ounce, a month-on-month decrease of 2.40%. In May, the prices of world gold declined due to profit-taking of investors after a period of spite and a more stable market sentiment, causing reducing demand for safe-haven assets. The domestic gold price index in May witnessed a month-on-month fall of 4.11% as the result of business`s downward adjustments of gold price in line with the world gold prices. The gold price index recorded a year-on-year increase of 33.87%; a soar of 6.27% compared to that on December 2025; and the average gold price index in the five months of 2026 experienced a surge of 65.97%. </w:t>
      </w:r>
    </w:p>
    <w:p w14:paraId="4E233BAA" w14:textId="5F63CC98" w:rsidR="00547E7B" w:rsidRPr="00294018" w:rsidRDefault="003F393F" w:rsidP="003F393F">
      <w:pPr>
        <w:pStyle w:val="NormalWeb"/>
        <w:spacing w:before="0" w:beforeAutospacing="0" w:after="120" w:afterAutospacing="0" w:line="259" w:lineRule="auto"/>
        <w:ind w:firstLine="720"/>
        <w:jc w:val="both"/>
        <w:rPr>
          <w:color w:val="000000" w:themeColor="text1"/>
          <w:sz w:val="28"/>
          <w:szCs w:val="28"/>
          <w:lang w:val="en-US"/>
        </w:rPr>
      </w:pPr>
      <w:r w:rsidRPr="00294018">
        <w:rPr>
          <w:color w:val="000000" w:themeColor="text1"/>
          <w:sz w:val="28"/>
          <w:szCs w:val="28"/>
          <w:lang w:val="en-US"/>
        </w:rPr>
        <w:t>Domestic US dollar prices fluctuated in line with global prices. As of May 27, 2026, the average US dollar index in May reached 98.62 points on the international market, a slight</w:t>
      </w:r>
      <w:r w:rsidRPr="00294018">
        <w:rPr>
          <w:sz w:val="28"/>
          <w:szCs w:val="28"/>
          <w:lang w:val="en-US"/>
        </w:rPr>
        <w:t xml:space="preserve"> month-on-month</w:t>
      </w:r>
      <w:r w:rsidRPr="00294018">
        <w:rPr>
          <w:color w:val="000000" w:themeColor="text1"/>
          <w:sz w:val="28"/>
          <w:szCs w:val="28"/>
          <w:lang w:val="en-US"/>
        </w:rPr>
        <w:t xml:space="preserve"> decrease of 0.01 points due to market expectations for US Federal Reserve (FED) interest rate cut in the future. The average domestic US dollar price on the free market was around 26,375 VND/USD. The US dollar price index in May saw a </w:t>
      </w:r>
      <w:r w:rsidRPr="00294018">
        <w:rPr>
          <w:sz w:val="28"/>
          <w:szCs w:val="28"/>
          <w:lang w:val="en-US"/>
        </w:rPr>
        <w:t>month-on-month</w:t>
      </w:r>
      <w:r w:rsidRPr="00294018">
        <w:rPr>
          <w:color w:val="000000" w:themeColor="text1"/>
          <w:sz w:val="28"/>
          <w:szCs w:val="28"/>
          <w:lang w:val="en-US"/>
        </w:rPr>
        <w:t xml:space="preserve"> expansion of 0.02% due to the growing domestic demand for foreign currency; a year-on-year upturn of 0.78%; a fall of 0.28% compared to that in December 2025; the average US dollar price index in the five months of 2026 climbed up 1.99%.</w:t>
      </w:r>
    </w:p>
    <w:p w14:paraId="23E2A5F9" w14:textId="77777777" w:rsidR="003F393F" w:rsidRPr="00294018" w:rsidRDefault="003F393F" w:rsidP="003F393F">
      <w:pPr>
        <w:spacing w:after="120" w:line="259" w:lineRule="auto"/>
        <w:ind w:firstLine="720"/>
        <w:jc w:val="both"/>
        <w:rPr>
          <w:b/>
          <w:bCs/>
          <w:i/>
        </w:rPr>
      </w:pPr>
      <w:r w:rsidRPr="00294018">
        <w:rPr>
          <w:b/>
          <w:bCs/>
          <w:i/>
        </w:rPr>
        <w:t xml:space="preserve">d) </w:t>
      </w:r>
      <w:r w:rsidRPr="00294018">
        <w:rPr>
          <w:b/>
          <w:bCs/>
          <w:i/>
          <w:iCs/>
        </w:rPr>
        <w:t>Passenger and cargo transport</w:t>
      </w:r>
    </w:p>
    <w:p w14:paraId="49061873" w14:textId="77777777" w:rsidR="003F393F" w:rsidRPr="00294018" w:rsidRDefault="003F393F" w:rsidP="003F393F">
      <w:pPr>
        <w:tabs>
          <w:tab w:val="left" w:pos="567"/>
        </w:tabs>
        <w:spacing w:after="120" w:line="266" w:lineRule="auto"/>
        <w:ind w:firstLine="720"/>
        <w:jc w:val="both"/>
        <w:rPr>
          <w:rFonts w:eastAsia="Calibri"/>
          <w:bCs/>
          <w:i/>
        </w:rPr>
      </w:pPr>
      <w:r w:rsidRPr="00294018">
        <w:rPr>
          <w:bCs/>
          <w:i/>
        </w:rPr>
        <w:t xml:space="preserve">Transport activities in </w:t>
      </w:r>
      <w:r w:rsidRPr="00294018">
        <w:rPr>
          <w:i/>
          <w:iCs/>
        </w:rPr>
        <w:t>May</w:t>
      </w:r>
      <w:r w:rsidRPr="00294018">
        <w:rPr>
          <w:bCs/>
          <w:i/>
        </w:rPr>
        <w:t xml:space="preserve"> 2026 continued to be dynamic, meeting the travel demand of domestic residents as well as international visitors to Viet Nam, and supporting production and the import and export of goods. Compared to the same period last year, passenger </w:t>
      </w:r>
      <w:r w:rsidRPr="00294018">
        <w:rPr>
          <w:rFonts w:ascii="Times New Roman Italic" w:eastAsiaTheme="minorHAnsi" w:hAnsi="Times New Roman Italic"/>
          <w:bCs/>
          <w:i/>
          <w:spacing w:val="-2"/>
        </w:rPr>
        <w:t>carried</w:t>
      </w:r>
      <w:r w:rsidRPr="00294018">
        <w:rPr>
          <w:bCs/>
          <w:i/>
        </w:rPr>
        <w:t xml:space="preserve"> </w:t>
      </w:r>
      <w:r w:rsidRPr="00294018">
        <w:rPr>
          <w:rFonts w:ascii="Times New Roman Italic" w:eastAsiaTheme="minorHAnsi" w:hAnsi="Times New Roman Italic"/>
          <w:bCs/>
          <w:i/>
          <w:spacing w:val="-2"/>
        </w:rPr>
        <w:t xml:space="preserve">and passenger carried (passenger-kilometers) </w:t>
      </w:r>
      <w:r w:rsidRPr="00294018">
        <w:rPr>
          <w:bCs/>
          <w:i/>
        </w:rPr>
        <w:t xml:space="preserve">in </w:t>
      </w:r>
      <w:r w:rsidRPr="00294018">
        <w:rPr>
          <w:i/>
          <w:iCs/>
        </w:rPr>
        <w:t>May</w:t>
      </w:r>
      <w:r w:rsidRPr="00294018">
        <w:rPr>
          <w:bCs/>
          <w:i/>
        </w:rPr>
        <w:t xml:space="preserve"> 2026 </w:t>
      </w:r>
      <w:r w:rsidRPr="00294018">
        <w:rPr>
          <w:rFonts w:ascii="Times New Roman Italic" w:eastAsiaTheme="minorHAnsi" w:hAnsi="Times New Roman Italic"/>
          <w:bCs/>
          <w:i/>
          <w:spacing w:val="-2"/>
        </w:rPr>
        <w:t xml:space="preserve">saw a year-on-year increase of </w:t>
      </w:r>
      <w:r w:rsidRPr="00294018">
        <w:rPr>
          <w:i/>
          <w:spacing w:val="-4"/>
        </w:rPr>
        <w:t>17.8</w:t>
      </w:r>
      <w:r w:rsidRPr="00294018">
        <w:rPr>
          <w:bCs/>
          <w:i/>
        </w:rPr>
        <w:t>%</w:t>
      </w:r>
      <w:r w:rsidRPr="00294018">
        <w:rPr>
          <w:rFonts w:ascii="Times New Roman Italic" w:eastAsiaTheme="minorHAnsi" w:hAnsi="Times New Roman Italic"/>
          <w:bCs/>
          <w:i/>
          <w:spacing w:val="-2"/>
        </w:rPr>
        <w:t xml:space="preserve"> and </w:t>
      </w:r>
      <w:r w:rsidRPr="00294018">
        <w:rPr>
          <w:i/>
          <w:spacing w:val="-4"/>
        </w:rPr>
        <w:t>13.9</w:t>
      </w:r>
      <w:r w:rsidRPr="00294018">
        <w:rPr>
          <w:bCs/>
          <w:i/>
        </w:rPr>
        <w:t>%</w:t>
      </w:r>
      <w:r w:rsidRPr="00294018">
        <w:rPr>
          <w:rFonts w:ascii="Times New Roman Italic" w:eastAsiaTheme="minorHAnsi" w:hAnsi="Times New Roman Italic"/>
          <w:bCs/>
          <w:i/>
          <w:spacing w:val="-2"/>
        </w:rPr>
        <w:t>, respectively</w:t>
      </w:r>
      <w:r w:rsidRPr="00294018">
        <w:rPr>
          <w:bCs/>
          <w:i/>
        </w:rPr>
        <w:t>; freight</w:t>
      </w:r>
      <w:r w:rsidRPr="00294018">
        <w:rPr>
          <w:rFonts w:ascii="Times New Roman Italic" w:eastAsiaTheme="minorHAnsi" w:hAnsi="Times New Roman Italic"/>
          <w:bCs/>
          <w:i/>
          <w:spacing w:val="-2"/>
        </w:rPr>
        <w:t xml:space="preserve"> transported and freight transported (ton-kilometers) recorded a year-on-year rise of </w:t>
      </w:r>
      <w:r w:rsidRPr="00294018">
        <w:rPr>
          <w:i/>
          <w:spacing w:val="-4"/>
        </w:rPr>
        <w:t>13.8</w:t>
      </w:r>
      <w:r w:rsidRPr="00294018">
        <w:rPr>
          <w:bCs/>
          <w:i/>
        </w:rPr>
        <w:t>%</w:t>
      </w:r>
      <w:r w:rsidRPr="00294018">
        <w:rPr>
          <w:rFonts w:ascii="Times New Roman Italic" w:eastAsiaTheme="minorHAnsi" w:hAnsi="Times New Roman Italic"/>
          <w:bCs/>
          <w:i/>
          <w:spacing w:val="-2"/>
        </w:rPr>
        <w:t xml:space="preserve"> and </w:t>
      </w:r>
      <w:r w:rsidRPr="00294018">
        <w:rPr>
          <w:i/>
          <w:spacing w:val="-4"/>
        </w:rPr>
        <w:t>15.7</w:t>
      </w:r>
      <w:r w:rsidRPr="00294018">
        <w:rPr>
          <w:bCs/>
          <w:i/>
        </w:rPr>
        <w:t>%</w:t>
      </w:r>
      <w:r w:rsidRPr="00294018">
        <w:rPr>
          <w:rFonts w:ascii="Times New Roman Italic" w:eastAsiaTheme="minorHAnsi" w:hAnsi="Times New Roman Italic"/>
          <w:bCs/>
          <w:i/>
          <w:spacing w:val="-2"/>
        </w:rPr>
        <w:t>, respectively</w:t>
      </w:r>
      <w:r w:rsidRPr="00294018">
        <w:rPr>
          <w:bCs/>
          <w:i/>
        </w:rPr>
        <w:t xml:space="preserve">. </w:t>
      </w:r>
      <w:r w:rsidRPr="00294018">
        <w:rPr>
          <w:bCs/>
          <w:i/>
          <w:iCs/>
        </w:rPr>
        <w:t xml:space="preserve">Overall, in five months of 2026, </w:t>
      </w:r>
      <w:r w:rsidRPr="00294018">
        <w:rPr>
          <w:bCs/>
          <w:i/>
        </w:rPr>
        <w:t xml:space="preserve">passenger </w:t>
      </w:r>
      <w:r w:rsidRPr="00294018">
        <w:rPr>
          <w:rFonts w:ascii="Times New Roman Italic" w:eastAsiaTheme="minorHAnsi" w:hAnsi="Times New Roman Italic"/>
          <w:bCs/>
          <w:i/>
          <w:spacing w:val="-2"/>
        </w:rPr>
        <w:t>carried</w:t>
      </w:r>
      <w:r w:rsidRPr="00294018">
        <w:rPr>
          <w:bCs/>
          <w:i/>
        </w:rPr>
        <w:t xml:space="preserve"> </w:t>
      </w:r>
      <w:r w:rsidRPr="00294018">
        <w:rPr>
          <w:rFonts w:ascii="Times New Roman Italic" w:eastAsiaTheme="minorHAnsi" w:hAnsi="Times New Roman Italic"/>
          <w:bCs/>
          <w:i/>
          <w:spacing w:val="-2"/>
        </w:rPr>
        <w:t xml:space="preserve">and passenger carried (passenger-kilometers) </w:t>
      </w:r>
      <w:r w:rsidRPr="00294018">
        <w:rPr>
          <w:bCs/>
          <w:i/>
          <w:iCs/>
        </w:rPr>
        <w:t xml:space="preserve">experienced a year-on-year rise of </w:t>
      </w:r>
      <w:r w:rsidRPr="00294018">
        <w:rPr>
          <w:i/>
          <w:spacing w:val="-4"/>
        </w:rPr>
        <w:t>19.0</w:t>
      </w:r>
      <w:r w:rsidRPr="00294018">
        <w:rPr>
          <w:bCs/>
          <w:i/>
          <w:iCs/>
        </w:rPr>
        <w:t xml:space="preserve">% and </w:t>
      </w:r>
      <w:r w:rsidRPr="00294018">
        <w:rPr>
          <w:i/>
          <w:spacing w:val="-4"/>
        </w:rPr>
        <w:t>12.7</w:t>
      </w:r>
      <w:r w:rsidRPr="00294018">
        <w:rPr>
          <w:bCs/>
          <w:i/>
          <w:iCs/>
        </w:rPr>
        <w:t xml:space="preserve">%, respectively; </w:t>
      </w:r>
      <w:r w:rsidRPr="00294018">
        <w:rPr>
          <w:bCs/>
          <w:i/>
        </w:rPr>
        <w:t>freight</w:t>
      </w:r>
      <w:r w:rsidRPr="00294018">
        <w:rPr>
          <w:rFonts w:ascii="Times New Roman Italic" w:eastAsiaTheme="minorHAnsi" w:hAnsi="Times New Roman Italic"/>
          <w:bCs/>
          <w:i/>
          <w:spacing w:val="-2"/>
        </w:rPr>
        <w:t xml:space="preserve"> transported and freight transported (ton-kilometers)</w:t>
      </w:r>
      <w:r w:rsidRPr="00294018">
        <w:rPr>
          <w:bCs/>
          <w:i/>
          <w:iCs/>
        </w:rPr>
        <w:t xml:space="preserve"> recorded a year-on-year increase of </w:t>
      </w:r>
      <w:r w:rsidRPr="00294018">
        <w:rPr>
          <w:i/>
          <w:spacing w:val="-4"/>
        </w:rPr>
        <w:t>13.9</w:t>
      </w:r>
      <w:r w:rsidRPr="00294018">
        <w:rPr>
          <w:bCs/>
          <w:i/>
          <w:iCs/>
        </w:rPr>
        <w:t xml:space="preserve">% and </w:t>
      </w:r>
      <w:r w:rsidRPr="00294018">
        <w:rPr>
          <w:i/>
          <w:spacing w:val="-4"/>
        </w:rPr>
        <w:t>12.5</w:t>
      </w:r>
      <w:r w:rsidRPr="00294018">
        <w:rPr>
          <w:bCs/>
          <w:i/>
          <w:iCs/>
        </w:rPr>
        <w:t xml:space="preserve">%, respectively. </w:t>
      </w:r>
    </w:p>
    <w:p w14:paraId="09E4C933" w14:textId="77777777" w:rsidR="003F393F" w:rsidRPr="00294018" w:rsidRDefault="003F393F" w:rsidP="003F393F">
      <w:pPr>
        <w:spacing w:after="120" w:line="264" w:lineRule="auto"/>
        <w:ind w:firstLine="720"/>
        <w:jc w:val="both"/>
        <w:rPr>
          <w:iCs/>
        </w:rPr>
      </w:pPr>
      <w:r w:rsidRPr="00294018">
        <w:rPr>
          <w:i/>
        </w:rPr>
        <w:lastRenderedPageBreak/>
        <w:t xml:space="preserve">Passenger carried </w:t>
      </w:r>
      <w:r w:rsidRPr="00294018">
        <w:t xml:space="preserve">in </w:t>
      </w:r>
      <w:r w:rsidRPr="00294018">
        <w:rPr>
          <w:iCs/>
        </w:rPr>
        <w:t>May</w:t>
      </w:r>
      <w:r w:rsidRPr="00294018">
        <w:t xml:space="preserve"> 2026 was estimated at </w:t>
      </w:r>
      <w:r w:rsidRPr="00294018">
        <w:rPr>
          <w:iCs/>
        </w:rPr>
        <w:t xml:space="preserve">598.6 </w:t>
      </w:r>
      <w:r w:rsidRPr="00294018">
        <w:t xml:space="preserve">million turns of passengers, </w:t>
      </w:r>
      <w:r w:rsidRPr="00294018">
        <w:rPr>
          <w:bCs/>
        </w:rPr>
        <w:t>a month-on-month</w:t>
      </w:r>
      <w:r w:rsidRPr="00294018">
        <w:t xml:space="preserve"> increase of </w:t>
      </w:r>
      <w:r w:rsidRPr="00294018">
        <w:rPr>
          <w:iCs/>
        </w:rPr>
        <w:t>1.4</w:t>
      </w:r>
      <w:r w:rsidRPr="00294018">
        <w:t xml:space="preserve">%, and passenger carried (passenger-kilometers) reached </w:t>
      </w:r>
      <w:r w:rsidRPr="00294018">
        <w:rPr>
          <w:iCs/>
        </w:rPr>
        <w:t xml:space="preserve">28.5 </w:t>
      </w:r>
      <w:r w:rsidRPr="00294018">
        <w:t xml:space="preserve">billion passenger-kilometer, </w:t>
      </w:r>
      <w:r w:rsidRPr="00294018">
        <w:rPr>
          <w:bCs/>
        </w:rPr>
        <w:t>a month-on-month</w:t>
      </w:r>
      <w:r w:rsidRPr="00294018">
        <w:t xml:space="preserve"> rise of </w:t>
      </w:r>
      <w:r w:rsidRPr="00294018">
        <w:rPr>
          <w:iCs/>
        </w:rPr>
        <w:t>1.5</w:t>
      </w:r>
      <w:r w:rsidRPr="00294018">
        <w:t xml:space="preserve">%. Overall, in </w:t>
      </w:r>
      <w:r w:rsidRPr="00294018">
        <w:rPr>
          <w:bCs/>
          <w:iCs/>
        </w:rPr>
        <w:t>five months of</w:t>
      </w:r>
      <w:r w:rsidRPr="00294018">
        <w:t xml:space="preserve"> 2026, the passenger </w:t>
      </w:r>
      <w:r w:rsidRPr="00294018">
        <w:rPr>
          <w:bCs/>
        </w:rPr>
        <w:t>carried</w:t>
      </w:r>
      <w:r w:rsidRPr="00294018">
        <w:t xml:space="preserve"> was estimated at </w:t>
      </w:r>
      <w:r w:rsidRPr="00294018">
        <w:rPr>
          <w:iCs/>
        </w:rPr>
        <w:t xml:space="preserve">2,781.7 </w:t>
      </w:r>
      <w:r w:rsidRPr="00294018">
        <w:t xml:space="preserve">million </w:t>
      </w:r>
      <w:r w:rsidRPr="00294018">
        <w:rPr>
          <w:bCs/>
        </w:rPr>
        <w:t>turns of</w:t>
      </w:r>
      <w:r w:rsidRPr="00294018">
        <w:t xml:space="preserve"> passengers, a year-on-year increase of </w:t>
      </w:r>
      <w:r w:rsidRPr="00294018">
        <w:rPr>
          <w:iCs/>
        </w:rPr>
        <w:t>19.0</w:t>
      </w:r>
      <w:r w:rsidRPr="00294018">
        <w:t xml:space="preserve">% and passenger carried (passenger-kilometers) reached </w:t>
      </w:r>
      <w:r w:rsidRPr="00294018">
        <w:rPr>
          <w:iCs/>
        </w:rPr>
        <w:t xml:space="preserve">141.4 </w:t>
      </w:r>
      <w:r w:rsidRPr="00294018">
        <w:t xml:space="preserve">billion passenger-kilometer, a rise of </w:t>
      </w:r>
      <w:r w:rsidRPr="00294018">
        <w:rPr>
          <w:iCs/>
        </w:rPr>
        <w:t>12.7</w:t>
      </w:r>
      <w:r w:rsidRPr="00294018">
        <w:t xml:space="preserve">%. Of which, domestic </w:t>
      </w:r>
      <w:r w:rsidRPr="00294018">
        <w:rPr>
          <w:bCs/>
          <w:iCs/>
        </w:rPr>
        <w:t>passenger carried</w:t>
      </w:r>
      <w:r w:rsidRPr="00294018">
        <w:t xml:space="preserve"> was estimated at </w:t>
      </w:r>
      <w:r w:rsidRPr="00294018">
        <w:rPr>
          <w:iCs/>
        </w:rPr>
        <w:t xml:space="preserve">2,772.9 </w:t>
      </w:r>
      <w:r w:rsidRPr="00294018">
        <w:t xml:space="preserve">million </w:t>
      </w:r>
      <w:r w:rsidRPr="00294018">
        <w:rPr>
          <w:bCs/>
        </w:rPr>
        <w:t>turns of</w:t>
      </w:r>
      <w:r w:rsidRPr="00294018">
        <w:rPr>
          <w:spacing w:val="-4"/>
        </w:rPr>
        <w:t xml:space="preserve"> passengers</w:t>
      </w:r>
      <w:r w:rsidRPr="00294018">
        <w:t xml:space="preserve">, </w:t>
      </w:r>
      <w:r w:rsidRPr="00294018">
        <w:rPr>
          <w:bCs/>
        </w:rPr>
        <w:t>a year-on-year increase of</w:t>
      </w:r>
      <w:r w:rsidRPr="00294018">
        <w:t xml:space="preserve"> </w:t>
      </w:r>
      <w:r w:rsidRPr="00294018">
        <w:rPr>
          <w:iCs/>
        </w:rPr>
        <w:t>19.1</w:t>
      </w:r>
      <w:r w:rsidRPr="00294018">
        <w:t xml:space="preserve">%, </w:t>
      </w:r>
      <w:r w:rsidRPr="00294018">
        <w:rPr>
          <w:bCs/>
        </w:rPr>
        <w:t>domestic passenger carried (passenger-kilometers) was</w:t>
      </w:r>
      <w:r w:rsidRPr="00294018">
        <w:t xml:space="preserve"> </w:t>
      </w:r>
      <w:r w:rsidRPr="00294018">
        <w:rPr>
          <w:iCs/>
        </w:rPr>
        <w:t xml:space="preserve">113.4 </w:t>
      </w:r>
      <w:r w:rsidRPr="00294018">
        <w:t xml:space="preserve">billion passenger-kilometer, </w:t>
      </w:r>
      <w:r w:rsidRPr="00294018">
        <w:rPr>
          <w:bCs/>
        </w:rPr>
        <w:t>a year-on-year upturn of</w:t>
      </w:r>
      <w:r w:rsidRPr="00294018">
        <w:t xml:space="preserve"> </w:t>
      </w:r>
      <w:r w:rsidRPr="00294018">
        <w:rPr>
          <w:iCs/>
        </w:rPr>
        <w:t>13.6</w:t>
      </w:r>
      <w:r w:rsidRPr="00294018">
        <w:t xml:space="preserve">%; </w:t>
      </w:r>
      <w:r w:rsidRPr="00294018">
        <w:rPr>
          <w:bCs/>
        </w:rPr>
        <w:t xml:space="preserve">oversea </w:t>
      </w:r>
      <w:r w:rsidRPr="00294018">
        <w:rPr>
          <w:bCs/>
          <w:iCs/>
        </w:rPr>
        <w:t>passenger carried</w:t>
      </w:r>
      <w:r w:rsidRPr="00294018">
        <w:t xml:space="preserve"> was estimated at </w:t>
      </w:r>
      <w:r w:rsidRPr="00294018">
        <w:rPr>
          <w:iCs/>
        </w:rPr>
        <w:t xml:space="preserve">8.8 </w:t>
      </w:r>
      <w:r w:rsidRPr="00294018">
        <w:t xml:space="preserve">million </w:t>
      </w:r>
      <w:r w:rsidRPr="00294018">
        <w:rPr>
          <w:bCs/>
        </w:rPr>
        <w:t>turns of</w:t>
      </w:r>
      <w:r w:rsidRPr="00294018">
        <w:rPr>
          <w:spacing w:val="-4"/>
        </w:rPr>
        <w:t xml:space="preserve"> passengers</w:t>
      </w:r>
      <w:r w:rsidRPr="00294018">
        <w:t xml:space="preserve">, </w:t>
      </w:r>
      <w:r w:rsidRPr="00294018">
        <w:rPr>
          <w:bCs/>
        </w:rPr>
        <w:t>a year-on-year expansion of</w:t>
      </w:r>
      <w:r w:rsidRPr="00294018">
        <w:t xml:space="preserve"> </w:t>
      </w:r>
      <w:r w:rsidRPr="00294018">
        <w:rPr>
          <w:iCs/>
        </w:rPr>
        <w:t>9.6</w:t>
      </w:r>
      <w:r w:rsidRPr="00294018">
        <w:t xml:space="preserve">%, </w:t>
      </w:r>
      <w:r w:rsidRPr="00294018">
        <w:rPr>
          <w:spacing w:val="-4"/>
        </w:rPr>
        <w:t>and</w:t>
      </w:r>
      <w:r w:rsidRPr="00294018">
        <w:rPr>
          <w:bCs/>
        </w:rPr>
        <w:t xml:space="preserve"> overseas passengers carried (passenger-kilometers) reached</w:t>
      </w:r>
      <w:r w:rsidRPr="00294018">
        <w:t xml:space="preserve"> </w:t>
      </w:r>
      <w:r w:rsidRPr="00294018">
        <w:rPr>
          <w:iCs/>
        </w:rPr>
        <w:t xml:space="preserve">28.0 </w:t>
      </w:r>
      <w:r w:rsidRPr="00294018">
        <w:t xml:space="preserve">billion passenger-kilometer, </w:t>
      </w:r>
      <w:r w:rsidRPr="00294018">
        <w:rPr>
          <w:bCs/>
        </w:rPr>
        <w:t>going up by</w:t>
      </w:r>
      <w:r w:rsidRPr="00294018">
        <w:t xml:space="preserve"> </w:t>
      </w:r>
      <w:r w:rsidRPr="00294018">
        <w:rPr>
          <w:iCs/>
        </w:rPr>
        <w:t>9.2</w:t>
      </w:r>
      <w:r w:rsidRPr="00294018">
        <w:t>%</w:t>
      </w:r>
      <w:r w:rsidRPr="00294018">
        <w:rPr>
          <w:iCs/>
        </w:rPr>
        <w:t>.</w:t>
      </w:r>
    </w:p>
    <w:p w14:paraId="29075FB4" w14:textId="77777777" w:rsidR="003F393F" w:rsidRPr="00294018" w:rsidRDefault="003F393F" w:rsidP="003F393F">
      <w:pPr>
        <w:tabs>
          <w:tab w:val="left" w:pos="567"/>
        </w:tabs>
        <w:spacing w:before="120" w:after="120"/>
        <w:jc w:val="center"/>
        <w:rPr>
          <w:rFonts w:ascii="Arial" w:hAnsi="Arial" w:cs="Arial"/>
          <w:b/>
          <w:bCs/>
          <w:sz w:val="24"/>
          <w:szCs w:val="24"/>
        </w:rPr>
      </w:pPr>
      <w:r w:rsidRPr="00294018">
        <w:rPr>
          <w:rFonts w:ascii="Arial" w:hAnsi="Arial" w:cs="Arial"/>
          <w:b/>
          <w:spacing w:val="-2"/>
          <w:sz w:val="24"/>
          <w:szCs w:val="20"/>
        </w:rPr>
        <w:t xml:space="preserve">Table 6. </w:t>
      </w:r>
      <w:r w:rsidRPr="00294018">
        <w:rPr>
          <w:rFonts w:ascii="Arial" w:hAnsi="Arial" w:cs="Arial"/>
          <w:b/>
          <w:bCs/>
          <w:iCs/>
          <w:sz w:val="24"/>
          <w:szCs w:val="24"/>
        </w:rPr>
        <w:t>Passenger carried in five months of</w:t>
      </w:r>
      <w:r w:rsidRPr="00294018">
        <w:rPr>
          <w:rFonts w:ascii="Arial" w:hAnsi="Arial" w:cs="Arial"/>
          <w:b/>
          <w:bCs/>
          <w:sz w:val="24"/>
          <w:szCs w:val="24"/>
        </w:rPr>
        <w:t xml:space="preserve"> 2026 by type of transport </w:t>
      </w:r>
    </w:p>
    <w:tbl>
      <w:tblPr>
        <w:tblW w:w="9208" w:type="dxa"/>
        <w:jc w:val="center"/>
        <w:tblLook w:val="04A0" w:firstRow="1" w:lastRow="0" w:firstColumn="1" w:lastColumn="0" w:noHBand="0" w:noVBand="1"/>
      </w:tblPr>
      <w:tblGrid>
        <w:gridCol w:w="2166"/>
        <w:gridCol w:w="1775"/>
        <w:gridCol w:w="1836"/>
        <w:gridCol w:w="222"/>
        <w:gridCol w:w="1740"/>
        <w:gridCol w:w="1469"/>
      </w:tblGrid>
      <w:tr w:rsidR="003F393F" w:rsidRPr="00294018" w14:paraId="6789338F" w14:textId="77777777" w:rsidTr="0060017F">
        <w:trPr>
          <w:trHeight w:val="398"/>
          <w:jc w:val="center"/>
        </w:trPr>
        <w:tc>
          <w:tcPr>
            <w:tcW w:w="2166" w:type="dxa"/>
            <w:tcBorders>
              <w:top w:val="single" w:sz="4" w:space="0" w:color="auto"/>
            </w:tcBorders>
            <w:vAlign w:val="center"/>
            <w:hideMark/>
          </w:tcPr>
          <w:p w14:paraId="1AEF3C62" w14:textId="77777777" w:rsidR="003F393F" w:rsidRPr="00294018" w:rsidRDefault="003F393F" w:rsidP="0060017F">
            <w:pPr>
              <w:jc w:val="center"/>
              <w:rPr>
                <w:rFonts w:ascii="Arial" w:hAnsi="Arial" w:cs="Arial"/>
                <w:sz w:val="20"/>
                <w:szCs w:val="20"/>
                <w:lang w:eastAsia="vi-VN"/>
              </w:rPr>
            </w:pPr>
          </w:p>
        </w:tc>
        <w:tc>
          <w:tcPr>
            <w:tcW w:w="3611" w:type="dxa"/>
            <w:gridSpan w:val="2"/>
            <w:tcBorders>
              <w:top w:val="single" w:sz="4" w:space="0" w:color="auto"/>
              <w:bottom w:val="single" w:sz="4" w:space="0" w:color="auto"/>
            </w:tcBorders>
            <w:vAlign w:val="center"/>
            <w:hideMark/>
          </w:tcPr>
          <w:p w14:paraId="66EC33B9"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Number of passengers</w:t>
            </w:r>
          </w:p>
        </w:tc>
        <w:tc>
          <w:tcPr>
            <w:tcW w:w="222" w:type="dxa"/>
            <w:tcBorders>
              <w:top w:val="single" w:sz="4" w:space="0" w:color="auto"/>
            </w:tcBorders>
          </w:tcPr>
          <w:p w14:paraId="0E891BEC" w14:textId="77777777" w:rsidR="003F393F" w:rsidRPr="00294018" w:rsidRDefault="003F393F" w:rsidP="0060017F">
            <w:pPr>
              <w:jc w:val="center"/>
              <w:rPr>
                <w:rFonts w:ascii="Arial" w:hAnsi="Arial" w:cs="Arial"/>
                <w:sz w:val="20"/>
                <w:szCs w:val="20"/>
                <w:lang w:eastAsia="vi-VN"/>
              </w:rPr>
            </w:pPr>
          </w:p>
        </w:tc>
        <w:tc>
          <w:tcPr>
            <w:tcW w:w="3209" w:type="dxa"/>
            <w:gridSpan w:val="2"/>
            <w:tcBorders>
              <w:top w:val="single" w:sz="4" w:space="0" w:color="auto"/>
              <w:bottom w:val="single" w:sz="4" w:space="0" w:color="auto"/>
            </w:tcBorders>
            <w:vAlign w:val="center"/>
            <w:hideMark/>
          </w:tcPr>
          <w:p w14:paraId="3D00ECCC"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Year-on-year growth rate (%)</w:t>
            </w:r>
          </w:p>
        </w:tc>
      </w:tr>
      <w:tr w:rsidR="003F393F" w:rsidRPr="00294018" w14:paraId="55BC0EE9" w14:textId="77777777" w:rsidTr="0060017F">
        <w:trPr>
          <w:trHeight w:val="389"/>
          <w:jc w:val="center"/>
        </w:trPr>
        <w:tc>
          <w:tcPr>
            <w:tcW w:w="2166" w:type="dxa"/>
            <w:vAlign w:val="center"/>
            <w:hideMark/>
          </w:tcPr>
          <w:p w14:paraId="158BF2E8" w14:textId="77777777" w:rsidR="003F393F" w:rsidRPr="00294018" w:rsidRDefault="003F393F" w:rsidP="0060017F">
            <w:pPr>
              <w:jc w:val="center"/>
              <w:rPr>
                <w:rFonts w:ascii="Arial" w:hAnsi="Arial" w:cs="Arial"/>
                <w:sz w:val="20"/>
                <w:szCs w:val="20"/>
                <w:lang w:eastAsia="vi-VN"/>
              </w:rPr>
            </w:pPr>
          </w:p>
        </w:tc>
        <w:tc>
          <w:tcPr>
            <w:tcW w:w="1775" w:type="dxa"/>
            <w:tcBorders>
              <w:top w:val="single" w:sz="4" w:space="0" w:color="auto"/>
              <w:bottom w:val="single" w:sz="4" w:space="0" w:color="auto"/>
            </w:tcBorders>
            <w:vAlign w:val="center"/>
            <w:hideMark/>
          </w:tcPr>
          <w:p w14:paraId="34F26EB8" w14:textId="77777777" w:rsidR="003F393F" w:rsidRPr="00294018" w:rsidRDefault="003F393F" w:rsidP="0060017F">
            <w:pPr>
              <w:spacing w:line="256" w:lineRule="auto"/>
              <w:jc w:val="center"/>
              <w:rPr>
                <w:rFonts w:ascii="Arial" w:hAnsi="Arial" w:cs="Arial"/>
                <w:sz w:val="20"/>
                <w:szCs w:val="20"/>
                <w:lang w:eastAsia="vi-VN"/>
              </w:rPr>
            </w:pPr>
            <w:r w:rsidRPr="00294018">
              <w:rPr>
                <w:rFonts w:ascii="Arial" w:hAnsi="Arial" w:cs="Arial"/>
                <w:sz w:val="20"/>
                <w:szCs w:val="20"/>
                <w:lang w:eastAsia="vi-VN"/>
              </w:rPr>
              <w:t>Carried</w:t>
            </w:r>
          </w:p>
          <w:p w14:paraId="538E6AC6"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(Mill. Passengers)</w:t>
            </w:r>
          </w:p>
        </w:tc>
        <w:tc>
          <w:tcPr>
            <w:tcW w:w="1836" w:type="dxa"/>
            <w:tcBorders>
              <w:top w:val="single" w:sz="4" w:space="0" w:color="auto"/>
              <w:bottom w:val="single" w:sz="4" w:space="0" w:color="auto"/>
            </w:tcBorders>
            <w:vAlign w:val="center"/>
            <w:hideMark/>
          </w:tcPr>
          <w:p w14:paraId="19A31748"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 xml:space="preserve">Carried (passenger-kilometers) </w:t>
            </w:r>
            <w:r w:rsidRPr="00294018">
              <w:rPr>
                <w:rFonts w:ascii="Arial" w:hAnsi="Arial" w:cs="Arial"/>
                <w:sz w:val="20"/>
                <w:szCs w:val="20"/>
                <w:lang w:eastAsia="vi-VN"/>
              </w:rPr>
              <w:br/>
              <w:t>(Bill. passenger-km)</w:t>
            </w:r>
          </w:p>
        </w:tc>
        <w:tc>
          <w:tcPr>
            <w:tcW w:w="222" w:type="dxa"/>
          </w:tcPr>
          <w:p w14:paraId="20C0E778" w14:textId="77777777" w:rsidR="003F393F" w:rsidRPr="00294018" w:rsidRDefault="003F393F" w:rsidP="0060017F">
            <w:pPr>
              <w:jc w:val="center"/>
              <w:rPr>
                <w:rFonts w:ascii="Arial" w:hAnsi="Arial" w:cs="Arial"/>
                <w:sz w:val="20"/>
                <w:szCs w:val="20"/>
                <w:lang w:eastAsia="vi-VN"/>
              </w:rPr>
            </w:pPr>
          </w:p>
        </w:tc>
        <w:tc>
          <w:tcPr>
            <w:tcW w:w="1740" w:type="dxa"/>
            <w:tcBorders>
              <w:top w:val="single" w:sz="4" w:space="0" w:color="auto"/>
              <w:bottom w:val="single" w:sz="4" w:space="0" w:color="auto"/>
            </w:tcBorders>
            <w:vAlign w:val="center"/>
            <w:hideMark/>
          </w:tcPr>
          <w:p w14:paraId="237CB6EB"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Carried</w:t>
            </w:r>
          </w:p>
        </w:tc>
        <w:tc>
          <w:tcPr>
            <w:tcW w:w="1469" w:type="dxa"/>
            <w:tcBorders>
              <w:top w:val="single" w:sz="4" w:space="0" w:color="auto"/>
              <w:bottom w:val="single" w:sz="4" w:space="0" w:color="auto"/>
            </w:tcBorders>
            <w:vAlign w:val="center"/>
            <w:hideMark/>
          </w:tcPr>
          <w:p w14:paraId="0282246D"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Carried (passenger-kilometers)</w:t>
            </w:r>
          </w:p>
        </w:tc>
      </w:tr>
      <w:tr w:rsidR="003F393F" w:rsidRPr="00294018" w14:paraId="6BE6FED9" w14:textId="77777777" w:rsidTr="0060017F">
        <w:trPr>
          <w:trHeight w:val="353"/>
          <w:jc w:val="center"/>
        </w:trPr>
        <w:tc>
          <w:tcPr>
            <w:tcW w:w="2166" w:type="dxa"/>
            <w:noWrap/>
            <w:vAlign w:val="center"/>
            <w:hideMark/>
          </w:tcPr>
          <w:p w14:paraId="2A94EC05" w14:textId="77777777" w:rsidR="003F393F" w:rsidRPr="00294018" w:rsidRDefault="003F393F" w:rsidP="0060017F">
            <w:pPr>
              <w:rPr>
                <w:rFonts w:ascii="Arial" w:hAnsi="Arial" w:cs="Arial"/>
                <w:b/>
                <w:bCs/>
                <w:sz w:val="20"/>
                <w:szCs w:val="20"/>
                <w:lang w:eastAsia="vi-VN"/>
              </w:rPr>
            </w:pPr>
            <w:r w:rsidRPr="00294018">
              <w:rPr>
                <w:rFonts w:ascii="Arial" w:hAnsi="Arial" w:cs="Arial"/>
                <w:b/>
                <w:bCs/>
                <w:sz w:val="20"/>
                <w:szCs w:val="20"/>
                <w:lang w:eastAsia="vi-VN"/>
              </w:rPr>
              <w:t>Total</w:t>
            </w:r>
          </w:p>
        </w:tc>
        <w:tc>
          <w:tcPr>
            <w:tcW w:w="1775" w:type="dxa"/>
            <w:tcBorders>
              <w:top w:val="single" w:sz="4" w:space="0" w:color="auto"/>
            </w:tcBorders>
            <w:noWrap/>
            <w:vAlign w:val="center"/>
          </w:tcPr>
          <w:p w14:paraId="2E2F5176"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2,781.7</w:t>
            </w:r>
          </w:p>
        </w:tc>
        <w:tc>
          <w:tcPr>
            <w:tcW w:w="1836" w:type="dxa"/>
            <w:tcBorders>
              <w:top w:val="single" w:sz="4" w:space="0" w:color="auto"/>
            </w:tcBorders>
            <w:noWrap/>
            <w:vAlign w:val="center"/>
          </w:tcPr>
          <w:p w14:paraId="6854E6F1"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141.4</w:t>
            </w:r>
          </w:p>
        </w:tc>
        <w:tc>
          <w:tcPr>
            <w:tcW w:w="222" w:type="dxa"/>
          </w:tcPr>
          <w:p w14:paraId="1C2CABE8" w14:textId="77777777" w:rsidR="003F393F" w:rsidRPr="00294018" w:rsidRDefault="003F393F" w:rsidP="0060017F">
            <w:pPr>
              <w:ind w:right="520"/>
              <w:jc w:val="right"/>
              <w:rPr>
                <w:rFonts w:ascii="Arial" w:hAnsi="Arial" w:cs="Arial"/>
                <w:b/>
                <w:bCs/>
                <w:sz w:val="20"/>
                <w:szCs w:val="20"/>
              </w:rPr>
            </w:pPr>
          </w:p>
        </w:tc>
        <w:tc>
          <w:tcPr>
            <w:tcW w:w="1740" w:type="dxa"/>
            <w:tcBorders>
              <w:top w:val="single" w:sz="4" w:space="0" w:color="auto"/>
            </w:tcBorders>
            <w:noWrap/>
            <w:vAlign w:val="center"/>
          </w:tcPr>
          <w:p w14:paraId="78CB9C86"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19.0</w:t>
            </w:r>
          </w:p>
        </w:tc>
        <w:tc>
          <w:tcPr>
            <w:tcW w:w="1469" w:type="dxa"/>
            <w:tcBorders>
              <w:top w:val="single" w:sz="4" w:space="0" w:color="auto"/>
            </w:tcBorders>
            <w:noWrap/>
            <w:vAlign w:val="center"/>
          </w:tcPr>
          <w:p w14:paraId="3640B831" w14:textId="77777777" w:rsidR="003F393F" w:rsidRPr="00294018" w:rsidRDefault="003F393F" w:rsidP="0060017F">
            <w:pPr>
              <w:ind w:right="322"/>
              <w:jc w:val="right"/>
              <w:rPr>
                <w:rFonts w:ascii="Arial" w:hAnsi="Arial" w:cs="Arial"/>
                <w:b/>
                <w:bCs/>
                <w:sz w:val="20"/>
                <w:szCs w:val="20"/>
              </w:rPr>
            </w:pPr>
            <w:r w:rsidRPr="00294018">
              <w:rPr>
                <w:rFonts w:ascii="Arial" w:hAnsi="Arial" w:cs="Arial"/>
                <w:b/>
                <w:bCs/>
                <w:sz w:val="20"/>
                <w:szCs w:val="20"/>
              </w:rPr>
              <w:t>12.7</w:t>
            </w:r>
          </w:p>
        </w:tc>
      </w:tr>
      <w:tr w:rsidR="003F393F" w:rsidRPr="00294018" w14:paraId="74717539" w14:textId="77777777" w:rsidTr="0060017F">
        <w:trPr>
          <w:trHeight w:val="295"/>
          <w:jc w:val="center"/>
        </w:trPr>
        <w:tc>
          <w:tcPr>
            <w:tcW w:w="2166" w:type="dxa"/>
            <w:noWrap/>
            <w:vAlign w:val="center"/>
            <w:hideMark/>
          </w:tcPr>
          <w:p w14:paraId="17CBBCE0"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Rail way</w:t>
            </w:r>
          </w:p>
        </w:tc>
        <w:tc>
          <w:tcPr>
            <w:tcW w:w="1775" w:type="dxa"/>
            <w:noWrap/>
            <w:vAlign w:val="center"/>
          </w:tcPr>
          <w:p w14:paraId="7E19A288"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20.2</w:t>
            </w:r>
          </w:p>
        </w:tc>
        <w:tc>
          <w:tcPr>
            <w:tcW w:w="1836" w:type="dxa"/>
            <w:noWrap/>
            <w:vAlign w:val="center"/>
          </w:tcPr>
          <w:p w14:paraId="387D2E59"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1.4</w:t>
            </w:r>
          </w:p>
        </w:tc>
        <w:tc>
          <w:tcPr>
            <w:tcW w:w="222" w:type="dxa"/>
          </w:tcPr>
          <w:p w14:paraId="3567D863" w14:textId="77777777" w:rsidR="003F393F" w:rsidRPr="00294018" w:rsidRDefault="003F393F" w:rsidP="0060017F">
            <w:pPr>
              <w:ind w:right="520"/>
              <w:jc w:val="right"/>
              <w:rPr>
                <w:rFonts w:ascii="Arial" w:hAnsi="Arial" w:cs="Arial"/>
                <w:sz w:val="20"/>
                <w:szCs w:val="20"/>
              </w:rPr>
            </w:pPr>
          </w:p>
        </w:tc>
        <w:tc>
          <w:tcPr>
            <w:tcW w:w="1740" w:type="dxa"/>
            <w:noWrap/>
            <w:vAlign w:val="center"/>
          </w:tcPr>
          <w:p w14:paraId="6BE50F73"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16.2</w:t>
            </w:r>
          </w:p>
        </w:tc>
        <w:tc>
          <w:tcPr>
            <w:tcW w:w="1469" w:type="dxa"/>
            <w:noWrap/>
            <w:vAlign w:val="center"/>
          </w:tcPr>
          <w:p w14:paraId="4D8EA58A" w14:textId="77777777" w:rsidR="003F393F" w:rsidRPr="00294018" w:rsidRDefault="003F393F" w:rsidP="0060017F">
            <w:pPr>
              <w:ind w:right="322"/>
              <w:jc w:val="right"/>
              <w:rPr>
                <w:rFonts w:ascii="Arial" w:hAnsi="Arial" w:cs="Arial"/>
                <w:sz w:val="20"/>
                <w:szCs w:val="20"/>
              </w:rPr>
            </w:pPr>
            <w:r w:rsidRPr="00294018">
              <w:rPr>
                <w:rFonts w:ascii="Arial" w:hAnsi="Arial" w:cs="Arial"/>
                <w:sz w:val="20"/>
                <w:szCs w:val="20"/>
              </w:rPr>
              <w:t>2.6</w:t>
            </w:r>
          </w:p>
        </w:tc>
      </w:tr>
      <w:tr w:rsidR="003F393F" w:rsidRPr="00294018" w14:paraId="0E4AA009" w14:textId="77777777" w:rsidTr="0060017F">
        <w:trPr>
          <w:trHeight w:val="295"/>
          <w:jc w:val="center"/>
        </w:trPr>
        <w:tc>
          <w:tcPr>
            <w:tcW w:w="2166" w:type="dxa"/>
            <w:noWrap/>
            <w:vAlign w:val="center"/>
            <w:hideMark/>
          </w:tcPr>
          <w:p w14:paraId="3FAB0098" w14:textId="75A978EB" w:rsidR="003F393F" w:rsidRPr="00294018" w:rsidRDefault="001A55F8" w:rsidP="0060017F">
            <w:pPr>
              <w:tabs>
                <w:tab w:val="left" w:pos="407"/>
              </w:tabs>
              <w:ind w:firstLine="182"/>
              <w:rPr>
                <w:rFonts w:ascii="Arial" w:hAnsi="Arial" w:cs="Arial"/>
                <w:sz w:val="20"/>
                <w:szCs w:val="20"/>
                <w:lang w:eastAsia="vi-VN"/>
              </w:rPr>
            </w:pPr>
            <w:r w:rsidRPr="001A55F8">
              <w:rPr>
                <w:rFonts w:ascii="Arial" w:hAnsi="Arial" w:cs="Arial"/>
                <w:sz w:val="20"/>
                <w:szCs w:val="20"/>
                <w:lang w:eastAsia="vi-VN"/>
              </w:rPr>
              <w:t>Maritime transport</w:t>
            </w:r>
            <w:r w:rsidR="003F393F" w:rsidRPr="00294018">
              <w:rPr>
                <w:rStyle w:val="FootnoteReference"/>
                <w:rFonts w:ascii="Arial" w:eastAsiaTheme="majorEastAsia" w:hAnsi="Arial"/>
                <w:sz w:val="20"/>
                <w:szCs w:val="20"/>
                <w:lang w:eastAsia="vi-VN"/>
              </w:rPr>
              <w:footnoteReference w:id="31"/>
            </w:r>
          </w:p>
        </w:tc>
        <w:tc>
          <w:tcPr>
            <w:tcW w:w="1775" w:type="dxa"/>
            <w:noWrap/>
            <w:vAlign w:val="center"/>
          </w:tcPr>
          <w:p w14:paraId="1E42AED9"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4.9</w:t>
            </w:r>
          </w:p>
        </w:tc>
        <w:tc>
          <w:tcPr>
            <w:tcW w:w="1836" w:type="dxa"/>
            <w:noWrap/>
            <w:vAlign w:val="center"/>
          </w:tcPr>
          <w:p w14:paraId="7F3A7652"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0.4</w:t>
            </w:r>
          </w:p>
        </w:tc>
        <w:tc>
          <w:tcPr>
            <w:tcW w:w="222" w:type="dxa"/>
          </w:tcPr>
          <w:p w14:paraId="00DA308A" w14:textId="77777777" w:rsidR="003F393F" w:rsidRPr="00294018" w:rsidRDefault="003F393F" w:rsidP="0060017F">
            <w:pPr>
              <w:ind w:right="520"/>
              <w:jc w:val="right"/>
              <w:rPr>
                <w:rFonts w:ascii="Arial" w:hAnsi="Arial" w:cs="Arial"/>
                <w:sz w:val="20"/>
                <w:szCs w:val="20"/>
              </w:rPr>
            </w:pPr>
          </w:p>
        </w:tc>
        <w:tc>
          <w:tcPr>
            <w:tcW w:w="1740" w:type="dxa"/>
            <w:noWrap/>
            <w:vAlign w:val="center"/>
          </w:tcPr>
          <w:p w14:paraId="4D84BE47"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-9.8</w:t>
            </w:r>
          </w:p>
        </w:tc>
        <w:tc>
          <w:tcPr>
            <w:tcW w:w="1469" w:type="dxa"/>
            <w:noWrap/>
            <w:vAlign w:val="center"/>
          </w:tcPr>
          <w:p w14:paraId="788480B5" w14:textId="77777777" w:rsidR="003F393F" w:rsidRPr="00294018" w:rsidRDefault="003F393F" w:rsidP="0060017F">
            <w:pPr>
              <w:ind w:right="322"/>
              <w:jc w:val="right"/>
              <w:rPr>
                <w:rFonts w:ascii="Arial" w:hAnsi="Arial" w:cs="Arial"/>
                <w:sz w:val="20"/>
                <w:szCs w:val="20"/>
              </w:rPr>
            </w:pPr>
            <w:r w:rsidRPr="00294018">
              <w:rPr>
                <w:rFonts w:ascii="Arial" w:hAnsi="Arial" w:cs="Arial"/>
                <w:sz w:val="20"/>
                <w:szCs w:val="20"/>
              </w:rPr>
              <w:t>16.9</w:t>
            </w:r>
          </w:p>
        </w:tc>
      </w:tr>
      <w:tr w:rsidR="003F393F" w:rsidRPr="00294018" w14:paraId="0FFB946E" w14:textId="77777777" w:rsidTr="0060017F">
        <w:trPr>
          <w:trHeight w:val="295"/>
          <w:jc w:val="center"/>
        </w:trPr>
        <w:tc>
          <w:tcPr>
            <w:tcW w:w="2166" w:type="dxa"/>
            <w:noWrap/>
            <w:vAlign w:val="center"/>
            <w:hideMark/>
          </w:tcPr>
          <w:p w14:paraId="5FEA2B8B"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Inland water way</w:t>
            </w:r>
          </w:p>
        </w:tc>
        <w:tc>
          <w:tcPr>
            <w:tcW w:w="1775" w:type="dxa"/>
            <w:noWrap/>
            <w:vAlign w:val="center"/>
          </w:tcPr>
          <w:p w14:paraId="35956F21"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194.7</w:t>
            </w:r>
          </w:p>
        </w:tc>
        <w:tc>
          <w:tcPr>
            <w:tcW w:w="1836" w:type="dxa"/>
            <w:noWrap/>
            <w:vAlign w:val="center"/>
          </w:tcPr>
          <w:p w14:paraId="40D51397"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4.3</w:t>
            </w:r>
          </w:p>
        </w:tc>
        <w:tc>
          <w:tcPr>
            <w:tcW w:w="222" w:type="dxa"/>
          </w:tcPr>
          <w:p w14:paraId="495D5016" w14:textId="77777777" w:rsidR="003F393F" w:rsidRPr="00294018" w:rsidRDefault="003F393F" w:rsidP="0060017F">
            <w:pPr>
              <w:ind w:right="520"/>
              <w:jc w:val="right"/>
              <w:rPr>
                <w:rFonts w:ascii="Arial" w:hAnsi="Arial" w:cs="Arial"/>
                <w:sz w:val="20"/>
                <w:szCs w:val="20"/>
              </w:rPr>
            </w:pPr>
          </w:p>
        </w:tc>
        <w:tc>
          <w:tcPr>
            <w:tcW w:w="1740" w:type="dxa"/>
            <w:noWrap/>
            <w:vAlign w:val="center"/>
          </w:tcPr>
          <w:p w14:paraId="1BD639BB"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6.3</w:t>
            </w:r>
          </w:p>
        </w:tc>
        <w:tc>
          <w:tcPr>
            <w:tcW w:w="1469" w:type="dxa"/>
            <w:noWrap/>
            <w:vAlign w:val="center"/>
          </w:tcPr>
          <w:p w14:paraId="04717754" w14:textId="77777777" w:rsidR="003F393F" w:rsidRPr="00294018" w:rsidRDefault="003F393F" w:rsidP="0060017F">
            <w:pPr>
              <w:ind w:right="322"/>
              <w:jc w:val="right"/>
              <w:rPr>
                <w:rFonts w:ascii="Arial" w:hAnsi="Arial" w:cs="Arial"/>
                <w:sz w:val="20"/>
                <w:szCs w:val="20"/>
              </w:rPr>
            </w:pPr>
            <w:r w:rsidRPr="00294018">
              <w:rPr>
                <w:rFonts w:ascii="Arial" w:hAnsi="Arial" w:cs="Arial"/>
                <w:sz w:val="20"/>
                <w:szCs w:val="20"/>
              </w:rPr>
              <w:t>23.2</w:t>
            </w:r>
          </w:p>
        </w:tc>
      </w:tr>
      <w:tr w:rsidR="003F393F" w:rsidRPr="00294018" w14:paraId="61D23ECE" w14:textId="77777777" w:rsidTr="0060017F">
        <w:trPr>
          <w:trHeight w:val="295"/>
          <w:jc w:val="center"/>
        </w:trPr>
        <w:tc>
          <w:tcPr>
            <w:tcW w:w="2166" w:type="dxa"/>
            <w:noWrap/>
            <w:vAlign w:val="center"/>
            <w:hideMark/>
          </w:tcPr>
          <w:p w14:paraId="4179FB4E"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Road</w:t>
            </w:r>
          </w:p>
        </w:tc>
        <w:tc>
          <w:tcPr>
            <w:tcW w:w="1775" w:type="dxa"/>
            <w:noWrap/>
            <w:vAlign w:val="center"/>
          </w:tcPr>
          <w:p w14:paraId="7FAAB3C7"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2,537.3</w:t>
            </w:r>
          </w:p>
        </w:tc>
        <w:tc>
          <w:tcPr>
            <w:tcW w:w="1836" w:type="dxa"/>
            <w:noWrap/>
            <w:vAlign w:val="center"/>
          </w:tcPr>
          <w:p w14:paraId="52BFCE55"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94.6</w:t>
            </w:r>
          </w:p>
        </w:tc>
        <w:tc>
          <w:tcPr>
            <w:tcW w:w="222" w:type="dxa"/>
          </w:tcPr>
          <w:p w14:paraId="235B623B" w14:textId="77777777" w:rsidR="003F393F" w:rsidRPr="00294018" w:rsidRDefault="003F393F" w:rsidP="0060017F">
            <w:pPr>
              <w:ind w:right="520"/>
              <w:jc w:val="right"/>
              <w:rPr>
                <w:rFonts w:ascii="Arial" w:hAnsi="Arial" w:cs="Arial"/>
                <w:sz w:val="20"/>
                <w:szCs w:val="20"/>
              </w:rPr>
            </w:pPr>
          </w:p>
        </w:tc>
        <w:tc>
          <w:tcPr>
            <w:tcW w:w="1740" w:type="dxa"/>
            <w:noWrap/>
            <w:vAlign w:val="center"/>
          </w:tcPr>
          <w:p w14:paraId="03D432A0"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20.4</w:t>
            </w:r>
          </w:p>
        </w:tc>
        <w:tc>
          <w:tcPr>
            <w:tcW w:w="1469" w:type="dxa"/>
            <w:noWrap/>
            <w:vAlign w:val="center"/>
          </w:tcPr>
          <w:p w14:paraId="7EA6D8A5" w14:textId="77777777" w:rsidR="003F393F" w:rsidRPr="00294018" w:rsidRDefault="003F393F" w:rsidP="0060017F">
            <w:pPr>
              <w:ind w:right="322"/>
              <w:jc w:val="right"/>
              <w:rPr>
                <w:rFonts w:ascii="Arial" w:hAnsi="Arial" w:cs="Arial"/>
                <w:sz w:val="20"/>
                <w:szCs w:val="20"/>
              </w:rPr>
            </w:pPr>
            <w:r w:rsidRPr="00294018">
              <w:rPr>
                <w:rFonts w:ascii="Arial" w:hAnsi="Arial" w:cs="Arial"/>
                <w:sz w:val="20"/>
                <w:szCs w:val="20"/>
              </w:rPr>
              <w:t>16.3</w:t>
            </w:r>
          </w:p>
        </w:tc>
      </w:tr>
      <w:tr w:rsidR="003F393F" w:rsidRPr="00294018" w14:paraId="4A80DD72" w14:textId="77777777" w:rsidTr="0060017F">
        <w:trPr>
          <w:trHeight w:val="295"/>
          <w:jc w:val="center"/>
        </w:trPr>
        <w:tc>
          <w:tcPr>
            <w:tcW w:w="2166" w:type="dxa"/>
            <w:tcBorders>
              <w:bottom w:val="single" w:sz="4" w:space="0" w:color="auto"/>
            </w:tcBorders>
            <w:noWrap/>
            <w:vAlign w:val="center"/>
            <w:hideMark/>
          </w:tcPr>
          <w:p w14:paraId="59C05142"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Airway</w:t>
            </w:r>
          </w:p>
        </w:tc>
        <w:tc>
          <w:tcPr>
            <w:tcW w:w="1775" w:type="dxa"/>
            <w:tcBorders>
              <w:bottom w:val="single" w:sz="4" w:space="0" w:color="auto"/>
            </w:tcBorders>
            <w:noWrap/>
            <w:vAlign w:val="center"/>
          </w:tcPr>
          <w:p w14:paraId="41FA2472"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24.6</w:t>
            </w:r>
          </w:p>
        </w:tc>
        <w:tc>
          <w:tcPr>
            <w:tcW w:w="1836" w:type="dxa"/>
            <w:tcBorders>
              <w:bottom w:val="single" w:sz="4" w:space="0" w:color="auto"/>
            </w:tcBorders>
            <w:noWrap/>
            <w:vAlign w:val="center"/>
          </w:tcPr>
          <w:p w14:paraId="34551097"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40.7</w:t>
            </w:r>
          </w:p>
        </w:tc>
        <w:tc>
          <w:tcPr>
            <w:tcW w:w="222" w:type="dxa"/>
            <w:tcBorders>
              <w:bottom w:val="single" w:sz="4" w:space="0" w:color="auto"/>
            </w:tcBorders>
          </w:tcPr>
          <w:p w14:paraId="3E6A4F44" w14:textId="77777777" w:rsidR="003F393F" w:rsidRPr="00294018" w:rsidRDefault="003F393F" w:rsidP="0060017F">
            <w:pPr>
              <w:ind w:right="520"/>
              <w:jc w:val="right"/>
              <w:rPr>
                <w:rFonts w:ascii="Arial" w:hAnsi="Arial" w:cs="Arial"/>
                <w:sz w:val="20"/>
                <w:szCs w:val="20"/>
              </w:rPr>
            </w:pPr>
          </w:p>
        </w:tc>
        <w:tc>
          <w:tcPr>
            <w:tcW w:w="1740" w:type="dxa"/>
            <w:tcBorders>
              <w:bottom w:val="single" w:sz="4" w:space="0" w:color="auto"/>
            </w:tcBorders>
            <w:noWrap/>
            <w:vAlign w:val="center"/>
          </w:tcPr>
          <w:p w14:paraId="0F6FB873"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5.9</w:t>
            </w:r>
          </w:p>
        </w:tc>
        <w:tc>
          <w:tcPr>
            <w:tcW w:w="1469" w:type="dxa"/>
            <w:tcBorders>
              <w:bottom w:val="single" w:sz="4" w:space="0" w:color="auto"/>
            </w:tcBorders>
            <w:noWrap/>
            <w:vAlign w:val="center"/>
          </w:tcPr>
          <w:p w14:paraId="4C03D7F6" w14:textId="77777777" w:rsidR="003F393F" w:rsidRPr="00294018" w:rsidRDefault="003F393F" w:rsidP="0060017F">
            <w:pPr>
              <w:ind w:right="322"/>
              <w:jc w:val="right"/>
              <w:rPr>
                <w:rFonts w:ascii="Arial" w:hAnsi="Arial" w:cs="Arial"/>
                <w:sz w:val="20"/>
                <w:szCs w:val="20"/>
              </w:rPr>
            </w:pPr>
            <w:r w:rsidRPr="00294018">
              <w:rPr>
                <w:rFonts w:ascii="Arial" w:hAnsi="Arial" w:cs="Arial"/>
                <w:sz w:val="20"/>
                <w:szCs w:val="20"/>
              </w:rPr>
              <w:t>4.5</w:t>
            </w:r>
          </w:p>
        </w:tc>
      </w:tr>
    </w:tbl>
    <w:p w14:paraId="4CBC3987" w14:textId="77777777" w:rsidR="003F393F" w:rsidRPr="00294018" w:rsidRDefault="003F393F" w:rsidP="003F393F">
      <w:pPr>
        <w:spacing w:after="120" w:line="264" w:lineRule="auto"/>
        <w:ind w:firstLine="567"/>
        <w:jc w:val="both"/>
        <w:rPr>
          <w:i/>
          <w:sz w:val="10"/>
          <w:szCs w:val="10"/>
        </w:rPr>
      </w:pPr>
    </w:p>
    <w:p w14:paraId="6BF7C516" w14:textId="77777777" w:rsidR="003F393F" w:rsidRPr="00294018" w:rsidRDefault="003F393F" w:rsidP="003F393F">
      <w:pPr>
        <w:spacing w:before="40" w:after="120" w:line="264" w:lineRule="auto"/>
        <w:ind w:firstLine="720"/>
        <w:jc w:val="both"/>
      </w:pPr>
      <w:r w:rsidRPr="00294018">
        <w:rPr>
          <w:i/>
        </w:rPr>
        <w:t xml:space="preserve">Freight transported </w:t>
      </w:r>
      <w:r w:rsidRPr="00294018">
        <w:t xml:space="preserve">in May 2026 was estimated at </w:t>
      </w:r>
      <w:r w:rsidRPr="00294018">
        <w:rPr>
          <w:iCs/>
        </w:rPr>
        <w:t>275.8</w:t>
      </w:r>
      <w:r w:rsidRPr="00294018">
        <w:rPr>
          <w:iCs/>
          <w:spacing w:val="-4"/>
        </w:rPr>
        <w:t xml:space="preserve"> </w:t>
      </w:r>
      <w:r w:rsidRPr="00294018">
        <w:t xml:space="preserve">million tons, </w:t>
      </w:r>
      <w:r w:rsidRPr="00294018">
        <w:rPr>
          <w:bCs/>
        </w:rPr>
        <w:t>month-on-month increase of</w:t>
      </w:r>
      <w:r w:rsidRPr="00294018">
        <w:t xml:space="preserve"> </w:t>
      </w:r>
      <w:r w:rsidRPr="00294018">
        <w:rPr>
          <w:iCs/>
        </w:rPr>
        <w:t>1.6</w:t>
      </w:r>
      <w:r w:rsidRPr="00294018">
        <w:t xml:space="preserve">% and freight transported (ton-kilometers) reached </w:t>
      </w:r>
      <w:r w:rsidRPr="00294018">
        <w:rPr>
          <w:iCs/>
        </w:rPr>
        <w:t xml:space="preserve">58.5 </w:t>
      </w:r>
      <w:r w:rsidRPr="00294018">
        <w:t xml:space="preserve">billion ton-kilometer, </w:t>
      </w:r>
      <w:r w:rsidRPr="00294018">
        <w:rPr>
          <w:bCs/>
        </w:rPr>
        <w:t>a month-on-month upturn of</w:t>
      </w:r>
      <w:r w:rsidRPr="00294018">
        <w:t xml:space="preserve"> </w:t>
      </w:r>
      <w:r w:rsidRPr="00294018">
        <w:rPr>
          <w:iCs/>
        </w:rPr>
        <w:t>4.1</w:t>
      </w:r>
      <w:r w:rsidRPr="00294018">
        <w:t xml:space="preserve">%. Overall, in five months of 2026, freight transported was estimated at </w:t>
      </w:r>
      <w:r w:rsidRPr="00294018">
        <w:rPr>
          <w:iCs/>
        </w:rPr>
        <w:t>1,355.9</w:t>
      </w:r>
      <w:r w:rsidRPr="00294018">
        <w:rPr>
          <w:iCs/>
          <w:spacing w:val="-4"/>
        </w:rPr>
        <w:t xml:space="preserve"> </w:t>
      </w:r>
      <w:r w:rsidRPr="00294018">
        <w:t xml:space="preserve">million tons, </w:t>
      </w:r>
      <w:r w:rsidRPr="00294018">
        <w:rPr>
          <w:bCs/>
        </w:rPr>
        <w:t>a year-on-year increase of</w:t>
      </w:r>
      <w:r w:rsidRPr="00294018">
        <w:t xml:space="preserve"> </w:t>
      </w:r>
      <w:r w:rsidRPr="00294018">
        <w:rPr>
          <w:iCs/>
        </w:rPr>
        <w:t>13.9</w:t>
      </w:r>
      <w:r w:rsidRPr="00294018">
        <w:t xml:space="preserve">% and freight transported (ton-kilometers) reached </w:t>
      </w:r>
      <w:r w:rsidRPr="00294018">
        <w:rPr>
          <w:iCs/>
        </w:rPr>
        <w:t>269.6</w:t>
      </w:r>
      <w:r w:rsidRPr="00294018">
        <w:rPr>
          <w:iCs/>
          <w:spacing w:val="-4"/>
        </w:rPr>
        <w:t xml:space="preserve"> </w:t>
      </w:r>
      <w:r w:rsidRPr="00294018">
        <w:t xml:space="preserve">billion ton-kilometer, </w:t>
      </w:r>
      <w:r w:rsidRPr="00294018">
        <w:rPr>
          <w:bCs/>
        </w:rPr>
        <w:t xml:space="preserve">a </w:t>
      </w:r>
      <w:r w:rsidRPr="00294018">
        <w:rPr>
          <w:bCs/>
          <w:iCs/>
        </w:rPr>
        <w:t>year-on-year</w:t>
      </w:r>
      <w:r w:rsidRPr="00294018">
        <w:rPr>
          <w:bCs/>
        </w:rPr>
        <w:t xml:space="preserve"> increase of</w:t>
      </w:r>
      <w:r w:rsidRPr="00294018">
        <w:t xml:space="preserve"> </w:t>
      </w:r>
      <w:r w:rsidRPr="00294018">
        <w:rPr>
          <w:iCs/>
        </w:rPr>
        <w:t>12.5</w:t>
      </w:r>
      <w:r w:rsidRPr="00294018">
        <w:t xml:space="preserve">%. Of which, domestic </w:t>
      </w:r>
      <w:r w:rsidRPr="00294018">
        <w:rPr>
          <w:bCs/>
        </w:rPr>
        <w:t>freight</w:t>
      </w:r>
      <w:r w:rsidRPr="00294018">
        <w:t xml:space="preserve"> transported was estimated at </w:t>
      </w:r>
      <w:r w:rsidRPr="00294018">
        <w:rPr>
          <w:iCs/>
        </w:rPr>
        <w:t>1,331.1</w:t>
      </w:r>
      <w:r w:rsidRPr="00294018">
        <w:rPr>
          <w:iCs/>
          <w:spacing w:val="-4"/>
        </w:rPr>
        <w:t xml:space="preserve"> </w:t>
      </w:r>
      <w:r w:rsidRPr="00294018">
        <w:t xml:space="preserve">million tons, </w:t>
      </w:r>
      <w:r w:rsidRPr="00294018">
        <w:rPr>
          <w:bCs/>
        </w:rPr>
        <w:t>an upturn of</w:t>
      </w:r>
      <w:r w:rsidRPr="00294018">
        <w:t xml:space="preserve"> </w:t>
      </w:r>
      <w:r w:rsidRPr="00294018">
        <w:rPr>
          <w:iCs/>
        </w:rPr>
        <w:t>13.8</w:t>
      </w:r>
      <w:r w:rsidRPr="00294018">
        <w:t xml:space="preserve">%, domestic freight transported (ton-kilometers) </w:t>
      </w:r>
      <w:r w:rsidRPr="00294018">
        <w:rPr>
          <w:bCs/>
        </w:rPr>
        <w:t>reached</w:t>
      </w:r>
      <w:r w:rsidRPr="00294018">
        <w:t xml:space="preserve"> </w:t>
      </w:r>
      <w:r w:rsidRPr="00294018">
        <w:rPr>
          <w:iCs/>
        </w:rPr>
        <w:t xml:space="preserve">156.8 </w:t>
      </w:r>
      <w:r w:rsidRPr="00294018">
        <w:t xml:space="preserve">billion ton-kilometer, up by </w:t>
      </w:r>
      <w:r w:rsidRPr="00294018">
        <w:rPr>
          <w:iCs/>
        </w:rPr>
        <w:t>14.6</w:t>
      </w:r>
      <w:r w:rsidRPr="00294018">
        <w:t xml:space="preserve">%; </w:t>
      </w:r>
      <w:r w:rsidRPr="00294018">
        <w:rPr>
          <w:bCs/>
        </w:rPr>
        <w:t>overseas</w:t>
      </w:r>
      <w:r w:rsidRPr="00294018">
        <w:t xml:space="preserve"> </w:t>
      </w:r>
      <w:r w:rsidRPr="00294018">
        <w:rPr>
          <w:bCs/>
        </w:rPr>
        <w:t>freight</w:t>
      </w:r>
      <w:r w:rsidRPr="00294018">
        <w:t xml:space="preserve"> transported was estimated at </w:t>
      </w:r>
      <w:r w:rsidRPr="00294018">
        <w:rPr>
          <w:iCs/>
        </w:rPr>
        <w:t xml:space="preserve">24.8 </w:t>
      </w:r>
      <w:r w:rsidRPr="00294018">
        <w:t xml:space="preserve">million tons, increasing by </w:t>
      </w:r>
      <w:r w:rsidRPr="00294018">
        <w:rPr>
          <w:iCs/>
        </w:rPr>
        <w:t>16.3</w:t>
      </w:r>
      <w:r w:rsidRPr="00294018">
        <w:t xml:space="preserve">%, and overseas </w:t>
      </w:r>
      <w:r w:rsidRPr="00294018">
        <w:rPr>
          <w:bCs/>
        </w:rPr>
        <w:t>freight</w:t>
      </w:r>
      <w:r w:rsidRPr="00294018">
        <w:t xml:space="preserve"> transported (ton-kilometers) was </w:t>
      </w:r>
      <w:r w:rsidRPr="00294018">
        <w:rPr>
          <w:iCs/>
        </w:rPr>
        <w:t>112.8</w:t>
      </w:r>
      <w:r w:rsidRPr="00294018">
        <w:rPr>
          <w:iCs/>
          <w:spacing w:val="-4"/>
        </w:rPr>
        <w:t xml:space="preserve"> </w:t>
      </w:r>
      <w:r w:rsidRPr="00294018">
        <w:t xml:space="preserve">billion ton-kilometer, up </w:t>
      </w:r>
      <w:r w:rsidRPr="00294018">
        <w:rPr>
          <w:iCs/>
        </w:rPr>
        <w:t>9.8</w:t>
      </w:r>
      <w:r w:rsidRPr="00294018">
        <w:t>%.</w:t>
      </w:r>
    </w:p>
    <w:p w14:paraId="1B50BD0E" w14:textId="77777777" w:rsidR="003F393F" w:rsidRPr="00294018" w:rsidRDefault="003F393F" w:rsidP="003F393F">
      <w:pPr>
        <w:spacing w:before="120" w:after="120"/>
        <w:jc w:val="center"/>
        <w:rPr>
          <w:rFonts w:ascii="Arial" w:hAnsi="Arial" w:cs="Arial"/>
          <w:b/>
          <w:bCs/>
          <w:spacing w:val="-6"/>
          <w:sz w:val="24"/>
          <w:szCs w:val="24"/>
        </w:rPr>
      </w:pPr>
      <w:r w:rsidRPr="00294018">
        <w:rPr>
          <w:rFonts w:ascii="Arial" w:hAnsi="Arial" w:cs="Arial"/>
          <w:b/>
          <w:spacing w:val="-6"/>
          <w:sz w:val="24"/>
          <w:szCs w:val="24"/>
        </w:rPr>
        <w:t xml:space="preserve">Table 7. </w:t>
      </w:r>
      <w:r w:rsidRPr="00294018">
        <w:rPr>
          <w:rFonts w:ascii="Arial" w:hAnsi="Arial" w:cs="Arial"/>
          <w:b/>
          <w:bCs/>
          <w:iCs/>
          <w:spacing w:val="-6"/>
          <w:sz w:val="24"/>
          <w:szCs w:val="24"/>
        </w:rPr>
        <w:t>Freight transported in five months of</w:t>
      </w:r>
      <w:r w:rsidRPr="00294018">
        <w:rPr>
          <w:rFonts w:ascii="Arial" w:hAnsi="Arial" w:cs="Arial"/>
          <w:b/>
          <w:bCs/>
          <w:spacing w:val="-6"/>
          <w:sz w:val="24"/>
          <w:szCs w:val="24"/>
        </w:rPr>
        <w:t xml:space="preserve"> 2026 </w:t>
      </w:r>
      <w:r w:rsidRPr="00294018">
        <w:rPr>
          <w:rFonts w:ascii="Arial" w:hAnsi="Arial" w:cs="Arial"/>
          <w:b/>
          <w:bCs/>
          <w:iCs/>
          <w:spacing w:val="-6"/>
          <w:sz w:val="24"/>
          <w:szCs w:val="24"/>
        </w:rPr>
        <w:t>by type of transport</w:t>
      </w:r>
    </w:p>
    <w:tbl>
      <w:tblPr>
        <w:tblW w:w="9201" w:type="dxa"/>
        <w:jc w:val="center"/>
        <w:tblLook w:val="04A0" w:firstRow="1" w:lastRow="0" w:firstColumn="1" w:lastColumn="0" w:noHBand="0" w:noVBand="1"/>
      </w:tblPr>
      <w:tblGrid>
        <w:gridCol w:w="2160"/>
        <w:gridCol w:w="1749"/>
        <w:gridCol w:w="1819"/>
        <w:gridCol w:w="303"/>
        <w:gridCol w:w="1717"/>
        <w:gridCol w:w="1453"/>
      </w:tblGrid>
      <w:tr w:rsidR="003F393F" w:rsidRPr="00294018" w14:paraId="4D89042B" w14:textId="77777777" w:rsidTr="0060017F">
        <w:trPr>
          <w:trHeight w:val="560"/>
          <w:jc w:val="center"/>
        </w:trPr>
        <w:tc>
          <w:tcPr>
            <w:tcW w:w="2160" w:type="dxa"/>
            <w:tcBorders>
              <w:top w:val="single" w:sz="4" w:space="0" w:color="auto"/>
            </w:tcBorders>
            <w:vAlign w:val="center"/>
            <w:hideMark/>
          </w:tcPr>
          <w:p w14:paraId="03717078" w14:textId="77777777" w:rsidR="003F393F" w:rsidRPr="00294018" w:rsidRDefault="003F393F" w:rsidP="0060017F">
            <w:pPr>
              <w:jc w:val="center"/>
              <w:rPr>
                <w:rFonts w:ascii="Arial" w:hAnsi="Arial" w:cs="Arial"/>
                <w:sz w:val="20"/>
                <w:szCs w:val="20"/>
                <w:lang w:eastAsia="vi-VN"/>
              </w:rPr>
            </w:pPr>
          </w:p>
        </w:tc>
        <w:tc>
          <w:tcPr>
            <w:tcW w:w="3568" w:type="dxa"/>
            <w:gridSpan w:val="2"/>
            <w:tcBorders>
              <w:top w:val="single" w:sz="4" w:space="0" w:color="auto"/>
              <w:bottom w:val="single" w:sz="4" w:space="0" w:color="auto"/>
            </w:tcBorders>
            <w:vAlign w:val="center"/>
            <w:hideMark/>
          </w:tcPr>
          <w:p w14:paraId="31F46FC8"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rPr>
              <w:t>Volume of freight</w:t>
            </w:r>
          </w:p>
        </w:tc>
        <w:tc>
          <w:tcPr>
            <w:tcW w:w="303" w:type="dxa"/>
            <w:tcBorders>
              <w:top w:val="single" w:sz="4" w:space="0" w:color="auto"/>
            </w:tcBorders>
          </w:tcPr>
          <w:p w14:paraId="09710A60" w14:textId="77777777" w:rsidR="003F393F" w:rsidRPr="00294018" w:rsidRDefault="003F393F" w:rsidP="0060017F">
            <w:pPr>
              <w:jc w:val="center"/>
              <w:rPr>
                <w:rFonts w:ascii="Arial" w:hAnsi="Arial" w:cs="Arial"/>
                <w:sz w:val="20"/>
                <w:szCs w:val="20"/>
                <w:lang w:eastAsia="vi-VN"/>
              </w:rPr>
            </w:pPr>
          </w:p>
        </w:tc>
        <w:tc>
          <w:tcPr>
            <w:tcW w:w="3170" w:type="dxa"/>
            <w:gridSpan w:val="2"/>
            <w:tcBorders>
              <w:top w:val="single" w:sz="4" w:space="0" w:color="auto"/>
              <w:bottom w:val="single" w:sz="4" w:space="0" w:color="auto"/>
            </w:tcBorders>
            <w:vAlign w:val="center"/>
            <w:hideMark/>
          </w:tcPr>
          <w:p w14:paraId="50A7B9A0"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rPr>
              <w:t>Year-on-year growth rate</w:t>
            </w:r>
            <w:r w:rsidRPr="00294018">
              <w:rPr>
                <w:rFonts w:ascii="Arial" w:hAnsi="Arial" w:cs="Arial"/>
                <w:sz w:val="20"/>
                <w:szCs w:val="20"/>
                <w:lang w:eastAsia="vi-VN"/>
              </w:rPr>
              <w:t xml:space="preserve"> (%)</w:t>
            </w:r>
          </w:p>
        </w:tc>
      </w:tr>
      <w:tr w:rsidR="003F393F" w:rsidRPr="00294018" w14:paraId="4686E7AA" w14:textId="77777777" w:rsidTr="0060017F">
        <w:trPr>
          <w:trHeight w:val="627"/>
          <w:jc w:val="center"/>
        </w:trPr>
        <w:tc>
          <w:tcPr>
            <w:tcW w:w="2160" w:type="dxa"/>
            <w:vAlign w:val="center"/>
            <w:hideMark/>
          </w:tcPr>
          <w:p w14:paraId="1C71C5AF" w14:textId="77777777" w:rsidR="003F393F" w:rsidRPr="00294018" w:rsidRDefault="003F393F" w:rsidP="0060017F">
            <w:pPr>
              <w:jc w:val="center"/>
              <w:rPr>
                <w:rFonts w:ascii="Arial" w:hAnsi="Arial" w:cs="Arial"/>
                <w:sz w:val="20"/>
                <w:szCs w:val="20"/>
                <w:lang w:eastAsia="vi-VN"/>
              </w:rPr>
            </w:pPr>
          </w:p>
        </w:tc>
        <w:tc>
          <w:tcPr>
            <w:tcW w:w="1749" w:type="dxa"/>
            <w:tcBorders>
              <w:top w:val="single" w:sz="4" w:space="0" w:color="auto"/>
              <w:bottom w:val="single" w:sz="4" w:space="0" w:color="auto"/>
            </w:tcBorders>
            <w:vAlign w:val="center"/>
            <w:hideMark/>
          </w:tcPr>
          <w:p w14:paraId="53B978CE"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Transported</w:t>
            </w:r>
            <w:r w:rsidRPr="00294018">
              <w:rPr>
                <w:rFonts w:ascii="Arial" w:hAnsi="Arial" w:cs="Arial"/>
                <w:sz w:val="20"/>
                <w:szCs w:val="20"/>
                <w:lang w:eastAsia="vi-VN"/>
              </w:rPr>
              <w:br/>
            </w:r>
            <w:r w:rsidRPr="00294018">
              <w:rPr>
                <w:rFonts w:ascii="Arial" w:hAnsi="Arial" w:cs="Arial"/>
                <w:sz w:val="20"/>
                <w:szCs w:val="20"/>
              </w:rPr>
              <w:t>(Mill. tons)</w:t>
            </w:r>
          </w:p>
        </w:tc>
        <w:tc>
          <w:tcPr>
            <w:tcW w:w="1819" w:type="dxa"/>
            <w:tcBorders>
              <w:top w:val="single" w:sz="4" w:space="0" w:color="auto"/>
              <w:bottom w:val="single" w:sz="4" w:space="0" w:color="auto"/>
            </w:tcBorders>
            <w:vAlign w:val="center"/>
            <w:hideMark/>
          </w:tcPr>
          <w:p w14:paraId="0D5C5373"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 xml:space="preserve">Transported </w:t>
            </w:r>
            <w:r w:rsidRPr="00294018">
              <w:rPr>
                <w:rFonts w:ascii="Arial" w:hAnsi="Arial" w:cs="Arial"/>
                <w:sz w:val="20"/>
                <w:szCs w:val="20"/>
                <w:lang w:eastAsia="vi-VN"/>
              </w:rPr>
              <w:br/>
              <w:t xml:space="preserve">(ton-kilometers) </w:t>
            </w:r>
            <w:r w:rsidRPr="00294018">
              <w:rPr>
                <w:rFonts w:ascii="Arial" w:hAnsi="Arial" w:cs="Arial"/>
                <w:sz w:val="20"/>
                <w:szCs w:val="20"/>
                <w:lang w:eastAsia="vi-VN"/>
              </w:rPr>
              <w:br/>
            </w:r>
            <w:r w:rsidRPr="00294018">
              <w:rPr>
                <w:rFonts w:ascii="Arial" w:hAnsi="Arial" w:cs="Arial"/>
                <w:sz w:val="20"/>
                <w:szCs w:val="20"/>
              </w:rPr>
              <w:t>(Bill. ton-km)</w:t>
            </w:r>
          </w:p>
        </w:tc>
        <w:tc>
          <w:tcPr>
            <w:tcW w:w="303" w:type="dxa"/>
          </w:tcPr>
          <w:p w14:paraId="29FA29BC" w14:textId="77777777" w:rsidR="003F393F" w:rsidRPr="00294018" w:rsidRDefault="003F393F" w:rsidP="0060017F">
            <w:pPr>
              <w:jc w:val="center"/>
              <w:rPr>
                <w:rFonts w:ascii="Arial" w:hAnsi="Arial" w:cs="Arial"/>
                <w:sz w:val="20"/>
                <w:szCs w:val="20"/>
                <w:lang w:eastAsia="vi-VN"/>
              </w:rPr>
            </w:pPr>
          </w:p>
        </w:tc>
        <w:tc>
          <w:tcPr>
            <w:tcW w:w="1717" w:type="dxa"/>
            <w:tcBorders>
              <w:top w:val="single" w:sz="4" w:space="0" w:color="auto"/>
              <w:bottom w:val="single" w:sz="4" w:space="0" w:color="auto"/>
            </w:tcBorders>
            <w:vAlign w:val="center"/>
            <w:hideMark/>
          </w:tcPr>
          <w:p w14:paraId="7D1FEBA8"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Transported</w:t>
            </w:r>
          </w:p>
        </w:tc>
        <w:tc>
          <w:tcPr>
            <w:tcW w:w="1453" w:type="dxa"/>
            <w:tcBorders>
              <w:top w:val="single" w:sz="4" w:space="0" w:color="auto"/>
              <w:bottom w:val="single" w:sz="4" w:space="0" w:color="auto"/>
            </w:tcBorders>
            <w:vAlign w:val="center"/>
            <w:hideMark/>
          </w:tcPr>
          <w:p w14:paraId="4CA08E7B" w14:textId="77777777" w:rsidR="003F393F" w:rsidRPr="00294018" w:rsidRDefault="003F393F" w:rsidP="0060017F">
            <w:pPr>
              <w:jc w:val="center"/>
              <w:rPr>
                <w:rFonts w:ascii="Arial" w:hAnsi="Arial" w:cs="Arial"/>
                <w:sz w:val="20"/>
                <w:szCs w:val="20"/>
                <w:lang w:eastAsia="vi-VN"/>
              </w:rPr>
            </w:pPr>
            <w:r w:rsidRPr="00294018">
              <w:rPr>
                <w:rFonts w:ascii="Arial" w:hAnsi="Arial" w:cs="Arial"/>
                <w:sz w:val="20"/>
                <w:szCs w:val="20"/>
                <w:lang w:eastAsia="vi-VN"/>
              </w:rPr>
              <w:t>Transported (ton-kilometers)</w:t>
            </w:r>
          </w:p>
        </w:tc>
      </w:tr>
      <w:tr w:rsidR="003F393F" w:rsidRPr="00294018" w14:paraId="46BCD17F" w14:textId="77777777" w:rsidTr="0060017F">
        <w:trPr>
          <w:trHeight w:val="390"/>
          <w:jc w:val="center"/>
        </w:trPr>
        <w:tc>
          <w:tcPr>
            <w:tcW w:w="2160" w:type="dxa"/>
            <w:noWrap/>
            <w:vAlign w:val="center"/>
            <w:hideMark/>
          </w:tcPr>
          <w:p w14:paraId="40723C93" w14:textId="77777777" w:rsidR="003F393F" w:rsidRPr="00294018" w:rsidRDefault="003F393F" w:rsidP="0060017F">
            <w:pPr>
              <w:rPr>
                <w:rFonts w:ascii="Arial" w:hAnsi="Arial" w:cs="Arial"/>
                <w:b/>
                <w:bCs/>
                <w:sz w:val="20"/>
                <w:szCs w:val="20"/>
                <w:lang w:eastAsia="vi-VN"/>
              </w:rPr>
            </w:pPr>
            <w:r w:rsidRPr="00294018">
              <w:rPr>
                <w:rFonts w:ascii="Arial" w:hAnsi="Arial" w:cs="Arial"/>
                <w:b/>
                <w:bCs/>
                <w:sz w:val="20"/>
                <w:szCs w:val="20"/>
                <w:lang w:eastAsia="vi-VN"/>
              </w:rPr>
              <w:t>Total</w:t>
            </w:r>
          </w:p>
        </w:tc>
        <w:tc>
          <w:tcPr>
            <w:tcW w:w="1749" w:type="dxa"/>
            <w:tcBorders>
              <w:top w:val="single" w:sz="4" w:space="0" w:color="auto"/>
            </w:tcBorders>
            <w:noWrap/>
            <w:vAlign w:val="center"/>
          </w:tcPr>
          <w:p w14:paraId="798AA8BE"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1,355.9</w:t>
            </w:r>
          </w:p>
        </w:tc>
        <w:tc>
          <w:tcPr>
            <w:tcW w:w="1819" w:type="dxa"/>
            <w:tcBorders>
              <w:top w:val="single" w:sz="4" w:space="0" w:color="auto"/>
            </w:tcBorders>
            <w:noWrap/>
            <w:vAlign w:val="center"/>
          </w:tcPr>
          <w:p w14:paraId="57787CF4"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269.6</w:t>
            </w:r>
          </w:p>
        </w:tc>
        <w:tc>
          <w:tcPr>
            <w:tcW w:w="303" w:type="dxa"/>
          </w:tcPr>
          <w:p w14:paraId="445E8743" w14:textId="77777777" w:rsidR="003F393F" w:rsidRPr="00294018" w:rsidRDefault="003F393F" w:rsidP="0060017F">
            <w:pPr>
              <w:ind w:right="520"/>
              <w:jc w:val="right"/>
              <w:rPr>
                <w:rFonts w:ascii="Arial" w:hAnsi="Arial" w:cs="Arial"/>
                <w:b/>
                <w:bCs/>
                <w:sz w:val="20"/>
                <w:szCs w:val="20"/>
              </w:rPr>
            </w:pPr>
          </w:p>
        </w:tc>
        <w:tc>
          <w:tcPr>
            <w:tcW w:w="1717" w:type="dxa"/>
            <w:tcBorders>
              <w:top w:val="single" w:sz="4" w:space="0" w:color="auto"/>
            </w:tcBorders>
            <w:noWrap/>
            <w:vAlign w:val="center"/>
          </w:tcPr>
          <w:p w14:paraId="79780162"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13.9</w:t>
            </w:r>
          </w:p>
        </w:tc>
        <w:tc>
          <w:tcPr>
            <w:tcW w:w="1453" w:type="dxa"/>
            <w:tcBorders>
              <w:top w:val="single" w:sz="4" w:space="0" w:color="auto"/>
            </w:tcBorders>
            <w:noWrap/>
            <w:vAlign w:val="center"/>
          </w:tcPr>
          <w:p w14:paraId="0BDA09F6" w14:textId="77777777" w:rsidR="003F393F" w:rsidRPr="00294018" w:rsidRDefault="003F393F" w:rsidP="0060017F">
            <w:pPr>
              <w:ind w:right="520"/>
              <w:jc w:val="right"/>
              <w:rPr>
                <w:rFonts w:ascii="Arial" w:hAnsi="Arial" w:cs="Arial"/>
                <w:b/>
                <w:bCs/>
                <w:sz w:val="20"/>
                <w:szCs w:val="20"/>
              </w:rPr>
            </w:pPr>
            <w:r w:rsidRPr="00294018">
              <w:rPr>
                <w:rFonts w:ascii="Arial" w:hAnsi="Arial" w:cs="Arial"/>
                <w:b/>
                <w:bCs/>
                <w:sz w:val="20"/>
                <w:szCs w:val="20"/>
              </w:rPr>
              <w:t>12.5</w:t>
            </w:r>
          </w:p>
        </w:tc>
      </w:tr>
      <w:tr w:rsidR="003F393F" w:rsidRPr="00294018" w14:paraId="6FDE3295" w14:textId="77777777" w:rsidTr="0060017F">
        <w:trPr>
          <w:trHeight w:val="327"/>
          <w:jc w:val="center"/>
        </w:trPr>
        <w:tc>
          <w:tcPr>
            <w:tcW w:w="2160" w:type="dxa"/>
            <w:noWrap/>
            <w:vAlign w:val="center"/>
            <w:hideMark/>
          </w:tcPr>
          <w:p w14:paraId="54BDD8A4"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Rail way</w:t>
            </w:r>
          </w:p>
        </w:tc>
        <w:tc>
          <w:tcPr>
            <w:tcW w:w="1749" w:type="dxa"/>
            <w:noWrap/>
            <w:vAlign w:val="center"/>
          </w:tcPr>
          <w:p w14:paraId="122CEDD0"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1.9</w:t>
            </w:r>
          </w:p>
        </w:tc>
        <w:tc>
          <w:tcPr>
            <w:tcW w:w="1819" w:type="dxa"/>
            <w:noWrap/>
            <w:vAlign w:val="center"/>
          </w:tcPr>
          <w:p w14:paraId="60ABFD0F"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1.6</w:t>
            </w:r>
          </w:p>
        </w:tc>
        <w:tc>
          <w:tcPr>
            <w:tcW w:w="303" w:type="dxa"/>
          </w:tcPr>
          <w:p w14:paraId="411800A4" w14:textId="77777777" w:rsidR="003F393F" w:rsidRPr="00294018" w:rsidRDefault="003F393F" w:rsidP="0060017F">
            <w:pPr>
              <w:ind w:right="520"/>
              <w:jc w:val="right"/>
              <w:rPr>
                <w:rFonts w:ascii="Arial" w:hAnsi="Arial" w:cs="Arial"/>
                <w:sz w:val="20"/>
                <w:szCs w:val="20"/>
              </w:rPr>
            </w:pPr>
          </w:p>
        </w:tc>
        <w:tc>
          <w:tcPr>
            <w:tcW w:w="1717" w:type="dxa"/>
            <w:noWrap/>
            <w:vAlign w:val="center"/>
          </w:tcPr>
          <w:p w14:paraId="50DD6566"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-12.7</w:t>
            </w:r>
          </w:p>
        </w:tc>
        <w:tc>
          <w:tcPr>
            <w:tcW w:w="1453" w:type="dxa"/>
            <w:noWrap/>
            <w:vAlign w:val="center"/>
          </w:tcPr>
          <w:p w14:paraId="5887E161"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0.1</w:t>
            </w:r>
          </w:p>
        </w:tc>
      </w:tr>
      <w:tr w:rsidR="003F393F" w:rsidRPr="00294018" w14:paraId="059515F7" w14:textId="77777777" w:rsidTr="0060017F">
        <w:trPr>
          <w:trHeight w:val="327"/>
          <w:jc w:val="center"/>
        </w:trPr>
        <w:tc>
          <w:tcPr>
            <w:tcW w:w="2160" w:type="dxa"/>
            <w:noWrap/>
            <w:vAlign w:val="center"/>
            <w:hideMark/>
          </w:tcPr>
          <w:p w14:paraId="3A4770FF" w14:textId="59D09DA6" w:rsidR="003F393F" w:rsidRPr="00294018" w:rsidRDefault="00DF341B" w:rsidP="0060017F">
            <w:pPr>
              <w:tabs>
                <w:tab w:val="left" w:pos="407"/>
              </w:tabs>
              <w:ind w:firstLine="182"/>
              <w:rPr>
                <w:rFonts w:ascii="Arial" w:hAnsi="Arial" w:cs="Arial"/>
                <w:sz w:val="20"/>
                <w:szCs w:val="20"/>
                <w:lang w:eastAsia="vi-VN"/>
              </w:rPr>
            </w:pPr>
            <w:r w:rsidRPr="00DF341B">
              <w:rPr>
                <w:rFonts w:ascii="Arial" w:hAnsi="Arial" w:cs="Arial"/>
                <w:sz w:val="20"/>
                <w:szCs w:val="20"/>
                <w:lang w:eastAsia="vi-VN"/>
              </w:rPr>
              <w:t>Maritime transport</w:t>
            </w:r>
          </w:p>
        </w:tc>
        <w:tc>
          <w:tcPr>
            <w:tcW w:w="1749" w:type="dxa"/>
            <w:noWrap/>
            <w:vAlign w:val="center"/>
          </w:tcPr>
          <w:p w14:paraId="61C6ABA5"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70.3</w:t>
            </w:r>
          </w:p>
        </w:tc>
        <w:tc>
          <w:tcPr>
            <w:tcW w:w="1819" w:type="dxa"/>
            <w:noWrap/>
            <w:vAlign w:val="center"/>
          </w:tcPr>
          <w:p w14:paraId="1DB3BDF2"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141.6</w:t>
            </w:r>
          </w:p>
        </w:tc>
        <w:tc>
          <w:tcPr>
            <w:tcW w:w="303" w:type="dxa"/>
          </w:tcPr>
          <w:p w14:paraId="138AC110" w14:textId="77777777" w:rsidR="003F393F" w:rsidRPr="00294018" w:rsidRDefault="003F393F" w:rsidP="0060017F">
            <w:pPr>
              <w:ind w:right="520"/>
              <w:jc w:val="right"/>
              <w:rPr>
                <w:rFonts w:ascii="Arial" w:hAnsi="Arial" w:cs="Arial"/>
                <w:sz w:val="20"/>
                <w:szCs w:val="20"/>
              </w:rPr>
            </w:pPr>
          </w:p>
        </w:tc>
        <w:tc>
          <w:tcPr>
            <w:tcW w:w="1717" w:type="dxa"/>
            <w:noWrap/>
            <w:vAlign w:val="center"/>
          </w:tcPr>
          <w:p w14:paraId="4D1D359D"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14.4</w:t>
            </w:r>
          </w:p>
        </w:tc>
        <w:tc>
          <w:tcPr>
            <w:tcW w:w="1453" w:type="dxa"/>
            <w:noWrap/>
            <w:vAlign w:val="center"/>
          </w:tcPr>
          <w:p w14:paraId="749EA7B7"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9.4</w:t>
            </w:r>
          </w:p>
        </w:tc>
      </w:tr>
      <w:tr w:rsidR="003F393F" w:rsidRPr="00294018" w14:paraId="74DDE6BB" w14:textId="77777777" w:rsidTr="0060017F">
        <w:trPr>
          <w:trHeight w:val="327"/>
          <w:jc w:val="center"/>
        </w:trPr>
        <w:tc>
          <w:tcPr>
            <w:tcW w:w="2160" w:type="dxa"/>
            <w:noWrap/>
            <w:vAlign w:val="center"/>
            <w:hideMark/>
          </w:tcPr>
          <w:p w14:paraId="43784938"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Inland water way</w:t>
            </w:r>
          </w:p>
        </w:tc>
        <w:tc>
          <w:tcPr>
            <w:tcW w:w="1749" w:type="dxa"/>
            <w:noWrap/>
            <w:vAlign w:val="center"/>
          </w:tcPr>
          <w:p w14:paraId="789DD4CA"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281.1</w:t>
            </w:r>
          </w:p>
        </w:tc>
        <w:tc>
          <w:tcPr>
            <w:tcW w:w="1819" w:type="dxa"/>
            <w:noWrap/>
            <w:vAlign w:val="center"/>
          </w:tcPr>
          <w:p w14:paraId="59F9355A"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60.9</w:t>
            </w:r>
          </w:p>
        </w:tc>
        <w:tc>
          <w:tcPr>
            <w:tcW w:w="303" w:type="dxa"/>
          </w:tcPr>
          <w:p w14:paraId="4880B428" w14:textId="77777777" w:rsidR="003F393F" w:rsidRPr="00294018" w:rsidRDefault="003F393F" w:rsidP="0060017F">
            <w:pPr>
              <w:ind w:right="520"/>
              <w:jc w:val="right"/>
              <w:rPr>
                <w:rFonts w:ascii="Arial" w:hAnsi="Arial" w:cs="Arial"/>
                <w:sz w:val="20"/>
                <w:szCs w:val="20"/>
              </w:rPr>
            </w:pPr>
          </w:p>
        </w:tc>
        <w:tc>
          <w:tcPr>
            <w:tcW w:w="1717" w:type="dxa"/>
            <w:noWrap/>
            <w:vAlign w:val="center"/>
          </w:tcPr>
          <w:p w14:paraId="0C8C430B"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12.3</w:t>
            </w:r>
          </w:p>
        </w:tc>
        <w:tc>
          <w:tcPr>
            <w:tcW w:w="1453" w:type="dxa"/>
            <w:noWrap/>
            <w:vAlign w:val="center"/>
          </w:tcPr>
          <w:p w14:paraId="7BF4AEAC"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18.0</w:t>
            </w:r>
          </w:p>
        </w:tc>
      </w:tr>
      <w:tr w:rsidR="003F393F" w:rsidRPr="00294018" w14:paraId="555FE7F5" w14:textId="77777777" w:rsidTr="0060017F">
        <w:trPr>
          <w:trHeight w:val="327"/>
          <w:jc w:val="center"/>
        </w:trPr>
        <w:tc>
          <w:tcPr>
            <w:tcW w:w="2160" w:type="dxa"/>
            <w:noWrap/>
            <w:vAlign w:val="center"/>
            <w:hideMark/>
          </w:tcPr>
          <w:p w14:paraId="7FE983A6"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Road</w:t>
            </w:r>
          </w:p>
        </w:tc>
        <w:tc>
          <w:tcPr>
            <w:tcW w:w="1749" w:type="dxa"/>
            <w:noWrap/>
            <w:vAlign w:val="center"/>
          </w:tcPr>
          <w:p w14:paraId="3C6C70EA"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1,002.4</w:t>
            </w:r>
          </w:p>
        </w:tc>
        <w:tc>
          <w:tcPr>
            <w:tcW w:w="1819" w:type="dxa"/>
            <w:noWrap/>
            <w:vAlign w:val="center"/>
          </w:tcPr>
          <w:p w14:paraId="2734935B"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61.4</w:t>
            </w:r>
          </w:p>
        </w:tc>
        <w:tc>
          <w:tcPr>
            <w:tcW w:w="303" w:type="dxa"/>
          </w:tcPr>
          <w:p w14:paraId="2705D570" w14:textId="77777777" w:rsidR="003F393F" w:rsidRPr="00294018" w:rsidRDefault="003F393F" w:rsidP="0060017F">
            <w:pPr>
              <w:ind w:right="520"/>
              <w:jc w:val="right"/>
              <w:rPr>
                <w:rFonts w:ascii="Arial" w:hAnsi="Arial" w:cs="Arial"/>
                <w:sz w:val="20"/>
                <w:szCs w:val="20"/>
              </w:rPr>
            </w:pPr>
          </w:p>
        </w:tc>
        <w:tc>
          <w:tcPr>
            <w:tcW w:w="1717" w:type="dxa"/>
            <w:noWrap/>
            <w:vAlign w:val="center"/>
          </w:tcPr>
          <w:p w14:paraId="25D9F930"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14.3</w:t>
            </w:r>
          </w:p>
        </w:tc>
        <w:tc>
          <w:tcPr>
            <w:tcW w:w="1453" w:type="dxa"/>
            <w:noWrap/>
            <w:vAlign w:val="center"/>
          </w:tcPr>
          <w:p w14:paraId="36397590"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15.9</w:t>
            </w:r>
          </w:p>
        </w:tc>
      </w:tr>
      <w:tr w:rsidR="003F393F" w:rsidRPr="00294018" w14:paraId="223AFBFD" w14:textId="77777777" w:rsidTr="0060017F">
        <w:trPr>
          <w:trHeight w:val="327"/>
          <w:jc w:val="center"/>
        </w:trPr>
        <w:tc>
          <w:tcPr>
            <w:tcW w:w="2160" w:type="dxa"/>
            <w:tcBorders>
              <w:bottom w:val="single" w:sz="4" w:space="0" w:color="auto"/>
            </w:tcBorders>
            <w:noWrap/>
            <w:vAlign w:val="center"/>
            <w:hideMark/>
          </w:tcPr>
          <w:p w14:paraId="5B528941" w14:textId="77777777" w:rsidR="003F393F" w:rsidRPr="00294018" w:rsidRDefault="003F393F" w:rsidP="0060017F">
            <w:pPr>
              <w:tabs>
                <w:tab w:val="left" w:pos="407"/>
              </w:tabs>
              <w:ind w:firstLine="182"/>
              <w:rPr>
                <w:rFonts w:ascii="Arial" w:hAnsi="Arial" w:cs="Arial"/>
                <w:sz w:val="20"/>
                <w:szCs w:val="20"/>
                <w:lang w:eastAsia="vi-VN"/>
              </w:rPr>
            </w:pPr>
            <w:r w:rsidRPr="00294018">
              <w:rPr>
                <w:rFonts w:ascii="Arial" w:hAnsi="Arial" w:cs="Arial"/>
                <w:sz w:val="20"/>
                <w:szCs w:val="20"/>
                <w:lang w:eastAsia="vi-VN"/>
              </w:rPr>
              <w:t>Airway</w:t>
            </w:r>
          </w:p>
        </w:tc>
        <w:tc>
          <w:tcPr>
            <w:tcW w:w="1749" w:type="dxa"/>
            <w:tcBorders>
              <w:bottom w:val="single" w:sz="4" w:space="0" w:color="auto"/>
            </w:tcBorders>
            <w:noWrap/>
            <w:vAlign w:val="center"/>
          </w:tcPr>
          <w:p w14:paraId="086867FF"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0.2</w:t>
            </w:r>
          </w:p>
        </w:tc>
        <w:tc>
          <w:tcPr>
            <w:tcW w:w="1819" w:type="dxa"/>
            <w:tcBorders>
              <w:bottom w:val="single" w:sz="4" w:space="0" w:color="auto"/>
            </w:tcBorders>
            <w:noWrap/>
            <w:vAlign w:val="center"/>
          </w:tcPr>
          <w:p w14:paraId="286A4BE6"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4.1</w:t>
            </w:r>
          </w:p>
        </w:tc>
        <w:tc>
          <w:tcPr>
            <w:tcW w:w="303" w:type="dxa"/>
            <w:tcBorders>
              <w:bottom w:val="single" w:sz="4" w:space="0" w:color="auto"/>
            </w:tcBorders>
          </w:tcPr>
          <w:p w14:paraId="10EE7B1E" w14:textId="77777777" w:rsidR="003F393F" w:rsidRPr="00294018" w:rsidRDefault="003F393F" w:rsidP="0060017F">
            <w:pPr>
              <w:ind w:right="520"/>
              <w:jc w:val="right"/>
              <w:rPr>
                <w:rFonts w:ascii="Arial" w:hAnsi="Arial" w:cs="Arial"/>
                <w:sz w:val="20"/>
                <w:szCs w:val="20"/>
              </w:rPr>
            </w:pPr>
          </w:p>
        </w:tc>
        <w:tc>
          <w:tcPr>
            <w:tcW w:w="1717" w:type="dxa"/>
            <w:tcBorders>
              <w:bottom w:val="single" w:sz="4" w:space="0" w:color="auto"/>
            </w:tcBorders>
            <w:noWrap/>
            <w:vAlign w:val="center"/>
          </w:tcPr>
          <w:p w14:paraId="27F5E918"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1.1</w:t>
            </w:r>
          </w:p>
        </w:tc>
        <w:tc>
          <w:tcPr>
            <w:tcW w:w="1453" w:type="dxa"/>
            <w:tcBorders>
              <w:bottom w:val="single" w:sz="4" w:space="0" w:color="auto"/>
            </w:tcBorders>
            <w:noWrap/>
            <w:vAlign w:val="center"/>
          </w:tcPr>
          <w:p w14:paraId="1FFC043B" w14:textId="77777777" w:rsidR="003F393F" w:rsidRPr="00294018" w:rsidRDefault="003F393F" w:rsidP="0060017F">
            <w:pPr>
              <w:ind w:right="520"/>
              <w:jc w:val="right"/>
              <w:rPr>
                <w:rFonts w:ascii="Arial" w:hAnsi="Arial" w:cs="Arial"/>
                <w:sz w:val="20"/>
                <w:szCs w:val="20"/>
              </w:rPr>
            </w:pPr>
            <w:r w:rsidRPr="00294018">
              <w:rPr>
                <w:rFonts w:ascii="Arial" w:hAnsi="Arial" w:cs="Arial"/>
                <w:sz w:val="20"/>
                <w:szCs w:val="20"/>
              </w:rPr>
              <w:t>2.8</w:t>
            </w:r>
          </w:p>
        </w:tc>
      </w:tr>
    </w:tbl>
    <w:p w14:paraId="4BE1E75C" w14:textId="77777777" w:rsidR="003F393F" w:rsidRPr="00294018" w:rsidRDefault="003F393F" w:rsidP="003F393F">
      <w:pPr>
        <w:spacing w:after="120"/>
        <w:ind w:firstLine="720"/>
        <w:jc w:val="both"/>
        <w:rPr>
          <w:b/>
          <w:bCs/>
          <w:i/>
          <w:iCs/>
        </w:rPr>
      </w:pPr>
      <w:r w:rsidRPr="00294018">
        <w:rPr>
          <w:b/>
          <w:bCs/>
          <w:i/>
          <w:iCs/>
        </w:rPr>
        <w:t xml:space="preserve">đ) </w:t>
      </w:r>
      <w:r w:rsidRPr="00294018">
        <w:rPr>
          <w:b/>
          <w:i/>
        </w:rPr>
        <w:t>International visitors to Viet Nam</w:t>
      </w:r>
      <w:r w:rsidRPr="00294018">
        <w:rPr>
          <w:rStyle w:val="FootnoteReference"/>
          <w:rFonts w:eastAsia="Calibri"/>
          <w:b/>
          <w:bCs/>
          <w:i/>
          <w:iCs/>
        </w:rPr>
        <w:footnoteReference w:id="32"/>
      </w:r>
    </w:p>
    <w:p w14:paraId="34759515" w14:textId="77777777" w:rsidR="003F393F" w:rsidRPr="00294018" w:rsidRDefault="003F393F" w:rsidP="003F393F">
      <w:pPr>
        <w:spacing w:after="120"/>
        <w:ind w:firstLine="720"/>
        <w:jc w:val="both"/>
        <w:rPr>
          <w:rFonts w:eastAsia="Calibri"/>
          <w:i/>
          <w:iCs/>
          <w:spacing w:val="-4"/>
        </w:rPr>
      </w:pPr>
      <w:r w:rsidRPr="00294018">
        <w:rPr>
          <w:rFonts w:ascii="Times New Roman Italic" w:eastAsia="Calibri" w:hAnsi="Times New Roman Italic"/>
          <w:i/>
          <w:iCs/>
          <w:spacing w:val="-2"/>
        </w:rPr>
        <w:t>A stable and safe socio-political environment; increasingly open visa policies; more professional promotion and marketing activities; together with a diverse range of products aligned with trends and continuously improving service quality, have created an important foundation for attracting international visitors to Viet Nam</w:t>
      </w:r>
      <w:r w:rsidRPr="00294018">
        <w:rPr>
          <w:rFonts w:eastAsia="Calibri"/>
          <w:i/>
          <w:iCs/>
          <w:spacing w:val="-4"/>
        </w:rPr>
        <w:t>.</w:t>
      </w:r>
    </w:p>
    <w:p w14:paraId="1DE5063F" w14:textId="18169A73" w:rsidR="003F393F" w:rsidRPr="00294018" w:rsidRDefault="003F393F" w:rsidP="003F393F">
      <w:pPr>
        <w:spacing w:after="120"/>
        <w:ind w:firstLine="720"/>
        <w:jc w:val="both"/>
        <w:rPr>
          <w:rFonts w:eastAsia="Calibri"/>
        </w:rPr>
      </w:pPr>
      <w:r w:rsidRPr="00294018">
        <w:rPr>
          <w:rFonts w:eastAsia="Calibri"/>
        </w:rPr>
        <w:t>In May 2026</w:t>
      </w:r>
      <w:r w:rsidRPr="00294018">
        <w:rPr>
          <w:rStyle w:val="FootnoteReference"/>
          <w:iCs/>
        </w:rPr>
        <w:footnoteReference w:id="33"/>
      </w:r>
      <w:r w:rsidRPr="00294018">
        <w:rPr>
          <w:rFonts w:eastAsia="Calibri"/>
        </w:rPr>
        <w:t xml:space="preserve">, international visitors to Viet Nam reached </w:t>
      </w:r>
      <w:r w:rsidRPr="00294018">
        <w:rPr>
          <w:iCs/>
        </w:rPr>
        <w:t>1.78</w:t>
      </w:r>
      <w:r w:rsidRPr="00294018">
        <w:rPr>
          <w:rFonts w:eastAsia="Calibri"/>
        </w:rPr>
        <w:t xml:space="preserve"> million arrivals, </w:t>
      </w:r>
      <w:r w:rsidRPr="00294018">
        <w:rPr>
          <w:bCs/>
          <w:iCs/>
          <w:spacing w:val="-2"/>
        </w:rPr>
        <w:t>a year-on-year increase of</w:t>
      </w:r>
      <w:r w:rsidRPr="00294018">
        <w:rPr>
          <w:rFonts w:eastAsia="Calibri"/>
        </w:rPr>
        <w:t xml:space="preserve"> </w:t>
      </w:r>
      <w:r w:rsidRPr="00294018">
        <w:rPr>
          <w:iCs/>
        </w:rPr>
        <w:t>16.5</w:t>
      </w:r>
      <w:r w:rsidRPr="00294018">
        <w:rPr>
          <w:rFonts w:eastAsia="Calibri"/>
        </w:rPr>
        <w:t xml:space="preserve">%. Overall, in five months of 2026, international visitors to Viet Nam amounted to </w:t>
      </w:r>
      <w:r w:rsidRPr="00294018">
        <w:rPr>
          <w:iCs/>
        </w:rPr>
        <w:t xml:space="preserve">10.6 </w:t>
      </w:r>
      <w:r w:rsidRPr="00294018">
        <w:rPr>
          <w:rFonts w:eastAsia="Calibri"/>
        </w:rPr>
        <w:t xml:space="preserve">million arrivals, an increase of </w:t>
      </w:r>
      <w:r w:rsidRPr="00294018">
        <w:rPr>
          <w:iCs/>
        </w:rPr>
        <w:t>14.9</w:t>
      </w:r>
      <w:r w:rsidRPr="00294018">
        <w:rPr>
          <w:rFonts w:eastAsia="Calibri"/>
        </w:rPr>
        <w:t>% over that in the same period last year, marking the highest</w:t>
      </w:r>
      <w:r w:rsidRPr="00294018">
        <w:t xml:space="preserve"> level for five months on record</w:t>
      </w:r>
      <w:r w:rsidRPr="00294018">
        <w:rPr>
          <w:rFonts w:eastAsia="Calibri"/>
        </w:rPr>
        <w:t xml:space="preserve">. Of which, arrivals by airway reached </w:t>
      </w:r>
      <w:r w:rsidRPr="00294018">
        <w:rPr>
          <w:iCs/>
        </w:rPr>
        <w:t xml:space="preserve">8.7 </w:t>
      </w:r>
      <w:r w:rsidRPr="00294018">
        <w:rPr>
          <w:rFonts w:eastAsia="Calibri"/>
        </w:rPr>
        <w:t>million</w:t>
      </w:r>
      <w:r w:rsidRPr="00294018">
        <w:rPr>
          <w:bCs/>
          <w:iCs/>
          <w:spacing w:val="-2"/>
        </w:rPr>
        <w:t xml:space="preserve"> arrivals</w:t>
      </w:r>
      <w:r w:rsidRPr="00294018">
        <w:rPr>
          <w:rFonts w:eastAsia="Calibri"/>
        </w:rPr>
        <w:t xml:space="preserve">, accounting for </w:t>
      </w:r>
      <w:r w:rsidRPr="00294018">
        <w:rPr>
          <w:iCs/>
        </w:rPr>
        <w:t>82.3</w:t>
      </w:r>
      <w:r w:rsidRPr="00294018">
        <w:rPr>
          <w:rFonts w:eastAsia="Calibri"/>
        </w:rPr>
        <w:t xml:space="preserve">% of total international visitors to Viet Nam and rising by </w:t>
      </w:r>
      <w:r w:rsidRPr="00294018">
        <w:rPr>
          <w:iCs/>
        </w:rPr>
        <w:t>11.0</w:t>
      </w:r>
      <w:r w:rsidRPr="00294018">
        <w:rPr>
          <w:rFonts w:eastAsia="Calibri"/>
        </w:rPr>
        <w:t xml:space="preserve">% year-on-year; arrivals by road reached </w:t>
      </w:r>
      <w:r w:rsidRPr="00294018">
        <w:rPr>
          <w:iCs/>
        </w:rPr>
        <w:t xml:space="preserve">1.7 </w:t>
      </w:r>
      <w:r w:rsidRPr="00294018">
        <w:rPr>
          <w:rFonts w:eastAsia="Calibri"/>
        </w:rPr>
        <w:t>million</w:t>
      </w:r>
      <w:r w:rsidRPr="00294018">
        <w:rPr>
          <w:bCs/>
          <w:iCs/>
          <w:spacing w:val="-2"/>
        </w:rPr>
        <w:t xml:space="preserve"> arrivals</w:t>
      </w:r>
      <w:r w:rsidRPr="00294018">
        <w:rPr>
          <w:rFonts w:eastAsia="Calibri"/>
        </w:rPr>
        <w:t xml:space="preserve">, accounting for </w:t>
      </w:r>
      <w:r w:rsidRPr="00294018">
        <w:rPr>
          <w:iCs/>
        </w:rPr>
        <w:t>15.8</w:t>
      </w:r>
      <w:r w:rsidRPr="00294018">
        <w:rPr>
          <w:rFonts w:eastAsia="Calibri"/>
        </w:rPr>
        <w:t xml:space="preserve">% and increasing by </w:t>
      </w:r>
      <w:r w:rsidRPr="00294018">
        <w:rPr>
          <w:iCs/>
        </w:rPr>
        <w:t>40.8</w:t>
      </w:r>
      <w:r w:rsidRPr="00294018">
        <w:rPr>
          <w:rFonts w:eastAsia="Calibri"/>
        </w:rPr>
        <w:t xml:space="preserve">%; arrivals by </w:t>
      </w:r>
      <w:r w:rsidR="001A55F8">
        <w:rPr>
          <w:rFonts w:eastAsia="Calibri"/>
        </w:rPr>
        <w:t>m</w:t>
      </w:r>
      <w:r w:rsidR="001A55F8" w:rsidRPr="001A55F8">
        <w:rPr>
          <w:rFonts w:eastAsia="Calibri"/>
        </w:rPr>
        <w:t>aritime transport</w:t>
      </w:r>
      <w:r w:rsidR="009C1D34">
        <w:rPr>
          <w:rFonts w:eastAsia="Calibri"/>
        </w:rPr>
        <w:t xml:space="preserve"> </w:t>
      </w:r>
      <w:r w:rsidRPr="00294018">
        <w:rPr>
          <w:rFonts w:eastAsia="Calibri"/>
        </w:rPr>
        <w:t xml:space="preserve">reached </w:t>
      </w:r>
      <w:r w:rsidRPr="00294018">
        <w:rPr>
          <w:iCs/>
        </w:rPr>
        <w:t xml:space="preserve">202.4 </w:t>
      </w:r>
      <w:r w:rsidRPr="00294018">
        <w:rPr>
          <w:rFonts w:eastAsia="Calibri"/>
        </w:rPr>
        <w:t xml:space="preserve">thousand arrivals, accounting for </w:t>
      </w:r>
      <w:r w:rsidRPr="00294018">
        <w:rPr>
          <w:iCs/>
        </w:rPr>
        <w:t>1.9</w:t>
      </w:r>
      <w:r w:rsidRPr="00294018">
        <w:rPr>
          <w:rFonts w:eastAsia="Calibri"/>
        </w:rPr>
        <w:t xml:space="preserve">% and rising by </w:t>
      </w:r>
      <w:r w:rsidRPr="00294018">
        <w:rPr>
          <w:iCs/>
        </w:rPr>
        <w:t>15.4</w:t>
      </w:r>
      <w:r w:rsidRPr="00294018">
        <w:rPr>
          <w:rFonts w:eastAsia="Calibri"/>
        </w:rPr>
        <w:t>%.</w:t>
      </w:r>
    </w:p>
    <w:p w14:paraId="6D443723" w14:textId="762D5A87" w:rsidR="00223A54" w:rsidRPr="00294018" w:rsidRDefault="003F393F" w:rsidP="003F393F">
      <w:pPr>
        <w:shd w:val="clear" w:color="auto" w:fill="FFFFFF"/>
        <w:jc w:val="center"/>
        <w:rPr>
          <w:rFonts w:ascii="Arial" w:hAnsi="Arial" w:cs="Arial"/>
          <w:b/>
          <w:color w:val="000000" w:themeColor="text1"/>
          <w:sz w:val="24"/>
          <w:szCs w:val="24"/>
        </w:rPr>
      </w:pPr>
      <w:r w:rsidRPr="00294018">
        <w:rPr>
          <w:rFonts w:ascii="Arial" w:hAnsi="Arial" w:cs="Arial"/>
          <w:b/>
          <w:sz w:val="24"/>
          <w:szCs w:val="24"/>
        </w:rPr>
        <w:t xml:space="preserve">Figure 16. </w:t>
      </w:r>
      <w:r w:rsidRPr="00294018">
        <w:rPr>
          <w:rFonts w:ascii="Arial" w:hAnsi="Arial" w:cs="Arial"/>
          <w:b/>
          <w:bCs/>
          <w:iCs/>
          <w:sz w:val="24"/>
          <w:szCs w:val="24"/>
        </w:rPr>
        <w:t>International visitors to Viet Nam in five months of</w:t>
      </w:r>
      <w:r w:rsidRPr="00294018">
        <w:rPr>
          <w:rFonts w:ascii="Arial" w:hAnsi="Arial" w:cs="Arial"/>
          <w:b/>
          <w:sz w:val="24"/>
          <w:szCs w:val="24"/>
        </w:rPr>
        <w:t xml:space="preserve"> 2026 </w:t>
      </w:r>
      <w:r w:rsidRPr="00294018">
        <w:rPr>
          <w:rFonts w:ascii="Arial" w:hAnsi="Arial" w:cs="Arial"/>
          <w:b/>
          <w:bCs/>
          <w:iCs/>
          <w:sz w:val="24"/>
          <w:szCs w:val="24"/>
        </w:rPr>
        <w:t>by territory</w:t>
      </w:r>
      <w:r w:rsidRPr="00294018">
        <w:rPr>
          <w:rFonts w:ascii="Arial" w:hAnsi="Arial" w:cs="Arial"/>
          <w:b/>
          <w:noProof/>
          <w:sz w:val="24"/>
          <w:szCs w:val="24"/>
        </w:rPr>
        <w:drawing>
          <wp:inline distT="0" distB="0" distL="0" distR="0" wp14:anchorId="44F6DD5C" wp14:editId="4D96F70D">
            <wp:extent cx="5699760" cy="285623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aOboQbP5rZyZDjCALWcaEjBSxVDoXsXo6QlytBg.jpg"/>
                    <pic:cNvPicPr/>
                  </pic:nvPicPr>
                  <pic:blipFill>
                    <a:blip r:embed="rId25">
                      <a:extLst>
                        <a:ext uri="{28A0092B-C50C-407E-A947-70E740481C1C}">
                          <a14:useLocalDpi xmlns:a14="http://schemas.microsoft.com/office/drawing/2010/main" val="0"/>
                        </a:ext>
                      </a:extLst>
                    </a:blip>
                    <a:stretch>
                      <a:fillRect/>
                    </a:stretch>
                  </pic:blipFill>
                  <pic:spPr>
                    <a:xfrm>
                      <a:off x="0" y="0"/>
                      <a:ext cx="5699760" cy="2856230"/>
                    </a:xfrm>
                    <a:prstGeom prst="rect">
                      <a:avLst/>
                    </a:prstGeom>
                  </pic:spPr>
                </pic:pic>
              </a:graphicData>
            </a:graphic>
          </wp:inline>
        </w:drawing>
      </w:r>
    </w:p>
    <w:p w14:paraId="455260FB" w14:textId="77777777" w:rsidR="003F393F" w:rsidRPr="00294018" w:rsidRDefault="003F393F" w:rsidP="003F393F">
      <w:pPr>
        <w:spacing w:before="120" w:after="120" w:line="252" w:lineRule="auto"/>
        <w:ind w:firstLine="720"/>
        <w:jc w:val="both"/>
        <w:rPr>
          <w:b/>
          <w:bCs/>
          <w:color w:val="000000" w:themeColor="text1"/>
        </w:rPr>
      </w:pPr>
      <w:r w:rsidRPr="00294018">
        <w:rPr>
          <w:b/>
          <w:bCs/>
          <w:color w:val="000000" w:themeColor="text1"/>
        </w:rPr>
        <w:lastRenderedPageBreak/>
        <w:t>7. Social situation</w:t>
      </w:r>
    </w:p>
    <w:p w14:paraId="045F584D" w14:textId="77777777" w:rsidR="003F393F" w:rsidRPr="00294018" w:rsidRDefault="003F393F" w:rsidP="003F393F">
      <w:pPr>
        <w:tabs>
          <w:tab w:val="left" w:pos="709"/>
          <w:tab w:val="left" w:pos="1134"/>
        </w:tabs>
        <w:spacing w:after="120" w:line="252" w:lineRule="auto"/>
        <w:ind w:firstLine="720"/>
        <w:jc w:val="both"/>
        <w:rPr>
          <w:b/>
          <w:i/>
          <w:color w:val="000000" w:themeColor="text1"/>
        </w:rPr>
      </w:pPr>
      <w:r w:rsidRPr="00294018">
        <w:rPr>
          <w:b/>
          <w:i/>
          <w:color w:val="000000" w:themeColor="text1"/>
        </w:rPr>
        <w:t>a) People's living conditions</w:t>
      </w:r>
    </w:p>
    <w:p w14:paraId="58CB30A7" w14:textId="77777777" w:rsidR="003F393F" w:rsidRPr="00294018" w:rsidRDefault="003F393F" w:rsidP="003F393F">
      <w:pPr>
        <w:tabs>
          <w:tab w:val="left" w:pos="851"/>
        </w:tabs>
        <w:spacing w:after="120" w:line="252" w:lineRule="auto"/>
        <w:ind w:firstLine="720"/>
        <w:jc w:val="both"/>
        <w:rPr>
          <w:bCs/>
          <w:snapToGrid w:val="0"/>
          <w:color w:val="000000" w:themeColor="text1"/>
        </w:rPr>
      </w:pPr>
      <w:r w:rsidRPr="00294018">
        <w:rPr>
          <w:bCs/>
          <w:snapToGrid w:val="0"/>
          <w:color w:val="000000" w:themeColor="text1"/>
        </w:rPr>
        <w:t>According to preliminary results of the Labour Force Survey, people's living conditions remained stable. The proportion of households reporting that their income in the month remained unchanged or increased compared to the same period last year was 96.5% (a month-on-month increase of 0.5 percentage points and a year-on-year fall of 0.6 percentage points); 3.5% of households said that their income decreased or undetermined.</w:t>
      </w:r>
    </w:p>
    <w:p w14:paraId="061656BB" w14:textId="77777777" w:rsidR="003F393F" w:rsidRPr="00294018" w:rsidRDefault="003F393F" w:rsidP="003F393F">
      <w:pPr>
        <w:tabs>
          <w:tab w:val="left" w:pos="851"/>
        </w:tabs>
        <w:spacing w:after="120" w:line="252" w:lineRule="auto"/>
        <w:ind w:firstLine="720"/>
        <w:jc w:val="both"/>
        <w:rPr>
          <w:bCs/>
          <w:snapToGrid w:val="0"/>
          <w:color w:val="000000" w:themeColor="text1"/>
        </w:rPr>
      </w:pPr>
      <w:r w:rsidRPr="00294018">
        <w:rPr>
          <w:bCs/>
          <w:snapToGrid w:val="0"/>
          <w:color w:val="000000" w:themeColor="text1"/>
        </w:rPr>
        <w:t>Among households reporting an increase in income, 64.1% of households attributed it to increased wages and salaries of household members; 41.3% of households reported growth in income from agriculture, forestry, and fishery activities; and 21.5% of households identified increased income from non-farm production, business, and service activities</w:t>
      </w:r>
      <w:r w:rsidRPr="00294018">
        <w:rPr>
          <w:rStyle w:val="FootnoteReference"/>
          <w:bCs/>
          <w:snapToGrid w:val="0"/>
          <w:color w:val="000000" w:themeColor="text1"/>
        </w:rPr>
        <w:footnoteReference w:id="34"/>
      </w:r>
      <w:r w:rsidRPr="00294018">
        <w:rPr>
          <w:bCs/>
          <w:snapToGrid w:val="0"/>
          <w:color w:val="000000" w:themeColor="text1"/>
        </w:rPr>
        <w:t>.</w:t>
      </w:r>
    </w:p>
    <w:p w14:paraId="2209F22B" w14:textId="77777777" w:rsidR="003F393F" w:rsidRPr="00294018" w:rsidRDefault="003F393F" w:rsidP="003F393F">
      <w:pPr>
        <w:tabs>
          <w:tab w:val="left" w:pos="851"/>
        </w:tabs>
        <w:spacing w:after="120" w:line="252" w:lineRule="auto"/>
        <w:ind w:firstLine="720"/>
        <w:jc w:val="both"/>
        <w:rPr>
          <w:rStyle w:val="fontstyle01"/>
          <w:rFonts w:eastAsia="Calibri"/>
          <w:color w:val="000000" w:themeColor="text1"/>
          <w:spacing w:val="-2"/>
        </w:rPr>
      </w:pPr>
      <w:r w:rsidRPr="00294018">
        <w:rPr>
          <w:rStyle w:val="fontstyle01"/>
          <w:rFonts w:eastAsia="Calibri"/>
          <w:color w:val="000000" w:themeColor="text1"/>
          <w:spacing w:val="-2"/>
        </w:rPr>
        <w:t>Of the households with decreased income, 34.9%  of households pointed to increase in input costs for their production and business activities; 27.3% of households indicated a decline in the selling prices of products from household production and business activities; 21.0% of households noted that household members suffered from severe illness, injury, or death; 19.6% of households cited a reduction in the scale of their production and business activities; and 17.6% of households identified that a household member was temporarily out of work.</w:t>
      </w:r>
    </w:p>
    <w:p w14:paraId="729C11DE" w14:textId="77777777" w:rsidR="003F393F" w:rsidRPr="00294018" w:rsidRDefault="003F393F" w:rsidP="003F393F">
      <w:pPr>
        <w:tabs>
          <w:tab w:val="left" w:pos="851"/>
        </w:tabs>
        <w:spacing w:after="120" w:line="252" w:lineRule="auto"/>
        <w:ind w:firstLine="720"/>
        <w:jc w:val="both"/>
        <w:rPr>
          <w:bCs/>
          <w:snapToGrid w:val="0"/>
          <w:color w:val="000000" w:themeColor="text1"/>
        </w:rPr>
      </w:pPr>
      <w:r w:rsidRPr="00294018">
        <w:rPr>
          <w:bCs/>
          <w:snapToGrid w:val="0"/>
          <w:color w:val="000000" w:themeColor="text1"/>
        </w:rPr>
        <w:t>Regarding the impact of negative events on people’s living conditions in the five months of 2026, households evaluated as follows: 35.3% of households were impacted by rising prices of goods and services; 7.7% of households were impacted by natural disasters and climate change; 3.9% of households were affected by epidemics in livestock or crops; 2.9% of households were affected by human epidemics; 2.2% of households with their household members were suffered from severe illness, injury, or death; and 0.5% of households were impacted by fires or explosions.</w:t>
      </w:r>
    </w:p>
    <w:p w14:paraId="68665EF7" w14:textId="77777777" w:rsidR="003F393F" w:rsidRPr="00294018" w:rsidRDefault="003F393F" w:rsidP="003F393F">
      <w:pPr>
        <w:tabs>
          <w:tab w:val="left" w:pos="851"/>
        </w:tabs>
        <w:spacing w:after="120" w:line="252" w:lineRule="auto"/>
        <w:ind w:firstLine="720"/>
        <w:jc w:val="both"/>
        <w:rPr>
          <w:bCs/>
          <w:snapToGrid w:val="0"/>
          <w:color w:val="000000" w:themeColor="text1"/>
        </w:rPr>
      </w:pPr>
      <w:r w:rsidRPr="00294018">
        <w:rPr>
          <w:bCs/>
          <w:snapToGrid w:val="0"/>
          <w:color w:val="000000" w:themeColor="text1"/>
        </w:rPr>
        <w:t>In May, 18.6% of interviewed households received assistance from various sources. Specifically, the proportion of households receiving support from national programs and policies was 9.3%; from local programs and policies was 7.3%; from relatives and family members was 10.1%; from charitable activities of organizations or individuals was 2.5%; and from other sources was 0.08%.</w:t>
      </w:r>
    </w:p>
    <w:p w14:paraId="3A562A88" w14:textId="77777777" w:rsidR="003F393F" w:rsidRPr="00294018" w:rsidRDefault="003F393F" w:rsidP="003F393F">
      <w:pPr>
        <w:pStyle w:val="BodyTextIndent"/>
        <w:tabs>
          <w:tab w:val="left" w:pos="0"/>
          <w:tab w:val="left" w:pos="720"/>
        </w:tabs>
        <w:spacing w:after="120" w:line="252" w:lineRule="auto"/>
        <w:ind w:left="0" w:firstLine="720"/>
        <w:jc w:val="both"/>
        <w:rPr>
          <w:rFonts w:ascii="Times New Roman" w:hAnsi="Times New Roman"/>
          <w:snapToGrid w:val="0"/>
          <w:color w:val="000000" w:themeColor="text1"/>
          <w:spacing w:val="-4"/>
        </w:rPr>
      </w:pPr>
      <w:r w:rsidRPr="00294018">
        <w:rPr>
          <w:rFonts w:ascii="Times New Roman" w:hAnsi="Times New Roman"/>
          <w:snapToGrid w:val="0"/>
          <w:color w:val="000000" w:themeColor="text1"/>
          <w:spacing w:val="-4"/>
        </w:rPr>
        <w:t>Social security activities were always prioritized and implemented by authorities at all levels to support the people's lives. In May, as of May 25</w:t>
      </w:r>
      <w:r w:rsidRPr="00294018">
        <w:rPr>
          <w:rFonts w:ascii="Times New Roman" w:hAnsi="Times New Roman"/>
          <w:snapToGrid w:val="0"/>
          <w:color w:val="000000" w:themeColor="text1"/>
          <w:spacing w:val="-4"/>
          <w:vertAlign w:val="superscript"/>
        </w:rPr>
        <w:t>th</w:t>
      </w:r>
      <w:r w:rsidRPr="00294018">
        <w:rPr>
          <w:rFonts w:ascii="Times New Roman" w:hAnsi="Times New Roman"/>
          <w:snapToGrid w:val="0"/>
          <w:color w:val="000000" w:themeColor="text1"/>
          <w:spacing w:val="-4"/>
        </w:rPr>
        <w:t xml:space="preserve">, 2026, the Government provided more than 1.0 thousand tons of rice to the people for the 2026 pre-harvest period. From the beginning of this year, the Government provided </w:t>
      </w:r>
      <w:r w:rsidRPr="00294018">
        <w:rPr>
          <w:rFonts w:ascii="Times New Roman" w:hAnsi="Times New Roman"/>
          <w:snapToGrid w:val="0"/>
          <w:color w:val="000000" w:themeColor="text1"/>
          <w:spacing w:val="-4"/>
        </w:rPr>
        <w:lastRenderedPageBreak/>
        <w:t xml:space="preserve">16.3 thousand tons of rice to the people, of which: nearly 9.1 thousand tons for hunger relief during the Lunar New Year for 604.6 thousand persons; more than 6.6 thousand tons for pre-harvest hunger relief for 442.6 thousand persons; and over 604.0 tons for natural disaster and flood relief for 40.3 thousand persons. </w:t>
      </w:r>
    </w:p>
    <w:p w14:paraId="16AA8677" w14:textId="77777777" w:rsidR="003F393F" w:rsidRPr="00294018" w:rsidRDefault="003F393F" w:rsidP="003F393F">
      <w:pPr>
        <w:pStyle w:val="BodyTextIndent"/>
        <w:tabs>
          <w:tab w:val="left" w:pos="0"/>
          <w:tab w:val="left" w:pos="720"/>
        </w:tabs>
        <w:spacing w:after="120" w:line="252" w:lineRule="auto"/>
        <w:ind w:left="0" w:firstLine="720"/>
        <w:jc w:val="both"/>
        <w:rPr>
          <w:rFonts w:ascii="Times New Roman" w:hAnsi="Times New Roman"/>
          <w:b/>
          <w:i/>
          <w:iCs/>
          <w:snapToGrid w:val="0"/>
          <w:color w:val="000000" w:themeColor="text1"/>
          <w:spacing w:val="-4"/>
        </w:rPr>
      </w:pPr>
      <w:r w:rsidRPr="00294018">
        <w:rPr>
          <w:rFonts w:ascii="Times New Roman" w:hAnsi="Times New Roman"/>
          <w:b/>
          <w:i/>
          <w:iCs/>
          <w:snapToGrid w:val="0"/>
          <w:color w:val="000000" w:themeColor="text1"/>
          <w:spacing w:val="-4"/>
        </w:rPr>
        <w:t>b) Gratitude to national devotees</w:t>
      </w:r>
    </w:p>
    <w:p w14:paraId="26F53BA7" w14:textId="77777777" w:rsidR="003F393F" w:rsidRPr="00294018" w:rsidRDefault="003F393F" w:rsidP="003F393F">
      <w:pPr>
        <w:tabs>
          <w:tab w:val="left" w:pos="567"/>
          <w:tab w:val="num" w:pos="720"/>
        </w:tabs>
        <w:spacing w:after="120" w:line="252" w:lineRule="auto"/>
        <w:ind w:firstLine="720"/>
        <w:jc w:val="both"/>
        <w:rPr>
          <w:color w:val="000000" w:themeColor="text1"/>
          <w:spacing w:val="2"/>
        </w:rPr>
      </w:pPr>
      <w:r w:rsidRPr="00294018">
        <w:rPr>
          <w:color w:val="000000" w:themeColor="text1"/>
          <w:spacing w:val="2"/>
        </w:rPr>
        <w:t>Towards the 80</w:t>
      </w:r>
      <w:r w:rsidRPr="00294018">
        <w:rPr>
          <w:color w:val="000000" w:themeColor="text1"/>
          <w:spacing w:val="2"/>
          <w:vertAlign w:val="superscript"/>
        </w:rPr>
        <w:t xml:space="preserve">th </w:t>
      </w:r>
      <w:r w:rsidRPr="00294018">
        <w:rPr>
          <w:color w:val="000000" w:themeColor="text1"/>
          <w:spacing w:val="2"/>
        </w:rPr>
        <w:t>anniversary of Invalids and Martyrs Day (July 27</w:t>
      </w:r>
      <w:r w:rsidRPr="00294018">
        <w:rPr>
          <w:color w:val="000000" w:themeColor="text1"/>
          <w:spacing w:val="2"/>
          <w:vertAlign w:val="superscript"/>
        </w:rPr>
        <w:t>th</w:t>
      </w:r>
      <w:r w:rsidRPr="00294018">
        <w:rPr>
          <w:color w:val="000000" w:themeColor="text1"/>
          <w:spacing w:val="2"/>
        </w:rPr>
        <w:t>, 1947 - July 27</w:t>
      </w:r>
      <w:r w:rsidRPr="00294018">
        <w:rPr>
          <w:color w:val="000000" w:themeColor="text1"/>
          <w:spacing w:val="2"/>
          <w:vertAlign w:val="superscript"/>
        </w:rPr>
        <w:t>th</w:t>
      </w:r>
      <w:r w:rsidRPr="00294018">
        <w:rPr>
          <w:color w:val="000000" w:themeColor="text1"/>
          <w:spacing w:val="2"/>
        </w:rPr>
        <w:t>, 2027), the “500-day-and-night campaign to accelerate the search, collection, and identification of martyrs’ remains” has been deployed from March 15</w:t>
      </w:r>
      <w:r w:rsidRPr="00294018">
        <w:rPr>
          <w:color w:val="000000" w:themeColor="text1"/>
          <w:spacing w:val="2"/>
          <w:vertAlign w:val="superscript"/>
        </w:rPr>
        <w:t>th</w:t>
      </w:r>
      <w:r w:rsidRPr="00294018">
        <w:rPr>
          <w:color w:val="000000" w:themeColor="text1"/>
          <w:spacing w:val="2"/>
        </w:rPr>
        <w:t>, 2026 to July 27</w:t>
      </w:r>
      <w:r w:rsidRPr="00294018">
        <w:rPr>
          <w:color w:val="000000" w:themeColor="text1"/>
          <w:spacing w:val="2"/>
          <w:vertAlign w:val="superscript"/>
        </w:rPr>
        <w:t>th</w:t>
      </w:r>
      <w:r w:rsidRPr="00294018">
        <w:rPr>
          <w:color w:val="000000" w:themeColor="text1"/>
          <w:spacing w:val="2"/>
        </w:rPr>
        <w:t>, 2027</w:t>
      </w:r>
      <w:r w:rsidRPr="00294018">
        <w:rPr>
          <w:rStyle w:val="FootnoteReference"/>
          <w:color w:val="000000" w:themeColor="text1"/>
          <w:spacing w:val="2"/>
        </w:rPr>
        <w:footnoteReference w:id="35"/>
      </w:r>
      <w:r w:rsidRPr="00294018">
        <w:rPr>
          <w:color w:val="000000" w:themeColor="text1"/>
          <w:spacing w:val="2"/>
        </w:rPr>
        <w:t xml:space="preserve">. </w:t>
      </w:r>
    </w:p>
    <w:p w14:paraId="28FE46E4" w14:textId="77777777" w:rsidR="003F393F" w:rsidRPr="00294018" w:rsidRDefault="003F393F" w:rsidP="003F393F">
      <w:pPr>
        <w:tabs>
          <w:tab w:val="left" w:pos="567"/>
          <w:tab w:val="num" w:pos="720"/>
        </w:tabs>
        <w:spacing w:after="120" w:line="252" w:lineRule="auto"/>
        <w:ind w:firstLine="720"/>
        <w:jc w:val="both"/>
        <w:rPr>
          <w:color w:val="000000" w:themeColor="text1"/>
          <w:spacing w:val="2"/>
        </w:rPr>
      </w:pPr>
      <w:r w:rsidRPr="00294018">
        <w:rPr>
          <w:color w:val="000000" w:themeColor="text1"/>
          <w:spacing w:val="2"/>
        </w:rPr>
        <w:t>Immediately after the campaign was launched (April 2</w:t>
      </w:r>
      <w:r w:rsidRPr="00294018">
        <w:rPr>
          <w:color w:val="000000" w:themeColor="text1"/>
          <w:spacing w:val="2"/>
          <w:vertAlign w:val="superscript"/>
        </w:rPr>
        <w:t>nd</w:t>
      </w:r>
      <w:r w:rsidRPr="00294018">
        <w:rPr>
          <w:color w:val="000000" w:themeColor="text1"/>
          <w:spacing w:val="2"/>
        </w:rPr>
        <w:t>, 2026), under the drastic direction of the National Steering Committee, ministries, steering committees at all levels, agencies, units, and localities actively took initiative to get involved, focusing on implementing the set tasks and solutions, and achieved positive initial results. These included the issuance of the Government's Resolution on specific mechanisms and policies to remove difficulties in sampling, expert evaluation, and identification of information-lacking martyrs' remains using DNA testing; training, guiding, and issuing technical procedures, as well as digitizing information of martyrs' remains samples. At the same time, plans were developed for receiving, processing, and utilizing information sources; and pilot sampling of martyrs' remains for unidentified graves was organized, etc.</w:t>
      </w:r>
    </w:p>
    <w:p w14:paraId="6568AE82" w14:textId="199AFA1E" w:rsidR="00373E99" w:rsidRPr="00294018" w:rsidRDefault="003F393F" w:rsidP="003F393F">
      <w:pPr>
        <w:tabs>
          <w:tab w:val="left" w:pos="567"/>
          <w:tab w:val="num" w:pos="720"/>
        </w:tabs>
        <w:spacing w:after="120" w:line="252" w:lineRule="auto"/>
        <w:ind w:firstLine="720"/>
        <w:jc w:val="both"/>
        <w:rPr>
          <w:color w:val="000000" w:themeColor="text1"/>
          <w:spacing w:val="2"/>
        </w:rPr>
      </w:pPr>
      <w:r w:rsidRPr="00294018">
        <w:rPr>
          <w:color w:val="000000" w:themeColor="text1"/>
          <w:spacing w:val="2"/>
        </w:rPr>
        <w:t>Up to now</w:t>
      </w:r>
      <w:r w:rsidRPr="00294018">
        <w:rPr>
          <w:rStyle w:val="FootnoteReference"/>
          <w:color w:val="000000" w:themeColor="text1"/>
          <w:spacing w:val="2"/>
        </w:rPr>
        <w:footnoteReference w:id="36"/>
      </w:r>
      <w:r w:rsidRPr="00294018">
        <w:rPr>
          <w:color w:val="000000" w:themeColor="text1"/>
          <w:spacing w:val="2"/>
        </w:rPr>
        <w:t>, the search and collection teams have found and collected 974 martyrs' remains, including 182 remains in Laos, 550 remains in Cambodia, and 242 remains domestically.</w:t>
      </w:r>
    </w:p>
    <w:p w14:paraId="2959C7F2" w14:textId="77777777" w:rsidR="003F393F" w:rsidRPr="00294018" w:rsidRDefault="003F393F" w:rsidP="003F393F">
      <w:pPr>
        <w:pStyle w:val="BodyTextIndent"/>
        <w:tabs>
          <w:tab w:val="left" w:pos="0"/>
          <w:tab w:val="left" w:pos="720"/>
        </w:tabs>
        <w:spacing w:after="120" w:line="252" w:lineRule="auto"/>
        <w:ind w:left="0" w:firstLine="720"/>
        <w:jc w:val="both"/>
        <w:rPr>
          <w:rStyle w:val="normalchar"/>
          <w:rFonts w:ascii="Times New Roman" w:hAnsi="Times New Roman"/>
          <w:b/>
          <w:bCs/>
          <w:i/>
          <w:iCs/>
        </w:rPr>
      </w:pPr>
      <w:r w:rsidRPr="00294018">
        <w:rPr>
          <w:rStyle w:val="normalchar"/>
          <w:rFonts w:ascii="Times New Roman" w:hAnsi="Times New Roman"/>
          <w:b/>
          <w:bCs/>
          <w:i/>
          <w:iCs/>
        </w:rPr>
        <w:t xml:space="preserve">c) Epidemic, food poisoning  </w:t>
      </w:r>
    </w:p>
    <w:p w14:paraId="7458605C" w14:textId="77777777" w:rsidR="003F393F" w:rsidRPr="00294018" w:rsidRDefault="003F393F" w:rsidP="003F393F">
      <w:pPr>
        <w:spacing w:after="120" w:line="264" w:lineRule="auto"/>
        <w:ind w:firstLine="720"/>
        <w:jc w:val="both"/>
      </w:pPr>
      <w:r w:rsidRPr="00294018">
        <w:t>According to the report of the Ministry of Health, in the month (April 18</w:t>
      </w:r>
      <w:r w:rsidRPr="00294018">
        <w:rPr>
          <w:vertAlign w:val="superscript"/>
        </w:rPr>
        <w:t>th</w:t>
      </w:r>
      <w:r w:rsidRPr="00294018">
        <w:t xml:space="preserve"> - May 17</w:t>
      </w:r>
      <w:r w:rsidRPr="00294018">
        <w:rPr>
          <w:vertAlign w:val="superscript"/>
        </w:rPr>
        <w:t>th</w:t>
      </w:r>
      <w:r w:rsidRPr="00294018">
        <w:t xml:space="preserve">, 2026), there were </w:t>
      </w:r>
      <w:r w:rsidRPr="00294018">
        <w:rPr>
          <w:spacing w:val="-2"/>
        </w:rPr>
        <w:t xml:space="preserve">5,407 </w:t>
      </w:r>
      <w:r w:rsidRPr="00294018">
        <w:t xml:space="preserve">cases of dengue fever; </w:t>
      </w:r>
      <w:r w:rsidRPr="00294018">
        <w:rPr>
          <w:spacing w:val="-2"/>
        </w:rPr>
        <w:t xml:space="preserve">10.5 </w:t>
      </w:r>
      <w:r w:rsidRPr="00294018">
        <w:t>thousand</w:t>
      </w:r>
      <w:r w:rsidRPr="00294018">
        <w:rPr>
          <w:iCs/>
        </w:rPr>
        <w:t xml:space="preserve"> cases of </w:t>
      </w:r>
      <w:r w:rsidRPr="00294018">
        <w:t xml:space="preserve">hand, foot and mouth disease (1 deaths); </w:t>
      </w:r>
      <w:r w:rsidRPr="00294018">
        <w:rPr>
          <w:spacing w:val="-2"/>
        </w:rPr>
        <w:t>668</w:t>
      </w:r>
      <w:r w:rsidRPr="00294018">
        <w:t xml:space="preserve"> cases of rash fever suspected of measles; </w:t>
      </w:r>
      <w:r w:rsidRPr="00294018">
        <w:rPr>
          <w:spacing w:val="-2"/>
        </w:rPr>
        <w:t>25</w:t>
      </w:r>
      <w:r w:rsidRPr="00294018">
        <w:t xml:space="preserve"> cases of viral encephalitis; </w:t>
      </w:r>
      <w:r w:rsidRPr="00294018">
        <w:rPr>
          <w:spacing w:val="-2"/>
        </w:rPr>
        <w:t>4</w:t>
      </w:r>
      <w:r w:rsidRPr="00294018">
        <w:t xml:space="preserve"> cases of meningococcal meningitis</w:t>
      </w:r>
      <w:r w:rsidRPr="00294018">
        <w:rPr>
          <w:iCs/>
          <w:snapToGrid w:val="0"/>
        </w:rPr>
        <w:t>; and 0</w:t>
      </w:r>
      <w:r w:rsidRPr="00294018">
        <w:rPr>
          <w:spacing w:val="-2"/>
          <w:shd w:val="clear" w:color="auto" w:fill="FFFFFF"/>
        </w:rPr>
        <w:t>8</w:t>
      </w:r>
      <w:r w:rsidRPr="00294018">
        <w:rPr>
          <w:iCs/>
          <w:snapToGrid w:val="0"/>
        </w:rPr>
        <w:t xml:space="preserve"> </w:t>
      </w:r>
      <w:r w:rsidRPr="00294018">
        <w:t xml:space="preserve">deaths </w:t>
      </w:r>
      <w:r w:rsidRPr="00294018">
        <w:rPr>
          <w:iCs/>
          <w:snapToGrid w:val="0"/>
        </w:rPr>
        <w:t xml:space="preserve">from rabies. </w:t>
      </w:r>
      <w:r w:rsidRPr="00294018">
        <w:rPr>
          <w:rFonts w:eastAsia="Calibri"/>
        </w:rPr>
        <w:t>Overall, in five months of 2026</w:t>
      </w:r>
      <w:r w:rsidRPr="00294018">
        <w:t xml:space="preserve">, there were over </w:t>
      </w:r>
      <w:r w:rsidRPr="00294018">
        <w:rPr>
          <w:spacing w:val="-2"/>
        </w:rPr>
        <w:t>50.3</w:t>
      </w:r>
      <w:r w:rsidRPr="00294018">
        <w:t xml:space="preserve"> thousand cases of dengue fever (</w:t>
      </w:r>
      <w:r w:rsidRPr="00294018">
        <w:rPr>
          <w:spacing w:val="-2"/>
        </w:rPr>
        <w:t>5</w:t>
      </w:r>
      <w:r w:rsidRPr="00294018">
        <w:t xml:space="preserve"> deaths); </w:t>
      </w:r>
      <w:r w:rsidRPr="00294018">
        <w:rPr>
          <w:spacing w:val="-2"/>
        </w:rPr>
        <w:t xml:space="preserve">44.9 </w:t>
      </w:r>
      <w:r w:rsidRPr="00294018">
        <w:t>thousand cases of hand, foot and mouth disease (</w:t>
      </w:r>
      <w:r w:rsidRPr="00294018">
        <w:rPr>
          <w:spacing w:val="-2"/>
        </w:rPr>
        <w:t>9</w:t>
      </w:r>
      <w:r w:rsidRPr="00294018">
        <w:t xml:space="preserve"> deaths); </w:t>
      </w:r>
      <w:r w:rsidRPr="00294018">
        <w:rPr>
          <w:spacing w:val="-2"/>
        </w:rPr>
        <w:t xml:space="preserve">3,795 </w:t>
      </w:r>
      <w:r w:rsidRPr="00294018">
        <w:t xml:space="preserve">cases of rash fever suspected of measles; </w:t>
      </w:r>
      <w:r w:rsidRPr="00294018">
        <w:rPr>
          <w:spacing w:val="-2"/>
        </w:rPr>
        <w:t>131</w:t>
      </w:r>
      <w:r w:rsidRPr="00294018">
        <w:t xml:space="preserve"> cases of viral encephalitis (1 death); </w:t>
      </w:r>
      <w:r w:rsidRPr="00294018">
        <w:rPr>
          <w:spacing w:val="-2"/>
        </w:rPr>
        <w:t>30</w:t>
      </w:r>
      <w:r w:rsidRPr="00294018">
        <w:t xml:space="preserve"> cases of meningococcal meningitis (</w:t>
      </w:r>
      <w:r w:rsidRPr="00294018">
        <w:rPr>
          <w:spacing w:val="-2"/>
        </w:rPr>
        <w:t>4</w:t>
      </w:r>
      <w:r w:rsidRPr="00294018">
        <w:t xml:space="preserve"> deaths); and </w:t>
      </w:r>
      <w:r w:rsidRPr="00294018">
        <w:rPr>
          <w:spacing w:val="-2"/>
        </w:rPr>
        <w:t>32</w:t>
      </w:r>
      <w:r w:rsidRPr="00294018">
        <w:t xml:space="preserve"> deaths from rabies in the whole country.</w:t>
      </w:r>
    </w:p>
    <w:p w14:paraId="7D759444" w14:textId="77777777" w:rsidR="003F393F" w:rsidRPr="00294018" w:rsidRDefault="003F393F" w:rsidP="003F393F">
      <w:pPr>
        <w:spacing w:after="120"/>
        <w:ind w:firstLine="720"/>
        <w:jc w:val="both"/>
      </w:pPr>
      <w:r w:rsidRPr="00294018">
        <w:lastRenderedPageBreak/>
        <w:t>As of May 17</w:t>
      </w:r>
      <w:r w:rsidRPr="00294018">
        <w:rPr>
          <w:vertAlign w:val="superscript"/>
        </w:rPr>
        <w:t>th</w:t>
      </w:r>
      <w:r w:rsidRPr="00294018">
        <w:t xml:space="preserve">, 2026, the total number of people living with HIV nationwide was </w:t>
      </w:r>
      <w:r w:rsidRPr="00294018">
        <w:rPr>
          <w:iCs/>
          <w:snapToGrid w:val="0"/>
        </w:rPr>
        <w:t xml:space="preserve">256.6 </w:t>
      </w:r>
      <w:r w:rsidRPr="00294018">
        <w:t xml:space="preserve">thousand persons; the number of deaths from HIV/AIDS was </w:t>
      </w:r>
      <w:r w:rsidRPr="00294018">
        <w:rPr>
          <w:iCs/>
          <w:snapToGrid w:val="0"/>
        </w:rPr>
        <w:t>118.5</w:t>
      </w:r>
      <w:r w:rsidRPr="00294018">
        <w:rPr>
          <w:bCs/>
        </w:rPr>
        <w:t xml:space="preserve"> </w:t>
      </w:r>
      <w:r w:rsidRPr="00294018">
        <w:t xml:space="preserve">thousand persons. </w:t>
      </w:r>
    </w:p>
    <w:p w14:paraId="22C5F5CF" w14:textId="77777777" w:rsidR="003F393F" w:rsidRPr="00294018" w:rsidRDefault="003F393F" w:rsidP="003F393F">
      <w:pPr>
        <w:spacing w:after="120"/>
        <w:ind w:firstLine="720"/>
        <w:jc w:val="both"/>
      </w:pPr>
      <w:r w:rsidRPr="00294018">
        <w:t xml:space="preserve">Regarding food poisoning, in May, there were </w:t>
      </w:r>
      <w:r w:rsidRPr="00294018">
        <w:rPr>
          <w:spacing w:val="-4"/>
        </w:rPr>
        <w:t>9</w:t>
      </w:r>
      <w:r w:rsidRPr="00294018">
        <w:t xml:space="preserve"> cases of poisoning, causing </w:t>
      </w:r>
      <w:r w:rsidRPr="00294018">
        <w:rPr>
          <w:iCs/>
          <w:snapToGrid w:val="0"/>
          <w:spacing w:val="-4"/>
        </w:rPr>
        <w:t>555</w:t>
      </w:r>
      <w:r w:rsidRPr="00294018">
        <w:t xml:space="preserve"> persons poisoned (</w:t>
      </w:r>
      <w:r w:rsidRPr="00294018">
        <w:rPr>
          <w:spacing w:val="-4"/>
        </w:rPr>
        <w:t>2</w:t>
      </w:r>
      <w:r w:rsidRPr="00294018">
        <w:t xml:space="preserve"> deaths). Overall, in the five months of 2026 (from December 18</w:t>
      </w:r>
      <w:r w:rsidRPr="00294018">
        <w:rPr>
          <w:vertAlign w:val="superscript"/>
        </w:rPr>
        <w:t>th</w:t>
      </w:r>
      <w:r w:rsidRPr="00294018">
        <w:t>, 2025 to May 17</w:t>
      </w:r>
      <w:r w:rsidRPr="00294018">
        <w:rPr>
          <w:vertAlign w:val="superscript"/>
        </w:rPr>
        <w:t>th</w:t>
      </w:r>
      <w:r w:rsidRPr="00294018">
        <w:t xml:space="preserve">, 2026), there were </w:t>
      </w:r>
      <w:r w:rsidRPr="00294018">
        <w:rPr>
          <w:spacing w:val="-4"/>
        </w:rPr>
        <w:t>36</w:t>
      </w:r>
      <w:r w:rsidRPr="00294018">
        <w:t xml:space="preserve"> cases with 1,404</w:t>
      </w:r>
      <w:r w:rsidRPr="00294018">
        <w:rPr>
          <w:iCs/>
          <w:snapToGrid w:val="0"/>
        </w:rPr>
        <w:t xml:space="preserve"> </w:t>
      </w:r>
      <w:r w:rsidRPr="00294018">
        <w:t>persons poisoned (</w:t>
      </w:r>
      <w:r w:rsidRPr="00294018">
        <w:rPr>
          <w:spacing w:val="-4"/>
        </w:rPr>
        <w:t>5</w:t>
      </w:r>
      <w:r w:rsidRPr="00294018">
        <w:t xml:space="preserve"> deaths) nationwide.</w:t>
      </w:r>
    </w:p>
    <w:p w14:paraId="1F73B87A" w14:textId="77777777" w:rsidR="003F393F" w:rsidRPr="00294018" w:rsidRDefault="003F393F" w:rsidP="003F393F">
      <w:pPr>
        <w:spacing w:after="120" w:line="252" w:lineRule="auto"/>
        <w:ind w:firstLine="720"/>
        <w:jc w:val="both"/>
        <w:outlineLvl w:val="0"/>
        <w:rPr>
          <w:rStyle w:val="normalchar"/>
          <w:b/>
          <w:i/>
          <w:iCs/>
        </w:rPr>
      </w:pPr>
      <w:r w:rsidRPr="00294018">
        <w:rPr>
          <w:b/>
          <w:bCs/>
          <w:i/>
          <w:iCs/>
        </w:rPr>
        <w:t xml:space="preserve">d) </w:t>
      </w:r>
      <w:r w:rsidRPr="00294018">
        <w:rPr>
          <w:rStyle w:val="normalchar"/>
          <w:rFonts w:eastAsiaTheme="majorEastAsia"/>
          <w:b/>
          <w:bCs/>
          <w:i/>
        </w:rPr>
        <w:t>Culture and sports</w:t>
      </w:r>
      <w:r w:rsidRPr="00294018">
        <w:rPr>
          <w:rStyle w:val="normalchar"/>
          <w:rFonts w:eastAsiaTheme="majorEastAsia"/>
          <w:b/>
          <w:bCs/>
        </w:rPr>
        <w:t xml:space="preserve"> </w:t>
      </w:r>
    </w:p>
    <w:p w14:paraId="3578F597" w14:textId="77777777" w:rsidR="003F393F" w:rsidRPr="00294018" w:rsidRDefault="003F393F" w:rsidP="003F393F">
      <w:pPr>
        <w:tabs>
          <w:tab w:val="left" w:pos="567"/>
          <w:tab w:val="num" w:pos="720"/>
        </w:tabs>
        <w:spacing w:after="120" w:line="252" w:lineRule="auto"/>
        <w:ind w:firstLine="720"/>
        <w:jc w:val="both"/>
        <w:rPr>
          <w:spacing w:val="2"/>
        </w:rPr>
      </w:pPr>
      <w:r w:rsidRPr="00294018">
        <w:rPr>
          <w:bCs/>
          <w:i/>
        </w:rPr>
        <w:t xml:space="preserve">Regarding </w:t>
      </w:r>
      <w:r w:rsidRPr="00294018">
        <w:rPr>
          <w:rStyle w:val="normalchar"/>
          <w:rFonts w:eastAsiaTheme="majorEastAsia"/>
          <w:bCs/>
          <w:i/>
        </w:rPr>
        <w:t xml:space="preserve">culture, </w:t>
      </w:r>
      <w:r w:rsidRPr="00294018">
        <w:rPr>
          <w:spacing w:val="2"/>
        </w:rPr>
        <w:t xml:space="preserve">in May 2026, </w:t>
      </w:r>
      <w:r w:rsidRPr="00294018">
        <w:t>dynamic cultural activities were held nationwide</w:t>
      </w:r>
      <w:r w:rsidRPr="00294018">
        <w:rPr>
          <w:spacing w:val="2"/>
        </w:rPr>
        <w:t>, including: the Sen Village Festival 2026, organized in Nghe An on  May 19</w:t>
      </w:r>
      <w:r w:rsidRPr="00294018">
        <w:rPr>
          <w:spacing w:val="2"/>
          <w:vertAlign w:val="superscript"/>
        </w:rPr>
        <w:t>th</w:t>
      </w:r>
      <w:r w:rsidRPr="00294018">
        <w:rPr>
          <w:spacing w:val="2"/>
        </w:rPr>
        <w:t>; Ninh Binh Tourism Week 2026, held in Ninh Binh during the last ten days of May under the theme “Ninh Binh – A Heritage journey through the ages”; the Red Flamboyant Festival – Hai Phong 2026, held in Hai Phong on May 8</w:t>
      </w:r>
      <w:r w:rsidRPr="00294018">
        <w:rPr>
          <w:spacing w:val="2"/>
          <w:vertAlign w:val="superscript"/>
        </w:rPr>
        <w:t>th</w:t>
      </w:r>
      <w:r w:rsidRPr="00294018">
        <w:rPr>
          <w:spacing w:val="2"/>
        </w:rPr>
        <w:t xml:space="preserve"> under the theme “Hai Phong – Convergence and Radiance”; </w:t>
      </w:r>
      <w:r w:rsidRPr="00294018">
        <w:t>and the programme commemorating the 72nd anniversary of Dien Bien Phu Victory Day, which included tribute ceremonies, incense offerings at the A1 National Martyrs’ Cemetery, visited to historical sites, and the reception of large numbers of tourists and veterans returning to the former battlefield.</w:t>
      </w:r>
    </w:p>
    <w:p w14:paraId="7C727074" w14:textId="77777777" w:rsidR="003F393F" w:rsidRPr="00294018" w:rsidRDefault="003F393F" w:rsidP="003F393F">
      <w:pPr>
        <w:tabs>
          <w:tab w:val="left" w:pos="567"/>
          <w:tab w:val="num" w:pos="720"/>
        </w:tabs>
        <w:spacing w:after="120" w:line="252" w:lineRule="auto"/>
        <w:ind w:firstLine="720"/>
        <w:jc w:val="both"/>
      </w:pPr>
      <w:r w:rsidRPr="00294018">
        <w:rPr>
          <w:i/>
          <w:iCs/>
        </w:rPr>
        <w:t xml:space="preserve">Regarding elite sport, </w:t>
      </w:r>
      <w:r w:rsidRPr="00294018">
        <w:rPr>
          <w:bCs/>
          <w:iCs/>
        </w:rPr>
        <w:t>in May, sporting activities were held actively and achieved several notable accomplishments, including: the Viet Nam U17 national football team qualified for the FIFA U-17 World Cup Qatar 2026, which will be held in Qatar from November 19</w:t>
      </w:r>
      <w:r w:rsidRPr="00294018">
        <w:rPr>
          <w:bCs/>
          <w:iCs/>
          <w:vertAlign w:val="superscript"/>
        </w:rPr>
        <w:t>th</w:t>
      </w:r>
      <w:r w:rsidRPr="00294018">
        <w:rPr>
          <w:bCs/>
          <w:iCs/>
        </w:rPr>
        <w:t xml:space="preserve"> to December 13</w:t>
      </w:r>
      <w:r w:rsidRPr="00294018">
        <w:rPr>
          <w:bCs/>
          <w:iCs/>
          <w:vertAlign w:val="superscript"/>
        </w:rPr>
        <w:t>th</w:t>
      </w:r>
      <w:r w:rsidRPr="00294018">
        <w:rPr>
          <w:bCs/>
          <w:iCs/>
        </w:rPr>
        <w:t>, 2026; the Viet Nam national Judo team secured first place overall at the 2026 Southeast Asian Judo Championships, held in Bac Ninh from May 19</w:t>
      </w:r>
      <w:r w:rsidRPr="00294018">
        <w:rPr>
          <w:bCs/>
          <w:iCs/>
          <w:vertAlign w:val="superscript"/>
        </w:rPr>
        <w:t>th</w:t>
      </w:r>
      <w:r w:rsidRPr="00294018">
        <w:rPr>
          <w:bCs/>
          <w:iCs/>
        </w:rPr>
        <w:t xml:space="preserve"> to May 24</w:t>
      </w:r>
      <w:r w:rsidRPr="00294018">
        <w:rPr>
          <w:bCs/>
          <w:iCs/>
          <w:vertAlign w:val="superscript"/>
        </w:rPr>
        <w:t>th</w:t>
      </w:r>
      <w:r w:rsidRPr="00294018">
        <w:rPr>
          <w:bCs/>
          <w:iCs/>
        </w:rPr>
        <w:t>, 2026; the national Taekwondo team earned qualification for the Asian Games (ASIAD 20), to be held in Japan from September 19</w:t>
      </w:r>
      <w:r w:rsidRPr="00294018">
        <w:rPr>
          <w:bCs/>
          <w:iCs/>
          <w:vertAlign w:val="superscript"/>
        </w:rPr>
        <w:t>th</w:t>
      </w:r>
      <w:r w:rsidRPr="00294018">
        <w:rPr>
          <w:bCs/>
          <w:iCs/>
        </w:rPr>
        <w:t xml:space="preserve"> to October 4</w:t>
      </w:r>
      <w:r w:rsidRPr="00294018">
        <w:rPr>
          <w:bCs/>
          <w:iCs/>
          <w:vertAlign w:val="superscript"/>
        </w:rPr>
        <w:t>th</w:t>
      </w:r>
      <w:r w:rsidRPr="00294018">
        <w:rPr>
          <w:bCs/>
          <w:iCs/>
        </w:rPr>
        <w:t>, 2026; the 2026 National Club Weightlifting Championships were held in Ninh Binh from May 16</w:t>
      </w:r>
      <w:r w:rsidRPr="00294018">
        <w:rPr>
          <w:bCs/>
          <w:iCs/>
          <w:vertAlign w:val="superscript"/>
        </w:rPr>
        <w:t>th</w:t>
      </w:r>
      <w:r w:rsidRPr="00294018">
        <w:rPr>
          <w:bCs/>
          <w:iCs/>
        </w:rPr>
        <w:t xml:space="preserve"> to May 24</w:t>
      </w:r>
      <w:r w:rsidRPr="00294018">
        <w:rPr>
          <w:bCs/>
          <w:iCs/>
          <w:vertAlign w:val="superscript"/>
        </w:rPr>
        <w:t>th</w:t>
      </w:r>
      <w:r w:rsidRPr="00294018">
        <w:rPr>
          <w:bCs/>
          <w:iCs/>
        </w:rPr>
        <w:t>, 2026; the 2026 National Age Group Swimming and Diving Championships were held in Dong Thap from May 20</w:t>
      </w:r>
      <w:r w:rsidRPr="00294018">
        <w:rPr>
          <w:bCs/>
          <w:iCs/>
          <w:vertAlign w:val="superscript"/>
        </w:rPr>
        <w:t>th</w:t>
      </w:r>
      <w:r w:rsidRPr="00294018">
        <w:rPr>
          <w:bCs/>
          <w:iCs/>
        </w:rPr>
        <w:t xml:space="preserve"> to May 30</w:t>
      </w:r>
      <w:r w:rsidRPr="00294018">
        <w:rPr>
          <w:bCs/>
          <w:iCs/>
          <w:vertAlign w:val="superscript"/>
        </w:rPr>
        <w:t>th</w:t>
      </w:r>
      <w:r w:rsidRPr="00294018">
        <w:rPr>
          <w:bCs/>
          <w:iCs/>
        </w:rPr>
        <w:t>, 2026; and the National Beach Volleyball Championship 2x2 was held in Da Nang from May 1</w:t>
      </w:r>
      <w:r w:rsidRPr="00294018">
        <w:rPr>
          <w:bCs/>
          <w:iCs/>
          <w:vertAlign w:val="superscript"/>
        </w:rPr>
        <w:t>st</w:t>
      </w:r>
      <w:r w:rsidRPr="00294018">
        <w:rPr>
          <w:bCs/>
          <w:iCs/>
        </w:rPr>
        <w:t xml:space="preserve"> to May 9</w:t>
      </w:r>
      <w:r w:rsidRPr="00294018">
        <w:rPr>
          <w:bCs/>
          <w:iCs/>
          <w:vertAlign w:val="superscript"/>
        </w:rPr>
        <w:t>th</w:t>
      </w:r>
      <w:r w:rsidRPr="00294018">
        <w:rPr>
          <w:bCs/>
          <w:iCs/>
        </w:rPr>
        <w:t>, 2026, etc.</w:t>
      </w:r>
    </w:p>
    <w:p w14:paraId="4D5100BC" w14:textId="77777777" w:rsidR="003F393F" w:rsidRPr="00294018" w:rsidRDefault="003F393F" w:rsidP="003F393F">
      <w:pPr>
        <w:spacing w:after="120" w:line="252" w:lineRule="auto"/>
        <w:ind w:firstLine="720"/>
        <w:jc w:val="both"/>
        <w:outlineLvl w:val="0"/>
        <w:rPr>
          <w:spacing w:val="-2"/>
        </w:rPr>
      </w:pPr>
      <w:r w:rsidRPr="00294018">
        <w:rPr>
          <w:bCs/>
          <w:i/>
        </w:rPr>
        <w:t xml:space="preserve">Regarding mass </w:t>
      </w:r>
      <w:r w:rsidRPr="00294018">
        <w:rPr>
          <w:bCs/>
          <w:i/>
          <w:iCs/>
        </w:rPr>
        <w:t xml:space="preserve">sport, </w:t>
      </w:r>
      <w:r w:rsidRPr="00294018">
        <w:rPr>
          <w:bCs/>
          <w:iCs/>
        </w:rPr>
        <w:t>in May, numerous dynamic sports activities took place nationwide</w:t>
      </w:r>
      <w:r w:rsidRPr="00294018">
        <w:t>, creating a dynamic atmosphere of physical training and sporting activities ranging from schools to semi-professional competitions. A highlight of the month was the opening of the National 7-a-Side Football Championship, scheduled to take place</w:t>
      </w:r>
      <w:r w:rsidRPr="00294018">
        <w:rPr>
          <w:b/>
          <w:bCs/>
        </w:rPr>
        <w:t xml:space="preserve"> </w:t>
      </w:r>
      <w:r w:rsidRPr="00294018">
        <w:t>from May to July 2026. In addition to traditional sports such as badminton, Chinese chess, and air volleyball, the rapidly growing sport of Pickleball was officially included by many localities in their summer grassroots sports programmes and competitions. Notably, in commemoration of the birthday of President Ho Chi Minh (May 19</w:t>
      </w:r>
      <w:r w:rsidRPr="00294018">
        <w:rPr>
          <w:vertAlign w:val="superscript"/>
        </w:rPr>
        <w:t>th</w:t>
      </w:r>
      <w:r w:rsidRPr="00294018">
        <w:t xml:space="preserve">) and in response to the Month of Action for Children, many provinces and cities </w:t>
      </w:r>
      <w:r w:rsidRPr="00294018">
        <w:lastRenderedPageBreak/>
        <w:t>organized provincial-level school sports tournaments while launching nationwide swimming campaigns and drowning prevention initiatives for children. Furthermore, sporting events with significant social and humanitarian value, such as the National Championships for Athletics and Weightlifting for Persons with Disabilities, as well as the semi-professional Lion Championship martial arts competitions, provided opportunities for participants from all walks of life to excel and helped promote the spirit of “Physical Fitness for Building and Defending the Nation” across the country.</w:t>
      </w:r>
    </w:p>
    <w:p w14:paraId="37960A08" w14:textId="77777777" w:rsidR="003F393F" w:rsidRPr="00294018" w:rsidRDefault="003F393F" w:rsidP="003F393F">
      <w:pPr>
        <w:spacing w:after="120" w:line="252" w:lineRule="auto"/>
        <w:ind w:firstLine="720"/>
        <w:jc w:val="both"/>
        <w:outlineLvl w:val="0"/>
        <w:rPr>
          <w:b/>
          <w:i/>
        </w:rPr>
      </w:pPr>
      <w:r w:rsidRPr="00294018">
        <w:rPr>
          <w:b/>
          <w:i/>
        </w:rPr>
        <w:t xml:space="preserve">đ) </w:t>
      </w:r>
      <w:r w:rsidRPr="00294018">
        <w:rPr>
          <w:rFonts w:eastAsia="Calibri"/>
          <w:b/>
          <w:i/>
        </w:rPr>
        <w:t>Traffic accidents</w:t>
      </w:r>
      <w:r w:rsidRPr="00294018">
        <w:rPr>
          <w:b/>
          <w:bCs/>
          <w:iCs/>
          <w:vertAlign w:val="superscript"/>
        </w:rPr>
        <w:footnoteReference w:id="37"/>
      </w:r>
    </w:p>
    <w:p w14:paraId="120BB7AA" w14:textId="77777777" w:rsidR="003F393F" w:rsidRPr="00294018" w:rsidRDefault="003F393F" w:rsidP="003F393F">
      <w:pPr>
        <w:spacing w:after="160" w:line="254" w:lineRule="auto"/>
        <w:ind w:firstLine="720"/>
        <w:jc w:val="both"/>
        <w:rPr>
          <w:rFonts w:eastAsia="Calibri"/>
        </w:rPr>
      </w:pPr>
      <w:r w:rsidRPr="00294018">
        <w:rPr>
          <w:rFonts w:eastAsia="Calibri"/>
        </w:rPr>
        <w:t xml:space="preserve">In May (from </w:t>
      </w:r>
      <w:r w:rsidRPr="00294018">
        <w:t>April</w:t>
      </w:r>
      <w:r w:rsidRPr="00294018">
        <w:rPr>
          <w:rFonts w:eastAsia="Calibri"/>
        </w:rPr>
        <w:t xml:space="preserve"> 15</w:t>
      </w:r>
      <w:r w:rsidRPr="00294018">
        <w:rPr>
          <w:rFonts w:eastAsia="Calibri"/>
          <w:vertAlign w:val="superscript"/>
        </w:rPr>
        <w:t>th</w:t>
      </w:r>
      <w:r w:rsidRPr="00294018">
        <w:rPr>
          <w:rFonts w:eastAsia="Calibri"/>
        </w:rPr>
        <w:t xml:space="preserve"> to </w:t>
      </w:r>
      <w:r w:rsidRPr="00294018">
        <w:t>May</w:t>
      </w:r>
      <w:r w:rsidRPr="00294018">
        <w:rPr>
          <w:rFonts w:eastAsia="Calibri"/>
        </w:rPr>
        <w:t xml:space="preserve"> 14</w:t>
      </w:r>
      <w:r w:rsidRPr="00294018">
        <w:rPr>
          <w:rFonts w:eastAsia="Calibri"/>
          <w:vertAlign w:val="superscript"/>
        </w:rPr>
        <w:t>th</w:t>
      </w:r>
      <w:r w:rsidRPr="00294018">
        <w:rPr>
          <w:rFonts w:eastAsia="Calibri"/>
        </w:rPr>
        <w:t xml:space="preserve">, 2026), there were </w:t>
      </w:r>
      <w:r w:rsidRPr="00294018">
        <w:t xml:space="preserve">1,204 </w:t>
      </w:r>
      <w:r w:rsidRPr="00294018">
        <w:rPr>
          <w:rFonts w:eastAsia="Calibri"/>
        </w:rPr>
        <w:t xml:space="preserve">traffic accidents nationwide, causing </w:t>
      </w:r>
      <w:r w:rsidRPr="00294018">
        <w:t>787</w:t>
      </w:r>
      <w:r w:rsidRPr="00294018">
        <w:rPr>
          <w:rFonts w:eastAsia="Calibri"/>
        </w:rPr>
        <w:t xml:space="preserve"> deaths and </w:t>
      </w:r>
      <w:r w:rsidRPr="00294018">
        <w:t>644</w:t>
      </w:r>
      <w:r w:rsidRPr="00294018">
        <w:rPr>
          <w:rFonts w:eastAsia="Calibri"/>
        </w:rPr>
        <w:t xml:space="preserve"> injuries. Compared to the figures of </w:t>
      </w:r>
      <w:r w:rsidRPr="00294018">
        <w:t xml:space="preserve">April </w:t>
      </w:r>
      <w:r w:rsidRPr="00294018">
        <w:rPr>
          <w:rFonts w:eastAsia="Calibri"/>
        </w:rPr>
        <w:t xml:space="preserve">2026, the number of traffic accidents and deaths saw an increase of </w:t>
      </w:r>
      <w:r w:rsidRPr="00294018">
        <w:t>0.4</w:t>
      </w:r>
      <w:r w:rsidRPr="00294018">
        <w:rPr>
          <w:rFonts w:eastAsia="Calibri"/>
        </w:rPr>
        <w:t xml:space="preserve">% and </w:t>
      </w:r>
      <w:r w:rsidRPr="00294018">
        <w:t>4.4</w:t>
      </w:r>
      <w:r w:rsidRPr="00294018">
        <w:rPr>
          <w:rFonts w:eastAsia="Calibri"/>
        </w:rPr>
        <w:t xml:space="preserve">%, respectively and the number of injuries experienced a decrease of </w:t>
      </w:r>
      <w:r w:rsidRPr="00294018">
        <w:t>5.6</w:t>
      </w:r>
      <w:r w:rsidRPr="00294018">
        <w:rPr>
          <w:rFonts w:eastAsia="Calibri"/>
        </w:rPr>
        <w:t xml:space="preserve">%. Compared to the figures of the same period in 2025, the number of accidents, deaths, and injuries decreased by </w:t>
      </w:r>
      <w:r w:rsidRPr="00294018">
        <w:t>22.9</w:t>
      </w:r>
      <w:r w:rsidRPr="00294018">
        <w:rPr>
          <w:rFonts w:eastAsia="Calibri"/>
        </w:rPr>
        <w:t xml:space="preserve">%, </w:t>
      </w:r>
      <w:r w:rsidRPr="00294018">
        <w:t>11.7</w:t>
      </w:r>
      <w:r w:rsidRPr="00294018">
        <w:rPr>
          <w:rFonts w:eastAsia="Calibri"/>
        </w:rPr>
        <w:t xml:space="preserve">%, </w:t>
      </w:r>
      <w:r w:rsidRPr="00294018">
        <w:t>39.8</w:t>
      </w:r>
      <w:r w:rsidRPr="00294018">
        <w:rPr>
          <w:rFonts w:eastAsia="Calibri"/>
        </w:rPr>
        <w:t xml:space="preserve">%, respectively.  </w:t>
      </w:r>
    </w:p>
    <w:p w14:paraId="6691B7AB" w14:textId="77777777" w:rsidR="003F393F" w:rsidRPr="00294018" w:rsidRDefault="003F393F" w:rsidP="003F393F">
      <w:pPr>
        <w:tabs>
          <w:tab w:val="left" w:pos="426"/>
          <w:tab w:val="left" w:pos="900"/>
        </w:tabs>
        <w:spacing w:after="120" w:line="264" w:lineRule="auto"/>
        <w:ind w:firstLine="720"/>
        <w:jc w:val="both"/>
        <w:rPr>
          <w:rFonts w:eastAsia="Calibri"/>
          <w:shd w:val="clear" w:color="auto" w:fill="FFFFFF"/>
        </w:rPr>
      </w:pPr>
      <w:r w:rsidRPr="00294018">
        <w:rPr>
          <w:rFonts w:eastAsia="Calibri"/>
        </w:rPr>
        <w:t xml:space="preserve">Overall, in the </w:t>
      </w:r>
      <w:r w:rsidRPr="00294018">
        <w:t>five</w:t>
      </w:r>
      <w:r w:rsidRPr="00294018">
        <w:rPr>
          <w:rFonts w:eastAsia="Calibri"/>
        </w:rPr>
        <w:t xml:space="preserve"> months of 2026, there were </w:t>
      </w:r>
      <w:r w:rsidRPr="00294018">
        <w:t xml:space="preserve">6,482 </w:t>
      </w:r>
      <w:r w:rsidRPr="00294018">
        <w:rPr>
          <w:rFonts w:eastAsia="Calibri"/>
        </w:rPr>
        <w:t xml:space="preserve">traffic accidents nationwide, causing </w:t>
      </w:r>
      <w:r w:rsidRPr="00294018">
        <w:t xml:space="preserve">4,046 </w:t>
      </w:r>
      <w:r w:rsidRPr="00294018">
        <w:rPr>
          <w:rFonts w:eastAsia="Calibri"/>
        </w:rPr>
        <w:t xml:space="preserve">deaths and </w:t>
      </w:r>
      <w:r w:rsidRPr="00294018">
        <w:t xml:space="preserve">3,762 </w:t>
      </w:r>
      <w:r w:rsidRPr="00294018">
        <w:rPr>
          <w:rFonts w:eastAsia="Calibri"/>
        </w:rPr>
        <w:t xml:space="preserve">injuries. Compared to the figures of the same period last year, the number of traffic accidents cases, deaths, and injuries decreased by </w:t>
      </w:r>
      <w:r w:rsidRPr="00294018">
        <w:t>18.1</w:t>
      </w:r>
      <w:r w:rsidRPr="00294018">
        <w:rPr>
          <w:rFonts w:eastAsia="Calibri"/>
        </w:rPr>
        <w:t xml:space="preserve">%, </w:t>
      </w:r>
      <w:r w:rsidRPr="00294018">
        <w:t>8.6</w:t>
      </w:r>
      <w:r w:rsidRPr="00294018">
        <w:rPr>
          <w:rFonts w:eastAsia="Calibri"/>
        </w:rPr>
        <w:t xml:space="preserve">%, and </w:t>
      </w:r>
      <w:r w:rsidRPr="00294018">
        <w:t>28.9</w:t>
      </w:r>
      <w:r w:rsidRPr="00294018">
        <w:rPr>
          <w:rFonts w:eastAsia="Calibri"/>
        </w:rPr>
        <w:t xml:space="preserve">%, respectively. On average, in the </w:t>
      </w:r>
      <w:r w:rsidRPr="00294018">
        <w:t>five</w:t>
      </w:r>
      <w:r w:rsidRPr="00294018">
        <w:rPr>
          <w:rFonts w:eastAsia="Calibri"/>
        </w:rPr>
        <w:t xml:space="preserve"> months of 2026, there were </w:t>
      </w:r>
      <w:r w:rsidRPr="00294018">
        <w:t>43</w:t>
      </w:r>
      <w:r w:rsidRPr="00294018">
        <w:rPr>
          <w:rFonts w:eastAsia="Calibri"/>
        </w:rPr>
        <w:t xml:space="preserve"> traffic accidents occurred a day, causing </w:t>
      </w:r>
      <w:r w:rsidRPr="00294018">
        <w:t>27</w:t>
      </w:r>
      <w:r w:rsidRPr="00294018">
        <w:rPr>
          <w:rFonts w:eastAsia="Calibri"/>
        </w:rPr>
        <w:t xml:space="preserve"> deaths and </w:t>
      </w:r>
      <w:r w:rsidRPr="00294018">
        <w:t>25</w:t>
      </w:r>
      <w:r w:rsidRPr="00294018">
        <w:rPr>
          <w:rFonts w:eastAsia="Calibri"/>
        </w:rPr>
        <w:t xml:space="preserve"> injuries.</w:t>
      </w:r>
    </w:p>
    <w:p w14:paraId="7F3FFCD3" w14:textId="77777777" w:rsidR="003F393F" w:rsidRPr="00294018" w:rsidRDefault="003F393F" w:rsidP="003F393F">
      <w:pPr>
        <w:pStyle w:val="Normal11"/>
        <w:spacing w:before="0" w:beforeAutospacing="0" w:after="120" w:afterAutospacing="0" w:line="252" w:lineRule="auto"/>
        <w:ind w:firstLine="720"/>
        <w:jc w:val="both"/>
        <w:rPr>
          <w:rFonts w:ascii="Times New Roman" w:hAnsi="Times New Roman" w:cs="Times New Roman"/>
          <w:b/>
          <w:i/>
          <w:sz w:val="28"/>
          <w:szCs w:val="28"/>
        </w:rPr>
      </w:pPr>
      <w:r w:rsidRPr="00294018">
        <w:rPr>
          <w:rFonts w:ascii="Times New Roman" w:hAnsi="Times New Roman" w:cs="Times New Roman"/>
          <w:b/>
          <w:i/>
          <w:sz w:val="28"/>
          <w:szCs w:val="28"/>
        </w:rPr>
        <w:t>e) Disaster-induced loss</w:t>
      </w:r>
      <w:r w:rsidRPr="00294018">
        <w:rPr>
          <w:rStyle w:val="FootnoteReference"/>
          <w:rFonts w:ascii="Times New Roman" w:eastAsia="Calibri" w:hAnsi="Times New Roman" w:cs="Times New Roman"/>
          <w:b/>
          <w:bCs/>
          <w:i/>
          <w:sz w:val="28"/>
          <w:szCs w:val="28"/>
        </w:rPr>
        <w:footnoteReference w:id="38"/>
      </w:r>
    </w:p>
    <w:p w14:paraId="54D32575" w14:textId="7C435FC8" w:rsidR="003F393F" w:rsidRPr="00294018" w:rsidRDefault="003F393F" w:rsidP="003F393F">
      <w:pPr>
        <w:pStyle w:val="Normal11"/>
        <w:spacing w:before="0" w:beforeAutospacing="0" w:after="120" w:afterAutospacing="0" w:line="264" w:lineRule="auto"/>
        <w:ind w:firstLine="720"/>
        <w:jc w:val="both"/>
        <w:rPr>
          <w:rFonts w:ascii="Times New Roman" w:hAnsi="Times New Roman" w:cs="Times New Roman"/>
          <w:sz w:val="28"/>
          <w:szCs w:val="28"/>
        </w:rPr>
      </w:pPr>
      <w:r w:rsidRPr="00294018">
        <w:rPr>
          <w:rFonts w:ascii="Times New Roman" w:hAnsi="Times New Roman" w:cs="Times New Roman"/>
          <w:sz w:val="28"/>
          <w:szCs w:val="28"/>
        </w:rPr>
        <w:t xml:space="preserve">Damage caused by natural disasters in </w:t>
      </w:r>
      <w:r w:rsidRPr="00294018">
        <w:rPr>
          <w:rFonts w:ascii="Times New Roman" w:eastAsia="Calibri" w:hAnsi="Times New Roman" w:cs="Times New Roman"/>
          <w:sz w:val="28"/>
          <w:szCs w:val="28"/>
        </w:rPr>
        <w:t>May</w:t>
      </w:r>
      <w:r w:rsidRPr="00294018">
        <w:rPr>
          <w:rFonts w:ascii="Times New Roman" w:hAnsi="Times New Roman" w:cs="Times New Roman"/>
          <w:sz w:val="28"/>
          <w:szCs w:val="28"/>
        </w:rPr>
        <w:t xml:space="preserve"> was mainly due to the impacts of heavy rain, whirlwinds, and thunderstorms with lightning, which made 12 persons died or missing and 24 others injured; damaged more than </w:t>
      </w:r>
      <w:r w:rsidRPr="00294018">
        <w:rPr>
          <w:rFonts w:ascii="Times New Roman" w:eastAsia="Calibri" w:hAnsi="Times New Roman" w:cs="Times New Roman"/>
          <w:sz w:val="28"/>
          <w:szCs w:val="28"/>
        </w:rPr>
        <w:t>24.7</w:t>
      </w:r>
      <w:r w:rsidRPr="00294018">
        <w:rPr>
          <w:rFonts w:ascii="Times New Roman" w:hAnsi="Times New Roman" w:cs="Times New Roman"/>
          <w:sz w:val="28"/>
          <w:szCs w:val="28"/>
        </w:rPr>
        <w:t xml:space="preserve"> thousand hectares of rice and other crops; collapsed, swept away, or damaged </w:t>
      </w:r>
      <w:r w:rsidR="0021361B" w:rsidRPr="00294018">
        <w:rPr>
          <w:rFonts w:ascii="Times New Roman" w:hAnsi="Times New Roman" w:cs="Times New Roman"/>
          <w:sz w:val="28"/>
          <w:szCs w:val="28"/>
        </w:rPr>
        <w:t>2346 houses</w:t>
      </w:r>
      <w:r w:rsidRPr="00294018">
        <w:rPr>
          <w:rFonts w:ascii="Times New Roman" w:hAnsi="Times New Roman" w:cs="Times New Roman"/>
          <w:sz w:val="28"/>
          <w:szCs w:val="28"/>
        </w:rPr>
        <w:t xml:space="preserve">; total property losses caused by natural disasters during the month amounted to 342.4 billion VND, experiencing a year-on-year increase of 19.2%. Overall, in the five months of 2026, natural disasters made </w:t>
      </w:r>
      <w:r w:rsidRPr="00294018">
        <w:rPr>
          <w:rFonts w:ascii="Times New Roman" w:eastAsia="Calibri" w:hAnsi="Times New Roman" w:cs="Times New Roman"/>
          <w:sz w:val="28"/>
          <w:szCs w:val="28"/>
        </w:rPr>
        <w:t>18</w:t>
      </w:r>
      <w:r w:rsidRPr="00294018">
        <w:rPr>
          <w:rFonts w:ascii="Times New Roman" w:hAnsi="Times New Roman" w:cs="Times New Roman"/>
          <w:sz w:val="28"/>
          <w:szCs w:val="28"/>
        </w:rPr>
        <w:t xml:space="preserve"> persons died or missing and 47 others injured; damaged more than </w:t>
      </w:r>
      <w:r w:rsidRPr="00294018">
        <w:rPr>
          <w:rFonts w:ascii="Times New Roman" w:eastAsia="Calibri" w:hAnsi="Times New Roman" w:cs="Times New Roman"/>
          <w:sz w:val="28"/>
          <w:szCs w:val="28"/>
        </w:rPr>
        <w:t xml:space="preserve">35.1 </w:t>
      </w:r>
      <w:r w:rsidRPr="00294018">
        <w:rPr>
          <w:rFonts w:ascii="Times New Roman" w:hAnsi="Times New Roman" w:cs="Times New Roman"/>
          <w:sz w:val="28"/>
          <w:szCs w:val="28"/>
        </w:rPr>
        <w:t xml:space="preserve">thousand hectares of rice and other crops; destroyed, swept away, or damaged 6,115 houses. Total property losses caused by natural disasters were estimated at </w:t>
      </w:r>
      <w:r w:rsidRPr="00294018">
        <w:rPr>
          <w:rFonts w:ascii="Times New Roman" w:eastAsia="Calibri" w:hAnsi="Times New Roman" w:cs="Times New Roman"/>
          <w:sz w:val="28"/>
          <w:szCs w:val="28"/>
        </w:rPr>
        <w:t xml:space="preserve">924.1 </w:t>
      </w:r>
      <w:r w:rsidRPr="00294018">
        <w:rPr>
          <w:rFonts w:ascii="Times New Roman" w:hAnsi="Times New Roman" w:cs="Times New Roman"/>
          <w:sz w:val="28"/>
          <w:szCs w:val="28"/>
        </w:rPr>
        <w:t xml:space="preserve">billion VND, </w:t>
      </w:r>
      <w:r w:rsidRPr="00294018">
        <w:rPr>
          <w:rFonts w:ascii="Times New Roman" w:eastAsia="Calibri" w:hAnsi="Times New Roman" w:cs="Times New Roman"/>
          <w:sz w:val="28"/>
          <w:szCs w:val="28"/>
        </w:rPr>
        <w:t>nearly 2.2 times higher than the same period in 2025</w:t>
      </w:r>
      <w:r w:rsidRPr="00294018">
        <w:rPr>
          <w:rFonts w:ascii="Times New Roman" w:hAnsi="Times New Roman" w:cs="Times New Roman"/>
          <w:sz w:val="28"/>
          <w:szCs w:val="28"/>
        </w:rPr>
        <w:t>.</w:t>
      </w:r>
    </w:p>
    <w:p w14:paraId="4350EE9E" w14:textId="77777777" w:rsidR="003F393F" w:rsidRPr="00294018" w:rsidRDefault="003F393F" w:rsidP="003F393F">
      <w:pPr>
        <w:tabs>
          <w:tab w:val="left" w:pos="426"/>
          <w:tab w:val="left" w:pos="900"/>
        </w:tabs>
        <w:spacing w:after="120" w:line="252" w:lineRule="auto"/>
        <w:ind w:firstLine="720"/>
        <w:jc w:val="both"/>
        <w:rPr>
          <w:rFonts w:eastAsia="Calibri"/>
          <w:b/>
          <w:i/>
        </w:rPr>
      </w:pPr>
      <w:r w:rsidRPr="00294018">
        <w:rPr>
          <w:rFonts w:eastAsia="Calibri"/>
          <w:b/>
          <w:i/>
        </w:rPr>
        <w:t>g)</w:t>
      </w:r>
      <w:r w:rsidRPr="00294018">
        <w:rPr>
          <w:b/>
          <w:i/>
        </w:rPr>
        <w:t xml:space="preserve"> Environmental protection and fire and explosion prevention </w:t>
      </w:r>
    </w:p>
    <w:p w14:paraId="12DEF992" w14:textId="77777777" w:rsidR="003F393F" w:rsidRPr="00294018" w:rsidRDefault="003F393F" w:rsidP="003F393F">
      <w:pPr>
        <w:tabs>
          <w:tab w:val="left" w:pos="426"/>
          <w:tab w:val="left" w:pos="900"/>
        </w:tabs>
        <w:spacing w:after="120" w:line="264" w:lineRule="auto"/>
        <w:ind w:firstLine="720"/>
        <w:jc w:val="both"/>
        <w:rPr>
          <w:rFonts w:eastAsia="Calibri"/>
        </w:rPr>
      </w:pPr>
      <w:r w:rsidRPr="00294018">
        <w:rPr>
          <w:rFonts w:eastAsia="Calibri"/>
        </w:rPr>
        <w:lastRenderedPageBreak/>
        <w:t>In May (from April 26</w:t>
      </w:r>
      <w:r w:rsidRPr="00294018">
        <w:rPr>
          <w:rFonts w:eastAsia="Calibri"/>
          <w:vertAlign w:val="superscript"/>
        </w:rPr>
        <w:t>th</w:t>
      </w:r>
      <w:r w:rsidRPr="00294018">
        <w:rPr>
          <w:rFonts w:eastAsia="Calibri"/>
        </w:rPr>
        <w:t xml:space="preserve"> to May 23</w:t>
      </w:r>
      <w:r w:rsidRPr="00294018">
        <w:rPr>
          <w:rFonts w:eastAsia="Calibri"/>
          <w:vertAlign w:val="superscript"/>
        </w:rPr>
        <w:t>rd</w:t>
      </w:r>
      <w:r w:rsidRPr="00294018">
        <w:rPr>
          <w:rFonts w:eastAsia="Calibri"/>
        </w:rPr>
        <w:t>, 2026)</w:t>
      </w:r>
      <w:r w:rsidRPr="00294018">
        <w:rPr>
          <w:rStyle w:val="FootnoteReference"/>
          <w:rFonts w:eastAsia="Calibri"/>
        </w:rPr>
        <w:footnoteReference w:id="39"/>
      </w:r>
      <w:r w:rsidRPr="00294018">
        <w:rPr>
          <w:rFonts w:eastAsia="Calibri"/>
        </w:rPr>
        <w:t xml:space="preserve">, authorities detected 1,154 environmental violations in </w:t>
      </w:r>
      <w:r w:rsidRPr="00294018">
        <w:t>29</w:t>
      </w:r>
      <w:r w:rsidRPr="00294018">
        <w:rPr>
          <w:rFonts w:eastAsia="Calibri"/>
        </w:rPr>
        <w:t xml:space="preserve"> out of 34 localities</w:t>
      </w:r>
      <w:r w:rsidRPr="00294018">
        <w:rPr>
          <w:rStyle w:val="FootnoteReference"/>
        </w:rPr>
        <w:footnoteReference w:id="40"/>
      </w:r>
      <w:r w:rsidRPr="00294018">
        <w:rPr>
          <w:rFonts w:eastAsia="Calibri"/>
        </w:rPr>
        <w:t xml:space="preserve">, of which, 895 cases were addressed with a total fine of </w:t>
      </w:r>
      <w:r w:rsidRPr="00294018">
        <w:rPr>
          <w:snapToGrid w:val="0"/>
        </w:rPr>
        <w:t xml:space="preserve">20.1 </w:t>
      </w:r>
      <w:r w:rsidRPr="00294018">
        <w:rPr>
          <w:rFonts w:eastAsia="Calibri"/>
        </w:rPr>
        <w:t>billion VND, gaining a month-on-month decrease of 4.9% and a year-on-year rise of 23.3%. Overall, in the five months of 2026, the authorities detected 7,597 cases of environmental violations, of which, 6,528 cases were addressed with a total fine of nearly 128.9 billion VND, recording a year-on-year increase of 29.7%.</w:t>
      </w:r>
    </w:p>
    <w:p w14:paraId="0F19052C" w14:textId="77777777" w:rsidR="003F393F" w:rsidRPr="00294018" w:rsidRDefault="003F393F" w:rsidP="003F393F">
      <w:pPr>
        <w:tabs>
          <w:tab w:val="left" w:pos="426"/>
          <w:tab w:val="left" w:pos="900"/>
        </w:tabs>
        <w:spacing w:after="120" w:line="264" w:lineRule="auto"/>
        <w:ind w:firstLine="720"/>
        <w:jc w:val="both"/>
        <w:rPr>
          <w:rFonts w:eastAsia="Calibri"/>
        </w:rPr>
      </w:pPr>
      <w:r w:rsidRPr="00294018">
        <w:rPr>
          <w:rFonts w:eastAsia="Calibri"/>
        </w:rPr>
        <w:t>During the month (from April 15</w:t>
      </w:r>
      <w:r w:rsidRPr="00294018">
        <w:rPr>
          <w:rFonts w:eastAsia="Calibri"/>
          <w:vertAlign w:val="superscript"/>
        </w:rPr>
        <w:t>th</w:t>
      </w:r>
      <w:r w:rsidRPr="00294018">
        <w:rPr>
          <w:rFonts w:eastAsia="Calibri"/>
        </w:rPr>
        <w:t xml:space="preserve"> to May 14</w:t>
      </w:r>
      <w:r w:rsidRPr="00294018">
        <w:rPr>
          <w:rFonts w:eastAsia="Calibri"/>
          <w:vertAlign w:val="superscript"/>
        </w:rPr>
        <w:t>th</w:t>
      </w:r>
      <w:r w:rsidRPr="00294018">
        <w:rPr>
          <w:rFonts w:eastAsia="Calibri"/>
        </w:rPr>
        <w:t>, 2026)</w:t>
      </w:r>
      <w:r w:rsidRPr="00294018">
        <w:rPr>
          <w:rStyle w:val="FootnoteReference"/>
          <w:rFonts w:eastAsia="Calibri"/>
          <w:spacing w:val="2"/>
        </w:rPr>
        <w:footnoteReference w:id="41"/>
      </w:r>
      <w:r w:rsidRPr="00294018">
        <w:rPr>
          <w:rFonts w:eastAsia="Calibri"/>
        </w:rPr>
        <w:t xml:space="preserve">, </w:t>
      </w:r>
      <w:r w:rsidRPr="00294018">
        <w:rPr>
          <w:rFonts w:eastAsia="Calibri"/>
          <w:spacing w:val="2"/>
        </w:rPr>
        <w:t>239</w:t>
      </w:r>
      <w:r w:rsidRPr="00294018">
        <w:rPr>
          <w:rFonts w:eastAsia="Calibri"/>
        </w:rPr>
        <w:t xml:space="preserve"> cases of fire and explosion occurred nationwide, causing </w:t>
      </w:r>
      <w:r w:rsidRPr="00294018">
        <w:rPr>
          <w:rFonts w:eastAsia="Calibri"/>
          <w:spacing w:val="2"/>
        </w:rPr>
        <w:t>9</w:t>
      </w:r>
      <w:r w:rsidRPr="00294018">
        <w:rPr>
          <w:rFonts w:eastAsia="Calibri"/>
        </w:rPr>
        <w:t xml:space="preserve"> deaths and </w:t>
      </w:r>
      <w:r w:rsidRPr="00294018">
        <w:rPr>
          <w:rFonts w:eastAsia="Calibri"/>
          <w:spacing w:val="2"/>
        </w:rPr>
        <w:t>12</w:t>
      </w:r>
      <w:r w:rsidRPr="00294018">
        <w:rPr>
          <w:rFonts w:eastAsia="Calibri"/>
        </w:rPr>
        <w:t xml:space="preserve"> injuries, with an estimated loss of </w:t>
      </w:r>
      <w:r w:rsidRPr="00294018">
        <w:rPr>
          <w:rFonts w:eastAsia="Calibri"/>
          <w:spacing w:val="2"/>
        </w:rPr>
        <w:t xml:space="preserve">67.2 </w:t>
      </w:r>
      <w:r w:rsidRPr="00294018">
        <w:rPr>
          <w:rFonts w:eastAsia="Calibri"/>
        </w:rPr>
        <w:t xml:space="preserve">billion VND, experiencing a month-on-month increase of </w:t>
      </w:r>
      <w:r w:rsidRPr="00294018">
        <w:rPr>
          <w:rFonts w:eastAsia="Calibri"/>
          <w:spacing w:val="2"/>
        </w:rPr>
        <w:t>55.8</w:t>
      </w:r>
      <w:r w:rsidRPr="00294018">
        <w:rPr>
          <w:rFonts w:eastAsia="Calibri"/>
        </w:rPr>
        <w:t xml:space="preserve">%, nearly </w:t>
      </w:r>
      <w:r w:rsidRPr="00294018">
        <w:rPr>
          <w:rFonts w:eastAsia="Calibri"/>
          <w:spacing w:val="2"/>
        </w:rPr>
        <w:t>2.9</w:t>
      </w:r>
      <w:r w:rsidRPr="00294018">
        <w:rPr>
          <w:rFonts w:eastAsia="Calibri"/>
        </w:rPr>
        <w:t xml:space="preserve"> times higher than the number of the previous year. Overall, in the five months of 2026, there were </w:t>
      </w:r>
      <w:r w:rsidRPr="00294018">
        <w:rPr>
          <w:rFonts w:eastAsia="Calibri"/>
          <w:spacing w:val="2"/>
        </w:rPr>
        <w:t xml:space="preserve">1,245 </w:t>
      </w:r>
      <w:r w:rsidRPr="00294018">
        <w:rPr>
          <w:rFonts w:eastAsia="Calibri"/>
        </w:rPr>
        <w:t xml:space="preserve">cases of fire and explosion nationwide, causing </w:t>
      </w:r>
      <w:r w:rsidRPr="00294018">
        <w:rPr>
          <w:rFonts w:eastAsia="Calibri"/>
          <w:spacing w:val="2"/>
        </w:rPr>
        <w:t>50</w:t>
      </w:r>
      <w:r w:rsidRPr="00294018">
        <w:rPr>
          <w:rFonts w:eastAsia="Calibri"/>
        </w:rPr>
        <w:t xml:space="preserve"> deaths and </w:t>
      </w:r>
      <w:r w:rsidRPr="00294018">
        <w:rPr>
          <w:rFonts w:eastAsia="Calibri"/>
          <w:spacing w:val="2"/>
        </w:rPr>
        <w:t>61</w:t>
      </w:r>
      <w:r w:rsidRPr="00294018">
        <w:rPr>
          <w:rFonts w:eastAsia="Calibri"/>
        </w:rPr>
        <w:t xml:space="preserve"> injuries, with an estimated loss of </w:t>
      </w:r>
      <w:r w:rsidRPr="00294018">
        <w:rPr>
          <w:rFonts w:eastAsia="Calibri"/>
          <w:spacing w:val="2"/>
        </w:rPr>
        <w:t xml:space="preserve">347.9 </w:t>
      </w:r>
      <w:r w:rsidRPr="00294018">
        <w:rPr>
          <w:rFonts w:eastAsia="Calibri"/>
        </w:rPr>
        <w:t xml:space="preserve">billion VND, experiencing a year-on-year increase of </w:t>
      </w:r>
      <w:r w:rsidRPr="00294018">
        <w:rPr>
          <w:rFonts w:eastAsia="Calibri"/>
          <w:spacing w:val="2"/>
        </w:rPr>
        <w:t>41.5</w:t>
      </w:r>
      <w:r w:rsidRPr="00294018">
        <w:rPr>
          <w:rFonts w:eastAsia="Calibri"/>
        </w:rPr>
        <w:t>%.</w:t>
      </w:r>
    </w:p>
    <w:tbl>
      <w:tblPr>
        <w:tblStyle w:val="TableGrid1"/>
        <w:tblpPr w:leftFromText="181" w:rightFromText="181" w:vertAnchor="text" w:tblpX="1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562"/>
      </w:tblGrid>
      <w:tr w:rsidR="003F393F" w:rsidRPr="00C1173C" w14:paraId="2594877E" w14:textId="77777777" w:rsidTr="0060017F">
        <w:tc>
          <w:tcPr>
            <w:tcW w:w="4414" w:type="dxa"/>
          </w:tcPr>
          <w:p w14:paraId="4DE82620" w14:textId="77777777" w:rsidR="003F393F" w:rsidRPr="00294018" w:rsidRDefault="003F393F" w:rsidP="0060017F">
            <w:pPr>
              <w:ind w:left="-57"/>
              <w:rPr>
                <w:rFonts w:eastAsia="Calibri"/>
                <w:b/>
                <w:i/>
                <w:sz w:val="24"/>
                <w:szCs w:val="22"/>
                <w:lang w:val="en-US"/>
              </w:rPr>
            </w:pPr>
            <w:r w:rsidRPr="00294018">
              <w:rPr>
                <w:rFonts w:eastAsia="Calibri"/>
                <w:b/>
                <w:i/>
                <w:sz w:val="24"/>
                <w:szCs w:val="22"/>
                <w:lang w:val="en-US"/>
              </w:rPr>
              <w:t>Recipients:</w:t>
            </w:r>
          </w:p>
          <w:p w14:paraId="5E0B7BDB"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General Secretary;</w:t>
            </w:r>
          </w:p>
          <w:p w14:paraId="799B5F6A"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President;</w:t>
            </w:r>
          </w:p>
          <w:p w14:paraId="58A8640F"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Chairperson of the National Assembly;</w:t>
            </w:r>
          </w:p>
          <w:p w14:paraId="4F138BB5"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Prime Minister;</w:t>
            </w:r>
          </w:p>
          <w:p w14:paraId="3BE38D0D"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Deputy Prime Ministers;</w:t>
            </w:r>
          </w:p>
          <w:p w14:paraId="23A6ED96"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Leaders of Ministry of Finance;</w:t>
            </w:r>
          </w:p>
          <w:p w14:paraId="55F5605E"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Agencies under the Central Committee of the Party;</w:t>
            </w:r>
          </w:p>
          <w:p w14:paraId="417EDDED"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Office of the President;</w:t>
            </w:r>
          </w:p>
          <w:p w14:paraId="3B149687"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Agencies under the National Assembly;</w:t>
            </w:r>
          </w:p>
          <w:p w14:paraId="1FDF932F"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Ministries and Ministerial-level Agencies, Government agency;</w:t>
            </w:r>
          </w:p>
          <w:p w14:paraId="5F1E3941"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The Supreme People’s Court of the Socialist Republic of Viet Nam;</w:t>
            </w:r>
          </w:p>
          <w:p w14:paraId="258761E2"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The Supreme People's Procuracy;</w:t>
            </w:r>
          </w:p>
          <w:p w14:paraId="55C2EAD3"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Central mass organizations;</w:t>
            </w:r>
          </w:p>
          <w:p w14:paraId="31B784AF"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Provinces and centrally governed cities;</w:t>
            </w:r>
          </w:p>
          <w:p w14:paraId="6869F3DB"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Vietnam Chamber of Commerce and Industry (VCCI);</w:t>
            </w:r>
          </w:p>
          <w:p w14:paraId="43BD00EF"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Units under the Ministry of Finance;</w:t>
            </w:r>
          </w:p>
          <w:p w14:paraId="44D9ABA3"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News agencies and presses;</w:t>
            </w:r>
          </w:p>
          <w:p w14:paraId="6D9A6BBF" w14:textId="77777777" w:rsidR="003F393F" w:rsidRPr="00294018" w:rsidRDefault="003F393F" w:rsidP="0060017F">
            <w:pPr>
              <w:ind w:left="-57"/>
              <w:rPr>
                <w:rFonts w:eastAsia="Calibri"/>
                <w:sz w:val="22"/>
                <w:szCs w:val="22"/>
                <w:lang w:val="en-US"/>
              </w:rPr>
            </w:pPr>
            <w:r w:rsidRPr="00294018">
              <w:rPr>
                <w:rFonts w:eastAsia="Calibri"/>
                <w:sz w:val="22"/>
                <w:szCs w:val="22"/>
                <w:lang w:val="en-US"/>
              </w:rPr>
              <w:t>- Units under the National Statistics Office;</w:t>
            </w:r>
          </w:p>
          <w:p w14:paraId="58246EEE" w14:textId="77777777" w:rsidR="003F393F" w:rsidRPr="00294018" w:rsidRDefault="003F393F" w:rsidP="0060017F">
            <w:pPr>
              <w:ind w:left="-57"/>
              <w:rPr>
                <w:rFonts w:eastAsia="Calibri"/>
                <w:b/>
                <w:i/>
                <w:sz w:val="24"/>
                <w:szCs w:val="22"/>
                <w:lang w:val="en-US"/>
              </w:rPr>
            </w:pPr>
            <w:r w:rsidRPr="00294018">
              <w:rPr>
                <w:rFonts w:eastAsia="Calibri"/>
                <w:sz w:val="22"/>
                <w:szCs w:val="22"/>
                <w:lang w:val="en-US"/>
              </w:rPr>
              <w:t>- Archives: Office Administration, Integrated Statistics and Foreign Affairs Department.</w:t>
            </w:r>
          </w:p>
        </w:tc>
        <w:tc>
          <w:tcPr>
            <w:tcW w:w="4562" w:type="dxa"/>
          </w:tcPr>
          <w:p w14:paraId="08C073B6" w14:textId="77777777" w:rsidR="003F393F" w:rsidRPr="00294018" w:rsidRDefault="003F393F" w:rsidP="0060017F">
            <w:pPr>
              <w:ind w:firstLine="894"/>
              <w:jc w:val="center"/>
              <w:rPr>
                <w:rFonts w:eastAsia="Calibri"/>
                <w:b/>
                <w:bCs/>
                <w:lang w:val="en-US"/>
              </w:rPr>
            </w:pPr>
            <w:r w:rsidRPr="00294018">
              <w:rPr>
                <w:b/>
                <w:bCs/>
                <w:lang w:val="en-US"/>
              </w:rPr>
              <w:t xml:space="preserve">DIRECTOR GENERAL </w:t>
            </w:r>
          </w:p>
          <w:p w14:paraId="5A23B906" w14:textId="77777777" w:rsidR="003F393F" w:rsidRPr="00294018" w:rsidRDefault="003F393F" w:rsidP="0060017F">
            <w:pPr>
              <w:ind w:firstLine="894"/>
              <w:jc w:val="center"/>
              <w:rPr>
                <w:rFonts w:eastAsia="Calibri"/>
                <w:b/>
                <w:bCs/>
                <w:lang w:val="en-US"/>
              </w:rPr>
            </w:pPr>
          </w:p>
          <w:p w14:paraId="277E05F4" w14:textId="77777777" w:rsidR="003F393F" w:rsidRPr="00294018" w:rsidRDefault="003F393F" w:rsidP="0060017F">
            <w:pPr>
              <w:ind w:firstLine="894"/>
              <w:jc w:val="center"/>
              <w:rPr>
                <w:rFonts w:eastAsia="Calibri"/>
                <w:b/>
                <w:bCs/>
                <w:lang w:val="en-US"/>
              </w:rPr>
            </w:pPr>
          </w:p>
          <w:p w14:paraId="28B73543" w14:textId="77777777" w:rsidR="003F393F" w:rsidRPr="00294018" w:rsidRDefault="003F393F" w:rsidP="0060017F">
            <w:pPr>
              <w:ind w:firstLine="894"/>
              <w:jc w:val="center"/>
              <w:rPr>
                <w:rFonts w:eastAsia="Calibri"/>
                <w:b/>
                <w:bCs/>
                <w:lang w:val="en-US"/>
              </w:rPr>
            </w:pPr>
          </w:p>
          <w:p w14:paraId="17831A18" w14:textId="77777777" w:rsidR="003F393F" w:rsidRPr="00294018" w:rsidRDefault="003F393F" w:rsidP="0060017F">
            <w:pPr>
              <w:ind w:firstLine="894"/>
              <w:jc w:val="center"/>
              <w:rPr>
                <w:rFonts w:eastAsia="Calibri"/>
                <w:b/>
                <w:bCs/>
                <w:lang w:val="en-US"/>
              </w:rPr>
            </w:pPr>
          </w:p>
          <w:p w14:paraId="1B8CBA87" w14:textId="77777777" w:rsidR="003F393F" w:rsidRPr="00294018" w:rsidRDefault="003F393F" w:rsidP="0060017F">
            <w:pPr>
              <w:ind w:firstLine="894"/>
              <w:jc w:val="center"/>
              <w:rPr>
                <w:rFonts w:eastAsia="Calibri"/>
                <w:b/>
                <w:bCs/>
                <w:lang w:val="en-US"/>
              </w:rPr>
            </w:pPr>
          </w:p>
          <w:p w14:paraId="00DC7C2D" w14:textId="77777777" w:rsidR="003F393F" w:rsidRPr="00C1173C" w:rsidRDefault="003F393F" w:rsidP="0060017F">
            <w:pPr>
              <w:ind w:firstLine="894"/>
              <w:jc w:val="center"/>
              <w:rPr>
                <w:rFonts w:eastAsia="Calibri"/>
                <w:b/>
                <w:iCs/>
                <w:sz w:val="24"/>
                <w:szCs w:val="22"/>
                <w:lang w:val="en-US"/>
              </w:rPr>
            </w:pPr>
            <w:r w:rsidRPr="00294018">
              <w:rPr>
                <w:b/>
                <w:bCs/>
                <w:lang w:val="en-US"/>
              </w:rPr>
              <w:t>Nguyen Thi Huong</w:t>
            </w:r>
          </w:p>
        </w:tc>
      </w:tr>
    </w:tbl>
    <w:p w14:paraId="4E1EA8A4" w14:textId="77777777" w:rsidR="003F393F" w:rsidRPr="00C1173C" w:rsidRDefault="003F393F" w:rsidP="003F393F"/>
    <w:p w14:paraId="3EC86DC2" w14:textId="77777777" w:rsidR="00163059" w:rsidRPr="00C1173C" w:rsidRDefault="00163059">
      <w:pPr>
        <w:rPr>
          <w:color w:val="000000" w:themeColor="text1"/>
        </w:rPr>
      </w:pPr>
    </w:p>
    <w:sectPr w:rsidR="00163059" w:rsidRPr="00C1173C" w:rsidSect="009E6614">
      <w:headerReference w:type="even" r:id="rId26"/>
      <w:headerReference w:type="default" r:id="rId27"/>
      <w:footerReference w:type="even" r:id="rId28"/>
      <w:footerReference w:type="default" r:id="rId29"/>
      <w:headerReference w:type="first" r:id="rId30"/>
      <w:footerReference w:type="first" r:id="rId31"/>
      <w:pgSz w:w="11907" w:h="16840" w:code="9"/>
      <w:pgMar w:top="1077" w:right="1134" w:bottom="1134" w:left="1797"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B5BDA" w14:textId="77777777" w:rsidR="00574049" w:rsidRDefault="00574049" w:rsidP="00053768">
      <w:r>
        <w:separator/>
      </w:r>
    </w:p>
  </w:endnote>
  <w:endnote w:type="continuationSeparator" w:id="0">
    <w:p w14:paraId="2721165F" w14:textId="77777777" w:rsidR="00574049" w:rsidRDefault="00574049" w:rsidP="00053768">
      <w:r>
        <w:continuationSeparator/>
      </w:r>
    </w:p>
  </w:endnote>
  <w:endnote w:type="continuationNotice" w:id="1">
    <w:p w14:paraId="0700AE4E" w14:textId="77777777" w:rsidR="00574049" w:rsidRDefault="00574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 New Roman Italic">
    <w:panose1 w:val="0202050305040509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9F13" w14:textId="77777777" w:rsidR="00045DD9" w:rsidRDefault="00045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66519" w14:textId="77777777" w:rsidR="00045DD9" w:rsidRDefault="00045D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D222" w14:textId="77777777" w:rsidR="00045DD9" w:rsidRDefault="00045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B135C" w14:textId="77777777" w:rsidR="00574049" w:rsidRDefault="00574049" w:rsidP="00053768">
      <w:r>
        <w:separator/>
      </w:r>
    </w:p>
  </w:footnote>
  <w:footnote w:type="continuationSeparator" w:id="0">
    <w:p w14:paraId="782165E7" w14:textId="77777777" w:rsidR="00574049" w:rsidRDefault="00574049" w:rsidP="00053768">
      <w:r>
        <w:continuationSeparator/>
      </w:r>
    </w:p>
  </w:footnote>
  <w:footnote w:type="continuationNotice" w:id="1">
    <w:p w14:paraId="5F70630B" w14:textId="77777777" w:rsidR="00574049" w:rsidRDefault="00574049"/>
  </w:footnote>
  <w:footnote w:id="2">
    <w:p w14:paraId="6CBB4A44" w14:textId="5B75C0E8" w:rsidR="00045DD9" w:rsidRPr="00BB78CA" w:rsidRDefault="00045DD9" w:rsidP="00145CB7">
      <w:pPr>
        <w:pStyle w:val="FootnoteText"/>
        <w:spacing w:after="40"/>
        <w:ind w:left="142" w:hanging="142"/>
        <w:rPr>
          <w:lang w:val="en-US"/>
        </w:rPr>
      </w:pPr>
      <w:r w:rsidRPr="00BB78CA">
        <w:rPr>
          <w:rStyle w:val="FootnoteReference"/>
        </w:rPr>
        <w:footnoteRef/>
      </w:r>
      <w:r w:rsidRPr="00BB78CA">
        <w:t xml:space="preserve"> </w:t>
      </w:r>
      <w:r w:rsidRPr="00EA7F27">
        <w:rPr>
          <w:lang w:val="it-IT"/>
        </w:rPr>
        <w:t xml:space="preserve">The pork price index in May </w:t>
      </w:r>
      <w:r>
        <w:rPr>
          <w:lang w:val="it-IT"/>
        </w:rPr>
        <w:t>showed a</w:t>
      </w:r>
      <w:r w:rsidR="00B87B28">
        <w:rPr>
          <w:lang w:val="it-IT"/>
        </w:rPr>
        <w:t xml:space="preserve"> rise</w:t>
      </w:r>
      <w:r>
        <w:rPr>
          <w:lang w:val="it-IT"/>
        </w:rPr>
        <w:t xml:space="preserve"> of </w:t>
      </w:r>
      <w:r w:rsidRPr="00EA7F27">
        <w:rPr>
          <w:lang w:val="it-IT"/>
        </w:rPr>
        <w:t>0.33%</w:t>
      </w:r>
      <w:r w:rsidR="00B87B28">
        <w:rPr>
          <w:lang w:val="it-IT"/>
        </w:rPr>
        <w:t xml:space="preserve"> (m-o-m)</w:t>
      </w:r>
      <w:r w:rsidRPr="00EA7F27">
        <w:rPr>
          <w:lang w:val="it-IT"/>
        </w:rPr>
        <w:t>.</w:t>
      </w:r>
    </w:p>
  </w:footnote>
  <w:footnote w:id="3">
    <w:p w14:paraId="0898A014" w14:textId="6898B72F" w:rsidR="00045DD9" w:rsidRPr="00117CC8" w:rsidRDefault="00045DD9" w:rsidP="00862498">
      <w:pPr>
        <w:pStyle w:val="FootnoteText"/>
        <w:spacing w:after="40"/>
        <w:ind w:left="142" w:hanging="142"/>
        <w:rPr>
          <w:lang w:val="en-US"/>
        </w:rPr>
      </w:pPr>
      <w:r w:rsidRPr="00BB78CA">
        <w:rPr>
          <w:rStyle w:val="FootnoteReference"/>
        </w:rPr>
        <w:footnoteRef/>
      </w:r>
      <w:r w:rsidRPr="00BB78CA">
        <w:t xml:space="preserve"> </w:t>
      </w:r>
      <w:r w:rsidRPr="00117CC8">
        <w:rPr>
          <w:lang w:val="en-US"/>
        </w:rPr>
        <w:t>The number of laying hens as of April 1</w:t>
      </w:r>
      <w:r w:rsidRPr="00117CC8">
        <w:rPr>
          <w:vertAlign w:val="superscript"/>
          <w:lang w:val="en-US"/>
        </w:rPr>
        <w:t>st</w:t>
      </w:r>
      <w:r w:rsidRPr="00117CC8">
        <w:rPr>
          <w:lang w:val="en-US"/>
        </w:rPr>
        <w:t>, 2026 showed a (y-o-y) of 10%.</w:t>
      </w:r>
    </w:p>
  </w:footnote>
  <w:footnote w:id="4">
    <w:p w14:paraId="3CB073F2" w14:textId="77777777" w:rsidR="00045DD9" w:rsidRPr="00117CC8" w:rsidRDefault="00045DD9" w:rsidP="00145CB7">
      <w:pPr>
        <w:pStyle w:val="FootnoteText"/>
        <w:spacing w:after="40"/>
        <w:ind w:left="142" w:hanging="142"/>
        <w:jc w:val="both"/>
        <w:rPr>
          <w:lang w:val="en-US"/>
        </w:rPr>
      </w:pPr>
      <w:r w:rsidRPr="00117CC8">
        <w:rPr>
          <w:rStyle w:val="FootnoteReference"/>
          <w:lang w:val="en-US"/>
        </w:rPr>
        <w:footnoteRef/>
      </w:r>
      <w:r w:rsidRPr="00117CC8">
        <w:rPr>
          <w:lang w:val="en-US"/>
        </w:rPr>
        <w:t xml:space="preserve"> Several localities experienced a (y-o-y) decrease in the area of ​​newly planted forests including Quang Ninh (-86.9%); Lang Son (-19.7%); and Tuyen Quang (-7.3%), respectively.</w:t>
      </w:r>
    </w:p>
  </w:footnote>
  <w:footnote w:id="5">
    <w:p w14:paraId="585CD9BD" w14:textId="77777777" w:rsidR="00045DD9" w:rsidRPr="00117CC8" w:rsidRDefault="00045DD9" w:rsidP="00145CB7">
      <w:pPr>
        <w:pStyle w:val="FootnoteText"/>
        <w:spacing w:after="40"/>
        <w:ind w:left="142" w:hanging="142"/>
        <w:jc w:val="both"/>
        <w:rPr>
          <w:lang w:val="en-US"/>
        </w:rPr>
      </w:pPr>
      <w:r w:rsidRPr="00117CC8">
        <w:rPr>
          <w:rStyle w:val="FootnoteReference"/>
          <w:lang w:val="en-US"/>
        </w:rPr>
        <w:footnoteRef/>
      </w:r>
      <w:r w:rsidRPr="00117CC8">
        <w:rPr>
          <w:lang w:val="en-US"/>
        </w:rPr>
        <w:t xml:space="preserve"> Several localities experienced a significant increase in wood production including Quang Ngai (+19.4%), Quang Tri (+18.6%), Da Nang (+ 9.1%), and Hue (+ 7.5%).</w:t>
      </w:r>
    </w:p>
  </w:footnote>
  <w:footnote w:id="6">
    <w:p w14:paraId="7D1A04CB" w14:textId="151EAEA3" w:rsidR="00045DD9" w:rsidRPr="00BB78CA" w:rsidRDefault="00045DD9" w:rsidP="00145CB7">
      <w:pPr>
        <w:pStyle w:val="FootnoteText"/>
        <w:spacing w:after="40"/>
        <w:ind w:left="142" w:hanging="142"/>
        <w:jc w:val="both"/>
      </w:pPr>
      <w:r w:rsidRPr="00BB78CA">
        <w:rPr>
          <w:rStyle w:val="FootnoteReference"/>
        </w:rPr>
        <w:footnoteRef/>
      </w:r>
      <w:r w:rsidRPr="00BB78CA">
        <w:t xml:space="preserve"> </w:t>
      </w:r>
      <w:r>
        <w:rPr>
          <w:lang w:val="en-US"/>
        </w:rPr>
        <w:t xml:space="preserve">Figures released by </w:t>
      </w:r>
      <w:r w:rsidRPr="007F572A">
        <w:t>Ministry of Agriculture and Environment as of May 15</w:t>
      </w:r>
      <w:r w:rsidR="00F275ED">
        <w:rPr>
          <w:vertAlign w:val="superscript"/>
        </w:rPr>
        <w:t>th</w:t>
      </w:r>
      <w:r w:rsidRPr="007F572A">
        <w:t>, 2026.</w:t>
      </w:r>
    </w:p>
  </w:footnote>
  <w:footnote w:id="7">
    <w:p w14:paraId="746B9A70" w14:textId="6C4FD8D1" w:rsidR="00045DD9" w:rsidRPr="000F409C" w:rsidRDefault="00045DD9" w:rsidP="0097786D">
      <w:pPr>
        <w:pStyle w:val="FootnoteText"/>
        <w:spacing w:after="40"/>
        <w:ind w:left="142" w:hanging="142"/>
        <w:jc w:val="both"/>
      </w:pPr>
      <w:r w:rsidRPr="000F409C">
        <w:rPr>
          <w:rStyle w:val="FootnoteReference"/>
        </w:rPr>
        <w:footnoteRef/>
      </w:r>
      <w:r w:rsidRPr="000F409C">
        <w:t xml:space="preserve"> </w:t>
      </w:r>
      <w:r w:rsidRPr="0097786D">
        <w:rPr>
          <w:spacing w:val="-4"/>
          <w:lang w:val="vi-VN"/>
        </w:rPr>
        <w:t>Source: Compiled from provincial statistics reports: The price of raw pangasius fish in the Mekong Delta, weighing 0.7-1.0 kg/fish, remains at 32,000 VND/kg - 34,000 VND/kg, an increase of approximately 3,000 VND/kg compared to the same period in 2025.</w:t>
      </w:r>
    </w:p>
  </w:footnote>
  <w:footnote w:id="8">
    <w:p w14:paraId="64905E32" w14:textId="1B9FB2C2" w:rsidR="00045DD9" w:rsidRPr="000F409C" w:rsidRDefault="00045DD9" w:rsidP="0097786D">
      <w:pPr>
        <w:pStyle w:val="FootnoteText"/>
        <w:spacing w:after="40"/>
        <w:ind w:left="142" w:hanging="142"/>
        <w:jc w:val="both"/>
        <w:rPr>
          <w:lang w:val="vi-VN"/>
        </w:rPr>
      </w:pPr>
      <w:r w:rsidRPr="000F409C">
        <w:rPr>
          <w:rStyle w:val="FootnoteReference"/>
        </w:rPr>
        <w:footnoteRef/>
      </w:r>
      <w:r w:rsidRPr="000F409C">
        <w:t xml:space="preserve"> </w:t>
      </w:r>
      <w:r w:rsidRPr="00917C9B">
        <w:rPr>
          <w:lang w:val="vi-VN"/>
        </w:rPr>
        <w:t>Source: Compiled from provincial statistics reports: The price of whiteleg shrimp in the Mekong Delta ranges from 85,000 to 130,000 VND/kg for shrimp of 50-100 pieces/kg, while the price of tiger shrimp (30-40 pieces/kg) ranges from 140,000 to 175,000 VND/kg.</w:t>
      </w:r>
    </w:p>
  </w:footnote>
  <w:footnote w:id="9">
    <w:p w14:paraId="3A85163F" w14:textId="77777777" w:rsidR="00045DD9" w:rsidRPr="00F270F2" w:rsidRDefault="00045DD9" w:rsidP="00D53CC4">
      <w:pPr>
        <w:pStyle w:val="FootnoteText"/>
        <w:rPr>
          <w:lang w:val="en-US"/>
        </w:rPr>
      </w:pPr>
      <w:r>
        <w:rPr>
          <w:rStyle w:val="FootnoteReference"/>
        </w:rPr>
        <w:footnoteRef/>
      </w:r>
      <w:r>
        <w:t xml:space="preserve"> </w:t>
      </w:r>
      <w:r w:rsidRPr="00F270F2">
        <w:t>The year-on-year growth/decline rates of the industrial production index for the first five months of the year during the per</w:t>
      </w:r>
      <w:r>
        <w:t>iod 2022–2026</w:t>
      </w:r>
      <w:r w:rsidRPr="00F270F2">
        <w:t>: 8.</w:t>
      </w:r>
      <w:r>
        <w:t>1%; -2.0%; 7.1%; 8.8%; and 9.1%</w:t>
      </w:r>
      <w:r>
        <w:rPr>
          <w:lang w:val="en-US"/>
        </w:rPr>
        <w:t xml:space="preserve">, </w:t>
      </w:r>
      <w:r w:rsidRPr="00F270F2">
        <w:t>respectively</w:t>
      </w:r>
      <w:r>
        <w:rPr>
          <w:lang w:val="en-US"/>
        </w:rPr>
        <w:t>.</w:t>
      </w:r>
    </w:p>
  </w:footnote>
  <w:footnote w:id="10">
    <w:p w14:paraId="1EB350BF" w14:textId="77777777" w:rsidR="00045DD9" w:rsidRPr="00F270F2" w:rsidRDefault="00045DD9" w:rsidP="00D53CC4">
      <w:pPr>
        <w:pStyle w:val="FootnoteText"/>
        <w:rPr>
          <w:lang w:val="en-US"/>
        </w:rPr>
      </w:pPr>
      <w:r>
        <w:rPr>
          <w:rStyle w:val="FootnoteReference"/>
        </w:rPr>
        <w:footnoteRef/>
      </w:r>
      <w:r>
        <w:t xml:space="preserve"> </w:t>
      </w:r>
      <w:r w:rsidRPr="00F270F2">
        <w:t>The local month-</w:t>
      </w:r>
      <w:r>
        <w:t xml:space="preserve">on-month changes in IIP in </w:t>
      </w:r>
      <w:r>
        <w:rPr>
          <w:lang w:val="en-US"/>
        </w:rPr>
        <w:t>May</w:t>
      </w:r>
      <w:r w:rsidRPr="00F270F2">
        <w:t xml:space="preserve"> for the large-shared ind</w:t>
      </w:r>
      <w:r>
        <w:t>ustrial sector provinces and</w:t>
      </w:r>
      <w:r>
        <w:rPr>
          <w:lang w:val="en-US"/>
        </w:rPr>
        <w:t xml:space="preserve"> </w:t>
      </w:r>
      <w:r w:rsidRPr="00F270F2">
        <w:t>municipaliti</w:t>
      </w:r>
      <w:r>
        <w:t xml:space="preserve">es were as follows: Da Nang up </w:t>
      </w:r>
      <w:r>
        <w:rPr>
          <w:lang w:val="en-US"/>
        </w:rPr>
        <w:t>25</w:t>
      </w:r>
      <w:r>
        <w:t>.</w:t>
      </w:r>
      <w:r>
        <w:rPr>
          <w:lang w:val="en-US"/>
        </w:rPr>
        <w:t>3</w:t>
      </w:r>
      <w:r>
        <w:t xml:space="preserve">%; </w:t>
      </w:r>
      <w:r>
        <w:rPr>
          <w:lang w:val="en-US"/>
        </w:rPr>
        <w:t>Quang Ngai</w:t>
      </w:r>
      <w:r>
        <w:t xml:space="preserve"> up </w:t>
      </w:r>
      <w:r>
        <w:rPr>
          <w:lang w:val="en-US"/>
        </w:rPr>
        <w:t>10</w:t>
      </w:r>
      <w:r>
        <w:t>.</w:t>
      </w:r>
      <w:r>
        <w:rPr>
          <w:lang w:val="en-US"/>
        </w:rPr>
        <w:t>2</w:t>
      </w:r>
      <w:r w:rsidRPr="00F270F2">
        <w:t xml:space="preserve">%; </w:t>
      </w:r>
      <w:r>
        <w:rPr>
          <w:lang w:val="en-US"/>
        </w:rPr>
        <w:t>Vinh Long</w:t>
      </w:r>
      <w:r>
        <w:t xml:space="preserve"> up </w:t>
      </w:r>
      <w:r>
        <w:rPr>
          <w:lang w:val="en-US"/>
        </w:rPr>
        <w:t>4</w:t>
      </w:r>
      <w:r>
        <w:t>.</w:t>
      </w:r>
      <w:r>
        <w:rPr>
          <w:lang w:val="en-US"/>
        </w:rPr>
        <w:t>4</w:t>
      </w:r>
      <w:r w:rsidRPr="00F270F2">
        <w:t xml:space="preserve">%; </w:t>
      </w:r>
      <w:r>
        <w:rPr>
          <w:lang w:val="en-US"/>
        </w:rPr>
        <w:t xml:space="preserve">Can Tho </w:t>
      </w:r>
      <w:r>
        <w:t xml:space="preserve">up 4.2%; Dong Nai up </w:t>
      </w:r>
      <w:r>
        <w:rPr>
          <w:lang w:val="en-US"/>
        </w:rPr>
        <w:t>4</w:t>
      </w:r>
      <w:r>
        <w:t>.</w:t>
      </w:r>
      <w:r>
        <w:rPr>
          <w:lang w:val="en-US"/>
        </w:rPr>
        <w:t>0</w:t>
      </w:r>
      <w:r w:rsidRPr="00F270F2">
        <w:t xml:space="preserve">%; </w:t>
      </w:r>
      <w:r>
        <w:rPr>
          <w:lang w:val="en-US"/>
        </w:rPr>
        <w:t>Bac Ninh</w:t>
      </w:r>
      <w:r>
        <w:t xml:space="preserve"> up </w:t>
      </w:r>
      <w:r>
        <w:rPr>
          <w:lang w:val="en-US"/>
        </w:rPr>
        <w:t>3</w:t>
      </w:r>
      <w:r>
        <w:t>.</w:t>
      </w:r>
      <w:r>
        <w:rPr>
          <w:lang w:val="en-US"/>
        </w:rPr>
        <w:t>7</w:t>
      </w:r>
      <w:r w:rsidRPr="00F270F2">
        <w:t xml:space="preserve">%; </w:t>
      </w:r>
      <w:r>
        <w:rPr>
          <w:lang w:val="en-US"/>
        </w:rPr>
        <w:t>Ho Chi Minh</w:t>
      </w:r>
      <w:r>
        <w:t xml:space="preserve"> up 1.</w:t>
      </w:r>
      <w:r>
        <w:rPr>
          <w:lang w:val="en-US"/>
        </w:rPr>
        <w:t>2</w:t>
      </w:r>
      <w:r>
        <w:t xml:space="preserve">%; </w:t>
      </w:r>
      <w:r>
        <w:rPr>
          <w:lang w:val="en-US"/>
        </w:rPr>
        <w:t>Quang Ninh</w:t>
      </w:r>
      <w:r>
        <w:t xml:space="preserve"> </w:t>
      </w:r>
      <w:r>
        <w:rPr>
          <w:lang w:val="en-US"/>
        </w:rPr>
        <w:t>down</w:t>
      </w:r>
      <w:r>
        <w:t xml:space="preserve"> </w:t>
      </w:r>
      <w:r>
        <w:rPr>
          <w:lang w:val="en-US"/>
        </w:rPr>
        <w:t>5.0</w:t>
      </w:r>
      <w:r w:rsidRPr="00F270F2">
        <w:t xml:space="preserve">% and </w:t>
      </w:r>
      <w:r>
        <w:rPr>
          <w:lang w:val="en-US"/>
        </w:rPr>
        <w:t>Hai Phong</w:t>
      </w:r>
      <w:r>
        <w:t xml:space="preserve"> down </w:t>
      </w:r>
      <w:r>
        <w:rPr>
          <w:lang w:val="en-US"/>
        </w:rPr>
        <w:t>2.0</w:t>
      </w:r>
      <w:r w:rsidRPr="00F270F2">
        <w:t>%.</w:t>
      </w:r>
    </w:p>
  </w:footnote>
  <w:footnote w:id="11">
    <w:p w14:paraId="602D6B67" w14:textId="77777777" w:rsidR="00045DD9" w:rsidRPr="00D42F6E" w:rsidRDefault="00045DD9" w:rsidP="00D53CC4">
      <w:pPr>
        <w:pStyle w:val="FootnoteText"/>
        <w:rPr>
          <w:lang w:val="en-US"/>
        </w:rPr>
      </w:pPr>
      <w:r>
        <w:rPr>
          <w:rStyle w:val="FootnoteReference"/>
        </w:rPr>
        <w:footnoteRef/>
      </w:r>
      <w:r>
        <w:t xml:space="preserve"> </w:t>
      </w:r>
      <w:r w:rsidRPr="00D42F6E">
        <w:t>Some key industrial sectors in certain localities experienced low growth, affecting the overall growth of the province and the country. Specifically, the electricity production and distribution sector in some localities declined or grew slo</w:t>
      </w:r>
      <w:r>
        <w:t xml:space="preserve">wly, such as Ho Chi Minh City </w:t>
      </w:r>
      <w:r>
        <w:rPr>
          <w:lang w:val="en-US"/>
        </w:rPr>
        <w:t xml:space="preserve">down </w:t>
      </w:r>
      <w:r>
        <w:t xml:space="preserve">4.5%, Quang Ninh </w:t>
      </w:r>
      <w:r>
        <w:rPr>
          <w:lang w:val="en-US"/>
        </w:rPr>
        <w:t xml:space="preserve">up </w:t>
      </w:r>
      <w:r>
        <w:t xml:space="preserve">0.6%, Lam Dong </w:t>
      </w:r>
      <w:r>
        <w:rPr>
          <w:lang w:val="en-US"/>
        </w:rPr>
        <w:t xml:space="preserve">up </w:t>
      </w:r>
      <w:r>
        <w:t xml:space="preserve">2.7%, and Vinh Long </w:t>
      </w:r>
      <w:r>
        <w:rPr>
          <w:lang w:val="en-US"/>
        </w:rPr>
        <w:t xml:space="preserve">up </w:t>
      </w:r>
      <w:r>
        <w:t>3.9%</w:t>
      </w:r>
      <w:r w:rsidRPr="00D42F6E">
        <w:t>. The mining sect</w:t>
      </w:r>
      <w:r>
        <w:t>or saw declines in Quang Ngai</w:t>
      </w:r>
      <w:r>
        <w:rPr>
          <w:lang w:val="en-US"/>
        </w:rPr>
        <w:t xml:space="preserve"> (</w:t>
      </w:r>
      <w:r>
        <w:t xml:space="preserve"> 37.7%</w:t>
      </w:r>
      <w:r>
        <w:rPr>
          <w:lang w:val="en-US"/>
        </w:rPr>
        <w:t>)</w:t>
      </w:r>
      <w:r>
        <w:t xml:space="preserve">, Tay Ninh </w:t>
      </w:r>
      <w:r>
        <w:rPr>
          <w:lang w:val="en-US"/>
        </w:rPr>
        <w:t>(</w:t>
      </w:r>
      <w:r>
        <w:t>36.0%), Gia Lai (4.5%), Quang Ninh (4.0%), and Lao Cai (</w:t>
      </w:r>
      <w:r w:rsidRPr="00D42F6E">
        <w:t>2.1%). The processing and manufacturing sector in some localities recorded low grow</w:t>
      </w:r>
      <w:r>
        <w:t xml:space="preserve">th below 10%, including Hanoi </w:t>
      </w:r>
      <w:r>
        <w:rPr>
          <w:lang w:val="en-US"/>
        </w:rPr>
        <w:t xml:space="preserve">up </w:t>
      </w:r>
      <w:r>
        <w:t xml:space="preserve">8.8%, Quang Ngai </w:t>
      </w:r>
      <w:r>
        <w:rPr>
          <w:lang w:val="en-US"/>
        </w:rPr>
        <w:t xml:space="preserve">up </w:t>
      </w:r>
      <w:r>
        <w:t xml:space="preserve">8.1%, Gia Lai </w:t>
      </w:r>
      <w:r>
        <w:rPr>
          <w:lang w:val="en-US"/>
        </w:rPr>
        <w:t xml:space="preserve">up </w:t>
      </w:r>
      <w:r>
        <w:t xml:space="preserve">8.0%, Khanh Hoa </w:t>
      </w:r>
      <w:r>
        <w:rPr>
          <w:lang w:val="en-US"/>
        </w:rPr>
        <w:t xml:space="preserve">up </w:t>
      </w:r>
      <w:r>
        <w:t xml:space="preserve">5.3%, and Lang Son </w:t>
      </w:r>
      <w:r>
        <w:rPr>
          <w:lang w:val="en-US"/>
        </w:rPr>
        <w:t xml:space="preserve">up </w:t>
      </w:r>
      <w:r>
        <w:t>2.4%</w:t>
      </w:r>
      <w:r w:rsidRPr="00D42F6E">
        <w:t>.</w:t>
      </w:r>
    </w:p>
  </w:footnote>
  <w:footnote w:id="12">
    <w:p w14:paraId="497E3B37" w14:textId="77777777" w:rsidR="00045DD9" w:rsidRPr="006A050D" w:rsidRDefault="00045DD9" w:rsidP="00D53CC4">
      <w:pPr>
        <w:spacing w:after="40"/>
        <w:ind w:left="198" w:hanging="198"/>
        <w:jc w:val="both"/>
        <w:rPr>
          <w:sz w:val="20"/>
          <w:szCs w:val="20"/>
        </w:rPr>
      </w:pPr>
      <w:r>
        <w:rPr>
          <w:rStyle w:val="FootnoteReference"/>
          <w:rFonts w:eastAsia="DengXian Light"/>
          <w:sz w:val="20"/>
          <w:szCs w:val="20"/>
        </w:rPr>
        <w:footnoteRef/>
      </w:r>
      <w:r>
        <w:rPr>
          <w:color w:val="FF0000"/>
          <w:sz w:val="20"/>
        </w:rPr>
        <w:t xml:space="preserve"> </w:t>
      </w:r>
      <w:r w:rsidRPr="0091008E">
        <w:rPr>
          <w:sz w:val="20"/>
          <w:shd w:val="clear" w:color="auto" w:fill="FFFFFF"/>
        </w:rPr>
        <w:t>The provinces and municipalities that recorded a high year-on-year increase in IIP of the manufacturing sector for the first five months of 2026 were as follows: Ninh Binh (28.7%); Ha Tinh (26.2%); Phu Tho (25.6%); Cao Bang (25.1%); Thai Nguyen (19.6%). The provinces and municipalities that recorded a high year-on-year increase in IIP of the electricity generation and distribution sector were as follows: Ha Tinh (36.8%); Lai Chau (22.5%); Nghe An (12.3%).</w:t>
      </w:r>
    </w:p>
  </w:footnote>
  <w:footnote w:id="13">
    <w:p w14:paraId="0AB27CEF" w14:textId="77777777" w:rsidR="00045DD9" w:rsidRPr="006A050D" w:rsidRDefault="00045DD9" w:rsidP="00D53CC4">
      <w:pPr>
        <w:spacing w:after="40"/>
        <w:ind w:left="198" w:hanging="198"/>
        <w:jc w:val="both"/>
        <w:rPr>
          <w:sz w:val="20"/>
          <w:szCs w:val="20"/>
        </w:rPr>
      </w:pPr>
      <w:r>
        <w:rPr>
          <w:rStyle w:val="FootnoteReference"/>
          <w:rFonts w:eastAsia="DengXian Light"/>
          <w:sz w:val="20"/>
          <w:szCs w:val="20"/>
        </w:rPr>
        <w:footnoteRef/>
      </w:r>
      <w:r>
        <w:rPr>
          <w:sz w:val="20"/>
        </w:rPr>
        <w:t xml:space="preserve"> </w:t>
      </w:r>
      <w:r w:rsidRPr="00554D73">
        <w:rPr>
          <w:sz w:val="20"/>
        </w:rPr>
        <w:t>The provinces and municipalities that recorded a low year-on-year increase in IIP of the manufacturing sector for the first five months of 2026 were as follows: Khanh Hoa (5.3%); Lang Son (2.4%). The provinces and municipalities that recorded a low year-on-year increase in IIP of the electricity generation and distribution sector were as follows: Lang Son (3.3%); Can Tho (2.9%); Lam Dong (2.7%). The provinces and municipalities that recorded a year-on-year decrease in IIP of the mining sector were as follows: Can Tho (-38.0%); Quang Ngai (-37.7%); Gia Lai (-4.5%); Lao Cai (-2.1%).</w:t>
      </w:r>
    </w:p>
  </w:footnote>
  <w:footnote w:id="14">
    <w:p w14:paraId="44DCCCCD" w14:textId="77777777" w:rsidR="00045DD9" w:rsidRPr="00F55F1F" w:rsidRDefault="00045DD9" w:rsidP="00D53CC4">
      <w:pPr>
        <w:pStyle w:val="FootnoteText"/>
        <w:spacing w:after="40"/>
        <w:ind w:left="198" w:hanging="198"/>
        <w:rPr>
          <w:lang w:val="vi-VN"/>
        </w:rPr>
      </w:pPr>
      <w:r w:rsidRPr="00F55F1F">
        <w:rPr>
          <w:rStyle w:val="FootnoteReference"/>
        </w:rPr>
        <w:footnoteRef/>
      </w:r>
      <w:r w:rsidRPr="00F55F1F">
        <w:rPr>
          <w:lang w:val="vi-VN"/>
        </w:rPr>
        <w:t xml:space="preserve"> </w:t>
      </w:r>
      <w:r w:rsidRPr="0003507F">
        <w:rPr>
          <w:lang w:val="vi-VN"/>
        </w:rPr>
        <w:t xml:space="preserve">According to the report of the Foreign Investment Agency, Ministry of Finance, received on </w:t>
      </w:r>
      <w:r>
        <w:rPr>
          <w:lang w:val="en-US"/>
        </w:rPr>
        <w:t>June</w:t>
      </w:r>
      <w:r w:rsidRPr="0003507F">
        <w:rPr>
          <w:lang w:val="vi-VN"/>
        </w:rPr>
        <w:t xml:space="preserve"> 2</w:t>
      </w:r>
      <w:r w:rsidRPr="0003507F">
        <w:rPr>
          <w:vertAlign w:val="superscript"/>
          <w:lang w:val="vi-VN"/>
        </w:rPr>
        <w:t>nd</w:t>
      </w:r>
      <w:r w:rsidRPr="0003507F">
        <w:rPr>
          <w:lang w:val="vi-VN"/>
        </w:rPr>
        <w:t>, 2026</w:t>
      </w:r>
      <w:r w:rsidRPr="00F55F1F">
        <w:rPr>
          <w:lang w:val="vi-VN"/>
        </w:rPr>
        <w:t>.</w:t>
      </w:r>
    </w:p>
  </w:footnote>
  <w:footnote w:id="15">
    <w:p w14:paraId="34EB85C6" w14:textId="77777777" w:rsidR="00045DD9" w:rsidRPr="000F409C" w:rsidRDefault="00045DD9" w:rsidP="00E05F24">
      <w:pPr>
        <w:pStyle w:val="FootnoteText"/>
        <w:spacing w:after="40"/>
        <w:ind w:left="198" w:hanging="198"/>
        <w:jc w:val="both"/>
      </w:pPr>
      <w:r>
        <w:rPr>
          <w:rStyle w:val="FootnoteReference"/>
        </w:rPr>
        <w:footnoteRef/>
      </w:r>
      <w:r>
        <w:t xml:space="preserve"> </w:t>
      </w:r>
      <w:r>
        <w:t>Data received from the State Budget Department - Ministry of Finance on May 31</w:t>
      </w:r>
      <w:r>
        <w:rPr>
          <w:vertAlign w:val="superscript"/>
        </w:rPr>
        <w:t>st</w:t>
      </w:r>
      <w:r>
        <w:t>, 2026.</w:t>
      </w:r>
    </w:p>
  </w:footnote>
  <w:footnote w:id="16">
    <w:p w14:paraId="4A77D1AC" w14:textId="77777777" w:rsidR="00045DD9" w:rsidRPr="00BB78CA" w:rsidRDefault="00045DD9" w:rsidP="00E05F24">
      <w:pPr>
        <w:pStyle w:val="FootnoteText"/>
        <w:spacing w:after="40"/>
        <w:ind w:left="198" w:hanging="198"/>
        <w:jc w:val="both"/>
      </w:pPr>
      <w:r>
        <w:rPr>
          <w:rStyle w:val="FootnoteReference"/>
        </w:rPr>
        <w:footnoteRef/>
      </w:r>
      <w:r>
        <w:t xml:space="preserve"> </w:t>
      </w:r>
      <w:r>
        <w:t>Tax and fee relief measures remained in place throughout May to support businesses and individuals in navigating operational difficulties and to stimulate socio-economic development.</w:t>
      </w:r>
    </w:p>
  </w:footnote>
  <w:footnote w:id="17">
    <w:p w14:paraId="71B39E08" w14:textId="77777777" w:rsidR="00045DD9" w:rsidRPr="000F409C" w:rsidRDefault="00045DD9" w:rsidP="00E05F24">
      <w:pPr>
        <w:pStyle w:val="FootnoteText"/>
        <w:spacing w:after="40"/>
        <w:ind w:left="198" w:hanging="198"/>
        <w:jc w:val="both"/>
      </w:pPr>
      <w:r>
        <w:rPr>
          <w:rStyle w:val="FootnoteReference"/>
        </w:rPr>
        <w:footnoteRef/>
      </w:r>
      <w:r>
        <w:t xml:space="preserve"> </w:t>
      </w:r>
      <w:r>
        <w:t>In the first five months of 2026, authorities enhanced revenue collection management and cracked down on smuggling and commercial fraud to ensure the timely remittance of emerging revenues into the state budget.</w:t>
      </w:r>
    </w:p>
  </w:footnote>
  <w:footnote w:id="18">
    <w:p w14:paraId="12C27DFD" w14:textId="77777777" w:rsidR="00045DD9" w:rsidRPr="000F409C" w:rsidRDefault="00045DD9" w:rsidP="00E05F24">
      <w:pPr>
        <w:pStyle w:val="FootnoteText"/>
        <w:spacing w:after="40"/>
        <w:ind w:left="198" w:hanging="198"/>
        <w:jc w:val="both"/>
      </w:pPr>
      <w:r>
        <w:rPr>
          <w:rStyle w:val="FootnoteReference"/>
        </w:rPr>
        <w:footnoteRef/>
      </w:r>
      <w:r>
        <w:t xml:space="preserve"> </w:t>
      </w:r>
      <w:r>
        <w:t>Within domestic revenue, collections from the three economic sectors (accounting for 46.4% of the domestic revenue budget) were estimated at 647.2 trillion VND (+37.5% YoY). Receipts from major tax categories, such as corporate income tax, value-added tax, and special consumption tax, all recorded sharp year-on-year growth. Conversely, revenues from housing and land saw slower progress, estimated at nearly  204.0 trillion VND, which accounted for approximately 15.2% of total state budget revenue (-4.5% YoY).</w:t>
      </w:r>
    </w:p>
  </w:footnote>
  <w:footnote w:id="19">
    <w:p w14:paraId="79FD5CCE" w14:textId="77777777" w:rsidR="00045DD9" w:rsidRPr="004C3FED" w:rsidRDefault="00045DD9" w:rsidP="003F393F">
      <w:pPr>
        <w:pStyle w:val="FootnoteText"/>
        <w:spacing w:after="40"/>
        <w:ind w:left="198" w:hanging="198"/>
        <w:jc w:val="both"/>
        <w:rPr>
          <w:lang w:val="en-US"/>
        </w:rPr>
      </w:pPr>
      <w:r w:rsidRPr="00F9148F">
        <w:rPr>
          <w:rStyle w:val="FootnoteReference"/>
        </w:rPr>
        <w:footnoteRef/>
      </w:r>
      <w:r w:rsidRPr="00722356">
        <w:rPr>
          <w:lang w:val="vi-VN"/>
        </w:rPr>
        <w:t xml:space="preserve"> </w:t>
      </w:r>
      <w:r w:rsidRPr="004C3FED">
        <w:rPr>
          <w:lang w:val="en-IN"/>
        </w:rPr>
        <w:t>The value of export turnover was calculated at F.O.B price and import turnover was calculated at C.I.F price (including transportation and insurance costs of imported goods)</w:t>
      </w:r>
      <w:r w:rsidRPr="007503F8">
        <w:rPr>
          <w:lang w:val="vi-VN"/>
        </w:rPr>
        <w:t>.</w:t>
      </w:r>
    </w:p>
  </w:footnote>
  <w:footnote w:id="20">
    <w:p w14:paraId="07DE4DAA" w14:textId="77777777" w:rsidR="00045DD9" w:rsidRPr="00D02BCF" w:rsidRDefault="00045DD9" w:rsidP="003F393F">
      <w:pPr>
        <w:spacing w:after="40"/>
        <w:ind w:left="198" w:hanging="198"/>
        <w:jc w:val="both"/>
        <w:rPr>
          <w:rFonts w:asciiTheme="minorHAnsi" w:eastAsiaTheme="minorHAnsi" w:hAnsiTheme="minorHAnsi" w:cstheme="minorBidi"/>
          <w:sz w:val="22"/>
          <w:szCs w:val="22"/>
          <w:lang w:val="it-IT"/>
        </w:rPr>
      </w:pPr>
      <w:r w:rsidRPr="00BC5895">
        <w:rPr>
          <w:rStyle w:val="FootnoteReference"/>
          <w:sz w:val="20"/>
          <w:szCs w:val="20"/>
        </w:rPr>
        <w:footnoteRef/>
      </w:r>
      <w:r w:rsidRPr="00D02BCF">
        <w:rPr>
          <w:spacing w:val="-2"/>
          <w:sz w:val="20"/>
          <w:szCs w:val="20"/>
          <w:lang w:val="it-IT"/>
        </w:rPr>
        <w:t xml:space="preserve"> </w:t>
      </w:r>
      <w:r w:rsidRPr="004C3FED">
        <w:rPr>
          <w:spacing w:val="-2"/>
          <w:sz w:val="20"/>
          <w:szCs w:val="20"/>
          <w:lang w:val="it-IT"/>
        </w:rPr>
        <w:t>Preliminary data on exports and imports of goods in May</w:t>
      </w:r>
      <w:r>
        <w:rPr>
          <w:spacing w:val="-2"/>
          <w:sz w:val="20"/>
          <w:szCs w:val="20"/>
          <w:lang w:val="it-IT"/>
        </w:rPr>
        <w:t xml:space="preserve"> 2026 </w:t>
      </w:r>
      <w:r w:rsidRPr="004C3FED">
        <w:rPr>
          <w:spacing w:val="-2"/>
          <w:sz w:val="20"/>
          <w:szCs w:val="20"/>
          <w:lang w:val="it-IT"/>
        </w:rPr>
        <w:t>provided by the</w:t>
      </w:r>
      <w:r>
        <w:rPr>
          <w:spacing w:val="-2"/>
          <w:sz w:val="20"/>
          <w:szCs w:val="20"/>
          <w:lang w:val="it-IT"/>
        </w:rPr>
        <w:t xml:space="preserve"> Viet Nam</w:t>
      </w:r>
      <w:r w:rsidRPr="004C3FED">
        <w:rPr>
          <w:spacing w:val="-2"/>
          <w:sz w:val="20"/>
          <w:szCs w:val="20"/>
          <w:lang w:val="it-IT"/>
        </w:rPr>
        <w:t xml:space="preserve"> Customs on</w:t>
      </w:r>
      <w:r w:rsidRPr="00D02BCF">
        <w:rPr>
          <w:spacing w:val="-2"/>
          <w:sz w:val="20"/>
          <w:szCs w:val="20"/>
          <w:lang w:val="it-IT"/>
        </w:rPr>
        <w:t xml:space="preserve"> </w:t>
      </w:r>
      <w:r>
        <w:rPr>
          <w:sz w:val="20"/>
          <w:szCs w:val="20"/>
        </w:rPr>
        <w:t>2</w:t>
      </w:r>
      <w:r>
        <w:rPr>
          <w:sz w:val="20"/>
          <w:szCs w:val="20"/>
          <w:vertAlign w:val="superscript"/>
        </w:rPr>
        <w:t>nd</w:t>
      </w:r>
      <w:r w:rsidRPr="0056164F">
        <w:rPr>
          <w:sz w:val="20"/>
          <w:szCs w:val="20"/>
        </w:rPr>
        <w:t xml:space="preserve"> </w:t>
      </w:r>
      <w:r>
        <w:rPr>
          <w:sz w:val="20"/>
          <w:szCs w:val="20"/>
        </w:rPr>
        <w:t>June,</w:t>
      </w:r>
      <w:r w:rsidRPr="0056164F">
        <w:rPr>
          <w:sz w:val="20"/>
          <w:szCs w:val="20"/>
        </w:rPr>
        <w:t xml:space="preserve"> 2026</w:t>
      </w:r>
      <w:r w:rsidRPr="00D02BCF">
        <w:rPr>
          <w:spacing w:val="-2"/>
          <w:sz w:val="20"/>
          <w:szCs w:val="20"/>
          <w:lang w:val="it-IT"/>
        </w:rPr>
        <w:t>.</w:t>
      </w:r>
    </w:p>
  </w:footnote>
  <w:footnote w:id="21">
    <w:p w14:paraId="76562BED" w14:textId="77777777" w:rsidR="00045DD9" w:rsidRPr="00EF75DC" w:rsidRDefault="00045DD9" w:rsidP="003F393F">
      <w:pPr>
        <w:pStyle w:val="FootnoteText"/>
        <w:spacing w:after="40"/>
        <w:ind w:left="198" w:hanging="198"/>
        <w:jc w:val="both"/>
        <w:rPr>
          <w:rFonts w:asciiTheme="minorHAnsi" w:eastAsiaTheme="minorHAnsi" w:hAnsiTheme="minorHAnsi" w:cstheme="minorBidi"/>
          <w:bCs/>
          <w:spacing w:val="-4"/>
          <w:sz w:val="22"/>
          <w:szCs w:val="22"/>
        </w:rPr>
      </w:pPr>
      <w:r w:rsidRPr="00BC5895">
        <w:rPr>
          <w:rStyle w:val="FootnoteReference"/>
        </w:rPr>
        <w:footnoteRef/>
      </w:r>
      <w:r w:rsidRPr="009F297E">
        <w:rPr>
          <w:lang w:val="vi-VN"/>
        </w:rPr>
        <w:t xml:space="preserve"> </w:t>
      </w:r>
      <w:r>
        <w:rPr>
          <w:lang w:val="en-US"/>
        </w:rPr>
        <w:t>T</w:t>
      </w:r>
      <w:r w:rsidRPr="00765D73">
        <w:rPr>
          <w:lang w:val="vi-VN"/>
        </w:rPr>
        <w:t>he total export and import turnover of goods in</w:t>
      </w:r>
      <w:r>
        <w:rPr>
          <w:lang w:val="en-US"/>
        </w:rPr>
        <w:t xml:space="preserve"> five months of</w:t>
      </w:r>
      <w:r>
        <w:rPr>
          <w:lang w:val="vi-VN"/>
        </w:rPr>
        <w:t xml:space="preserve"> 2025 amounted to</w:t>
      </w:r>
      <w:r>
        <w:rPr>
          <w:bCs/>
          <w:color w:val="000000"/>
          <w:spacing w:val="-4"/>
          <w:lang w:val="vi-VN"/>
        </w:rPr>
        <w:t xml:space="preserve"> 355.96 billion</w:t>
      </w:r>
      <w:r w:rsidRPr="00EF75DC">
        <w:rPr>
          <w:bCs/>
          <w:color w:val="000000"/>
          <w:spacing w:val="-4"/>
          <w:lang w:val="vi-VN"/>
        </w:rPr>
        <w:t xml:space="preserve"> USD, </w:t>
      </w:r>
      <w:r>
        <w:rPr>
          <w:bCs/>
          <w:color w:val="000000"/>
          <w:spacing w:val="-4"/>
          <w:lang w:val="en-US"/>
        </w:rPr>
        <w:t>going up</w:t>
      </w:r>
      <w:r>
        <w:rPr>
          <w:bCs/>
          <w:color w:val="000000"/>
          <w:spacing w:val="-4"/>
          <w:lang w:val="vi-VN"/>
        </w:rPr>
        <w:t xml:space="preserve"> 15.</w:t>
      </w:r>
      <w:r w:rsidRPr="00EF75DC">
        <w:rPr>
          <w:bCs/>
          <w:color w:val="000000"/>
          <w:spacing w:val="-4"/>
          <w:lang w:val="vi-VN"/>
        </w:rPr>
        <w:t xml:space="preserve">7% </w:t>
      </w:r>
      <w:r w:rsidRPr="00765D73">
        <w:rPr>
          <w:lang w:val="vi-VN"/>
        </w:rPr>
        <w:t>year-on-y</w:t>
      </w:r>
      <w:r>
        <w:rPr>
          <w:lang w:val="vi-VN"/>
        </w:rPr>
        <w:t>ear</w:t>
      </w:r>
      <w:r w:rsidRPr="00EF75DC">
        <w:rPr>
          <w:bCs/>
          <w:color w:val="000000"/>
          <w:spacing w:val="-4"/>
          <w:lang w:val="vi-VN"/>
        </w:rPr>
        <w:t xml:space="preserve">, </w:t>
      </w:r>
      <w:r>
        <w:rPr>
          <w:lang w:val="vi-VN"/>
        </w:rPr>
        <w:t>of which exports reached</w:t>
      </w:r>
      <w:r w:rsidRPr="00EF75DC">
        <w:rPr>
          <w:bCs/>
          <w:color w:val="000000"/>
          <w:spacing w:val="-4"/>
        </w:rPr>
        <w:t xml:space="preserve"> </w:t>
      </w:r>
      <w:r>
        <w:rPr>
          <w:bCs/>
          <w:color w:val="000000"/>
          <w:spacing w:val="-4"/>
          <w:lang w:val="vi-VN"/>
        </w:rPr>
        <w:t>180.</w:t>
      </w:r>
      <w:r w:rsidRPr="00EF75DC">
        <w:rPr>
          <w:bCs/>
          <w:color w:val="000000"/>
          <w:spacing w:val="-4"/>
          <w:lang w:val="vi-VN"/>
        </w:rPr>
        <w:t>53</w:t>
      </w:r>
      <w:r w:rsidRPr="00EF75DC">
        <w:rPr>
          <w:bCs/>
          <w:color w:val="000000"/>
          <w:spacing w:val="-4"/>
        </w:rPr>
        <w:t xml:space="preserve"> </w:t>
      </w:r>
      <w:r>
        <w:rPr>
          <w:bCs/>
          <w:color w:val="000000"/>
          <w:spacing w:val="-4"/>
          <w:lang w:val="vi-VN"/>
        </w:rPr>
        <w:t>billion</w:t>
      </w:r>
      <w:r w:rsidRPr="00EF75DC">
        <w:rPr>
          <w:bCs/>
          <w:color w:val="000000"/>
          <w:spacing w:val="-4"/>
          <w:lang w:val="vi-VN"/>
        </w:rPr>
        <w:t xml:space="preserve"> USD, </w:t>
      </w:r>
      <w:r>
        <w:rPr>
          <w:lang w:val="en-US"/>
        </w:rPr>
        <w:t>in</w:t>
      </w:r>
      <w:r w:rsidRPr="00765D73">
        <w:rPr>
          <w:lang w:val="vi-VN"/>
        </w:rPr>
        <w:t>creasing</w:t>
      </w:r>
      <w:r>
        <w:rPr>
          <w:lang w:val="en-US"/>
        </w:rPr>
        <w:t xml:space="preserve"> by</w:t>
      </w:r>
      <w:r>
        <w:rPr>
          <w:bCs/>
          <w:color w:val="000000"/>
          <w:spacing w:val="-4"/>
          <w:lang w:val="vi-VN"/>
        </w:rPr>
        <w:t xml:space="preserve"> 14.</w:t>
      </w:r>
      <w:r w:rsidRPr="00EF75DC">
        <w:rPr>
          <w:bCs/>
          <w:color w:val="000000"/>
          <w:spacing w:val="-4"/>
          <w:lang w:val="vi-VN"/>
        </w:rPr>
        <w:t xml:space="preserve">2%; </w:t>
      </w:r>
      <w:r>
        <w:rPr>
          <w:lang w:val="vi-VN"/>
        </w:rPr>
        <w:t>imports reached</w:t>
      </w:r>
      <w:r>
        <w:rPr>
          <w:bCs/>
          <w:color w:val="000000"/>
          <w:spacing w:val="-4"/>
          <w:lang w:val="vi-VN"/>
        </w:rPr>
        <w:t xml:space="preserve"> 175.</w:t>
      </w:r>
      <w:r w:rsidRPr="00EF75DC">
        <w:rPr>
          <w:bCs/>
          <w:color w:val="000000"/>
          <w:spacing w:val="-4"/>
          <w:lang w:val="vi-VN"/>
        </w:rPr>
        <w:t>43</w:t>
      </w:r>
      <w:r w:rsidRPr="00EF75DC">
        <w:rPr>
          <w:bCs/>
          <w:color w:val="000000"/>
          <w:spacing w:val="-4"/>
        </w:rPr>
        <w:t xml:space="preserve"> </w:t>
      </w:r>
      <w:r>
        <w:rPr>
          <w:bCs/>
          <w:color w:val="000000"/>
          <w:spacing w:val="-4"/>
          <w:lang w:val="vi-VN"/>
        </w:rPr>
        <w:t>billion</w:t>
      </w:r>
      <w:r w:rsidRPr="00EF75DC">
        <w:rPr>
          <w:bCs/>
          <w:color w:val="000000"/>
          <w:spacing w:val="-4"/>
          <w:lang w:val="vi-VN"/>
        </w:rPr>
        <w:t xml:space="preserve"> USD, </w:t>
      </w:r>
      <w:r>
        <w:rPr>
          <w:lang w:val="en-US"/>
        </w:rPr>
        <w:t>in</w:t>
      </w:r>
      <w:r w:rsidRPr="00765D73">
        <w:rPr>
          <w:lang w:val="vi-VN"/>
        </w:rPr>
        <w:t>creasing</w:t>
      </w:r>
      <w:r>
        <w:rPr>
          <w:lang w:val="en-US"/>
        </w:rPr>
        <w:t xml:space="preserve"> by</w:t>
      </w:r>
      <w:r>
        <w:rPr>
          <w:bCs/>
          <w:color w:val="000000"/>
          <w:spacing w:val="-4"/>
          <w:lang w:val="vi-VN"/>
        </w:rPr>
        <w:t xml:space="preserve"> 17.</w:t>
      </w:r>
      <w:r w:rsidRPr="00EF75DC">
        <w:rPr>
          <w:bCs/>
          <w:color w:val="000000"/>
          <w:spacing w:val="-4"/>
          <w:lang w:val="vi-VN"/>
        </w:rPr>
        <w:t>4%.</w:t>
      </w:r>
    </w:p>
  </w:footnote>
  <w:footnote w:id="22">
    <w:p w14:paraId="62E013A3" w14:textId="77777777" w:rsidR="00045DD9" w:rsidRPr="00FF25D5" w:rsidRDefault="00045DD9" w:rsidP="003F393F">
      <w:pPr>
        <w:pStyle w:val="FootnoteText"/>
        <w:spacing w:after="40"/>
        <w:ind w:left="198" w:hanging="198"/>
        <w:jc w:val="both"/>
        <w:rPr>
          <w:rFonts w:asciiTheme="minorHAnsi" w:eastAsiaTheme="minorHAnsi" w:hAnsiTheme="minorHAnsi" w:cstheme="minorBidi"/>
          <w:sz w:val="22"/>
          <w:szCs w:val="22"/>
        </w:rPr>
      </w:pPr>
      <w:r>
        <w:rPr>
          <w:rStyle w:val="FootnoteReference"/>
        </w:rPr>
        <w:footnoteRef/>
      </w:r>
      <w:r>
        <w:t xml:space="preserve"> </w:t>
      </w:r>
      <w:r>
        <w:t>This figure was 466</w:t>
      </w:r>
      <w:r w:rsidRPr="00FA69AC">
        <w:t xml:space="preserve"> million USD higher than the data reported by the V</w:t>
      </w:r>
      <w:r>
        <w:t xml:space="preserve">iet Nam Customs to the National </w:t>
      </w:r>
      <w:r w:rsidRPr="00FA69AC">
        <w:t xml:space="preserve">Statistics Office of Viet Nam on </w:t>
      </w:r>
      <w:r>
        <w:t>2</w:t>
      </w:r>
      <w:r>
        <w:rPr>
          <w:lang w:val="en-US"/>
        </w:rPr>
        <w:t>8</w:t>
      </w:r>
      <w:r>
        <w:rPr>
          <w:vertAlign w:val="superscript"/>
        </w:rPr>
        <w:t>th</w:t>
      </w:r>
      <w:r>
        <w:rPr>
          <w:lang w:val="en-US"/>
        </w:rPr>
        <w:t xml:space="preserve"> April</w:t>
      </w:r>
      <w:r>
        <w:t xml:space="preserve"> 2026</w:t>
      </w:r>
      <w:r w:rsidRPr="00790634">
        <w:rPr>
          <w:bCs/>
          <w:lang w:val="de-DE"/>
        </w:rPr>
        <w:t>.</w:t>
      </w:r>
    </w:p>
  </w:footnote>
  <w:footnote w:id="23">
    <w:p w14:paraId="495E4DD3" w14:textId="77777777" w:rsidR="00045DD9" w:rsidRPr="00FF25D5" w:rsidRDefault="00045DD9" w:rsidP="003F393F">
      <w:pPr>
        <w:pStyle w:val="FootnoteText"/>
        <w:rPr>
          <w:rFonts w:asciiTheme="minorHAnsi" w:eastAsiaTheme="minorHAnsi" w:hAnsiTheme="minorHAnsi" w:cstheme="minorBidi"/>
          <w:sz w:val="22"/>
          <w:szCs w:val="22"/>
        </w:rPr>
      </w:pPr>
      <w:r>
        <w:rPr>
          <w:rStyle w:val="FootnoteReference"/>
        </w:rPr>
        <w:footnoteRef/>
      </w:r>
      <w:r>
        <w:t xml:space="preserve"> </w:t>
      </w:r>
      <w:r>
        <w:t xml:space="preserve">This figure was </w:t>
      </w:r>
      <w:r>
        <w:rPr>
          <w:lang w:val="en-US"/>
        </w:rPr>
        <w:t>1.18</w:t>
      </w:r>
      <w:r w:rsidRPr="00FA69AC">
        <w:t xml:space="preserve"> million USD</w:t>
      </w:r>
      <w:r>
        <w:t>,</w:t>
      </w:r>
      <w:r w:rsidRPr="00FA69AC">
        <w:t xml:space="preserve"> higher than the data reported by the V</w:t>
      </w:r>
      <w:r>
        <w:t xml:space="preserve">iet Nam Customs to the National </w:t>
      </w:r>
      <w:r w:rsidRPr="00FA69AC">
        <w:t xml:space="preserve">Statistics Office of Viet Nam on </w:t>
      </w:r>
      <w:r>
        <w:t>2</w:t>
      </w:r>
      <w:r>
        <w:rPr>
          <w:lang w:val="en-US"/>
        </w:rPr>
        <w:t>8</w:t>
      </w:r>
      <w:r>
        <w:rPr>
          <w:vertAlign w:val="superscript"/>
        </w:rPr>
        <w:t>th</w:t>
      </w:r>
      <w:r>
        <w:rPr>
          <w:lang w:val="en-US"/>
        </w:rPr>
        <w:t xml:space="preserve"> April</w:t>
      </w:r>
      <w:r>
        <w:t xml:space="preserve"> 2026</w:t>
      </w:r>
      <w:r>
        <w:rPr>
          <w:lang w:val="en-US"/>
        </w:rPr>
        <w:t>.</w:t>
      </w:r>
    </w:p>
  </w:footnote>
  <w:footnote w:id="24">
    <w:p w14:paraId="41DC69EC" w14:textId="77777777" w:rsidR="00045DD9" w:rsidRPr="00C37A2B" w:rsidRDefault="00045DD9" w:rsidP="003F393F">
      <w:pPr>
        <w:pStyle w:val="FootnoteText"/>
        <w:spacing w:after="40"/>
        <w:ind w:left="198" w:hanging="198"/>
        <w:jc w:val="both"/>
        <w:rPr>
          <w:lang w:val="en-US"/>
        </w:rPr>
      </w:pPr>
      <w:r w:rsidRPr="00390618">
        <w:rPr>
          <w:rStyle w:val="FootnoteReference"/>
        </w:rPr>
        <w:footnoteRef/>
      </w:r>
      <w:r w:rsidRPr="00390618">
        <w:rPr>
          <w:lang w:val="vi-VN"/>
        </w:rPr>
        <w:t xml:space="preserve"> </w:t>
      </w:r>
      <w:r>
        <w:t>The reporting period for April was estimated to record a trade surplus of 3.28 billion</w:t>
      </w:r>
      <w:r w:rsidRPr="00C37A2B">
        <w:t xml:space="preserve"> </w:t>
      </w:r>
      <w:r>
        <w:t>USD</w:t>
      </w:r>
      <w:r w:rsidRPr="00390618">
        <w:rPr>
          <w:lang w:val="vi-VN"/>
        </w:rPr>
        <w:t>.</w:t>
      </w:r>
    </w:p>
  </w:footnote>
  <w:footnote w:id="25">
    <w:p w14:paraId="3FD86D82" w14:textId="77777777" w:rsidR="00045DD9" w:rsidRPr="00C37A2B" w:rsidRDefault="00045DD9" w:rsidP="003F393F">
      <w:pPr>
        <w:pStyle w:val="FootnoteText"/>
        <w:spacing w:after="40"/>
        <w:ind w:left="198" w:hanging="198"/>
        <w:jc w:val="both"/>
        <w:rPr>
          <w:lang w:val="en-US"/>
        </w:rPr>
      </w:pPr>
      <w:r>
        <w:rPr>
          <w:rStyle w:val="FootnoteReference"/>
        </w:rPr>
        <w:footnoteRef/>
      </w:r>
      <w:r>
        <w:t xml:space="preserve"> </w:t>
      </w:r>
      <w:r>
        <w:t xml:space="preserve">Some commodities recorded high trade deficits: </w:t>
      </w:r>
      <w:r w:rsidRPr="00C37A2B">
        <w:t>Electronic goods, computers and their parts</w:t>
      </w:r>
      <w:r>
        <w:t xml:space="preserve"> posted a deficit of 32.0 billion USD; petroleum products, 4.3 billion USD; plastics materials, 4.1 billion USD; coal, 3.6 billion USD; crude oil, 2.9 billion USD; and chemicals, 2.7 billion USD.</w:t>
      </w:r>
    </w:p>
  </w:footnote>
  <w:footnote w:id="26">
    <w:p w14:paraId="33AEB27E" w14:textId="77777777" w:rsidR="00045DD9" w:rsidRPr="0024167A" w:rsidRDefault="00045DD9" w:rsidP="003F393F">
      <w:pPr>
        <w:pStyle w:val="FootnoteText"/>
        <w:jc w:val="both"/>
        <w:rPr>
          <w:lang w:val="en-US"/>
        </w:rPr>
      </w:pPr>
      <w:r>
        <w:rPr>
          <w:rStyle w:val="FootnoteReference"/>
        </w:rPr>
        <w:footnoteRef/>
      </w:r>
      <w:r>
        <w:t xml:space="preserve"> </w:t>
      </w:r>
      <w:r>
        <w:rPr>
          <w:lang w:val="en-US"/>
        </w:rPr>
        <w:t>T</w:t>
      </w:r>
      <w:r w:rsidRPr="0024167A">
        <w:t xml:space="preserve">he CPI of household electricity and tap water in </w:t>
      </w:r>
      <w:r>
        <w:rPr>
          <w:lang w:val="en-US"/>
        </w:rPr>
        <w:t>May</w:t>
      </w:r>
      <w:r w:rsidRPr="0024167A">
        <w:t xml:space="preserve"> 2026 reflected a one-month lag than other items because it is calculated basing on the revenue and consumption volume of </w:t>
      </w:r>
      <w:r>
        <w:rPr>
          <w:lang w:val="en-US"/>
        </w:rPr>
        <w:t>April</w:t>
      </w:r>
      <w:r w:rsidRPr="0024167A">
        <w:t xml:space="preserve"> 2026.</w:t>
      </w:r>
      <w:r>
        <w:rPr>
          <w:lang w:val="en-US"/>
        </w:rPr>
        <w:t xml:space="preserve"> </w:t>
      </w:r>
    </w:p>
  </w:footnote>
  <w:footnote w:id="27">
    <w:p w14:paraId="50026AA2" w14:textId="6C1BEEC8" w:rsidR="00045DD9" w:rsidRPr="009A3A23" w:rsidRDefault="00045DD9" w:rsidP="003F393F">
      <w:pPr>
        <w:pStyle w:val="FootnoteText"/>
        <w:jc w:val="both"/>
        <w:rPr>
          <w:lang w:val="en-US"/>
        </w:rPr>
      </w:pPr>
      <w:r>
        <w:rPr>
          <w:rStyle w:val="FootnoteReference"/>
        </w:rPr>
        <w:footnoteRef/>
      </w:r>
      <w:r>
        <w:t xml:space="preserve"> </w:t>
      </w:r>
      <w:r>
        <w:rPr>
          <w:lang w:val="en-US"/>
        </w:rPr>
        <w:t>D</w:t>
      </w:r>
      <w:r w:rsidR="00CE3A85" w:rsidRPr="009A3A23">
        <w:t>omestic</w:t>
      </w:r>
      <w:r w:rsidRPr="009A3A23">
        <w:t xml:space="preserve"> rice prices </w:t>
      </w:r>
      <w:r>
        <w:rPr>
          <w:lang w:val="en-US"/>
        </w:rPr>
        <w:t xml:space="preserve">reduced </w:t>
      </w:r>
      <w:r w:rsidRPr="009A3A23">
        <w:t xml:space="preserve">mainly </w:t>
      </w:r>
      <w:r>
        <w:rPr>
          <w:lang w:val="en-US"/>
        </w:rPr>
        <w:t>because</w:t>
      </w:r>
      <w:r w:rsidRPr="009A3A23">
        <w:t xml:space="preserve"> the winter-spring rice crop </w:t>
      </w:r>
      <w:r>
        <w:rPr>
          <w:lang w:val="en-US"/>
        </w:rPr>
        <w:t>is</w:t>
      </w:r>
      <w:r>
        <w:t xml:space="preserve"> harvest</w:t>
      </w:r>
      <w:r>
        <w:rPr>
          <w:lang w:val="en-US"/>
        </w:rPr>
        <w:t>ed</w:t>
      </w:r>
      <w:r w:rsidRPr="009A3A23">
        <w:t xml:space="preserve">, resulting in abundant supply. </w:t>
      </w:r>
      <w:r>
        <w:rPr>
          <w:lang w:val="en-US"/>
        </w:rPr>
        <w:t>Therefore</w:t>
      </w:r>
      <w:r w:rsidRPr="009A3A23">
        <w:t xml:space="preserve">, the </w:t>
      </w:r>
      <w:r>
        <w:rPr>
          <w:lang w:val="en-US"/>
        </w:rPr>
        <w:t xml:space="preserve">CPI of </w:t>
      </w:r>
      <w:r w:rsidRPr="009A3A23">
        <w:t xml:space="preserve">rice </w:t>
      </w:r>
      <w:r>
        <w:rPr>
          <w:lang w:val="en-US"/>
        </w:rPr>
        <w:t>shrunk</w:t>
      </w:r>
      <w:r w:rsidRPr="009A3A23">
        <w:t xml:space="preserve"> by 0.95% (</w:t>
      </w:r>
      <w:r>
        <w:rPr>
          <w:lang w:val="en-US"/>
        </w:rPr>
        <w:t xml:space="preserve">a drop of </w:t>
      </w:r>
      <w:r w:rsidRPr="009A3A23">
        <w:t>1.07%</w:t>
      </w:r>
      <w:r>
        <w:rPr>
          <w:lang w:val="en-US"/>
        </w:rPr>
        <w:t xml:space="preserve">; </w:t>
      </w:r>
      <w:r w:rsidRPr="009A3A23">
        <w:t>0.53%;</w:t>
      </w:r>
      <w:r>
        <w:rPr>
          <w:lang w:val="en-US"/>
        </w:rPr>
        <w:t xml:space="preserve"> </w:t>
      </w:r>
      <w:r w:rsidRPr="009A3A23">
        <w:t>0.89%;</w:t>
      </w:r>
      <w:r>
        <w:rPr>
          <w:lang w:val="en-US"/>
        </w:rPr>
        <w:t xml:space="preserve"> </w:t>
      </w:r>
      <w:r w:rsidRPr="009A3A23">
        <w:t>0.35%</w:t>
      </w:r>
      <w:r>
        <w:rPr>
          <w:lang w:val="en-US"/>
        </w:rPr>
        <w:t xml:space="preserve"> in </w:t>
      </w:r>
      <w:r w:rsidRPr="009A3A23">
        <w:t>regular white</w:t>
      </w:r>
      <w:r>
        <w:t>; premium white rice</w:t>
      </w:r>
      <w:r>
        <w:rPr>
          <w:lang w:val="en-US"/>
        </w:rPr>
        <w:t xml:space="preserve">; </w:t>
      </w:r>
      <w:r>
        <w:t>glutinous</w:t>
      </w:r>
      <w:r>
        <w:rPr>
          <w:lang w:val="en-US"/>
        </w:rPr>
        <w:t xml:space="preserve">; </w:t>
      </w:r>
      <w:r>
        <w:t>brown rice</w:t>
      </w:r>
      <w:r>
        <w:rPr>
          <w:lang w:val="en-US"/>
        </w:rPr>
        <w:t>, respectivel</w:t>
      </w:r>
      <w:r w:rsidRPr="009A3A23">
        <w:t>y</w:t>
      </w:r>
      <w:r>
        <w:rPr>
          <w:lang w:val="en-US"/>
        </w:rPr>
        <w:t xml:space="preserve">). In contrast, the </w:t>
      </w:r>
      <w:r w:rsidRPr="009A3A23">
        <w:rPr>
          <w:lang w:val="en-US"/>
        </w:rPr>
        <w:t xml:space="preserve">prices of other food items </w:t>
      </w:r>
      <w:r>
        <w:rPr>
          <w:lang w:val="en-US"/>
        </w:rPr>
        <w:t xml:space="preserve">experienced an increase: the prices of </w:t>
      </w:r>
      <w:r w:rsidRPr="0092418E">
        <w:rPr>
          <w:lang w:val="en-US"/>
        </w:rPr>
        <w:t>instant cereals</w:t>
      </w:r>
      <w:r>
        <w:rPr>
          <w:lang w:val="en-US"/>
        </w:rPr>
        <w:t xml:space="preserve">; bread; </w:t>
      </w:r>
      <w:r w:rsidRPr="009A3A23">
        <w:t>other cereals</w:t>
      </w:r>
      <w:r>
        <w:rPr>
          <w:lang w:val="en-US"/>
        </w:rPr>
        <w:t xml:space="preserve">; </w:t>
      </w:r>
      <w:r w:rsidRPr="009A3A23">
        <w:t>instant noodles, pho/porridge</w:t>
      </w:r>
      <w:r>
        <w:rPr>
          <w:lang w:val="en-US"/>
        </w:rPr>
        <w:t xml:space="preserve">; </w:t>
      </w:r>
      <w:r w:rsidRPr="009A3A23">
        <w:t>corn flour</w:t>
      </w:r>
      <w:r>
        <w:rPr>
          <w:lang w:val="en-US"/>
        </w:rPr>
        <w:t xml:space="preserve">; </w:t>
      </w:r>
      <w:r w:rsidRPr="0092418E">
        <w:rPr>
          <w:lang w:val="en-US"/>
        </w:rPr>
        <w:t>vermicelli, pho noodles, and rice noodles</w:t>
      </w:r>
      <w:r>
        <w:rPr>
          <w:lang w:val="en-US"/>
        </w:rPr>
        <w:t xml:space="preserve"> jumped up </w:t>
      </w:r>
      <w:r w:rsidRPr="0092418E">
        <w:t>0.64%; 0.49%; 0.43%; 0.36%; 0.31%; 0.22%</w:t>
      </w:r>
      <w:r>
        <w:rPr>
          <w:lang w:val="en-US"/>
        </w:rPr>
        <w:t>, respectively</w:t>
      </w:r>
      <w:r w:rsidRPr="0092418E">
        <w:t>.</w:t>
      </w:r>
    </w:p>
  </w:footnote>
  <w:footnote w:id="28">
    <w:p w14:paraId="07C1A10C" w14:textId="77777777" w:rsidR="00045DD9" w:rsidRPr="009A3A23" w:rsidRDefault="00045DD9" w:rsidP="003F393F">
      <w:pPr>
        <w:pStyle w:val="FootnoteText"/>
        <w:jc w:val="both"/>
        <w:rPr>
          <w:lang w:val="en-US"/>
        </w:rPr>
      </w:pPr>
      <w:r>
        <w:rPr>
          <w:rStyle w:val="FootnoteReference"/>
        </w:rPr>
        <w:footnoteRef/>
      </w:r>
      <w:r>
        <w:t xml:space="preserve"> </w:t>
      </w:r>
      <w:r w:rsidRPr="0092418E">
        <w:t xml:space="preserve">The </w:t>
      </w:r>
      <w:r>
        <w:rPr>
          <w:lang w:val="en-US"/>
        </w:rPr>
        <w:t>CPI of</w:t>
      </w:r>
      <w:r w:rsidRPr="0092418E">
        <w:t xml:space="preserve"> pork</w:t>
      </w:r>
      <w:r>
        <w:rPr>
          <w:lang w:val="en-US"/>
        </w:rPr>
        <w:t xml:space="preserve">; </w:t>
      </w:r>
      <w:r w:rsidRPr="0092418E">
        <w:t>fresh seafood</w:t>
      </w:r>
      <w:r>
        <w:rPr>
          <w:lang w:val="en-US"/>
        </w:rPr>
        <w:t xml:space="preserve">; </w:t>
      </w:r>
      <w:r w:rsidRPr="0092418E">
        <w:t>eggs</w:t>
      </w:r>
      <w:r>
        <w:rPr>
          <w:lang w:val="en-US"/>
        </w:rPr>
        <w:t xml:space="preserve"> of all kinds; </w:t>
      </w:r>
      <w:r w:rsidRPr="0092418E">
        <w:t>poultry</w:t>
      </w:r>
      <w:r>
        <w:rPr>
          <w:lang w:val="en-US"/>
        </w:rPr>
        <w:t xml:space="preserve"> meat; beef; </w:t>
      </w:r>
      <w:r w:rsidRPr="0092418E">
        <w:t>fresh and processed fruits</w:t>
      </w:r>
      <w:r>
        <w:rPr>
          <w:lang w:val="en-US"/>
        </w:rPr>
        <w:t xml:space="preserve"> fell</w:t>
      </w:r>
      <w:r w:rsidRPr="0092418E">
        <w:t xml:space="preserve"> by 0.82%; 0.63%; 0.44%; 0.42%; 0.14%; 1.41%</w:t>
      </w:r>
      <w:r>
        <w:rPr>
          <w:lang w:val="en-US"/>
        </w:rPr>
        <w:t>, respectively. In contrast</w:t>
      </w:r>
      <w:r w:rsidRPr="0092418E">
        <w:t xml:space="preserve">, some </w:t>
      </w:r>
      <w:r>
        <w:rPr>
          <w:lang w:val="en-US"/>
        </w:rPr>
        <w:t>item</w:t>
      </w:r>
      <w:r w:rsidRPr="0092418E">
        <w:t xml:space="preserve"> groups </w:t>
      </w:r>
      <w:r>
        <w:rPr>
          <w:lang w:val="en-US"/>
        </w:rPr>
        <w:t>witnessed a rise in</w:t>
      </w:r>
      <w:r w:rsidRPr="0092418E">
        <w:t xml:space="preserve"> price</w:t>
      </w:r>
      <w:r>
        <w:rPr>
          <w:lang w:val="en-US"/>
        </w:rPr>
        <w:t>s</w:t>
      </w:r>
      <w:r w:rsidRPr="0092418E">
        <w:t xml:space="preserve">: the </w:t>
      </w:r>
      <w:r>
        <w:rPr>
          <w:lang w:val="en-US"/>
        </w:rPr>
        <w:t>CPI of</w:t>
      </w:r>
      <w:r>
        <w:t xml:space="preserve"> fresh, dried</w:t>
      </w:r>
      <w:r w:rsidRPr="0092418E">
        <w:t xml:space="preserve"> and processed vegetables</w:t>
      </w:r>
      <w:r>
        <w:rPr>
          <w:lang w:val="en-US"/>
        </w:rPr>
        <w:t xml:space="preserve">; </w:t>
      </w:r>
      <w:r w:rsidRPr="0092418E">
        <w:t>milk, butter, and cheese</w:t>
      </w:r>
      <w:r>
        <w:rPr>
          <w:lang w:val="en-US"/>
        </w:rPr>
        <w:t xml:space="preserve">; </w:t>
      </w:r>
      <w:r w:rsidRPr="0092418E">
        <w:t xml:space="preserve">fish sauce and </w:t>
      </w:r>
      <w:r w:rsidRPr="008D7C9B">
        <w:rPr>
          <w:lang w:val="en-US"/>
        </w:rPr>
        <w:t>condiment</w:t>
      </w:r>
      <w:r>
        <w:rPr>
          <w:lang w:val="en-US"/>
        </w:rPr>
        <w:t xml:space="preserve">; </w:t>
      </w:r>
      <w:r w:rsidRPr="0092418E">
        <w:t>tea, coffee, and cocoa</w:t>
      </w:r>
      <w:r>
        <w:rPr>
          <w:lang w:val="en-US"/>
        </w:rPr>
        <w:t xml:space="preserve">; </w:t>
      </w:r>
      <w:r w:rsidRPr="008D7C9B">
        <w:rPr>
          <w:lang w:val="en-US"/>
        </w:rPr>
        <w:t>confectionery</w:t>
      </w:r>
      <w:r>
        <w:rPr>
          <w:lang w:val="en-US"/>
        </w:rPr>
        <w:t xml:space="preserve"> and jam; </w:t>
      </w:r>
      <w:r w:rsidRPr="0092418E">
        <w:t>and spices</w:t>
      </w:r>
      <w:r>
        <w:rPr>
          <w:lang w:val="en-US"/>
        </w:rPr>
        <w:t xml:space="preserve"> soared </w:t>
      </w:r>
      <w:r w:rsidRPr="0092418E">
        <w:t>by 1.36%; 0.37%; 0.34%; 0.15%; 0.12%; and 0.05%</w:t>
      </w:r>
      <w:r>
        <w:rPr>
          <w:lang w:val="en-US"/>
        </w:rPr>
        <w:t>, respectively</w:t>
      </w:r>
      <w:r w:rsidRPr="0092418E">
        <w:t>.</w:t>
      </w:r>
    </w:p>
  </w:footnote>
  <w:footnote w:id="29">
    <w:p w14:paraId="2A4BF4D2" w14:textId="06A46A71" w:rsidR="00045DD9" w:rsidRPr="006E7614" w:rsidRDefault="00045DD9" w:rsidP="003F393F">
      <w:pPr>
        <w:pStyle w:val="FootnoteText"/>
      </w:pPr>
      <w:r>
        <w:rPr>
          <w:rStyle w:val="FootnoteReference"/>
        </w:rPr>
        <w:footnoteRef/>
      </w:r>
      <w:r>
        <w:t xml:space="preserve"> </w:t>
      </w:r>
      <w:r w:rsidRPr="006E7614">
        <w:t xml:space="preserve">Due to </w:t>
      </w:r>
      <w:r>
        <w:rPr>
          <w:lang w:val="en-US"/>
        </w:rPr>
        <w:t>growing costs of</w:t>
      </w:r>
      <w:r>
        <w:t xml:space="preserve"> input</w:t>
      </w:r>
      <w:r>
        <w:rPr>
          <w:lang w:val="en-US"/>
        </w:rPr>
        <w:t xml:space="preserve">, </w:t>
      </w:r>
      <w:r w:rsidRPr="006E7614">
        <w:t xml:space="preserve">labor, </w:t>
      </w:r>
      <w:r>
        <w:rPr>
          <w:lang w:val="en-US"/>
        </w:rPr>
        <w:t xml:space="preserve">shop </w:t>
      </w:r>
      <w:r w:rsidRPr="006E7614">
        <w:t>rent</w:t>
      </w:r>
      <w:r>
        <w:rPr>
          <w:lang w:val="en-US"/>
        </w:rPr>
        <w:t>al</w:t>
      </w:r>
      <w:r>
        <w:t>, and operati</w:t>
      </w:r>
      <w:r>
        <w:rPr>
          <w:lang w:val="en-US"/>
        </w:rPr>
        <w:t xml:space="preserve">on. Of which </w:t>
      </w:r>
      <w:r w:rsidRPr="006E7614">
        <w:t xml:space="preserve">the </w:t>
      </w:r>
      <w:r>
        <w:rPr>
          <w:lang w:val="en-US"/>
        </w:rPr>
        <w:t>CPI of</w:t>
      </w:r>
      <w:r w:rsidRPr="006E7614">
        <w:t xml:space="preserve"> eating out</w:t>
      </w:r>
      <w:r>
        <w:rPr>
          <w:lang w:val="en-US"/>
        </w:rPr>
        <w:t xml:space="preserve">; </w:t>
      </w:r>
      <w:r w:rsidRPr="006E7614">
        <w:t>drinking out</w:t>
      </w:r>
      <w:r>
        <w:rPr>
          <w:lang w:val="en-US"/>
        </w:rPr>
        <w:t>;</w:t>
      </w:r>
      <w:r w:rsidRPr="006E7614">
        <w:t xml:space="preserve"> </w:t>
      </w:r>
      <w:r w:rsidRPr="00D45719">
        <w:t>take</w:t>
      </w:r>
      <w:r>
        <w:rPr>
          <w:lang w:val="en-US"/>
        </w:rPr>
        <w:t xml:space="preserve"> </w:t>
      </w:r>
      <w:r w:rsidRPr="00D45719">
        <w:t>awa</w:t>
      </w:r>
      <w:r>
        <w:rPr>
          <w:lang w:val="en-US"/>
        </w:rPr>
        <w:t xml:space="preserve"> </w:t>
      </w:r>
      <w:r w:rsidRPr="00D45719">
        <w:t xml:space="preserve">y fast food </w:t>
      </w:r>
      <w:r>
        <w:rPr>
          <w:lang w:val="en-US"/>
        </w:rPr>
        <w:t>jumped up</w:t>
      </w:r>
      <w:r w:rsidRPr="006E7614">
        <w:t xml:space="preserve"> 0.32%; 0.48%; and 0.52%</w:t>
      </w:r>
      <w:r>
        <w:rPr>
          <w:lang w:val="en-US"/>
        </w:rPr>
        <w:t>, respectively</w:t>
      </w:r>
      <w:r w:rsidRPr="006E7614">
        <w:t>.</w:t>
      </w:r>
    </w:p>
  </w:footnote>
  <w:footnote w:id="30">
    <w:p w14:paraId="3EFBDD41" w14:textId="77777777" w:rsidR="00045DD9" w:rsidRPr="00A3403D" w:rsidRDefault="00045DD9" w:rsidP="003F393F">
      <w:pPr>
        <w:pStyle w:val="FootnoteText"/>
        <w:jc w:val="both"/>
        <w:rPr>
          <w:lang w:val="en-US"/>
        </w:rPr>
      </w:pPr>
      <w:r>
        <w:rPr>
          <w:rStyle w:val="FootnoteReference"/>
        </w:rPr>
        <w:footnoteRef/>
      </w:r>
      <w:r>
        <w:rPr>
          <w:lang w:val="en-US"/>
        </w:rPr>
        <w:t xml:space="preserve"> </w:t>
      </w:r>
      <w:r w:rsidRPr="001D093A">
        <w:rPr>
          <w:lang w:val="en-US"/>
        </w:rPr>
        <w:t xml:space="preserve">The CPI after excluding the prices of fresh food, foodstuff, energy, and State-managed goods, which include healthcare and education services.  </w:t>
      </w:r>
    </w:p>
  </w:footnote>
  <w:footnote w:id="31">
    <w:p w14:paraId="33908564" w14:textId="77777777" w:rsidR="00045DD9" w:rsidRPr="00BB78CA" w:rsidRDefault="00045DD9" w:rsidP="003F393F">
      <w:pPr>
        <w:pStyle w:val="FootnoteText"/>
        <w:spacing w:after="40"/>
        <w:ind w:left="198" w:hanging="198"/>
        <w:jc w:val="both"/>
        <w:rPr>
          <w:lang w:val="en-US"/>
        </w:rPr>
      </w:pPr>
      <w:r w:rsidRPr="00BB78CA">
        <w:rPr>
          <w:rStyle w:val="FootnoteReference"/>
        </w:rPr>
        <w:footnoteRef/>
      </w:r>
      <w:r w:rsidRPr="00BB78CA">
        <w:t xml:space="preserve"> </w:t>
      </w:r>
      <w:r>
        <w:t>Several routes in Ho Chi Minh City were temporarily suspended for maintenance, while vessel arrivals and departures were also affected by water current conditions</w:t>
      </w:r>
      <w:r w:rsidRPr="00BB78CA">
        <w:t xml:space="preserve">. </w:t>
      </w:r>
    </w:p>
  </w:footnote>
  <w:footnote w:id="32">
    <w:p w14:paraId="4A5A14BC" w14:textId="77777777" w:rsidR="00045DD9" w:rsidRPr="00BB78CA" w:rsidRDefault="00045DD9" w:rsidP="003F393F">
      <w:pPr>
        <w:pStyle w:val="FootnoteText"/>
        <w:spacing w:after="40"/>
        <w:ind w:left="198" w:hanging="198"/>
        <w:jc w:val="both"/>
        <w:rPr>
          <w:lang w:val="vi-VN"/>
        </w:rPr>
      </w:pPr>
      <w:r w:rsidRPr="00BB78CA">
        <w:rPr>
          <w:rStyle w:val="FootnoteReference"/>
        </w:rPr>
        <w:footnoteRef/>
      </w:r>
      <w:r w:rsidRPr="000F409C">
        <w:rPr>
          <w:lang w:val="vi-VN"/>
        </w:rPr>
        <w:t xml:space="preserve"> </w:t>
      </w:r>
      <w:r>
        <w:rPr>
          <w:lang w:val="vi-VN"/>
        </w:rPr>
        <w:t>According to a report from the Department of Border Gate, the Border Guard Command, the Ministry of National Defense, and the Immigration Department, the Ministry of Public Securit</w:t>
      </w:r>
      <w:r>
        <w:t>y</w:t>
      </w:r>
      <w:r w:rsidRPr="00BB78CA">
        <w:rPr>
          <w:lang w:val="vi-VN"/>
        </w:rPr>
        <w:t>.</w:t>
      </w:r>
    </w:p>
  </w:footnote>
  <w:footnote w:id="33">
    <w:p w14:paraId="7CDA4E1B" w14:textId="77777777" w:rsidR="00045DD9" w:rsidRPr="00BB78CA" w:rsidRDefault="00045DD9" w:rsidP="003F393F">
      <w:pPr>
        <w:pStyle w:val="FootnoteText"/>
        <w:spacing w:after="40"/>
        <w:ind w:left="198" w:hanging="198"/>
        <w:rPr>
          <w:lang w:val="vi-VN"/>
        </w:rPr>
      </w:pPr>
      <w:r w:rsidRPr="00BB78CA">
        <w:rPr>
          <w:rStyle w:val="FootnoteReference"/>
        </w:rPr>
        <w:footnoteRef/>
      </w:r>
      <w:r w:rsidRPr="00BB78CA">
        <w:t xml:space="preserve"> </w:t>
      </w:r>
      <w:r>
        <w:rPr>
          <w:lang w:val="vi-VN"/>
        </w:rPr>
        <w:t xml:space="preserve">The reporting period was from </w:t>
      </w:r>
      <w:r>
        <w:rPr>
          <w:lang w:val="en-US"/>
        </w:rPr>
        <w:t>April</w:t>
      </w:r>
      <w:r>
        <w:rPr>
          <w:lang w:val="vi-VN"/>
        </w:rPr>
        <w:t xml:space="preserve"> 26</w:t>
      </w:r>
      <w:r>
        <w:rPr>
          <w:vertAlign w:val="superscript"/>
        </w:rPr>
        <w:t>th</w:t>
      </w:r>
      <w:r>
        <w:rPr>
          <w:lang w:val="vi-VN"/>
        </w:rPr>
        <w:t xml:space="preserve">, 2026 to </w:t>
      </w:r>
      <w:r>
        <w:rPr>
          <w:lang w:val="en-US"/>
        </w:rPr>
        <w:t>May</w:t>
      </w:r>
      <w:r>
        <w:rPr>
          <w:lang w:val="vi-VN"/>
        </w:rPr>
        <w:t xml:space="preserve"> 25</w:t>
      </w:r>
      <w:r>
        <w:rPr>
          <w:vertAlign w:val="superscript"/>
        </w:rPr>
        <w:t>th</w:t>
      </w:r>
      <w:r>
        <w:rPr>
          <w:lang w:val="vi-VN"/>
        </w:rPr>
        <w:t>, 2026</w:t>
      </w:r>
      <w:r>
        <w:rPr>
          <w:lang w:val="en-US"/>
        </w:rPr>
        <w:t xml:space="preserve">. </w:t>
      </w:r>
    </w:p>
  </w:footnote>
  <w:footnote w:id="34">
    <w:p w14:paraId="18906285" w14:textId="77777777" w:rsidR="00045DD9" w:rsidRPr="00AE05F3" w:rsidRDefault="00045DD9" w:rsidP="003F393F">
      <w:pPr>
        <w:pStyle w:val="FootnoteText"/>
        <w:rPr>
          <w:lang w:val="en-US"/>
        </w:rPr>
      </w:pPr>
      <w:r>
        <w:rPr>
          <w:rStyle w:val="FootnoteReference"/>
        </w:rPr>
        <w:footnoteRef/>
      </w:r>
      <w:r>
        <w:t xml:space="preserve"> </w:t>
      </w:r>
      <w:r w:rsidRPr="00330047">
        <w:t>A household could select multiple reasons</w:t>
      </w:r>
      <w:r>
        <w:rPr>
          <w:lang w:val="en-US"/>
        </w:rPr>
        <w:t>.</w:t>
      </w:r>
    </w:p>
  </w:footnote>
  <w:footnote w:id="35">
    <w:p w14:paraId="762051D1" w14:textId="77777777" w:rsidR="00045DD9" w:rsidRPr="00A66650" w:rsidRDefault="00045DD9" w:rsidP="003F393F">
      <w:pPr>
        <w:pStyle w:val="FootnoteText"/>
        <w:rPr>
          <w:lang w:val="en-US"/>
        </w:rPr>
      </w:pPr>
      <w:r>
        <w:rPr>
          <w:rStyle w:val="FootnoteReference"/>
        </w:rPr>
        <w:footnoteRef/>
      </w:r>
      <w:r>
        <w:t xml:space="preserve"> </w:t>
      </w:r>
      <w:r w:rsidRPr="00A66650">
        <w:t>Decision No. 27/QD-BCDQG dated March 22</w:t>
      </w:r>
      <w:r w:rsidRPr="000A2421">
        <w:rPr>
          <w:vertAlign w:val="superscript"/>
        </w:rPr>
        <w:t>nd</w:t>
      </w:r>
      <w:r w:rsidRPr="00A66650">
        <w:t>, 2026 of the National Steering Committee on the search, collection, and identification of martyrs' remains.</w:t>
      </w:r>
    </w:p>
  </w:footnote>
  <w:footnote w:id="36">
    <w:p w14:paraId="50EFC665" w14:textId="77777777" w:rsidR="00045DD9" w:rsidRPr="00A66650" w:rsidRDefault="00045DD9" w:rsidP="003F393F">
      <w:pPr>
        <w:pStyle w:val="FootnoteText"/>
        <w:rPr>
          <w:lang w:val="en-US"/>
        </w:rPr>
      </w:pPr>
      <w:r>
        <w:rPr>
          <w:rStyle w:val="FootnoteReference"/>
        </w:rPr>
        <w:footnoteRef/>
      </w:r>
      <w:r>
        <w:t xml:space="preserve"> </w:t>
      </w:r>
      <w:hyperlink r:id="rId1" w:history="1">
        <w:r w:rsidRPr="00EB1AC5">
          <w:rPr>
            <w:rStyle w:val="Hyperlink"/>
          </w:rPr>
          <w:t>https://baochinhphu.vn/chien-dich-500-ngay-dem-tiep-tuc-hanh-trinh-dua-cac-liet-si-tro-ve-voi-dat-me-102260527083846605.htm</w:t>
        </w:r>
      </w:hyperlink>
      <w:r>
        <w:t xml:space="preserve"> </w:t>
      </w:r>
      <w:r w:rsidRPr="00A66650">
        <w:t>(accessed at 9:30 AM, May 29</w:t>
      </w:r>
      <w:r w:rsidRPr="00A66650">
        <w:rPr>
          <w:vertAlign w:val="superscript"/>
        </w:rPr>
        <w:t>th</w:t>
      </w:r>
      <w:r w:rsidRPr="00A66650">
        <w:t>, 2026).</w:t>
      </w:r>
    </w:p>
  </w:footnote>
  <w:footnote w:id="37">
    <w:p w14:paraId="093885F1" w14:textId="77777777" w:rsidR="00045DD9" w:rsidRPr="00BB78CA" w:rsidRDefault="00045DD9" w:rsidP="003F393F">
      <w:pPr>
        <w:pStyle w:val="FootnoteText"/>
        <w:spacing w:after="40"/>
        <w:ind w:left="198" w:hanging="198"/>
        <w:jc w:val="both"/>
      </w:pPr>
      <w:r w:rsidRPr="00BB78CA">
        <w:rPr>
          <w:rStyle w:val="FootnoteReference"/>
        </w:rPr>
        <w:footnoteRef/>
      </w:r>
      <w:r w:rsidRPr="00BB78CA">
        <w:t xml:space="preserve"> </w:t>
      </w:r>
      <w:r>
        <w:rPr>
          <w:lang w:val="vi-VN"/>
        </w:rPr>
        <w:t>According to a quick report from the Office of the Ministry of Public Security and the Viet</w:t>
      </w:r>
      <w:r>
        <w:t xml:space="preserve"> N</w:t>
      </w:r>
      <w:r>
        <w:rPr>
          <w:lang w:val="vi-VN"/>
        </w:rPr>
        <w:t xml:space="preserve">am Maritime and Waterways Administration (Ministry of Construction) on </w:t>
      </w:r>
      <w:r>
        <w:rPr>
          <w:lang w:val="en-US"/>
        </w:rPr>
        <w:t>May</w:t>
      </w:r>
      <w:r>
        <w:rPr>
          <w:lang w:val="vi-VN"/>
        </w:rPr>
        <w:t xml:space="preserve"> 2</w:t>
      </w:r>
      <w:r>
        <w:t>3</w:t>
      </w:r>
      <w:r>
        <w:rPr>
          <w:vertAlign w:val="superscript"/>
        </w:rPr>
        <w:t>rd</w:t>
      </w:r>
      <w:r>
        <w:rPr>
          <w:lang w:val="vi-VN"/>
        </w:rPr>
        <w:t>, 202</w:t>
      </w:r>
      <w:r>
        <w:t>6</w:t>
      </w:r>
      <w:r>
        <w:rPr>
          <w:lang w:val="en-US"/>
        </w:rPr>
        <w:t xml:space="preserve">. </w:t>
      </w:r>
    </w:p>
  </w:footnote>
  <w:footnote w:id="38">
    <w:p w14:paraId="58772EFD" w14:textId="77777777" w:rsidR="00045DD9" w:rsidRPr="000F409C" w:rsidRDefault="00045DD9" w:rsidP="003F393F">
      <w:pPr>
        <w:pStyle w:val="FootnoteText"/>
        <w:spacing w:after="40"/>
        <w:ind w:left="198" w:hanging="198"/>
        <w:jc w:val="both"/>
      </w:pPr>
      <w:r w:rsidRPr="00BB78CA">
        <w:rPr>
          <w:rStyle w:val="FootnoteReference"/>
        </w:rPr>
        <w:footnoteRef/>
      </w:r>
      <w:r w:rsidRPr="00BB78CA">
        <w:t xml:space="preserve"> </w:t>
      </w:r>
      <w:r>
        <w:t xml:space="preserve">Compiled from reports of 34 Departments of Agriculture and Environment, covering the reporting period from </w:t>
      </w:r>
      <w:r>
        <w:rPr>
          <w:lang w:val="en-US"/>
        </w:rPr>
        <w:t>April</w:t>
      </w:r>
      <w:r>
        <w:t xml:space="preserve"> 22</w:t>
      </w:r>
      <w:r>
        <w:rPr>
          <w:vertAlign w:val="superscript"/>
        </w:rPr>
        <w:t>nd</w:t>
      </w:r>
      <w:r>
        <w:t xml:space="preserve">, 2026 to </w:t>
      </w:r>
      <w:r>
        <w:rPr>
          <w:lang w:val="en-US"/>
        </w:rPr>
        <w:t>May</w:t>
      </w:r>
      <w:r>
        <w:t>23</w:t>
      </w:r>
      <w:r>
        <w:rPr>
          <w:vertAlign w:val="superscript"/>
        </w:rPr>
        <w:t>rd</w:t>
      </w:r>
      <w:r>
        <w:t>, 2026.</w:t>
      </w:r>
    </w:p>
  </w:footnote>
  <w:footnote w:id="39">
    <w:p w14:paraId="6F5281D7" w14:textId="77777777" w:rsidR="00045DD9" w:rsidRPr="00BB78CA" w:rsidRDefault="00045DD9" w:rsidP="003F393F">
      <w:pPr>
        <w:pStyle w:val="FootnoteText"/>
        <w:spacing w:after="40"/>
        <w:ind w:left="198" w:hanging="198"/>
        <w:jc w:val="both"/>
        <w:rPr>
          <w:lang w:val="en-US"/>
        </w:rPr>
      </w:pPr>
      <w:r w:rsidRPr="00BB78CA">
        <w:rPr>
          <w:rStyle w:val="FootnoteReference"/>
        </w:rPr>
        <w:footnoteRef/>
      </w:r>
      <w:r w:rsidRPr="00BB78CA">
        <w:t xml:space="preserve"> </w:t>
      </w:r>
      <w:r>
        <w:rPr>
          <w:color w:val="000000" w:themeColor="text1"/>
        </w:rPr>
        <w:t>According to data compiled by Provincial and centrally-governed cities Statistics Offices from the reports of Provincial Departments of Agriculture and Environment and Provincial Police Departments</w:t>
      </w:r>
      <w:r>
        <w:rPr>
          <w:lang w:val="de-DE"/>
        </w:rPr>
        <w:t>.</w:t>
      </w:r>
    </w:p>
  </w:footnote>
  <w:footnote w:id="40">
    <w:p w14:paraId="4B4BFE74" w14:textId="77777777" w:rsidR="00045DD9" w:rsidRPr="00BB78CA" w:rsidRDefault="00045DD9" w:rsidP="003F393F">
      <w:pPr>
        <w:tabs>
          <w:tab w:val="left" w:pos="426"/>
          <w:tab w:val="left" w:pos="900"/>
        </w:tabs>
        <w:spacing w:after="40"/>
        <w:ind w:left="198" w:hanging="198"/>
        <w:jc w:val="both"/>
        <w:rPr>
          <w:sz w:val="20"/>
          <w:szCs w:val="20"/>
        </w:rPr>
      </w:pPr>
      <w:r w:rsidRPr="00BB78CA">
        <w:rPr>
          <w:rStyle w:val="FootnoteReference"/>
          <w:sz w:val="20"/>
          <w:szCs w:val="20"/>
        </w:rPr>
        <w:footnoteRef/>
      </w:r>
      <w:r w:rsidRPr="00BB78CA">
        <w:rPr>
          <w:sz w:val="20"/>
          <w:szCs w:val="20"/>
        </w:rPr>
        <w:t xml:space="preserve"> </w:t>
      </w:r>
      <w:r>
        <w:rPr>
          <w:color w:val="000000" w:themeColor="text1"/>
          <w:sz w:val="20"/>
          <w:szCs w:val="20"/>
        </w:rPr>
        <w:t xml:space="preserve">No environmental violation was detected in </w:t>
      </w:r>
      <w:r w:rsidRPr="00BB78CA">
        <w:rPr>
          <w:sz w:val="20"/>
          <w:szCs w:val="20"/>
        </w:rPr>
        <w:t xml:space="preserve">5 </w:t>
      </w:r>
      <w:r>
        <w:rPr>
          <w:sz w:val="20"/>
          <w:szCs w:val="20"/>
        </w:rPr>
        <w:t>provinces, including</w:t>
      </w:r>
      <w:r w:rsidRPr="00BB78CA">
        <w:rPr>
          <w:sz w:val="20"/>
          <w:szCs w:val="20"/>
        </w:rPr>
        <w:t xml:space="preserve">: </w:t>
      </w:r>
      <w:r w:rsidRPr="000F409C">
        <w:rPr>
          <w:snapToGrid w:val="0"/>
          <w:sz w:val="20"/>
          <w:szCs w:val="20"/>
        </w:rPr>
        <w:t>Hung Yen, Thai Nguyen, Quang Ngai, Khanh Hoa, and Lam Dong</w:t>
      </w:r>
      <w:r w:rsidRPr="00BB78CA">
        <w:rPr>
          <w:noProof/>
          <w:sz w:val="20"/>
          <w:szCs w:val="20"/>
        </w:rPr>
        <w:t>.</w:t>
      </w:r>
    </w:p>
  </w:footnote>
  <w:footnote w:id="41">
    <w:p w14:paraId="3D6D90F7" w14:textId="77777777" w:rsidR="00045DD9" w:rsidRPr="00BB78CA" w:rsidRDefault="00045DD9" w:rsidP="003F393F">
      <w:pPr>
        <w:pStyle w:val="FootnoteText"/>
        <w:spacing w:after="40"/>
        <w:ind w:left="198" w:hanging="198"/>
        <w:jc w:val="both"/>
      </w:pPr>
      <w:r w:rsidRPr="00BB78CA">
        <w:rPr>
          <w:rStyle w:val="FootnoteReference"/>
        </w:rPr>
        <w:footnoteRef/>
      </w:r>
      <w:r w:rsidRPr="00BB78CA">
        <w:t xml:space="preserve"> </w:t>
      </w:r>
      <w:r>
        <w:rPr>
          <w:color w:val="000000" w:themeColor="text1"/>
        </w:rPr>
        <w:t xml:space="preserve">According to a quick report from the Ministry of Public Security dated </w:t>
      </w:r>
      <w:r>
        <w:rPr>
          <w:color w:val="000000" w:themeColor="text1"/>
          <w:lang w:val="en-US"/>
        </w:rPr>
        <w:t xml:space="preserve">May </w:t>
      </w:r>
      <w:r>
        <w:rPr>
          <w:color w:val="000000" w:themeColor="text1"/>
        </w:rPr>
        <w:t>23</w:t>
      </w:r>
      <w:r>
        <w:rPr>
          <w:color w:val="000000" w:themeColor="text1"/>
          <w:vertAlign w:val="superscript"/>
        </w:rPr>
        <w:t>rd</w:t>
      </w:r>
      <w:r>
        <w:rPr>
          <w:color w:val="000000" w:themeColor="text1"/>
        </w:rPr>
        <w:t>, 2026</w:t>
      </w:r>
      <w:r w:rsidRPr="00BB78C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9161" w14:textId="77777777" w:rsidR="00045DD9" w:rsidRDefault="00045D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334082"/>
      <w:docPartObj>
        <w:docPartGallery w:val="Page Numbers (Top of Page)"/>
        <w:docPartUnique/>
      </w:docPartObj>
    </w:sdtPr>
    <w:sdtEndPr>
      <w:rPr>
        <w:noProof/>
      </w:rPr>
    </w:sdtEndPr>
    <w:sdtContent>
      <w:p w14:paraId="1DE310E9" w14:textId="33A7FEE8" w:rsidR="00045DD9" w:rsidRDefault="00045DD9">
        <w:pPr>
          <w:pStyle w:val="Header"/>
          <w:jc w:val="center"/>
        </w:pPr>
        <w:r>
          <w:fldChar w:fldCharType="begin"/>
        </w:r>
        <w:r>
          <w:instrText xml:space="preserve"> PAGE   \* MERGEFORMAT </w:instrText>
        </w:r>
        <w:r>
          <w:fldChar w:fldCharType="separate"/>
        </w:r>
        <w:r w:rsidR="00DF341B">
          <w:rPr>
            <w:noProof/>
          </w:rPr>
          <w:t>15</w:t>
        </w:r>
        <w:r>
          <w:rPr>
            <w:noProof/>
          </w:rPr>
          <w:fldChar w:fldCharType="end"/>
        </w:r>
      </w:p>
    </w:sdtContent>
  </w:sdt>
  <w:p w14:paraId="39289854" w14:textId="77777777" w:rsidR="00045DD9" w:rsidRDefault="00045D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F2A6" w14:textId="77777777" w:rsidR="00045DD9" w:rsidRDefault="00045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3B2D"/>
    <w:multiLevelType w:val="hybridMultilevel"/>
    <w:tmpl w:val="45A2BB3C"/>
    <w:lvl w:ilvl="0" w:tplc="6AA806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BC96019"/>
    <w:multiLevelType w:val="hybridMultilevel"/>
    <w:tmpl w:val="6322A5B2"/>
    <w:lvl w:ilvl="0" w:tplc="E0248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36671597">
    <w:abstractNumId w:val="0"/>
  </w:num>
  <w:num w:numId="2" w16cid:durableId="913667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768"/>
    <w:rsid w:val="00000D47"/>
    <w:rsid w:val="00001FBB"/>
    <w:rsid w:val="0000394C"/>
    <w:rsid w:val="00006881"/>
    <w:rsid w:val="000077A3"/>
    <w:rsid w:val="000105AE"/>
    <w:rsid w:val="000121CD"/>
    <w:rsid w:val="000137E5"/>
    <w:rsid w:val="000152D2"/>
    <w:rsid w:val="000153D1"/>
    <w:rsid w:val="00015881"/>
    <w:rsid w:val="0001673B"/>
    <w:rsid w:val="00021D24"/>
    <w:rsid w:val="00024081"/>
    <w:rsid w:val="00030143"/>
    <w:rsid w:val="000369C9"/>
    <w:rsid w:val="000374AD"/>
    <w:rsid w:val="00041274"/>
    <w:rsid w:val="00041809"/>
    <w:rsid w:val="00045DD9"/>
    <w:rsid w:val="00046FE1"/>
    <w:rsid w:val="000528E8"/>
    <w:rsid w:val="0005300F"/>
    <w:rsid w:val="00053768"/>
    <w:rsid w:val="000620A4"/>
    <w:rsid w:val="00065182"/>
    <w:rsid w:val="000712EB"/>
    <w:rsid w:val="00073355"/>
    <w:rsid w:val="00073EA5"/>
    <w:rsid w:val="00076288"/>
    <w:rsid w:val="00077F57"/>
    <w:rsid w:val="000819C5"/>
    <w:rsid w:val="0008799D"/>
    <w:rsid w:val="000917C2"/>
    <w:rsid w:val="0009370B"/>
    <w:rsid w:val="00094639"/>
    <w:rsid w:val="000A1904"/>
    <w:rsid w:val="000A3531"/>
    <w:rsid w:val="000A3C90"/>
    <w:rsid w:val="000A49F8"/>
    <w:rsid w:val="000A4BFA"/>
    <w:rsid w:val="000A4DD5"/>
    <w:rsid w:val="000A5ACE"/>
    <w:rsid w:val="000A6D5C"/>
    <w:rsid w:val="000A70AE"/>
    <w:rsid w:val="000A74BB"/>
    <w:rsid w:val="000B1456"/>
    <w:rsid w:val="000B3545"/>
    <w:rsid w:val="000B380E"/>
    <w:rsid w:val="000B60EE"/>
    <w:rsid w:val="000B6125"/>
    <w:rsid w:val="000B6804"/>
    <w:rsid w:val="000C1635"/>
    <w:rsid w:val="000C17A2"/>
    <w:rsid w:val="000C36C3"/>
    <w:rsid w:val="000C3F60"/>
    <w:rsid w:val="000D02EA"/>
    <w:rsid w:val="000D1DF8"/>
    <w:rsid w:val="000D5AB8"/>
    <w:rsid w:val="000E13BE"/>
    <w:rsid w:val="000E2DAC"/>
    <w:rsid w:val="000E3814"/>
    <w:rsid w:val="000E4E78"/>
    <w:rsid w:val="000F2221"/>
    <w:rsid w:val="000F2A82"/>
    <w:rsid w:val="000F409C"/>
    <w:rsid w:val="000F4316"/>
    <w:rsid w:val="000F5C03"/>
    <w:rsid w:val="00107F3D"/>
    <w:rsid w:val="00110192"/>
    <w:rsid w:val="0011234E"/>
    <w:rsid w:val="00113FB8"/>
    <w:rsid w:val="00115153"/>
    <w:rsid w:val="00115917"/>
    <w:rsid w:val="00115C03"/>
    <w:rsid w:val="00116C81"/>
    <w:rsid w:val="00117CC8"/>
    <w:rsid w:val="00120E3A"/>
    <w:rsid w:val="0012442C"/>
    <w:rsid w:val="001313B0"/>
    <w:rsid w:val="00131F5F"/>
    <w:rsid w:val="001430BA"/>
    <w:rsid w:val="00143375"/>
    <w:rsid w:val="00144F8C"/>
    <w:rsid w:val="00145CB7"/>
    <w:rsid w:val="0014750F"/>
    <w:rsid w:val="00147B74"/>
    <w:rsid w:val="00150724"/>
    <w:rsid w:val="00150C59"/>
    <w:rsid w:val="00152432"/>
    <w:rsid w:val="001567F3"/>
    <w:rsid w:val="00161F42"/>
    <w:rsid w:val="00162EEE"/>
    <w:rsid w:val="00163059"/>
    <w:rsid w:val="0016343A"/>
    <w:rsid w:val="00164CF6"/>
    <w:rsid w:val="0017160E"/>
    <w:rsid w:val="001729A3"/>
    <w:rsid w:val="00172A13"/>
    <w:rsid w:val="001736C0"/>
    <w:rsid w:val="001824EB"/>
    <w:rsid w:val="00186FDA"/>
    <w:rsid w:val="001930D3"/>
    <w:rsid w:val="00194482"/>
    <w:rsid w:val="00197567"/>
    <w:rsid w:val="001A28E9"/>
    <w:rsid w:val="001A2935"/>
    <w:rsid w:val="001A4398"/>
    <w:rsid w:val="001A4803"/>
    <w:rsid w:val="001A55F8"/>
    <w:rsid w:val="001A663A"/>
    <w:rsid w:val="001B0758"/>
    <w:rsid w:val="001B0CB3"/>
    <w:rsid w:val="001B7182"/>
    <w:rsid w:val="001C067B"/>
    <w:rsid w:val="001C09FE"/>
    <w:rsid w:val="001C3A06"/>
    <w:rsid w:val="001C4F36"/>
    <w:rsid w:val="001C710B"/>
    <w:rsid w:val="001D18E3"/>
    <w:rsid w:val="001D4086"/>
    <w:rsid w:val="001E419F"/>
    <w:rsid w:val="001E45D8"/>
    <w:rsid w:val="001E4964"/>
    <w:rsid w:val="001E704B"/>
    <w:rsid w:val="001F02AF"/>
    <w:rsid w:val="001F543E"/>
    <w:rsid w:val="001F753D"/>
    <w:rsid w:val="00205F6E"/>
    <w:rsid w:val="0021361B"/>
    <w:rsid w:val="00213996"/>
    <w:rsid w:val="002173C3"/>
    <w:rsid w:val="002209FD"/>
    <w:rsid w:val="0022251B"/>
    <w:rsid w:val="00222EB9"/>
    <w:rsid w:val="00223A54"/>
    <w:rsid w:val="00227754"/>
    <w:rsid w:val="00230689"/>
    <w:rsid w:val="0023085B"/>
    <w:rsid w:val="00232E0C"/>
    <w:rsid w:val="00234456"/>
    <w:rsid w:val="00237569"/>
    <w:rsid w:val="00237DD5"/>
    <w:rsid w:val="00241BE3"/>
    <w:rsid w:val="00242185"/>
    <w:rsid w:val="00243438"/>
    <w:rsid w:val="00250364"/>
    <w:rsid w:val="002503FC"/>
    <w:rsid w:val="00254190"/>
    <w:rsid w:val="002565CB"/>
    <w:rsid w:val="0025724C"/>
    <w:rsid w:val="00260F7A"/>
    <w:rsid w:val="0026529B"/>
    <w:rsid w:val="00267E54"/>
    <w:rsid w:val="002703C2"/>
    <w:rsid w:val="002734A3"/>
    <w:rsid w:val="00273F0D"/>
    <w:rsid w:val="0028020A"/>
    <w:rsid w:val="0028043C"/>
    <w:rsid w:val="0028203C"/>
    <w:rsid w:val="00290615"/>
    <w:rsid w:val="0029089B"/>
    <w:rsid w:val="00292CE1"/>
    <w:rsid w:val="00293C6B"/>
    <w:rsid w:val="00294018"/>
    <w:rsid w:val="002955BB"/>
    <w:rsid w:val="002976A5"/>
    <w:rsid w:val="002A1672"/>
    <w:rsid w:val="002A1B24"/>
    <w:rsid w:val="002A26C8"/>
    <w:rsid w:val="002A34B9"/>
    <w:rsid w:val="002A42B9"/>
    <w:rsid w:val="002A46D8"/>
    <w:rsid w:val="002A49C3"/>
    <w:rsid w:val="002A59FD"/>
    <w:rsid w:val="002A6770"/>
    <w:rsid w:val="002A68B8"/>
    <w:rsid w:val="002A7012"/>
    <w:rsid w:val="002B1774"/>
    <w:rsid w:val="002B4856"/>
    <w:rsid w:val="002C3382"/>
    <w:rsid w:val="002E61CD"/>
    <w:rsid w:val="002F0924"/>
    <w:rsid w:val="002F1D7A"/>
    <w:rsid w:val="002F3969"/>
    <w:rsid w:val="002F518D"/>
    <w:rsid w:val="00302C47"/>
    <w:rsid w:val="00302F0F"/>
    <w:rsid w:val="0030475D"/>
    <w:rsid w:val="00306C05"/>
    <w:rsid w:val="00310A59"/>
    <w:rsid w:val="00311514"/>
    <w:rsid w:val="00315444"/>
    <w:rsid w:val="0031544E"/>
    <w:rsid w:val="00322F72"/>
    <w:rsid w:val="00322FED"/>
    <w:rsid w:val="00323402"/>
    <w:rsid w:val="003240D9"/>
    <w:rsid w:val="0032467F"/>
    <w:rsid w:val="00325042"/>
    <w:rsid w:val="00334D3E"/>
    <w:rsid w:val="00335BB0"/>
    <w:rsid w:val="00336714"/>
    <w:rsid w:val="00336DB1"/>
    <w:rsid w:val="00336FB1"/>
    <w:rsid w:val="00337366"/>
    <w:rsid w:val="003402DD"/>
    <w:rsid w:val="003416E5"/>
    <w:rsid w:val="0034650B"/>
    <w:rsid w:val="00356520"/>
    <w:rsid w:val="00357AD2"/>
    <w:rsid w:val="00362C4F"/>
    <w:rsid w:val="00363493"/>
    <w:rsid w:val="00364A78"/>
    <w:rsid w:val="00365FC7"/>
    <w:rsid w:val="00366E7C"/>
    <w:rsid w:val="00367D1E"/>
    <w:rsid w:val="00373E99"/>
    <w:rsid w:val="003745B4"/>
    <w:rsid w:val="0037466C"/>
    <w:rsid w:val="0038501F"/>
    <w:rsid w:val="003871B9"/>
    <w:rsid w:val="00390B5B"/>
    <w:rsid w:val="003911F9"/>
    <w:rsid w:val="00393919"/>
    <w:rsid w:val="00393976"/>
    <w:rsid w:val="00395A52"/>
    <w:rsid w:val="003A0702"/>
    <w:rsid w:val="003A1415"/>
    <w:rsid w:val="003A2A2E"/>
    <w:rsid w:val="003A530D"/>
    <w:rsid w:val="003A5A3E"/>
    <w:rsid w:val="003A6049"/>
    <w:rsid w:val="003A6C0C"/>
    <w:rsid w:val="003B1610"/>
    <w:rsid w:val="003B30C5"/>
    <w:rsid w:val="003B3BB7"/>
    <w:rsid w:val="003B5C03"/>
    <w:rsid w:val="003B5FE3"/>
    <w:rsid w:val="003C101E"/>
    <w:rsid w:val="003C1366"/>
    <w:rsid w:val="003C1F72"/>
    <w:rsid w:val="003C27A0"/>
    <w:rsid w:val="003C6758"/>
    <w:rsid w:val="003D2172"/>
    <w:rsid w:val="003D5A95"/>
    <w:rsid w:val="003D7EB5"/>
    <w:rsid w:val="003E05C9"/>
    <w:rsid w:val="003E26AC"/>
    <w:rsid w:val="003E2EA9"/>
    <w:rsid w:val="003E3B7F"/>
    <w:rsid w:val="003F075A"/>
    <w:rsid w:val="003F1C14"/>
    <w:rsid w:val="003F243D"/>
    <w:rsid w:val="003F27DD"/>
    <w:rsid w:val="003F393F"/>
    <w:rsid w:val="003F561F"/>
    <w:rsid w:val="00400480"/>
    <w:rsid w:val="00402782"/>
    <w:rsid w:val="00402BC7"/>
    <w:rsid w:val="0040324F"/>
    <w:rsid w:val="004037C6"/>
    <w:rsid w:val="00405F19"/>
    <w:rsid w:val="0041084F"/>
    <w:rsid w:val="00411E95"/>
    <w:rsid w:val="004124CB"/>
    <w:rsid w:val="004137C2"/>
    <w:rsid w:val="00415DC0"/>
    <w:rsid w:val="00421CFE"/>
    <w:rsid w:val="00421E27"/>
    <w:rsid w:val="00423435"/>
    <w:rsid w:val="004442D5"/>
    <w:rsid w:val="004449AC"/>
    <w:rsid w:val="0044549D"/>
    <w:rsid w:val="0044652B"/>
    <w:rsid w:val="00446E14"/>
    <w:rsid w:val="00451302"/>
    <w:rsid w:val="0045499D"/>
    <w:rsid w:val="004568D5"/>
    <w:rsid w:val="00457A56"/>
    <w:rsid w:val="00460695"/>
    <w:rsid w:val="004606A9"/>
    <w:rsid w:val="00460807"/>
    <w:rsid w:val="00463535"/>
    <w:rsid w:val="004637A1"/>
    <w:rsid w:val="00470BF2"/>
    <w:rsid w:val="00471664"/>
    <w:rsid w:val="00472273"/>
    <w:rsid w:val="00474340"/>
    <w:rsid w:val="00474786"/>
    <w:rsid w:val="004778A6"/>
    <w:rsid w:val="004865B8"/>
    <w:rsid w:val="00487CC0"/>
    <w:rsid w:val="00487D5A"/>
    <w:rsid w:val="00490248"/>
    <w:rsid w:val="00492FE2"/>
    <w:rsid w:val="00493081"/>
    <w:rsid w:val="00496C77"/>
    <w:rsid w:val="00497F6C"/>
    <w:rsid w:val="004A00F8"/>
    <w:rsid w:val="004A1C28"/>
    <w:rsid w:val="004A52D6"/>
    <w:rsid w:val="004A62A5"/>
    <w:rsid w:val="004C408B"/>
    <w:rsid w:val="004C502C"/>
    <w:rsid w:val="004D0153"/>
    <w:rsid w:val="004D25EF"/>
    <w:rsid w:val="004D3AFC"/>
    <w:rsid w:val="004D5DE1"/>
    <w:rsid w:val="004E30CD"/>
    <w:rsid w:val="004E5EA8"/>
    <w:rsid w:val="004F4479"/>
    <w:rsid w:val="004F6113"/>
    <w:rsid w:val="004F77BE"/>
    <w:rsid w:val="00500734"/>
    <w:rsid w:val="00501BB4"/>
    <w:rsid w:val="00506A65"/>
    <w:rsid w:val="00510DFB"/>
    <w:rsid w:val="00516F94"/>
    <w:rsid w:val="005228DD"/>
    <w:rsid w:val="00523D4D"/>
    <w:rsid w:val="00523D54"/>
    <w:rsid w:val="00524873"/>
    <w:rsid w:val="00527B54"/>
    <w:rsid w:val="005303FE"/>
    <w:rsid w:val="00530DA4"/>
    <w:rsid w:val="005316D5"/>
    <w:rsid w:val="005373D4"/>
    <w:rsid w:val="0054488F"/>
    <w:rsid w:val="00545CB2"/>
    <w:rsid w:val="00547852"/>
    <w:rsid w:val="00547B59"/>
    <w:rsid w:val="00547E7B"/>
    <w:rsid w:val="005521E7"/>
    <w:rsid w:val="005522CC"/>
    <w:rsid w:val="00552563"/>
    <w:rsid w:val="00554CB7"/>
    <w:rsid w:val="00555AD3"/>
    <w:rsid w:val="00561B18"/>
    <w:rsid w:val="00567AEE"/>
    <w:rsid w:val="00570826"/>
    <w:rsid w:val="00572095"/>
    <w:rsid w:val="005720B5"/>
    <w:rsid w:val="00574049"/>
    <w:rsid w:val="00574FD5"/>
    <w:rsid w:val="00577892"/>
    <w:rsid w:val="00580A24"/>
    <w:rsid w:val="00584E0C"/>
    <w:rsid w:val="00586EE5"/>
    <w:rsid w:val="0059033E"/>
    <w:rsid w:val="0059213B"/>
    <w:rsid w:val="00594B17"/>
    <w:rsid w:val="005952D3"/>
    <w:rsid w:val="00597C48"/>
    <w:rsid w:val="005A1B70"/>
    <w:rsid w:val="005B0676"/>
    <w:rsid w:val="005B28DD"/>
    <w:rsid w:val="005B6CE8"/>
    <w:rsid w:val="005C1B20"/>
    <w:rsid w:val="005C31D1"/>
    <w:rsid w:val="005C3D95"/>
    <w:rsid w:val="005C58C4"/>
    <w:rsid w:val="005C64EF"/>
    <w:rsid w:val="005D5124"/>
    <w:rsid w:val="005E06B2"/>
    <w:rsid w:val="005E4330"/>
    <w:rsid w:val="005E6CD6"/>
    <w:rsid w:val="005E741F"/>
    <w:rsid w:val="005E7E3F"/>
    <w:rsid w:val="005F03B9"/>
    <w:rsid w:val="005F1165"/>
    <w:rsid w:val="005F1B0B"/>
    <w:rsid w:val="005F5EE6"/>
    <w:rsid w:val="0060017F"/>
    <w:rsid w:val="006017E7"/>
    <w:rsid w:val="00602005"/>
    <w:rsid w:val="00602DC6"/>
    <w:rsid w:val="00603798"/>
    <w:rsid w:val="00603C53"/>
    <w:rsid w:val="0060421C"/>
    <w:rsid w:val="00604D79"/>
    <w:rsid w:val="00607ABA"/>
    <w:rsid w:val="00607F38"/>
    <w:rsid w:val="00610205"/>
    <w:rsid w:val="0061193D"/>
    <w:rsid w:val="00611D6B"/>
    <w:rsid w:val="0061297B"/>
    <w:rsid w:val="006143B0"/>
    <w:rsid w:val="0061627F"/>
    <w:rsid w:val="00616B53"/>
    <w:rsid w:val="00625A8F"/>
    <w:rsid w:val="00627009"/>
    <w:rsid w:val="00630392"/>
    <w:rsid w:val="00634F19"/>
    <w:rsid w:val="00636053"/>
    <w:rsid w:val="00636F24"/>
    <w:rsid w:val="006377D0"/>
    <w:rsid w:val="00641365"/>
    <w:rsid w:val="0064473C"/>
    <w:rsid w:val="00646268"/>
    <w:rsid w:val="00646990"/>
    <w:rsid w:val="00650E87"/>
    <w:rsid w:val="00652EDE"/>
    <w:rsid w:val="00660BB2"/>
    <w:rsid w:val="006613FB"/>
    <w:rsid w:val="006639B2"/>
    <w:rsid w:val="00664D3F"/>
    <w:rsid w:val="0068012E"/>
    <w:rsid w:val="00682964"/>
    <w:rsid w:val="006851E4"/>
    <w:rsid w:val="006927A0"/>
    <w:rsid w:val="00692C74"/>
    <w:rsid w:val="006A050D"/>
    <w:rsid w:val="006A3961"/>
    <w:rsid w:val="006A629C"/>
    <w:rsid w:val="006A6B4B"/>
    <w:rsid w:val="006B1136"/>
    <w:rsid w:val="006B2130"/>
    <w:rsid w:val="006B29AB"/>
    <w:rsid w:val="006C0A6E"/>
    <w:rsid w:val="006C151C"/>
    <w:rsid w:val="006C2640"/>
    <w:rsid w:val="006C5A93"/>
    <w:rsid w:val="006C6344"/>
    <w:rsid w:val="006D01CD"/>
    <w:rsid w:val="006D3476"/>
    <w:rsid w:val="006D3AD1"/>
    <w:rsid w:val="006D6E1A"/>
    <w:rsid w:val="006E0736"/>
    <w:rsid w:val="006E5731"/>
    <w:rsid w:val="006E6D5B"/>
    <w:rsid w:val="006E70F3"/>
    <w:rsid w:val="006E79B7"/>
    <w:rsid w:val="006F1E1C"/>
    <w:rsid w:val="006F4A6A"/>
    <w:rsid w:val="00701FFB"/>
    <w:rsid w:val="007021D9"/>
    <w:rsid w:val="0070422F"/>
    <w:rsid w:val="00704CD6"/>
    <w:rsid w:val="007125C2"/>
    <w:rsid w:val="00714FAE"/>
    <w:rsid w:val="007157C0"/>
    <w:rsid w:val="00726BAE"/>
    <w:rsid w:val="00726D7A"/>
    <w:rsid w:val="00727026"/>
    <w:rsid w:val="00727F6F"/>
    <w:rsid w:val="0073107F"/>
    <w:rsid w:val="007344E2"/>
    <w:rsid w:val="0074350A"/>
    <w:rsid w:val="007438AE"/>
    <w:rsid w:val="00743CFF"/>
    <w:rsid w:val="00744A8E"/>
    <w:rsid w:val="00745299"/>
    <w:rsid w:val="0074551A"/>
    <w:rsid w:val="00745FB2"/>
    <w:rsid w:val="00746EA3"/>
    <w:rsid w:val="00750B52"/>
    <w:rsid w:val="00750D2B"/>
    <w:rsid w:val="00750D6C"/>
    <w:rsid w:val="00751D7D"/>
    <w:rsid w:val="0075449F"/>
    <w:rsid w:val="00754D51"/>
    <w:rsid w:val="0075695E"/>
    <w:rsid w:val="007574C7"/>
    <w:rsid w:val="007576E4"/>
    <w:rsid w:val="00757A90"/>
    <w:rsid w:val="00764977"/>
    <w:rsid w:val="007669D5"/>
    <w:rsid w:val="00766D86"/>
    <w:rsid w:val="00775C2D"/>
    <w:rsid w:val="00782D5B"/>
    <w:rsid w:val="00782DA1"/>
    <w:rsid w:val="00783BB0"/>
    <w:rsid w:val="00791EB6"/>
    <w:rsid w:val="00796815"/>
    <w:rsid w:val="007A07B6"/>
    <w:rsid w:val="007A1442"/>
    <w:rsid w:val="007A2956"/>
    <w:rsid w:val="007A3E82"/>
    <w:rsid w:val="007B7535"/>
    <w:rsid w:val="007C0780"/>
    <w:rsid w:val="007C0B60"/>
    <w:rsid w:val="007C3501"/>
    <w:rsid w:val="007C6383"/>
    <w:rsid w:val="007D0954"/>
    <w:rsid w:val="007D7001"/>
    <w:rsid w:val="007D7DF6"/>
    <w:rsid w:val="007D7F5F"/>
    <w:rsid w:val="007E074C"/>
    <w:rsid w:val="007E11F1"/>
    <w:rsid w:val="007E7165"/>
    <w:rsid w:val="007F017C"/>
    <w:rsid w:val="007F367F"/>
    <w:rsid w:val="007F618F"/>
    <w:rsid w:val="008024EB"/>
    <w:rsid w:val="0080366F"/>
    <w:rsid w:val="00804006"/>
    <w:rsid w:val="0080578A"/>
    <w:rsid w:val="00812541"/>
    <w:rsid w:val="00812967"/>
    <w:rsid w:val="00827139"/>
    <w:rsid w:val="00827C63"/>
    <w:rsid w:val="00832473"/>
    <w:rsid w:val="008357AA"/>
    <w:rsid w:val="00840161"/>
    <w:rsid w:val="00840424"/>
    <w:rsid w:val="00842592"/>
    <w:rsid w:val="00844161"/>
    <w:rsid w:val="00846E3F"/>
    <w:rsid w:val="008524CA"/>
    <w:rsid w:val="00860D51"/>
    <w:rsid w:val="00862498"/>
    <w:rsid w:val="00863116"/>
    <w:rsid w:val="00863C02"/>
    <w:rsid w:val="00872E9A"/>
    <w:rsid w:val="008749E7"/>
    <w:rsid w:val="00874FB9"/>
    <w:rsid w:val="00875A20"/>
    <w:rsid w:val="008825F3"/>
    <w:rsid w:val="008854E5"/>
    <w:rsid w:val="00887048"/>
    <w:rsid w:val="00891D34"/>
    <w:rsid w:val="00896A26"/>
    <w:rsid w:val="00896F1C"/>
    <w:rsid w:val="008A2FE6"/>
    <w:rsid w:val="008A781F"/>
    <w:rsid w:val="008B2576"/>
    <w:rsid w:val="008B46EF"/>
    <w:rsid w:val="008B5944"/>
    <w:rsid w:val="008C2493"/>
    <w:rsid w:val="008C7F67"/>
    <w:rsid w:val="008D11BF"/>
    <w:rsid w:val="008D254F"/>
    <w:rsid w:val="008D724C"/>
    <w:rsid w:val="008E3B41"/>
    <w:rsid w:val="008E3EB5"/>
    <w:rsid w:val="008E5BC8"/>
    <w:rsid w:val="008E6B01"/>
    <w:rsid w:val="008E7575"/>
    <w:rsid w:val="008F06C1"/>
    <w:rsid w:val="008F5724"/>
    <w:rsid w:val="009002F8"/>
    <w:rsid w:val="00900A3C"/>
    <w:rsid w:val="00904E4F"/>
    <w:rsid w:val="0090544C"/>
    <w:rsid w:val="00905B3E"/>
    <w:rsid w:val="00910C0B"/>
    <w:rsid w:val="0091355E"/>
    <w:rsid w:val="00913C6B"/>
    <w:rsid w:val="0091653C"/>
    <w:rsid w:val="00917C9B"/>
    <w:rsid w:val="00917EC2"/>
    <w:rsid w:val="00924B7C"/>
    <w:rsid w:val="0093386E"/>
    <w:rsid w:val="009379C9"/>
    <w:rsid w:val="00937F2E"/>
    <w:rsid w:val="00943417"/>
    <w:rsid w:val="009445E5"/>
    <w:rsid w:val="00944959"/>
    <w:rsid w:val="009455F6"/>
    <w:rsid w:val="00950C12"/>
    <w:rsid w:val="009516FB"/>
    <w:rsid w:val="00951742"/>
    <w:rsid w:val="00954751"/>
    <w:rsid w:val="00956DE5"/>
    <w:rsid w:val="00966C91"/>
    <w:rsid w:val="009702E5"/>
    <w:rsid w:val="009706F6"/>
    <w:rsid w:val="00970ECF"/>
    <w:rsid w:val="00971C9C"/>
    <w:rsid w:val="009727E2"/>
    <w:rsid w:val="00975987"/>
    <w:rsid w:val="00976B85"/>
    <w:rsid w:val="0097786D"/>
    <w:rsid w:val="009800EF"/>
    <w:rsid w:val="009808FB"/>
    <w:rsid w:val="009824DA"/>
    <w:rsid w:val="009828DE"/>
    <w:rsid w:val="009833AB"/>
    <w:rsid w:val="00984FAD"/>
    <w:rsid w:val="0098739D"/>
    <w:rsid w:val="0098790F"/>
    <w:rsid w:val="00987AF4"/>
    <w:rsid w:val="00987FCB"/>
    <w:rsid w:val="00990378"/>
    <w:rsid w:val="00994ED0"/>
    <w:rsid w:val="00995382"/>
    <w:rsid w:val="00996744"/>
    <w:rsid w:val="00996EE0"/>
    <w:rsid w:val="009A2562"/>
    <w:rsid w:val="009A2D75"/>
    <w:rsid w:val="009A77EB"/>
    <w:rsid w:val="009B43EB"/>
    <w:rsid w:val="009B5DF5"/>
    <w:rsid w:val="009B6DCF"/>
    <w:rsid w:val="009B7579"/>
    <w:rsid w:val="009C1D34"/>
    <w:rsid w:val="009C6426"/>
    <w:rsid w:val="009D0D70"/>
    <w:rsid w:val="009D1981"/>
    <w:rsid w:val="009D5B4B"/>
    <w:rsid w:val="009D7B71"/>
    <w:rsid w:val="009E1408"/>
    <w:rsid w:val="009E4B6F"/>
    <w:rsid w:val="009E6614"/>
    <w:rsid w:val="009F0173"/>
    <w:rsid w:val="009F1DD5"/>
    <w:rsid w:val="009F4512"/>
    <w:rsid w:val="009F58B2"/>
    <w:rsid w:val="009F7268"/>
    <w:rsid w:val="00A003B0"/>
    <w:rsid w:val="00A0427A"/>
    <w:rsid w:val="00A1441B"/>
    <w:rsid w:val="00A14C64"/>
    <w:rsid w:val="00A20310"/>
    <w:rsid w:val="00A2135E"/>
    <w:rsid w:val="00A24A05"/>
    <w:rsid w:val="00A24FA2"/>
    <w:rsid w:val="00A26E82"/>
    <w:rsid w:val="00A34EC6"/>
    <w:rsid w:val="00A43A87"/>
    <w:rsid w:val="00A43F1F"/>
    <w:rsid w:val="00A46810"/>
    <w:rsid w:val="00A50685"/>
    <w:rsid w:val="00A51547"/>
    <w:rsid w:val="00A53644"/>
    <w:rsid w:val="00A53F8F"/>
    <w:rsid w:val="00A54EF1"/>
    <w:rsid w:val="00A6046E"/>
    <w:rsid w:val="00A60CA8"/>
    <w:rsid w:val="00A636A3"/>
    <w:rsid w:val="00A63B60"/>
    <w:rsid w:val="00A6458D"/>
    <w:rsid w:val="00A64840"/>
    <w:rsid w:val="00A64BC1"/>
    <w:rsid w:val="00A64E0C"/>
    <w:rsid w:val="00A6605F"/>
    <w:rsid w:val="00A707B8"/>
    <w:rsid w:val="00A71953"/>
    <w:rsid w:val="00A719BE"/>
    <w:rsid w:val="00A75C8B"/>
    <w:rsid w:val="00A76E9E"/>
    <w:rsid w:val="00A815B4"/>
    <w:rsid w:val="00A86FDD"/>
    <w:rsid w:val="00A87A96"/>
    <w:rsid w:val="00A9012A"/>
    <w:rsid w:val="00A902A3"/>
    <w:rsid w:val="00A91B58"/>
    <w:rsid w:val="00A93031"/>
    <w:rsid w:val="00A94539"/>
    <w:rsid w:val="00A94DA6"/>
    <w:rsid w:val="00A9668F"/>
    <w:rsid w:val="00A96923"/>
    <w:rsid w:val="00AA1D9D"/>
    <w:rsid w:val="00AA38CA"/>
    <w:rsid w:val="00AA4CBA"/>
    <w:rsid w:val="00AA7181"/>
    <w:rsid w:val="00AB27A7"/>
    <w:rsid w:val="00AB3FF6"/>
    <w:rsid w:val="00AB60D7"/>
    <w:rsid w:val="00AB7A18"/>
    <w:rsid w:val="00AC0291"/>
    <w:rsid w:val="00AC2200"/>
    <w:rsid w:val="00AC3C91"/>
    <w:rsid w:val="00AC613B"/>
    <w:rsid w:val="00AD2676"/>
    <w:rsid w:val="00AD2A20"/>
    <w:rsid w:val="00AD2CD8"/>
    <w:rsid w:val="00AD63F3"/>
    <w:rsid w:val="00AD7E36"/>
    <w:rsid w:val="00AE05A0"/>
    <w:rsid w:val="00AE1773"/>
    <w:rsid w:val="00AE2668"/>
    <w:rsid w:val="00AE3AA4"/>
    <w:rsid w:val="00AE4A0A"/>
    <w:rsid w:val="00AE506E"/>
    <w:rsid w:val="00AE5224"/>
    <w:rsid w:val="00AE52C6"/>
    <w:rsid w:val="00AE743C"/>
    <w:rsid w:val="00AF623D"/>
    <w:rsid w:val="00AF7CC6"/>
    <w:rsid w:val="00B014CF"/>
    <w:rsid w:val="00B062DA"/>
    <w:rsid w:val="00B06D19"/>
    <w:rsid w:val="00B106E2"/>
    <w:rsid w:val="00B21DD2"/>
    <w:rsid w:val="00B23703"/>
    <w:rsid w:val="00B2529D"/>
    <w:rsid w:val="00B27A2E"/>
    <w:rsid w:val="00B3321C"/>
    <w:rsid w:val="00B34472"/>
    <w:rsid w:val="00B361A4"/>
    <w:rsid w:val="00B4083B"/>
    <w:rsid w:val="00B4347A"/>
    <w:rsid w:val="00B446BE"/>
    <w:rsid w:val="00B475B3"/>
    <w:rsid w:val="00B50F8B"/>
    <w:rsid w:val="00B51472"/>
    <w:rsid w:val="00B53DBE"/>
    <w:rsid w:val="00B60E43"/>
    <w:rsid w:val="00B64575"/>
    <w:rsid w:val="00B648AC"/>
    <w:rsid w:val="00B67FE5"/>
    <w:rsid w:val="00B77C39"/>
    <w:rsid w:val="00B82106"/>
    <w:rsid w:val="00B837D5"/>
    <w:rsid w:val="00B858B2"/>
    <w:rsid w:val="00B87B28"/>
    <w:rsid w:val="00B901E7"/>
    <w:rsid w:val="00B93AF6"/>
    <w:rsid w:val="00B944A4"/>
    <w:rsid w:val="00B9790A"/>
    <w:rsid w:val="00B9794F"/>
    <w:rsid w:val="00BA0245"/>
    <w:rsid w:val="00BA568A"/>
    <w:rsid w:val="00BA6DFA"/>
    <w:rsid w:val="00BB1D65"/>
    <w:rsid w:val="00BB37F6"/>
    <w:rsid w:val="00BB78CA"/>
    <w:rsid w:val="00BC125D"/>
    <w:rsid w:val="00BC465A"/>
    <w:rsid w:val="00BC5F3B"/>
    <w:rsid w:val="00BD0564"/>
    <w:rsid w:val="00BD4442"/>
    <w:rsid w:val="00BD5E18"/>
    <w:rsid w:val="00BD64F8"/>
    <w:rsid w:val="00BE0CFE"/>
    <w:rsid w:val="00BE3F0E"/>
    <w:rsid w:val="00BE5150"/>
    <w:rsid w:val="00BE60F1"/>
    <w:rsid w:val="00BE6C1D"/>
    <w:rsid w:val="00BF449C"/>
    <w:rsid w:val="00BF5172"/>
    <w:rsid w:val="00BF5E15"/>
    <w:rsid w:val="00BF6E54"/>
    <w:rsid w:val="00C02672"/>
    <w:rsid w:val="00C0435B"/>
    <w:rsid w:val="00C05051"/>
    <w:rsid w:val="00C1173C"/>
    <w:rsid w:val="00C13311"/>
    <w:rsid w:val="00C212BF"/>
    <w:rsid w:val="00C25A07"/>
    <w:rsid w:val="00C276CA"/>
    <w:rsid w:val="00C32682"/>
    <w:rsid w:val="00C34208"/>
    <w:rsid w:val="00C345E8"/>
    <w:rsid w:val="00C357CC"/>
    <w:rsid w:val="00C359C3"/>
    <w:rsid w:val="00C402AB"/>
    <w:rsid w:val="00C444FE"/>
    <w:rsid w:val="00C459FE"/>
    <w:rsid w:val="00C462EE"/>
    <w:rsid w:val="00C47294"/>
    <w:rsid w:val="00C50C0E"/>
    <w:rsid w:val="00C50DE2"/>
    <w:rsid w:val="00C5238A"/>
    <w:rsid w:val="00C53575"/>
    <w:rsid w:val="00C547B3"/>
    <w:rsid w:val="00C547CA"/>
    <w:rsid w:val="00C565E6"/>
    <w:rsid w:val="00C57315"/>
    <w:rsid w:val="00C600D3"/>
    <w:rsid w:val="00C62BC1"/>
    <w:rsid w:val="00C67D4D"/>
    <w:rsid w:val="00C71D23"/>
    <w:rsid w:val="00C75B45"/>
    <w:rsid w:val="00C7603D"/>
    <w:rsid w:val="00C824C1"/>
    <w:rsid w:val="00C846FB"/>
    <w:rsid w:val="00C84E1B"/>
    <w:rsid w:val="00C84FB4"/>
    <w:rsid w:val="00C85728"/>
    <w:rsid w:val="00C87DEE"/>
    <w:rsid w:val="00C9043C"/>
    <w:rsid w:val="00C90B0D"/>
    <w:rsid w:val="00C915AF"/>
    <w:rsid w:val="00C917C6"/>
    <w:rsid w:val="00C918A8"/>
    <w:rsid w:val="00C93637"/>
    <w:rsid w:val="00C94A41"/>
    <w:rsid w:val="00C952A4"/>
    <w:rsid w:val="00C960ED"/>
    <w:rsid w:val="00C96AD8"/>
    <w:rsid w:val="00C97E1B"/>
    <w:rsid w:val="00CA0677"/>
    <w:rsid w:val="00CA1C11"/>
    <w:rsid w:val="00CA238C"/>
    <w:rsid w:val="00CA2F59"/>
    <w:rsid w:val="00CA3D57"/>
    <w:rsid w:val="00CA6605"/>
    <w:rsid w:val="00CA6784"/>
    <w:rsid w:val="00CA779A"/>
    <w:rsid w:val="00CB2ED4"/>
    <w:rsid w:val="00CB3816"/>
    <w:rsid w:val="00CB630F"/>
    <w:rsid w:val="00CB654F"/>
    <w:rsid w:val="00CB7CEE"/>
    <w:rsid w:val="00CC0C87"/>
    <w:rsid w:val="00CC115D"/>
    <w:rsid w:val="00CC1BD7"/>
    <w:rsid w:val="00CC2E6F"/>
    <w:rsid w:val="00CC4699"/>
    <w:rsid w:val="00CC4DB2"/>
    <w:rsid w:val="00CC654E"/>
    <w:rsid w:val="00CD3D07"/>
    <w:rsid w:val="00CD5C89"/>
    <w:rsid w:val="00CD624D"/>
    <w:rsid w:val="00CE0612"/>
    <w:rsid w:val="00CE066F"/>
    <w:rsid w:val="00CE3A85"/>
    <w:rsid w:val="00CE3DD6"/>
    <w:rsid w:val="00CF1092"/>
    <w:rsid w:val="00CF2177"/>
    <w:rsid w:val="00D00654"/>
    <w:rsid w:val="00D02BCF"/>
    <w:rsid w:val="00D0358D"/>
    <w:rsid w:val="00D03E79"/>
    <w:rsid w:val="00D046EB"/>
    <w:rsid w:val="00D12536"/>
    <w:rsid w:val="00D13E7A"/>
    <w:rsid w:val="00D17C47"/>
    <w:rsid w:val="00D206AF"/>
    <w:rsid w:val="00D20D50"/>
    <w:rsid w:val="00D217B2"/>
    <w:rsid w:val="00D313CF"/>
    <w:rsid w:val="00D32974"/>
    <w:rsid w:val="00D32A32"/>
    <w:rsid w:val="00D32F05"/>
    <w:rsid w:val="00D36B96"/>
    <w:rsid w:val="00D419D2"/>
    <w:rsid w:val="00D4456D"/>
    <w:rsid w:val="00D44789"/>
    <w:rsid w:val="00D5111C"/>
    <w:rsid w:val="00D53CC4"/>
    <w:rsid w:val="00D56C40"/>
    <w:rsid w:val="00D6286B"/>
    <w:rsid w:val="00D6457E"/>
    <w:rsid w:val="00D67928"/>
    <w:rsid w:val="00D71433"/>
    <w:rsid w:val="00D7211E"/>
    <w:rsid w:val="00D7570C"/>
    <w:rsid w:val="00D764B8"/>
    <w:rsid w:val="00D8287C"/>
    <w:rsid w:val="00D82D26"/>
    <w:rsid w:val="00D914A8"/>
    <w:rsid w:val="00D92D14"/>
    <w:rsid w:val="00D9454D"/>
    <w:rsid w:val="00D97BF4"/>
    <w:rsid w:val="00DA417F"/>
    <w:rsid w:val="00DA5ABF"/>
    <w:rsid w:val="00DB4282"/>
    <w:rsid w:val="00DB594E"/>
    <w:rsid w:val="00DC0DFD"/>
    <w:rsid w:val="00DC0F95"/>
    <w:rsid w:val="00DC390A"/>
    <w:rsid w:val="00DC40E3"/>
    <w:rsid w:val="00DC4E14"/>
    <w:rsid w:val="00DC5979"/>
    <w:rsid w:val="00DC7295"/>
    <w:rsid w:val="00DD003E"/>
    <w:rsid w:val="00DD6C35"/>
    <w:rsid w:val="00DE046A"/>
    <w:rsid w:val="00DE070D"/>
    <w:rsid w:val="00DE5A61"/>
    <w:rsid w:val="00DF0D32"/>
    <w:rsid w:val="00DF1C1F"/>
    <w:rsid w:val="00DF3031"/>
    <w:rsid w:val="00DF341B"/>
    <w:rsid w:val="00DF3BE2"/>
    <w:rsid w:val="00DF7422"/>
    <w:rsid w:val="00DF7A3A"/>
    <w:rsid w:val="00E00119"/>
    <w:rsid w:val="00E028F3"/>
    <w:rsid w:val="00E04816"/>
    <w:rsid w:val="00E05F24"/>
    <w:rsid w:val="00E075BF"/>
    <w:rsid w:val="00E10D8A"/>
    <w:rsid w:val="00E11470"/>
    <w:rsid w:val="00E11C99"/>
    <w:rsid w:val="00E11E84"/>
    <w:rsid w:val="00E14153"/>
    <w:rsid w:val="00E154BD"/>
    <w:rsid w:val="00E17CFD"/>
    <w:rsid w:val="00E215C1"/>
    <w:rsid w:val="00E2171C"/>
    <w:rsid w:val="00E21796"/>
    <w:rsid w:val="00E21C34"/>
    <w:rsid w:val="00E26115"/>
    <w:rsid w:val="00E30701"/>
    <w:rsid w:val="00E30C7C"/>
    <w:rsid w:val="00E30E62"/>
    <w:rsid w:val="00E3732B"/>
    <w:rsid w:val="00E46A95"/>
    <w:rsid w:val="00E528DA"/>
    <w:rsid w:val="00E60EC2"/>
    <w:rsid w:val="00E60FE7"/>
    <w:rsid w:val="00E610A3"/>
    <w:rsid w:val="00E66B8C"/>
    <w:rsid w:val="00E71A91"/>
    <w:rsid w:val="00E7456F"/>
    <w:rsid w:val="00E77052"/>
    <w:rsid w:val="00E80450"/>
    <w:rsid w:val="00E80885"/>
    <w:rsid w:val="00E80DEB"/>
    <w:rsid w:val="00E85A71"/>
    <w:rsid w:val="00E85F14"/>
    <w:rsid w:val="00E87B45"/>
    <w:rsid w:val="00E90DA9"/>
    <w:rsid w:val="00E9463A"/>
    <w:rsid w:val="00E963CC"/>
    <w:rsid w:val="00E97F33"/>
    <w:rsid w:val="00EA1546"/>
    <w:rsid w:val="00EA29E9"/>
    <w:rsid w:val="00EA3B11"/>
    <w:rsid w:val="00EA7B11"/>
    <w:rsid w:val="00EB531B"/>
    <w:rsid w:val="00EC0D81"/>
    <w:rsid w:val="00EC1DB1"/>
    <w:rsid w:val="00ED2D17"/>
    <w:rsid w:val="00ED4876"/>
    <w:rsid w:val="00ED5502"/>
    <w:rsid w:val="00EE0213"/>
    <w:rsid w:val="00EE17F6"/>
    <w:rsid w:val="00EE1BAA"/>
    <w:rsid w:val="00EE1D27"/>
    <w:rsid w:val="00EE23A0"/>
    <w:rsid w:val="00EE51C7"/>
    <w:rsid w:val="00EF01E6"/>
    <w:rsid w:val="00EF381D"/>
    <w:rsid w:val="00EF5A46"/>
    <w:rsid w:val="00EF64B7"/>
    <w:rsid w:val="00EF75DC"/>
    <w:rsid w:val="00EF7A8C"/>
    <w:rsid w:val="00F004B8"/>
    <w:rsid w:val="00F00CC4"/>
    <w:rsid w:val="00F010B5"/>
    <w:rsid w:val="00F05F82"/>
    <w:rsid w:val="00F06679"/>
    <w:rsid w:val="00F07FEA"/>
    <w:rsid w:val="00F12B84"/>
    <w:rsid w:val="00F14F1B"/>
    <w:rsid w:val="00F1521A"/>
    <w:rsid w:val="00F1640C"/>
    <w:rsid w:val="00F262C0"/>
    <w:rsid w:val="00F27202"/>
    <w:rsid w:val="00F275ED"/>
    <w:rsid w:val="00F344F5"/>
    <w:rsid w:val="00F36A05"/>
    <w:rsid w:val="00F3714C"/>
    <w:rsid w:val="00F410E3"/>
    <w:rsid w:val="00F41C4B"/>
    <w:rsid w:val="00F4248B"/>
    <w:rsid w:val="00F464FA"/>
    <w:rsid w:val="00F53C3A"/>
    <w:rsid w:val="00F5626D"/>
    <w:rsid w:val="00F562A4"/>
    <w:rsid w:val="00F56397"/>
    <w:rsid w:val="00F572C3"/>
    <w:rsid w:val="00F578DC"/>
    <w:rsid w:val="00F606BE"/>
    <w:rsid w:val="00F649BD"/>
    <w:rsid w:val="00F64AB4"/>
    <w:rsid w:val="00F66EE0"/>
    <w:rsid w:val="00F711E3"/>
    <w:rsid w:val="00F7671F"/>
    <w:rsid w:val="00F80636"/>
    <w:rsid w:val="00F82A99"/>
    <w:rsid w:val="00F86BCB"/>
    <w:rsid w:val="00F878EE"/>
    <w:rsid w:val="00F9101B"/>
    <w:rsid w:val="00F93032"/>
    <w:rsid w:val="00F937DE"/>
    <w:rsid w:val="00F93C5A"/>
    <w:rsid w:val="00F95134"/>
    <w:rsid w:val="00F97B26"/>
    <w:rsid w:val="00F97CC4"/>
    <w:rsid w:val="00FA0B96"/>
    <w:rsid w:val="00FA1999"/>
    <w:rsid w:val="00FA5BE6"/>
    <w:rsid w:val="00FA5F38"/>
    <w:rsid w:val="00FB2682"/>
    <w:rsid w:val="00FC0A3A"/>
    <w:rsid w:val="00FC0AE6"/>
    <w:rsid w:val="00FC44A7"/>
    <w:rsid w:val="00FC6362"/>
    <w:rsid w:val="00FC6784"/>
    <w:rsid w:val="00FD00F9"/>
    <w:rsid w:val="00FD03BB"/>
    <w:rsid w:val="00FD1203"/>
    <w:rsid w:val="00FD1239"/>
    <w:rsid w:val="00FD1375"/>
    <w:rsid w:val="00FE2CBF"/>
    <w:rsid w:val="00FE5AEA"/>
    <w:rsid w:val="00FE6FC8"/>
    <w:rsid w:val="00FF1CEC"/>
    <w:rsid w:val="00FF3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0B077"/>
  <w15:chartTrackingRefBased/>
  <w15:docId w15:val="{D6FA9F95-A63C-4DFC-BAA5-9F4CDCC1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68"/>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053768"/>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053768"/>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053768"/>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053768"/>
    <w:pPr>
      <w:spacing w:before="100" w:beforeAutospacing="1" w:after="100" w:afterAutospacing="1"/>
    </w:pPr>
    <w:rPr>
      <w:rFonts w:eastAsia="Calibri"/>
      <w:sz w:val="24"/>
      <w:szCs w:val="24"/>
      <w:lang w:val="x-none" w:eastAsia="x-none"/>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053768"/>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053768"/>
    <w:rPr>
      <w:rFonts w:ascii="Times New Roman" w:eastAsia="Calibri" w:hAnsi="Times New Roman" w:cs="Times New Roman"/>
      <w:sz w:val="24"/>
      <w:szCs w:val="24"/>
      <w:lang w:val="x-none" w:eastAsia="x-none"/>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rsid w:val="008E7575"/>
    <w:pPr>
      <w:spacing w:after="160" w:line="240" w:lineRule="exact"/>
    </w:pPr>
    <w:rPr>
      <w:rFonts w:asciiTheme="minorHAnsi" w:eastAsiaTheme="minorHAnsi" w:hAnsiTheme="minorHAnsi" w:cstheme="minorBidi"/>
      <w:sz w:val="22"/>
      <w:szCs w:val="22"/>
      <w:vertAlign w:val="superscript"/>
    </w:rPr>
  </w:style>
  <w:style w:type="character" w:customStyle="1" w:styleId="normalchar">
    <w:name w:val="normal__char"/>
    <w:basedOn w:val="DefaultParagraphFont"/>
    <w:rsid w:val="008E7575"/>
  </w:style>
  <w:style w:type="paragraph" w:styleId="BalloonText">
    <w:name w:val="Balloon Text"/>
    <w:basedOn w:val="Normal"/>
    <w:link w:val="BalloonTextChar"/>
    <w:semiHidden/>
    <w:unhideWhenUsed/>
    <w:rsid w:val="00567AEE"/>
    <w:rPr>
      <w:rFonts w:ascii="Segoe UI" w:hAnsi="Segoe UI" w:cs="Segoe UI"/>
      <w:sz w:val="18"/>
      <w:szCs w:val="18"/>
    </w:rPr>
  </w:style>
  <w:style w:type="character" w:customStyle="1" w:styleId="BalloonTextChar">
    <w:name w:val="Balloon Text Char"/>
    <w:basedOn w:val="DefaultParagraphFont"/>
    <w:link w:val="BalloonText"/>
    <w:semiHidden/>
    <w:rsid w:val="00567AEE"/>
    <w:rPr>
      <w:rFonts w:ascii="Segoe UI" w:eastAsia="Times New Roman" w:hAnsi="Segoe UI" w:cs="Segoe UI"/>
      <w:sz w:val="18"/>
      <w:szCs w:val="18"/>
    </w:rPr>
  </w:style>
  <w:style w:type="paragraph" w:styleId="Revision">
    <w:name w:val="Revision"/>
    <w:hidden/>
    <w:uiPriority w:val="99"/>
    <w:semiHidden/>
    <w:rsid w:val="00163059"/>
    <w:pPr>
      <w:spacing w:after="0" w:line="240" w:lineRule="auto"/>
    </w:pPr>
    <w:rPr>
      <w:rFonts w:ascii="Times New Roman" w:eastAsia="Times New Roman" w:hAnsi="Times New Roman" w:cs="Times New Roman"/>
      <w:sz w:val="28"/>
      <w:szCs w:val="28"/>
    </w:rPr>
  </w:style>
  <w:style w:type="character" w:styleId="CommentReference">
    <w:name w:val="annotation reference"/>
    <w:basedOn w:val="DefaultParagraphFont"/>
    <w:uiPriority w:val="99"/>
    <w:semiHidden/>
    <w:unhideWhenUsed/>
    <w:rsid w:val="00750D6C"/>
    <w:rPr>
      <w:sz w:val="16"/>
      <w:szCs w:val="16"/>
    </w:rPr>
  </w:style>
  <w:style w:type="paragraph" w:styleId="CommentText">
    <w:name w:val="annotation text"/>
    <w:basedOn w:val="Normal"/>
    <w:link w:val="CommentTextChar"/>
    <w:uiPriority w:val="99"/>
    <w:unhideWhenUsed/>
    <w:rsid w:val="00750D6C"/>
    <w:rPr>
      <w:sz w:val="20"/>
      <w:szCs w:val="20"/>
    </w:rPr>
  </w:style>
  <w:style w:type="character" w:customStyle="1" w:styleId="CommentTextChar">
    <w:name w:val="Comment Text Char"/>
    <w:basedOn w:val="DefaultParagraphFont"/>
    <w:link w:val="CommentText"/>
    <w:uiPriority w:val="99"/>
    <w:rsid w:val="00750D6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0D6C"/>
    <w:rPr>
      <w:b/>
      <w:bCs/>
    </w:rPr>
  </w:style>
  <w:style w:type="character" w:customStyle="1" w:styleId="CommentSubjectChar">
    <w:name w:val="Comment Subject Char"/>
    <w:basedOn w:val="CommentTextChar"/>
    <w:link w:val="CommentSubject"/>
    <w:uiPriority w:val="99"/>
    <w:semiHidden/>
    <w:rsid w:val="00750D6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11C99"/>
    <w:rPr>
      <w:color w:val="0563C1" w:themeColor="hyperlink"/>
      <w:u w:val="single"/>
    </w:rPr>
  </w:style>
  <w:style w:type="table" w:styleId="TableGrid">
    <w:name w:val="Table Grid"/>
    <w:basedOn w:val="TableNormal"/>
    <w:uiPriority w:val="39"/>
    <w:rsid w:val="00E11C99"/>
    <w:pPr>
      <w:spacing w:after="0" w:line="240" w:lineRule="auto"/>
    </w:pPr>
    <w:rPr>
      <w:rFonts w:ascii="Calibri" w:eastAsia="Calibri" w:hAnsi="Calibri" w:cs="Times New Roman"/>
      <w:lang w:val="vi-VN"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E11C99"/>
    <w:pPr>
      <w:spacing w:after="200" w:line="276" w:lineRule="auto"/>
      <w:ind w:left="720"/>
      <w:contextualSpacing/>
    </w:pPr>
    <w:rPr>
      <w:rFonts w:eastAsia="Calibri"/>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11C99"/>
    <w:rPr>
      <w:rFonts w:ascii="Times New Roman" w:eastAsia="Calibri" w:hAnsi="Times New Roman" w:cs="Times New Roman"/>
      <w:sz w:val="28"/>
      <w:szCs w:val="28"/>
    </w:rPr>
  </w:style>
  <w:style w:type="character" w:styleId="Strong">
    <w:name w:val="Strong"/>
    <w:basedOn w:val="DefaultParagraphFont"/>
    <w:qFormat/>
    <w:rsid w:val="00E11C99"/>
    <w:rPr>
      <w:rFonts w:cs="Times New Roman"/>
      <w:b/>
      <w:bCs/>
    </w:rPr>
  </w:style>
  <w:style w:type="paragraph" w:customStyle="1" w:styleId="Normal1">
    <w:name w:val="Normal1"/>
    <w:basedOn w:val="Normal"/>
    <w:qFormat/>
    <w:rsid w:val="00E11C99"/>
    <w:pPr>
      <w:spacing w:before="100" w:beforeAutospacing="1" w:after="100" w:afterAutospacing="1"/>
    </w:pPr>
    <w:rPr>
      <w:rFonts w:ascii="Calibri" w:hAnsi="Calibri" w:cs="Calibri"/>
      <w:sz w:val="24"/>
      <w:szCs w:val="24"/>
    </w:rPr>
  </w:style>
  <w:style w:type="character" w:customStyle="1" w:styleId="fontstyle01">
    <w:name w:val="fontstyle01"/>
    <w:rsid w:val="00E11C99"/>
    <w:rPr>
      <w:rFonts w:ascii="Times New Roman" w:hAnsi="Times New Roman" w:cs="Times New Roman" w:hint="default"/>
      <w:color w:val="000000"/>
      <w:sz w:val="28"/>
    </w:rPr>
  </w:style>
  <w:style w:type="paragraph" w:customStyle="1" w:styleId="Normal11">
    <w:name w:val="Normal11"/>
    <w:basedOn w:val="Normal"/>
    <w:rsid w:val="00E11C99"/>
    <w:pPr>
      <w:spacing w:before="100" w:beforeAutospacing="1" w:after="100" w:afterAutospacing="1"/>
    </w:pPr>
    <w:rPr>
      <w:rFonts w:ascii="Calibri" w:hAnsi="Calibri" w:cs="Calibri"/>
      <w:sz w:val="24"/>
      <w:szCs w:val="24"/>
    </w:rPr>
  </w:style>
  <w:style w:type="paragraph" w:styleId="BodyTextIndent">
    <w:name w:val="Body Text Indent"/>
    <w:basedOn w:val="Normal"/>
    <w:link w:val="BodyTextIndentChar"/>
    <w:rsid w:val="00E11C99"/>
    <w:pPr>
      <w:ind w:left="360"/>
    </w:pPr>
    <w:rPr>
      <w:rFonts w:ascii=".VnTime" w:hAnsi=".VnTime"/>
    </w:rPr>
  </w:style>
  <w:style w:type="character" w:customStyle="1" w:styleId="BodyTextIndentChar">
    <w:name w:val="Body Text Indent Char"/>
    <w:basedOn w:val="DefaultParagraphFont"/>
    <w:link w:val="BodyTextIndent"/>
    <w:rsid w:val="00E11C99"/>
    <w:rPr>
      <w:rFonts w:ascii=".VnTime" w:eastAsia="Times New Roman" w:hAnsi=".VnTime" w:cs="Times New Roman"/>
      <w:sz w:val="28"/>
      <w:szCs w:val="28"/>
    </w:rPr>
  </w:style>
  <w:style w:type="paragraph" w:styleId="Header">
    <w:name w:val="header"/>
    <w:basedOn w:val="Normal"/>
    <w:link w:val="HeaderChar"/>
    <w:uiPriority w:val="99"/>
    <w:unhideWhenUsed/>
    <w:rsid w:val="008854E5"/>
    <w:pPr>
      <w:tabs>
        <w:tab w:val="center" w:pos="4513"/>
        <w:tab w:val="right" w:pos="9026"/>
      </w:tabs>
    </w:pPr>
  </w:style>
  <w:style w:type="character" w:customStyle="1" w:styleId="HeaderChar">
    <w:name w:val="Header Char"/>
    <w:basedOn w:val="DefaultParagraphFont"/>
    <w:link w:val="Header"/>
    <w:uiPriority w:val="99"/>
    <w:rsid w:val="008854E5"/>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8854E5"/>
    <w:pPr>
      <w:tabs>
        <w:tab w:val="center" w:pos="4513"/>
        <w:tab w:val="right" w:pos="9026"/>
      </w:tabs>
    </w:pPr>
  </w:style>
  <w:style w:type="character" w:customStyle="1" w:styleId="FooterChar">
    <w:name w:val="Footer Char"/>
    <w:basedOn w:val="DefaultParagraphFont"/>
    <w:link w:val="Footer"/>
    <w:uiPriority w:val="99"/>
    <w:rsid w:val="008854E5"/>
    <w:rPr>
      <w:rFonts w:ascii="Times New Roman" w:eastAsia="Times New Roman" w:hAnsi="Times New Roman" w:cs="Times New Roman"/>
      <w:sz w:val="28"/>
      <w:szCs w:val="28"/>
    </w:rPr>
  </w:style>
  <w:style w:type="paragraph" w:styleId="BodyText">
    <w:name w:val="Body Text"/>
    <w:basedOn w:val="Normal"/>
    <w:link w:val="BodyTextChar"/>
    <w:uiPriority w:val="99"/>
    <w:semiHidden/>
    <w:unhideWhenUsed/>
    <w:rsid w:val="00CC4DB2"/>
    <w:pPr>
      <w:spacing w:after="120"/>
    </w:pPr>
  </w:style>
  <w:style w:type="character" w:customStyle="1" w:styleId="BodyTextChar">
    <w:name w:val="Body Text Char"/>
    <w:basedOn w:val="DefaultParagraphFont"/>
    <w:link w:val="BodyText"/>
    <w:uiPriority w:val="99"/>
    <w:semiHidden/>
    <w:rsid w:val="00CC4DB2"/>
    <w:rPr>
      <w:rFonts w:ascii="Times New Roman" w:eastAsia="Times New Roman" w:hAnsi="Times New Roman" w:cs="Times New Roman"/>
      <w:sz w:val="28"/>
      <w:szCs w:val="28"/>
    </w:rPr>
  </w:style>
  <w:style w:type="table" w:customStyle="1" w:styleId="TableGrid1">
    <w:name w:val="Table Grid1"/>
    <w:basedOn w:val="TableNormal"/>
    <w:next w:val="TableGrid"/>
    <w:uiPriority w:val="39"/>
    <w:rsid w:val="00AE05A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rsid w:val="00987FCB"/>
    <w:rPr>
      <w:rFonts w:ascii="Arial" w:hAnsi="Arial" w:cs="Arial" w:hint="default"/>
      <w:strike w:val="0"/>
      <w:dstrike w:val="0"/>
      <w:sz w:val="20"/>
      <w:szCs w:val="20"/>
      <w:u w:val="none"/>
      <w:effect w:val="none"/>
    </w:rPr>
  </w:style>
  <w:style w:type="table" w:customStyle="1" w:styleId="TableGrid2">
    <w:name w:val="Table Grid2"/>
    <w:basedOn w:val="TableNormal"/>
    <w:next w:val="TableGrid"/>
    <w:uiPriority w:val="39"/>
    <w:rsid w:val="00EF01E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5256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6457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20D5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7438AE"/>
    <w:pPr>
      <w:spacing w:before="100" w:beforeAutospacing="1" w:after="100" w:afterAutospacing="1"/>
    </w:pPr>
    <w:rPr>
      <w:sz w:val="24"/>
      <w:szCs w:val="24"/>
    </w:rPr>
  </w:style>
  <w:style w:type="table" w:customStyle="1" w:styleId="TableGrid6">
    <w:name w:val="Table Grid6"/>
    <w:basedOn w:val="TableNormal"/>
    <w:next w:val="TableGrid"/>
    <w:uiPriority w:val="39"/>
    <w:rsid w:val="0012442C"/>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74786"/>
    <w:pPr>
      <w:spacing w:after="0" w:line="240" w:lineRule="auto"/>
    </w:pPr>
    <w:rPr>
      <w:kern w:val="2"/>
      <w:sz w:val="24"/>
      <w:szCs w:val="24"/>
      <w14:ligatures w14:val="standardContextual"/>
    </w:rPr>
  </w:style>
  <w:style w:type="table" w:customStyle="1" w:styleId="TableGrid7">
    <w:name w:val="Table Grid7"/>
    <w:basedOn w:val="TableNormal"/>
    <w:next w:val="TableGrid"/>
    <w:uiPriority w:val="39"/>
    <w:rsid w:val="00937F2E"/>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57AD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34208"/>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B78CA"/>
    <w:rPr>
      <w:color w:val="605E5C"/>
      <w:shd w:val="clear" w:color="auto" w:fill="E1DFDD"/>
    </w:rPr>
  </w:style>
  <w:style w:type="table" w:customStyle="1" w:styleId="TableGrid11">
    <w:name w:val="Table Grid11"/>
    <w:basedOn w:val="TableNormal"/>
    <w:next w:val="TableGrid"/>
    <w:uiPriority w:val="39"/>
    <w:rsid w:val="00472273"/>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0949">
      <w:bodyDiv w:val="1"/>
      <w:marLeft w:val="0"/>
      <w:marRight w:val="0"/>
      <w:marTop w:val="0"/>
      <w:marBottom w:val="0"/>
      <w:divBdr>
        <w:top w:val="none" w:sz="0" w:space="0" w:color="auto"/>
        <w:left w:val="none" w:sz="0" w:space="0" w:color="auto"/>
        <w:bottom w:val="none" w:sz="0" w:space="0" w:color="auto"/>
        <w:right w:val="none" w:sz="0" w:space="0" w:color="auto"/>
      </w:divBdr>
    </w:div>
    <w:div w:id="269316731">
      <w:bodyDiv w:val="1"/>
      <w:marLeft w:val="0"/>
      <w:marRight w:val="0"/>
      <w:marTop w:val="0"/>
      <w:marBottom w:val="0"/>
      <w:divBdr>
        <w:top w:val="none" w:sz="0" w:space="0" w:color="auto"/>
        <w:left w:val="none" w:sz="0" w:space="0" w:color="auto"/>
        <w:bottom w:val="none" w:sz="0" w:space="0" w:color="auto"/>
        <w:right w:val="none" w:sz="0" w:space="0" w:color="auto"/>
      </w:divBdr>
    </w:div>
    <w:div w:id="280116521">
      <w:bodyDiv w:val="1"/>
      <w:marLeft w:val="0"/>
      <w:marRight w:val="0"/>
      <w:marTop w:val="0"/>
      <w:marBottom w:val="0"/>
      <w:divBdr>
        <w:top w:val="none" w:sz="0" w:space="0" w:color="auto"/>
        <w:left w:val="none" w:sz="0" w:space="0" w:color="auto"/>
        <w:bottom w:val="none" w:sz="0" w:space="0" w:color="auto"/>
        <w:right w:val="none" w:sz="0" w:space="0" w:color="auto"/>
      </w:divBdr>
    </w:div>
    <w:div w:id="964696685">
      <w:bodyDiv w:val="1"/>
      <w:marLeft w:val="0"/>
      <w:marRight w:val="0"/>
      <w:marTop w:val="0"/>
      <w:marBottom w:val="0"/>
      <w:divBdr>
        <w:top w:val="none" w:sz="0" w:space="0" w:color="auto"/>
        <w:left w:val="none" w:sz="0" w:space="0" w:color="auto"/>
        <w:bottom w:val="none" w:sz="0" w:space="0" w:color="auto"/>
        <w:right w:val="none" w:sz="0" w:space="0" w:color="auto"/>
      </w:divBdr>
    </w:div>
    <w:div w:id="1164977474">
      <w:bodyDiv w:val="1"/>
      <w:marLeft w:val="0"/>
      <w:marRight w:val="0"/>
      <w:marTop w:val="0"/>
      <w:marBottom w:val="0"/>
      <w:divBdr>
        <w:top w:val="none" w:sz="0" w:space="0" w:color="auto"/>
        <w:left w:val="none" w:sz="0" w:space="0" w:color="auto"/>
        <w:bottom w:val="none" w:sz="0" w:space="0" w:color="auto"/>
        <w:right w:val="none" w:sz="0" w:space="0" w:color="auto"/>
      </w:divBdr>
    </w:div>
    <w:div w:id="1198665927">
      <w:bodyDiv w:val="1"/>
      <w:marLeft w:val="0"/>
      <w:marRight w:val="0"/>
      <w:marTop w:val="0"/>
      <w:marBottom w:val="0"/>
      <w:divBdr>
        <w:top w:val="none" w:sz="0" w:space="0" w:color="auto"/>
        <w:left w:val="none" w:sz="0" w:space="0" w:color="auto"/>
        <w:bottom w:val="none" w:sz="0" w:space="0" w:color="auto"/>
        <w:right w:val="none" w:sz="0" w:space="0" w:color="auto"/>
      </w:divBdr>
    </w:div>
    <w:div w:id="1227105211">
      <w:bodyDiv w:val="1"/>
      <w:marLeft w:val="0"/>
      <w:marRight w:val="0"/>
      <w:marTop w:val="0"/>
      <w:marBottom w:val="0"/>
      <w:divBdr>
        <w:top w:val="none" w:sz="0" w:space="0" w:color="auto"/>
        <w:left w:val="none" w:sz="0" w:space="0" w:color="auto"/>
        <w:bottom w:val="none" w:sz="0" w:space="0" w:color="auto"/>
        <w:right w:val="none" w:sz="0" w:space="0" w:color="auto"/>
      </w:divBdr>
    </w:div>
    <w:div w:id="1274096600">
      <w:bodyDiv w:val="1"/>
      <w:marLeft w:val="0"/>
      <w:marRight w:val="0"/>
      <w:marTop w:val="0"/>
      <w:marBottom w:val="0"/>
      <w:divBdr>
        <w:top w:val="none" w:sz="0" w:space="0" w:color="auto"/>
        <w:left w:val="none" w:sz="0" w:space="0" w:color="auto"/>
        <w:bottom w:val="none" w:sz="0" w:space="0" w:color="auto"/>
        <w:right w:val="none" w:sz="0" w:space="0" w:color="auto"/>
      </w:divBdr>
    </w:div>
    <w:div w:id="1576741146">
      <w:bodyDiv w:val="1"/>
      <w:marLeft w:val="0"/>
      <w:marRight w:val="0"/>
      <w:marTop w:val="0"/>
      <w:marBottom w:val="0"/>
      <w:divBdr>
        <w:top w:val="none" w:sz="0" w:space="0" w:color="auto"/>
        <w:left w:val="none" w:sz="0" w:space="0" w:color="auto"/>
        <w:bottom w:val="none" w:sz="0" w:space="0" w:color="auto"/>
        <w:right w:val="none" w:sz="0" w:space="0" w:color="auto"/>
      </w:divBdr>
    </w:div>
    <w:div w:id="1675648246">
      <w:bodyDiv w:val="1"/>
      <w:marLeft w:val="0"/>
      <w:marRight w:val="0"/>
      <w:marTop w:val="0"/>
      <w:marBottom w:val="0"/>
      <w:divBdr>
        <w:top w:val="none" w:sz="0" w:space="0" w:color="auto"/>
        <w:left w:val="none" w:sz="0" w:space="0" w:color="auto"/>
        <w:bottom w:val="none" w:sz="0" w:space="0" w:color="auto"/>
        <w:right w:val="none" w:sz="0" w:space="0" w:color="auto"/>
      </w:divBdr>
    </w:div>
    <w:div w:id="1730691201">
      <w:bodyDiv w:val="1"/>
      <w:marLeft w:val="0"/>
      <w:marRight w:val="0"/>
      <w:marTop w:val="0"/>
      <w:marBottom w:val="0"/>
      <w:divBdr>
        <w:top w:val="none" w:sz="0" w:space="0" w:color="auto"/>
        <w:left w:val="none" w:sz="0" w:space="0" w:color="auto"/>
        <w:bottom w:val="none" w:sz="0" w:space="0" w:color="auto"/>
        <w:right w:val="none" w:sz="0" w:space="0" w:color="auto"/>
      </w:divBdr>
    </w:div>
    <w:div w:id="1732727961">
      <w:bodyDiv w:val="1"/>
      <w:marLeft w:val="0"/>
      <w:marRight w:val="0"/>
      <w:marTop w:val="0"/>
      <w:marBottom w:val="0"/>
      <w:divBdr>
        <w:top w:val="none" w:sz="0" w:space="0" w:color="auto"/>
        <w:left w:val="none" w:sz="0" w:space="0" w:color="auto"/>
        <w:bottom w:val="none" w:sz="0" w:space="0" w:color="auto"/>
        <w:right w:val="none" w:sz="0" w:space="0" w:color="auto"/>
      </w:divBdr>
    </w:div>
    <w:div w:id="1894611125">
      <w:bodyDiv w:val="1"/>
      <w:marLeft w:val="0"/>
      <w:marRight w:val="0"/>
      <w:marTop w:val="0"/>
      <w:marBottom w:val="0"/>
      <w:divBdr>
        <w:top w:val="none" w:sz="0" w:space="0" w:color="auto"/>
        <w:left w:val="none" w:sz="0" w:space="0" w:color="auto"/>
        <w:bottom w:val="none" w:sz="0" w:space="0" w:color="auto"/>
        <w:right w:val="none" w:sz="0" w:space="0" w:color="auto"/>
      </w:divBdr>
    </w:div>
    <w:div w:id="207693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5" Type="http://schemas.openxmlformats.org/officeDocument/2006/relationships/image" Target="media/image12.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5.xm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baochinhphu.vn/chien-dich-500-ngay-dem-tiep-tuc-hanh-trinh-dua-cac-liet-si-tro-ve-voi-dat-me-102260527083846605.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yDocs\Hai%20Van\DICH_TRANSLATION\NIEN%20GIAM\BAO%20CAO%20THANG-QUY\Nam%202026\Thang%205_2026\Bi&#7875;u%20&#273;&#7891;%20V&#272;T%20th&#225;ng%205%20ti&#7871;ng%20Vi&#7879;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MyDocs\Hai%20Van\DICH_TRANSLATION\NIEN%20GIAM\BAO%20CAO%20THANG-QUY\Nam%202026\Thang%205_2026\Bi&#7875;u%20d&#7891;%20FDI%20th&#225;ng%205%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btphuong\Desktop\N&#258;M%202025%20M&#7898;I\000%20N&#258;M%202026\B&#193;O%20C&#193;O%20TH&#193;NG%20N&#258;M%202026\th&#225;ng%204%202026\bi&#7875;u%20&#273;&#7891;%20FDI%204.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Bao%20cao\Bao%20cao%20KTXH\2026\Thang%205%202026\Info\Bi&#7875;u%20&#273;&#7891;%20XNK%204.2026.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D:\Bao%20cao\Bao%20cao%20KTXH\2026\Thang%205%202026\Info\Bi&#7875;u%20&#273;&#7891;%20XNK%204.2026.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01543582866915E-2"/>
          <c:y val="0.12987603202472423"/>
          <c:w val="0.89996767604437333"/>
          <c:h val="0.66574137320055682"/>
        </c:manualLayout>
      </c:layout>
      <c:barChart>
        <c:barDir val="col"/>
        <c:grouping val="clustered"/>
        <c:varyColors val="0"/>
        <c:ser>
          <c:idx val="0"/>
          <c:order val="0"/>
          <c:tx>
            <c:strRef>
              <c:f>'Hình 7. Địa phương'!$D$4</c:f>
              <c:strCache>
                <c:ptCount val="1"/>
                <c:pt idx="0">
                  <c:v>5 months of 2025</c:v>
                </c:pt>
              </c:strCache>
            </c:strRef>
          </c:tx>
          <c:spPr>
            <a:solidFill>
              <a:srgbClr val="CFB09D"/>
            </a:solidFill>
            <a:ln>
              <a:noFill/>
            </a:ln>
            <a:effectLst/>
          </c:spPr>
          <c:invertIfNegative val="0"/>
          <c:cat>
            <c:strRef>
              <c:f>'Hình 7. Địa phương'!$C$5:$C$13</c:f>
              <c:strCache>
                <c:ptCount val="9"/>
                <c:pt idx="0">
                  <c:v>Ha Noi</c:v>
                </c:pt>
                <c:pt idx="1">
                  <c:v>Ho Chi Minh city</c:v>
                </c:pt>
                <c:pt idx="2">
                  <c:v>Ninh Binh</c:v>
                </c:pt>
                <c:pt idx="3">
                  <c:v>Hung Yen</c:v>
                </c:pt>
                <c:pt idx="4">
                  <c:v>Hai Phong</c:v>
                </c:pt>
                <c:pt idx="5">
                  <c:v>Phu Tho</c:v>
                </c:pt>
                <c:pt idx="6">
                  <c:v>Dong Nai</c:v>
                </c:pt>
                <c:pt idx="7">
                  <c:v>Can Tho</c:v>
                </c:pt>
                <c:pt idx="8">
                  <c:v>Quang Ninh</c:v>
                </c:pt>
              </c:strCache>
            </c:strRef>
          </c:cat>
          <c:val>
            <c:numRef>
              <c:f>'Hình 7. Địa phương'!$D$5:$D$13</c:f>
              <c:numCache>
                <c:formatCode>0.0</c:formatCode>
                <c:ptCount val="9"/>
                <c:pt idx="0">
                  <c:v>26335.409</c:v>
                </c:pt>
                <c:pt idx="1">
                  <c:v>31393.26</c:v>
                </c:pt>
                <c:pt idx="2">
                  <c:v>11138.198</c:v>
                </c:pt>
                <c:pt idx="3">
                  <c:v>11339.194</c:v>
                </c:pt>
                <c:pt idx="4">
                  <c:v>8845.9009999999998</c:v>
                </c:pt>
                <c:pt idx="5">
                  <c:v>7509.1369999999997</c:v>
                </c:pt>
                <c:pt idx="6">
                  <c:v>7906.05</c:v>
                </c:pt>
                <c:pt idx="7">
                  <c:v>4343.45</c:v>
                </c:pt>
                <c:pt idx="8">
                  <c:v>7116.2160000000003</c:v>
                </c:pt>
              </c:numCache>
            </c:numRef>
          </c:val>
          <c:extLst>
            <c:ext xmlns:c16="http://schemas.microsoft.com/office/drawing/2014/chart" uri="{C3380CC4-5D6E-409C-BE32-E72D297353CC}">
              <c16:uniqueId val="{00000000-ECCF-4FEA-B009-CAED96DC6C23}"/>
            </c:ext>
          </c:extLst>
        </c:ser>
        <c:ser>
          <c:idx val="1"/>
          <c:order val="1"/>
          <c:tx>
            <c:strRef>
              <c:f>'Hình 7. Địa phương'!$E$4</c:f>
              <c:strCache>
                <c:ptCount val="1"/>
                <c:pt idx="0">
                  <c:v>5 months of 2026</c:v>
                </c:pt>
              </c:strCache>
            </c:strRef>
          </c:tx>
          <c:spPr>
            <a:solidFill>
              <a:srgbClr val="C84863"/>
            </a:solidFill>
            <a:ln>
              <a:noFill/>
            </a:ln>
            <a:effectLst/>
          </c:spPr>
          <c:invertIfNegative val="0"/>
          <c:dLbls>
            <c:dLbl>
              <c:idx val="0"/>
              <c:layout>
                <c:manualLayout>
                  <c:x val="2.4454855171308614E-2"/>
                  <c:y val="-2.956835673309988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CF-4FEA-B009-CAED96DC6C23}"/>
                </c:ext>
              </c:extLst>
            </c:dLbl>
            <c:dLbl>
              <c:idx val="2"/>
              <c:layout>
                <c:manualLayout>
                  <c:x val="1.3714284068777314E-2"/>
                  <c:y val="-2.560655269667337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CF-4FEA-B009-CAED96DC6C23}"/>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Ha Noi</c:v>
                </c:pt>
                <c:pt idx="1">
                  <c:v>Ho Chi Minh city</c:v>
                </c:pt>
                <c:pt idx="2">
                  <c:v>Ninh Binh</c:v>
                </c:pt>
                <c:pt idx="3">
                  <c:v>Hung Yen</c:v>
                </c:pt>
                <c:pt idx="4">
                  <c:v>Hai Phong</c:v>
                </c:pt>
                <c:pt idx="5">
                  <c:v>Phu Tho</c:v>
                </c:pt>
                <c:pt idx="6">
                  <c:v>Dong Nai</c:v>
                </c:pt>
                <c:pt idx="7">
                  <c:v>Can Tho</c:v>
                </c:pt>
                <c:pt idx="8">
                  <c:v>Quang Ninh</c:v>
                </c:pt>
              </c:strCache>
            </c:strRef>
          </c:cat>
          <c:val>
            <c:numRef>
              <c:f>'Hình 7. Địa phương'!$E$5:$E$13</c:f>
              <c:numCache>
                <c:formatCode>0.0</c:formatCode>
                <c:ptCount val="9"/>
                <c:pt idx="0">
                  <c:v>41789.936000000002</c:v>
                </c:pt>
                <c:pt idx="1">
                  <c:v>34864.483999999997</c:v>
                </c:pt>
                <c:pt idx="2">
                  <c:v>13443.371999999999</c:v>
                </c:pt>
                <c:pt idx="3">
                  <c:v>12201.201950000001</c:v>
                </c:pt>
                <c:pt idx="4">
                  <c:v>10260.949000000001</c:v>
                </c:pt>
                <c:pt idx="5">
                  <c:v>8018.4629999999997</c:v>
                </c:pt>
                <c:pt idx="6">
                  <c:v>7977.2650000000003</c:v>
                </c:pt>
                <c:pt idx="7">
                  <c:v>6366.2539999999999</c:v>
                </c:pt>
                <c:pt idx="8">
                  <c:v>6302.0789999999997</c:v>
                </c:pt>
              </c:numCache>
            </c:numRef>
          </c:val>
          <c:extLst>
            <c:ext xmlns:c16="http://schemas.microsoft.com/office/drawing/2014/chart" uri="{C3380CC4-5D6E-409C-BE32-E72D297353CC}">
              <c16:uniqueId val="{00000003-ECCF-4FEA-B009-CAED96DC6C23}"/>
            </c:ext>
          </c:extLst>
        </c:ser>
        <c:dLbls>
          <c:showLegendKey val="0"/>
          <c:showVal val="0"/>
          <c:showCatName val="0"/>
          <c:showSerName val="0"/>
          <c:showPercent val="0"/>
          <c:showBubbleSize val="0"/>
        </c:dLbls>
        <c:gapWidth val="36"/>
        <c:axId val="-1491374544"/>
        <c:axId val="-1491372368"/>
      </c:barChart>
      <c:catAx>
        <c:axId val="-149137454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91372368"/>
        <c:crosses val="autoZero"/>
        <c:auto val="1"/>
        <c:lblAlgn val="ctr"/>
        <c:lblOffset val="100"/>
        <c:noMultiLvlLbl val="0"/>
      </c:catAx>
      <c:valAx>
        <c:axId val="-14913723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491374544"/>
        <c:crosses val="autoZero"/>
        <c:crossBetween val="between"/>
      </c:valAx>
      <c:spPr>
        <a:noFill/>
        <a:ln>
          <a:noFill/>
        </a:ln>
        <a:effectLst/>
      </c:spPr>
    </c:plotArea>
    <c:legend>
      <c:legendPos val="b"/>
      <c:layout>
        <c:manualLayout>
          <c:xMode val="edge"/>
          <c:yMode val="edge"/>
          <c:x val="9.8974478519132478E-2"/>
          <c:y val="0.9182476455148989"/>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57813378091"/>
          <c:y val="3.556791338582678E-2"/>
          <c:w val="0.81632143903237475"/>
          <c:h val="0.68828706100318771"/>
        </c:manualLayout>
      </c:layout>
      <c:barChart>
        <c:barDir val="bar"/>
        <c:grouping val="stacked"/>
        <c:varyColors val="0"/>
        <c:ser>
          <c:idx val="0"/>
          <c:order val="0"/>
          <c:tx>
            <c:strRef>
              <c:f>'04. FDI SO SANH '!$A$16</c:f>
              <c:strCache>
                <c:ptCount val="1"/>
                <c:pt idx="0">
                  <c:v> Newly registered capital</c:v>
                </c:pt>
              </c:strCache>
            </c:strRef>
          </c:tx>
          <c:invertIfNegative val="0"/>
          <c:dLbls>
            <c:dLbl>
              <c:idx val="0"/>
              <c:tx>
                <c:rich>
                  <a:bodyPr/>
                  <a:lstStyle/>
                  <a:p>
                    <a:r>
                      <a:rPr lang="en-US"/>
                      <a:t>4.12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AAA-45CB-9551-BBDFB86E672C}"/>
                </c:ext>
              </c:extLst>
            </c:dLbl>
            <c:dLbl>
              <c:idx val="1"/>
              <c:tx>
                <c:rich>
                  <a:bodyPr/>
                  <a:lstStyle/>
                  <a:p>
                    <a:r>
                      <a:rPr lang="en-US"/>
                      <a:t>5.26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AAA-45CB-9551-BBDFB86E672C}"/>
                </c:ext>
              </c:extLst>
            </c:dLbl>
            <c:dLbl>
              <c:idx val="2"/>
              <c:tx>
                <c:rich>
                  <a:bodyPr/>
                  <a:lstStyle/>
                  <a:p>
                    <a:r>
                      <a:rPr lang="en-US"/>
                      <a:t>8.08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AAA-45CB-9551-BBDFB86E672C}"/>
                </c:ext>
              </c:extLst>
            </c:dLbl>
            <c:dLbl>
              <c:idx val="3"/>
              <c:tx>
                <c:rich>
                  <a:bodyPr/>
                  <a:lstStyle/>
                  <a:p>
                    <a:r>
                      <a:rPr lang="en-US"/>
                      <a:t>7.02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0AAA-45CB-9551-BBDFB86E672C}"/>
                </c:ext>
              </c:extLst>
            </c:dLbl>
            <c:dLbl>
              <c:idx val="4"/>
              <c:tx>
                <c:rich>
                  <a:bodyPr/>
                  <a:lstStyle/>
                  <a:p>
                    <a:r>
                      <a:rPr lang="en-US"/>
                      <a:t>14.84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0AAA-45CB-9551-BBDFB86E67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'04. FDI SO SANH '!$B$15:$F$15</c:f>
              <c:numCache>
                <c:formatCode>General</c:formatCode>
                <c:ptCount val="5"/>
                <c:pt idx="0">
                  <c:v>2022</c:v>
                </c:pt>
                <c:pt idx="1">
                  <c:v>2023</c:v>
                </c:pt>
                <c:pt idx="2">
                  <c:v>2024</c:v>
                </c:pt>
                <c:pt idx="3">
                  <c:v>2025</c:v>
                </c:pt>
                <c:pt idx="4">
                  <c:v>2026</c:v>
                </c:pt>
              </c:numCache>
            </c:numRef>
          </c:cat>
          <c:val>
            <c:numRef>
              <c:f>'04. FDI SO SANH '!$B$16:$F$16</c:f>
              <c:numCache>
                <c:formatCode>0.00</c:formatCode>
                <c:ptCount val="5"/>
                <c:pt idx="0">
                  <c:v>4.1162615140800005</c:v>
                </c:pt>
                <c:pt idx="1">
                  <c:v>5.2613743686600021</c:v>
                </c:pt>
                <c:pt idx="2">
                  <c:v>8.0845448126000008</c:v>
                </c:pt>
                <c:pt idx="3">
                  <c:v>7.0150707894300011</c:v>
                </c:pt>
                <c:pt idx="4">
                  <c:v>14.837537213859997</c:v>
                </c:pt>
              </c:numCache>
            </c:numRef>
          </c:val>
          <c:extLst>
            <c:ext xmlns:c16="http://schemas.microsoft.com/office/drawing/2014/chart" uri="{C3380CC4-5D6E-409C-BE32-E72D297353CC}">
              <c16:uniqueId val="{00000005-0AAA-45CB-9551-BBDFB86E672C}"/>
            </c:ext>
          </c:extLst>
        </c:ser>
        <c:ser>
          <c:idx val="1"/>
          <c:order val="1"/>
          <c:tx>
            <c:strRef>
              <c:f>'04. FDI SO SANH '!$A$17</c:f>
              <c:strCache>
                <c:ptCount val="1"/>
                <c:pt idx="0">
                  <c:v>    Adjusting registered capital</c:v>
                </c:pt>
              </c:strCache>
            </c:strRef>
          </c:tx>
          <c:invertIfNegative val="0"/>
          <c:dLbls>
            <c:dLbl>
              <c:idx val="0"/>
              <c:tx>
                <c:rich>
                  <a:bodyPr/>
                  <a:lstStyle/>
                  <a:p>
                    <a:r>
                      <a:rPr lang="en-US"/>
                      <a:t>5.61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0AAA-45CB-9551-BBDFB86E672C}"/>
                </c:ext>
              </c:extLst>
            </c:dLbl>
            <c:dLbl>
              <c:idx val="1"/>
              <c:tx>
                <c:rich>
                  <a:bodyPr/>
                  <a:lstStyle/>
                  <a:p>
                    <a:r>
                      <a:rPr lang="en-US"/>
                      <a:t>2.28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0AAA-45CB-9551-BBDFB86E672C}"/>
                </c:ext>
              </c:extLst>
            </c:dLbl>
            <c:dLbl>
              <c:idx val="2"/>
              <c:tx>
                <c:rich>
                  <a:bodyPr wrap="square" lIns="38100" tIns="19050" rIns="38100" bIns="19050" anchor="ctr">
                    <a:noAutofit/>
                  </a:bodyPr>
                  <a:lstStyle/>
                  <a:p>
                    <a:pPr>
                      <a:defRPr/>
                    </a:pPr>
                    <a:r>
                      <a:rPr lang="en-US"/>
                      <a:t>2.52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8-0AAA-45CB-9551-BBDFB86E672C}"/>
                </c:ext>
              </c:extLst>
            </c:dLbl>
            <c:dLbl>
              <c:idx val="3"/>
              <c:layout>
                <c:manualLayout>
                  <c:x val="7.207205843852202E-3"/>
                  <c:y val="0"/>
                </c:manualLayout>
              </c:layout>
              <c:tx>
                <c:rich>
                  <a:bodyPr/>
                  <a:lstStyle/>
                  <a:p>
                    <a:r>
                      <a:rPr lang="en-US"/>
                      <a:t>8.52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0AAA-45CB-9551-BBDFB86E672C}"/>
                </c:ext>
              </c:extLst>
            </c:dLbl>
            <c:dLbl>
              <c:idx val="4"/>
              <c:tx>
                <c:rich>
                  <a:bodyPr/>
                  <a:lstStyle/>
                  <a:p>
                    <a:r>
                      <a:rPr lang="en-US"/>
                      <a:t>5.78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0AAA-45CB-9551-BBDFB86E67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'!$B$17:$F$17</c:f>
              <c:numCache>
                <c:formatCode>0.00</c:formatCode>
                <c:ptCount val="5"/>
                <c:pt idx="0">
                  <c:v>5.6119294681121072</c:v>
                </c:pt>
                <c:pt idx="1">
                  <c:v>2.2796612083246095</c:v>
                </c:pt>
                <c:pt idx="2">
                  <c:v>2.5176862078824414</c:v>
                </c:pt>
                <c:pt idx="3">
                  <c:v>8.5192493745947271</c:v>
                </c:pt>
                <c:pt idx="4">
                  <c:v>5.7804353729632814</c:v>
                </c:pt>
              </c:numCache>
            </c:numRef>
          </c:val>
          <c:extLst>
            <c:ext xmlns:c16="http://schemas.microsoft.com/office/drawing/2014/chart" uri="{C3380CC4-5D6E-409C-BE32-E72D297353CC}">
              <c16:uniqueId val="{0000000B-0AAA-45CB-9551-BBDFB86E672C}"/>
            </c:ext>
          </c:extLst>
        </c:ser>
        <c:ser>
          <c:idx val="2"/>
          <c:order val="2"/>
          <c:tx>
            <c:strRef>
              <c:f>'04. FDI SO SANH '!$A$18</c:f>
              <c:strCache>
                <c:ptCount val="1"/>
                <c:pt idx="0">
                  <c:v>Capital contribution and purchasing shares </c:v>
                </c:pt>
              </c:strCache>
            </c:strRef>
          </c:tx>
          <c:invertIfNegative val="0"/>
          <c:dLbls>
            <c:dLbl>
              <c:idx val="0"/>
              <c:tx>
                <c:rich>
                  <a:bodyPr/>
                  <a:lstStyle/>
                  <a:p>
                    <a:r>
                      <a:rPr lang="en-US"/>
                      <a:t>1.98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0AAA-45CB-9551-BBDFB86E672C}"/>
                </c:ext>
              </c:extLst>
            </c:dLbl>
            <c:dLbl>
              <c:idx val="1"/>
              <c:tx>
                <c:rich>
                  <a:bodyPr/>
                  <a:lstStyle/>
                  <a:p>
                    <a:r>
                      <a:rPr lang="en-US" baseline="0"/>
                      <a:t>3.32</a:t>
                    </a:r>
                    <a:endParaRPr lang="en-US"/>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0AAA-45CB-9551-BBDFB86E672C}"/>
                </c:ext>
              </c:extLst>
            </c:dLbl>
            <c:dLbl>
              <c:idx val="2"/>
              <c:tx>
                <c:rich>
                  <a:bodyPr/>
                  <a:lstStyle/>
                  <a:p>
                    <a:r>
                      <a:rPr lang="en-US"/>
                      <a:t>1.56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0AAA-45CB-9551-BBDFB86E672C}"/>
                </c:ext>
              </c:extLst>
            </c:dLbl>
            <c:dLbl>
              <c:idx val="3"/>
              <c:tx>
                <c:rich>
                  <a:bodyPr wrap="square" lIns="38100" tIns="19050" rIns="38100" bIns="19050" anchor="ctr">
                    <a:noAutofit/>
                  </a:bodyPr>
                  <a:lstStyle/>
                  <a:p>
                    <a:pPr>
                      <a:defRPr/>
                    </a:pPr>
                    <a:r>
                      <a:rPr lang="en-US"/>
                      <a:t>2.85</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F-0AAA-45CB-9551-BBDFB86E672C}"/>
                </c:ext>
              </c:extLst>
            </c:dLbl>
            <c:dLbl>
              <c:idx val="4"/>
              <c:layout>
                <c:manualLayout>
                  <c:x val="2.4024019479507323E-2"/>
                  <c:y val="0"/>
                </c:manualLayout>
              </c:layout>
              <c:tx>
                <c:rich>
                  <a:bodyPr/>
                  <a:lstStyle/>
                  <a:p>
                    <a:r>
                      <a:rPr lang="en-US"/>
                      <a:t> 4.19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0AAA-45CB-9551-BBDFB86E672C}"/>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2022</c:v>
                </c:pt>
                <c:pt idx="1">
                  <c:v>2023</c:v>
                </c:pt>
                <c:pt idx="2">
                  <c:v>2024</c:v>
                </c:pt>
                <c:pt idx="3">
                  <c:v>2025</c:v>
                </c:pt>
                <c:pt idx="4">
                  <c:v>2026</c:v>
                </c:pt>
              </c:numCache>
            </c:numRef>
          </c:cat>
          <c:val>
            <c:numRef>
              <c:f>'04. FDI SO SANH '!$B$18:$F$18</c:f>
              <c:numCache>
                <c:formatCode>0.00</c:formatCode>
                <c:ptCount val="5"/>
                <c:pt idx="0">
                  <c:v>1.9825965577145026</c:v>
                </c:pt>
                <c:pt idx="1">
                  <c:v>3.3152686091499994</c:v>
                </c:pt>
                <c:pt idx="2">
                  <c:v>1.5611789979498691</c:v>
                </c:pt>
                <c:pt idx="3">
                  <c:v>2.855207996389999</c:v>
                </c:pt>
                <c:pt idx="4">
                  <c:v>4.1898417275999993</c:v>
                </c:pt>
              </c:numCache>
            </c:numRef>
          </c:val>
          <c:extLst>
            <c:ext xmlns:c16="http://schemas.microsoft.com/office/drawing/2014/chart" uri="{C3380CC4-5D6E-409C-BE32-E72D297353CC}">
              <c16:uniqueId val="{00000011-0AAA-45CB-9551-BBDFB86E672C}"/>
            </c:ext>
          </c:extLst>
        </c:ser>
        <c:dLbls>
          <c:showLegendKey val="0"/>
          <c:showVal val="0"/>
          <c:showCatName val="0"/>
          <c:showSerName val="0"/>
          <c:showPercent val="0"/>
          <c:showBubbleSize val="0"/>
        </c:dLbls>
        <c:gapWidth val="150"/>
        <c:overlap val="100"/>
        <c:axId val="-1491371824"/>
        <c:axId val="-1491368016"/>
      </c:barChart>
      <c:catAx>
        <c:axId val="-1491371824"/>
        <c:scaling>
          <c:orientation val="minMax"/>
        </c:scaling>
        <c:delete val="0"/>
        <c:axPos val="l"/>
        <c:numFmt formatCode="General" sourceLinked="1"/>
        <c:majorTickMark val="out"/>
        <c:minorTickMark val="none"/>
        <c:tickLblPos val="nextTo"/>
        <c:crossAx val="-1491368016"/>
        <c:crosses val="autoZero"/>
        <c:auto val="1"/>
        <c:lblAlgn val="ctr"/>
        <c:lblOffset val="100"/>
        <c:noMultiLvlLbl val="0"/>
      </c:catAx>
      <c:valAx>
        <c:axId val="-1491368016"/>
        <c:scaling>
          <c:orientation val="minMax"/>
        </c:scaling>
        <c:delete val="0"/>
        <c:axPos val="b"/>
        <c:majorGridlines/>
        <c:numFmt formatCode="0.00" sourceLinked="1"/>
        <c:majorTickMark val="out"/>
        <c:minorTickMark val="none"/>
        <c:tickLblPos val="nextTo"/>
        <c:crossAx val="-1491371824"/>
        <c:crosses val="autoZero"/>
        <c:crossBetween val="between"/>
      </c:valAx>
    </c:plotArea>
    <c:legend>
      <c:legendPos val="b"/>
      <c:layout>
        <c:manualLayout>
          <c:xMode val="edge"/>
          <c:yMode val="edge"/>
          <c:x val="2.3138224226826015E-2"/>
          <c:y val="0.83609098439478624"/>
          <c:w val="0.95372355154634791"/>
          <c:h val="0.1397252187491074"/>
        </c:manualLayou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Sheet1!$B$4:$F$4</c:f>
              <c:numCache>
                <c:formatCode>General</c:formatCode>
                <c:ptCount val="5"/>
                <c:pt idx="0">
                  <c:v>2022</c:v>
                </c:pt>
                <c:pt idx="1">
                  <c:v>2023</c:v>
                </c:pt>
                <c:pt idx="2">
                  <c:v>2024</c:v>
                </c:pt>
                <c:pt idx="3">
                  <c:v>2025</c:v>
                </c:pt>
                <c:pt idx="4">
                  <c:v>2026</c:v>
                </c:pt>
              </c:numCache>
            </c:numRef>
          </c:cat>
          <c:val>
            <c:numRef>
              <c:f>Sheet1!$B$5:$F$5</c:f>
              <c:numCache>
                <c:formatCode>0.00</c:formatCode>
                <c:ptCount val="5"/>
                <c:pt idx="0">
                  <c:v>7.71</c:v>
                </c:pt>
                <c:pt idx="1">
                  <c:v>7.65</c:v>
                </c:pt>
                <c:pt idx="2">
                  <c:v>8.25</c:v>
                </c:pt>
                <c:pt idx="3">
                  <c:v>8.9</c:v>
                </c:pt>
                <c:pt idx="4">
                  <c:v>9.75</c:v>
                </c:pt>
              </c:numCache>
            </c:numRef>
          </c:val>
          <c:extLst>
            <c:ext xmlns:c16="http://schemas.microsoft.com/office/drawing/2014/chart" uri="{C3380CC4-5D6E-409C-BE32-E72D297353CC}">
              <c16:uniqueId val="{00000000-779E-4869-95E2-0B0322E48779}"/>
            </c:ext>
          </c:extLst>
        </c:ser>
        <c:dLbls>
          <c:showLegendKey val="0"/>
          <c:showVal val="0"/>
          <c:showCatName val="0"/>
          <c:showSerName val="0"/>
          <c:showPercent val="0"/>
          <c:showBubbleSize val="0"/>
        </c:dLbls>
        <c:gapWidth val="219"/>
        <c:overlap val="-27"/>
        <c:axId val="-1491370736"/>
        <c:axId val="-1491367472"/>
      </c:barChart>
      <c:catAx>
        <c:axId val="-149137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91367472"/>
        <c:crosses val="autoZero"/>
        <c:auto val="1"/>
        <c:lblAlgn val="ctr"/>
        <c:lblOffset val="100"/>
        <c:noMultiLvlLbl val="0"/>
      </c:catAx>
      <c:valAx>
        <c:axId val="-1491367472"/>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491370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sz="850"/>
                      <a:t>30.1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C20-4F40-89A3-AB0240C0D5FF}"/>
                </c:ext>
              </c:extLst>
            </c:dLbl>
            <c:dLbl>
              <c:idx val="1"/>
              <c:tx>
                <c:rich>
                  <a:bodyPr/>
                  <a:lstStyle/>
                  <a:p>
                    <a:r>
                      <a:rPr lang="en-US"/>
                      <a:t>69.6</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20-4F40-89A3-AB0240C0D5FF}"/>
                </c:ext>
              </c:extLst>
            </c:dLbl>
            <c:dLbl>
              <c:idx val="2"/>
              <c:tx>
                <c:rich>
                  <a:bodyPr/>
                  <a:lstStyle/>
                  <a:p>
                    <a:r>
                      <a:rPr lang="en-US"/>
                      <a:t>13.2</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C20-4F40-89A3-AB0240C0D5FF}"/>
                </c:ext>
              </c:extLst>
            </c:dLbl>
            <c:dLbl>
              <c:idx val="3"/>
              <c:layout>
                <c:manualLayout>
                  <c:x val="2.5769592651729636E-3"/>
                  <c:y val="1.1100418581925897E-2"/>
                </c:manualLayout>
              </c:layout>
              <c:tx>
                <c:rich>
                  <a:bodyPr/>
                  <a:lstStyle/>
                  <a:p>
                    <a:r>
                      <a:rPr lang="en-US"/>
                      <a:t>18.5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20-4F40-89A3-AB0240C0D5FF}"/>
                </c:ext>
              </c:extLst>
            </c:dLbl>
            <c:dLbl>
              <c:idx val="4"/>
              <c:tx>
                <c:rich>
                  <a:bodyPr/>
                  <a:lstStyle/>
                  <a:p>
                    <a:r>
                      <a:rPr lang="en-US"/>
                      <a:t>26.0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BC20-4F40-89A3-AB0240C0D5FF}"/>
                </c:ext>
              </c:extLst>
            </c:dLbl>
            <c:dLbl>
              <c:idx val="5"/>
              <c:tx>
                <c:rich>
                  <a:bodyPr/>
                  <a:lstStyle/>
                  <a:p>
                    <a:r>
                      <a:rPr lang="en-US"/>
                      <a:t>12.1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C20-4F40-89A3-AB0240C0D5FF}"/>
                </c:ext>
              </c:extLst>
            </c:dLbl>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30.1</c:v>
                </c:pt>
                <c:pt idx="1">
                  <c:v>69.599999999999994</c:v>
                </c:pt>
                <c:pt idx="2">
                  <c:v>13.2</c:v>
                </c:pt>
                <c:pt idx="3">
                  <c:v>18.5</c:v>
                </c:pt>
                <c:pt idx="4">
                  <c:v>26</c:v>
                </c:pt>
                <c:pt idx="5">
                  <c:v>12.1</c:v>
                </c:pt>
              </c:numCache>
            </c:numRef>
          </c:val>
          <c:extLst>
            <c:ext xmlns:c16="http://schemas.microsoft.com/office/drawing/2014/chart" uri="{C3380CC4-5D6E-409C-BE32-E72D297353CC}">
              <c16:uniqueId val="{00000000-6842-46E8-AE20-056D8A064EE5}"/>
            </c:ext>
          </c:extLst>
        </c:ser>
        <c:ser>
          <c:idx val="1"/>
          <c:order val="1"/>
          <c:tx>
            <c:v>Nhập khẩu hàng hóa</c:v>
          </c:tx>
          <c:spPr>
            <a:solidFill>
              <a:srgbClr val="7030A0"/>
            </a:solidFill>
            <a:ln w="3175">
              <a:solidFill>
                <a:srgbClr val="7030A0"/>
              </a:solidFill>
            </a:ln>
            <a:effectLst/>
          </c:spPr>
          <c:invertIfNegative val="0"/>
          <c:dLbls>
            <c:dLbl>
              <c:idx val="0"/>
              <c:layout>
                <c:manualLayout>
                  <c:x val="5.1538691101602882E-3"/>
                  <c:y val="-6.1355828472385512E-17"/>
                </c:manualLayout>
              </c:layout>
              <c:tx>
                <c:rich>
                  <a:bodyPr/>
                  <a:lstStyle/>
                  <a:p>
                    <a:r>
                      <a:rPr lang="en-US"/>
                      <a:t>92.6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C20-4F40-89A3-AB0240C0D5FF}"/>
                </c:ext>
              </c:extLst>
            </c:dLbl>
            <c:dLbl>
              <c:idx val="1"/>
              <c:layout>
                <c:manualLayout>
                  <c:x val="-4.8966670800076898E-17"/>
                  <c:y val="9.2721372276309694E-3"/>
                </c:manualLayout>
              </c:layout>
              <c:tx>
                <c:rich>
                  <a:bodyPr/>
                  <a:lstStyle/>
                  <a:p>
                    <a:r>
                      <a:rPr lang="en-US"/>
                      <a:t>9.2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42-46E8-AE20-056D8A064EE5}"/>
                </c:ext>
              </c:extLst>
            </c:dLbl>
            <c:dLbl>
              <c:idx val="2"/>
              <c:tx>
                <c:rich>
                  <a:bodyPr/>
                  <a:lstStyle/>
                  <a:p>
                    <a:r>
                      <a:rPr lang="en-US"/>
                      <a:t>34.3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BC20-4F40-89A3-AB0240C0D5FF}"/>
                </c:ext>
              </c:extLst>
            </c:dLbl>
            <c:dLbl>
              <c:idx val="3"/>
              <c:tx>
                <c:rich>
                  <a:bodyPr/>
                  <a:lstStyle/>
                  <a:p>
                    <a:r>
                      <a:rPr lang="en-US"/>
                      <a:t>27.1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BC20-4F40-89A3-AB0240C0D5FF}"/>
                </c:ext>
              </c:extLst>
            </c:dLbl>
            <c:dLbl>
              <c:idx val="4"/>
              <c:tx>
                <c:rich>
                  <a:bodyPr/>
                  <a:lstStyle/>
                  <a:p>
                    <a:r>
                      <a:rPr lang="en-US"/>
                      <a:t>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BC20-4F40-89A3-AB0240C0D5FF}"/>
                </c:ext>
              </c:extLst>
            </c:dLbl>
            <c:dLbl>
              <c:idx val="5"/>
              <c:tx>
                <c:rich>
                  <a:bodyPr/>
                  <a:lstStyle/>
                  <a:p>
                    <a:r>
                      <a:rPr lang="en-US"/>
                      <a:t>11.3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BC20-4F40-89A3-AB0240C0D5F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50" b="1" i="0" u="none" strike="noStrike" kern="1200" baseline="0">
                    <a:solidFill>
                      <a:schemeClr val="bg1"/>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92.6</c:v>
                </c:pt>
                <c:pt idx="1">
                  <c:v>9.1999999999999993</c:v>
                </c:pt>
                <c:pt idx="2">
                  <c:v>34.299999999999997</c:v>
                </c:pt>
                <c:pt idx="3">
                  <c:v>27.1</c:v>
                </c:pt>
                <c:pt idx="4">
                  <c:v>7.9</c:v>
                </c:pt>
                <c:pt idx="5">
                  <c:v>11.3</c:v>
                </c:pt>
              </c:numCache>
            </c:numRef>
          </c:val>
          <c:extLst>
            <c:ext xmlns:c16="http://schemas.microsoft.com/office/drawing/2014/chart" uri="{C3380CC4-5D6E-409C-BE32-E72D297353CC}">
              <c16:uniqueId val="{00000002-6842-46E8-AE20-056D8A064EE5}"/>
            </c:ext>
          </c:extLst>
        </c:ser>
        <c:dLbls>
          <c:showLegendKey val="0"/>
          <c:showVal val="0"/>
          <c:showCatName val="0"/>
          <c:showSerName val="0"/>
          <c:showPercent val="0"/>
          <c:showBubbleSize val="0"/>
        </c:dLbls>
        <c:gapWidth val="75"/>
        <c:overlap val="100"/>
        <c:axId val="-1500534096"/>
        <c:axId val="-1500537904"/>
      </c:barChart>
      <c:catAx>
        <c:axId val="-1500534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00537904"/>
        <c:crosses val="autoZero"/>
        <c:auto val="1"/>
        <c:lblAlgn val="ctr"/>
        <c:lblOffset val="100"/>
        <c:noMultiLvlLbl val="0"/>
      </c:catAx>
      <c:valAx>
        <c:axId val="-1500537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ysClr val="windowText" lastClr="000000"/>
                </a:solidFill>
                <a:latin typeface="Arial "/>
                <a:ea typeface="+mn-ea"/>
                <a:cs typeface="+mn-cs"/>
              </a:defRPr>
            </a:pPr>
            <a:endParaRPr lang="en-US"/>
          </a:p>
        </c:txPr>
        <c:crossAx val="-1500534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year-on-year (%)</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00B050"/>
            </a:solidFill>
            <a:ln w="3175">
              <a:solidFill>
                <a:srgbClr val="00B050"/>
              </a:solidFill>
            </a:ln>
            <a:effectLst/>
          </c:spPr>
          <c:invertIfNegative val="0"/>
          <c:dLbls>
            <c:dLbl>
              <c:idx val="0"/>
              <c:tx>
                <c:rich>
                  <a:bodyPr/>
                  <a:lstStyle/>
                  <a:p>
                    <a:r>
                      <a:rPr lang="en-US"/>
                      <a:t>28.2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9FE-44BC-B250-E035BB7A0D02}"/>
                </c:ext>
              </c:extLst>
            </c:dLbl>
            <c:dLbl>
              <c:idx val="1"/>
              <c:tx>
                <c:rich>
                  <a:bodyPr/>
                  <a:lstStyle/>
                  <a:p>
                    <a:r>
                      <a:rPr lang="en-US"/>
                      <a:t>21.7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9FE-44BC-B250-E035BB7A0D02}"/>
                </c:ext>
              </c:extLst>
            </c:dLbl>
            <c:dLbl>
              <c:idx val="2"/>
              <c:tx>
                <c:rich>
                  <a:bodyPr/>
                  <a:lstStyle/>
                  <a:p>
                    <a:r>
                      <a:rPr lang="en-US"/>
                      <a:t>14.7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9FE-44BC-B250-E035BB7A0D02}"/>
                </c:ext>
              </c:extLst>
            </c:dLbl>
            <c:dLbl>
              <c:idx val="3"/>
              <c:tx>
                <c:rich>
                  <a:bodyPr/>
                  <a:lstStyle/>
                  <a:p>
                    <a:r>
                      <a:rPr lang="en-US"/>
                      <a:t>16.9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9FE-44BC-B250-E035BB7A0D02}"/>
                </c:ext>
              </c:extLst>
            </c:dLbl>
            <c:dLbl>
              <c:idx val="4"/>
              <c:tx>
                <c:rich>
                  <a:bodyPr/>
                  <a:lstStyle/>
                  <a:p>
                    <a:r>
                      <a:rPr lang="en-US"/>
                      <a:t>13.2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9FE-44BC-B250-E035BB7A0D02}"/>
                </c:ext>
              </c:extLst>
            </c:dLbl>
            <c:dLbl>
              <c:idx val="5"/>
              <c:tx>
                <c:rich>
                  <a:bodyPr/>
                  <a:lstStyle/>
                  <a:p>
                    <a:r>
                      <a:rPr lang="en-US"/>
                      <a:t>14.2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9FE-44BC-B250-E035BB7A0D0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c:v>28.2</c:v>
                </c:pt>
                <c:pt idx="1">
                  <c:v>21.7</c:v>
                </c:pt>
                <c:pt idx="2">
                  <c:v>14.7</c:v>
                </c:pt>
                <c:pt idx="3">
                  <c:v>16.899999999999999</c:v>
                </c:pt>
                <c:pt idx="4">
                  <c:v>13.2</c:v>
                </c:pt>
                <c:pt idx="5">
                  <c:v>14.2</c:v>
                </c:pt>
              </c:numCache>
            </c:numRef>
          </c:val>
          <c:extLst>
            <c:ext xmlns:c16="http://schemas.microsoft.com/office/drawing/2014/chart" uri="{C3380CC4-5D6E-409C-BE32-E72D297353CC}">
              <c16:uniqueId val="{00000000-77B3-45EF-B1BC-C8762BDDCFF2}"/>
            </c:ext>
          </c:extLst>
        </c:ser>
        <c:ser>
          <c:idx val="1"/>
          <c:order val="1"/>
          <c:tx>
            <c:v>Nhập khẩu hàng hóa</c:v>
          </c:tx>
          <c:spPr>
            <a:solidFill>
              <a:srgbClr val="7030A0"/>
            </a:solidFill>
            <a:ln w="3175">
              <a:solidFill>
                <a:srgbClr val="7030A0"/>
              </a:solidFill>
            </a:ln>
            <a:effectLst/>
          </c:spPr>
          <c:invertIfNegative val="0"/>
          <c:dLbls>
            <c:dLbl>
              <c:idx val="0"/>
              <c:tx>
                <c:rich>
                  <a:bodyPr/>
                  <a:lstStyle/>
                  <a:p>
                    <a:r>
                      <a:rPr lang="en-US"/>
                      <a:t>33.6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9FE-44BC-B250-E035BB7A0D02}"/>
                </c:ext>
              </c:extLst>
            </c:dLbl>
            <c:dLbl>
              <c:idx val="1"/>
              <c:layout>
                <c:manualLayout>
                  <c:x val="3.5813458100346151E-4"/>
                  <c:y val="-3.7866857551896922E-3"/>
                </c:manualLayout>
              </c:layout>
              <c:tx>
                <c:rich>
                  <a:bodyPr/>
                  <a:lstStyle/>
                  <a:p>
                    <a:r>
                      <a:rPr lang="en-US"/>
                      <a:t>26.1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333-40E9-A5F8-CEEA04D79C42}"/>
                </c:ext>
              </c:extLst>
            </c:dLbl>
            <c:dLbl>
              <c:idx val="2"/>
              <c:tx>
                <c:rich>
                  <a:bodyPr/>
                  <a:lstStyle/>
                  <a:p>
                    <a:r>
                      <a:rPr lang="en-US"/>
                      <a:t>44.5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9FE-44BC-B250-E035BB7A0D02}"/>
                </c:ext>
              </c:extLst>
            </c:dLbl>
            <c:dLbl>
              <c:idx val="3"/>
              <c:tx>
                <c:rich>
                  <a:bodyPr/>
                  <a:lstStyle/>
                  <a:p>
                    <a:r>
                      <a:rPr lang="en-US"/>
                      <a:t>21.6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9FE-44BC-B250-E035BB7A0D02}"/>
                </c:ext>
              </c:extLst>
            </c:dLbl>
            <c:dLbl>
              <c:idx val="4"/>
              <c:layout>
                <c:manualLayout>
                  <c:x val="-2.0939601620642689E-3"/>
                  <c:y val="1.1364959707964898E-2"/>
                </c:manualLayout>
              </c:layout>
              <c:tx>
                <c:rich>
                  <a:bodyPr/>
                  <a:lstStyle/>
                  <a:p>
                    <a:r>
                      <a:rPr lang="en-US"/>
                      <a:t>17.7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333-40E9-A5F8-CEEA04D79C42}"/>
                </c:ext>
              </c:extLst>
            </c:dLbl>
            <c:dLbl>
              <c:idx val="5"/>
              <c:tx>
                <c:rich>
                  <a:bodyPr/>
                  <a:lstStyle/>
                  <a:p>
                    <a:r>
                      <a:rPr lang="en-US"/>
                      <a:t>16.7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9FE-44BC-B250-E035BB7A0D0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0.0</c:formatCode>
                <c:ptCount val="6"/>
                <c:pt idx="0">
                  <c:v>33.6</c:v>
                </c:pt>
                <c:pt idx="1">
                  <c:v>26.1</c:v>
                </c:pt>
                <c:pt idx="2">
                  <c:v>44.5</c:v>
                </c:pt>
                <c:pt idx="3">
                  <c:v>21.6</c:v>
                </c:pt>
                <c:pt idx="4">
                  <c:v>17.7</c:v>
                </c:pt>
                <c:pt idx="5">
                  <c:v>16.7</c:v>
                </c:pt>
              </c:numCache>
            </c:numRef>
          </c:val>
          <c:extLst>
            <c:ext xmlns:c16="http://schemas.microsoft.com/office/drawing/2014/chart" uri="{C3380CC4-5D6E-409C-BE32-E72D297353CC}">
              <c16:uniqueId val="{00000001-77B3-45EF-B1BC-C8762BDDCFF2}"/>
            </c:ext>
          </c:extLst>
        </c:ser>
        <c:dLbls>
          <c:showLegendKey val="0"/>
          <c:showVal val="0"/>
          <c:showCatName val="0"/>
          <c:showSerName val="0"/>
          <c:showPercent val="0"/>
          <c:showBubbleSize val="0"/>
        </c:dLbls>
        <c:gapWidth val="50"/>
        <c:overlap val="-27"/>
        <c:axId val="-1500523760"/>
        <c:axId val="-1500531376"/>
      </c:barChart>
      <c:catAx>
        <c:axId val="-15005237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00531376"/>
        <c:crosses val="autoZero"/>
        <c:auto val="1"/>
        <c:lblAlgn val="ctr"/>
        <c:lblOffset val="100"/>
        <c:noMultiLvlLbl val="0"/>
      </c:catAx>
      <c:valAx>
        <c:axId val="-15005313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
                <a:ea typeface="+mn-ea"/>
                <a:cs typeface="+mn-cs"/>
              </a:defRPr>
            </a:pPr>
            <a:endParaRPr lang="en-US"/>
          </a:p>
        </c:txPr>
        <c:crossAx val="-15005237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'Biểu đồ 1'!$B$1</c:f>
              <c:strCache>
                <c:ptCount val="1"/>
                <c:pt idx="0">
                  <c:v>Hình 1. Tốc độ tăng CPI tháng 01/2025 so với tháng trước</c:v>
                </c:pt>
              </c:strCache>
            </c:strRef>
          </c:tx>
          <c:spPr>
            <a:solidFill>
              <a:schemeClr val="accent1"/>
            </a:solidFill>
            <a:ln>
              <a:noFill/>
            </a:ln>
            <a:effectLst/>
          </c:spPr>
          <c:invertIfNegative val="0"/>
          <c:dPt>
            <c:idx val="0"/>
            <c:invertIfNegative val="0"/>
            <c:bubble3D val="0"/>
            <c:spPr>
              <a:solidFill>
                <a:srgbClr val="7030A0"/>
              </a:solidFill>
              <a:ln>
                <a:noFill/>
              </a:ln>
              <a:effectLst/>
            </c:spPr>
            <c:extLst>
              <c:ext xmlns:c16="http://schemas.microsoft.com/office/drawing/2014/chart" uri="{C3380CC4-5D6E-409C-BE32-E72D297353CC}">
                <c16:uniqueId val="{00000001-2D28-4D14-AE01-5D901B047192}"/>
              </c:ext>
            </c:extLst>
          </c:dPt>
          <c:dPt>
            <c:idx val="1"/>
            <c:invertIfNegative val="0"/>
            <c:bubble3D val="0"/>
            <c:spPr>
              <a:solidFill>
                <a:srgbClr val="FF0000"/>
              </a:solidFill>
              <a:ln>
                <a:noFill/>
              </a:ln>
              <a:effectLst/>
            </c:spPr>
            <c:extLst>
              <c:ext xmlns:c16="http://schemas.microsoft.com/office/drawing/2014/chart" uri="{C3380CC4-5D6E-409C-BE32-E72D297353CC}">
                <c16:uniqueId val="{00000003-2D28-4D14-AE01-5D901B047192}"/>
              </c:ext>
            </c:extLst>
          </c:dPt>
          <c:dPt>
            <c:idx val="2"/>
            <c:invertIfNegative val="0"/>
            <c:bubble3D val="0"/>
            <c:spPr>
              <a:solidFill>
                <a:srgbClr val="FF0000"/>
              </a:solidFill>
              <a:ln>
                <a:noFill/>
              </a:ln>
              <a:effectLst/>
            </c:spPr>
            <c:extLst>
              <c:ext xmlns:c16="http://schemas.microsoft.com/office/drawing/2014/chart" uri="{C3380CC4-5D6E-409C-BE32-E72D297353CC}">
                <c16:uniqueId val="{00000005-2D28-4D14-AE01-5D901B047192}"/>
              </c:ext>
            </c:extLst>
          </c:dPt>
          <c:dPt>
            <c:idx val="3"/>
            <c:invertIfNegative val="0"/>
            <c:bubble3D val="0"/>
            <c:spPr>
              <a:solidFill>
                <a:srgbClr val="FF0000"/>
              </a:solidFill>
              <a:ln>
                <a:noFill/>
              </a:ln>
              <a:effectLst/>
            </c:spPr>
            <c:extLst>
              <c:ext xmlns:c16="http://schemas.microsoft.com/office/drawing/2014/chart" uri="{C3380CC4-5D6E-409C-BE32-E72D297353CC}">
                <c16:uniqueId val="{00000007-2D28-4D14-AE01-5D901B047192}"/>
              </c:ext>
            </c:extLst>
          </c:dPt>
          <c:dPt>
            <c:idx val="4"/>
            <c:invertIfNegative val="0"/>
            <c:bubble3D val="0"/>
            <c:spPr>
              <a:solidFill>
                <a:srgbClr val="FF0000"/>
              </a:solidFill>
              <a:ln>
                <a:noFill/>
              </a:ln>
              <a:effectLst/>
            </c:spPr>
            <c:extLst>
              <c:ext xmlns:c16="http://schemas.microsoft.com/office/drawing/2014/chart" uri="{C3380CC4-5D6E-409C-BE32-E72D297353CC}">
                <c16:uniqueId val="{00000009-2D28-4D14-AE01-5D901B047192}"/>
              </c:ext>
            </c:extLst>
          </c:dPt>
          <c:dPt>
            <c:idx val="5"/>
            <c:invertIfNegative val="0"/>
            <c:bubble3D val="0"/>
            <c:spPr>
              <a:solidFill>
                <a:srgbClr val="FF0000"/>
              </a:solidFill>
              <a:ln>
                <a:noFill/>
              </a:ln>
              <a:effectLst/>
            </c:spPr>
            <c:extLst>
              <c:ext xmlns:c16="http://schemas.microsoft.com/office/drawing/2014/chart" uri="{C3380CC4-5D6E-409C-BE32-E72D297353CC}">
                <c16:uniqueId val="{0000000B-2D28-4D14-AE01-5D901B047192}"/>
              </c:ext>
            </c:extLst>
          </c:dPt>
          <c:dPt>
            <c:idx val="6"/>
            <c:invertIfNegative val="0"/>
            <c:bubble3D val="0"/>
            <c:spPr>
              <a:solidFill>
                <a:srgbClr val="FF0000"/>
              </a:solidFill>
              <a:ln>
                <a:noFill/>
              </a:ln>
              <a:effectLst/>
            </c:spPr>
            <c:extLst>
              <c:ext xmlns:c16="http://schemas.microsoft.com/office/drawing/2014/chart" uri="{C3380CC4-5D6E-409C-BE32-E72D297353CC}">
                <c16:uniqueId val="{0000000D-2D28-4D14-AE01-5D901B047192}"/>
              </c:ext>
            </c:extLst>
          </c:dPt>
          <c:dPt>
            <c:idx val="7"/>
            <c:invertIfNegative val="0"/>
            <c:bubble3D val="0"/>
            <c:spPr>
              <a:solidFill>
                <a:srgbClr val="FF0000"/>
              </a:solidFill>
              <a:ln>
                <a:noFill/>
              </a:ln>
              <a:effectLst/>
            </c:spPr>
            <c:extLst>
              <c:ext xmlns:c16="http://schemas.microsoft.com/office/drawing/2014/chart" uri="{C3380CC4-5D6E-409C-BE32-E72D297353CC}">
                <c16:uniqueId val="{0000000F-2D28-4D14-AE01-5D901B047192}"/>
              </c:ext>
            </c:extLst>
          </c:dPt>
          <c:dPt>
            <c:idx val="8"/>
            <c:invertIfNegative val="0"/>
            <c:bubble3D val="0"/>
            <c:spPr>
              <a:solidFill>
                <a:srgbClr val="FF0000"/>
              </a:solidFill>
              <a:ln>
                <a:noFill/>
              </a:ln>
              <a:effectLst/>
            </c:spPr>
            <c:extLst>
              <c:ext xmlns:c16="http://schemas.microsoft.com/office/drawing/2014/chart" uri="{C3380CC4-5D6E-409C-BE32-E72D297353CC}">
                <c16:uniqueId val="{00000011-2D28-4D14-AE01-5D901B047192}"/>
              </c:ext>
            </c:extLst>
          </c:dPt>
          <c:dPt>
            <c:idx val="9"/>
            <c:invertIfNegative val="0"/>
            <c:bubble3D val="0"/>
            <c:spPr>
              <a:solidFill>
                <a:srgbClr val="FF0000"/>
              </a:solidFill>
              <a:ln>
                <a:solidFill>
                  <a:srgbClr val="FF0000"/>
                </a:solidFill>
              </a:ln>
              <a:effectLst/>
            </c:spPr>
            <c:extLst>
              <c:ext xmlns:c16="http://schemas.microsoft.com/office/drawing/2014/chart" uri="{C3380CC4-5D6E-409C-BE32-E72D297353CC}">
                <c16:uniqueId val="{00000013-2D28-4D14-AE01-5D901B047192}"/>
              </c:ext>
            </c:extLst>
          </c:dPt>
          <c:dPt>
            <c:idx val="10"/>
            <c:invertIfNegative val="0"/>
            <c:bubble3D val="0"/>
            <c:spPr>
              <a:solidFill>
                <a:srgbClr val="FF0000"/>
              </a:solidFill>
              <a:ln>
                <a:solidFill>
                  <a:srgbClr val="FF0000"/>
                </a:solidFill>
              </a:ln>
              <a:effectLst/>
            </c:spPr>
            <c:extLst>
              <c:ext xmlns:c16="http://schemas.microsoft.com/office/drawing/2014/chart" uri="{C3380CC4-5D6E-409C-BE32-E72D297353CC}">
                <c16:uniqueId val="{00000015-2D28-4D14-AE01-5D901B047192}"/>
              </c:ext>
            </c:extLst>
          </c:dPt>
          <c:dPt>
            <c:idx val="11"/>
            <c:invertIfNegative val="0"/>
            <c:bubble3D val="0"/>
            <c:spPr>
              <a:solidFill>
                <a:srgbClr val="00B050"/>
              </a:solidFill>
              <a:ln>
                <a:solidFill>
                  <a:srgbClr val="00B050"/>
                </a:solidFill>
              </a:ln>
              <a:effectLst/>
            </c:spPr>
            <c:extLst>
              <c:ext xmlns:c16="http://schemas.microsoft.com/office/drawing/2014/chart" uri="{C3380CC4-5D6E-409C-BE32-E72D297353CC}">
                <c16:uniqueId val="{00000017-2D28-4D14-AE01-5D901B047192}"/>
              </c:ext>
            </c:extLst>
          </c:dPt>
          <c:dLbls>
            <c:spPr>
              <a:noFill/>
              <a:ln>
                <a:noFill/>
              </a:ln>
              <a:effectLst/>
            </c:spPr>
            <c:txPr>
              <a:bodyPr wrap="square" lIns="38100" tIns="19050" rIns="38100" bIns="19050" anchor="ctr">
                <a:spAutoFit/>
              </a:bodyPr>
              <a:lstStyle/>
              <a:p>
                <a:pPr>
                  <a:defRPr sz="900" b="1">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'Biểu đồ 1'!$A$2:$A$13</c:f>
              <c:strCache>
                <c:ptCount val="12"/>
                <c:pt idx="0">
                  <c:v>CONSUMER PRICE INDEX</c:v>
                </c:pt>
                <c:pt idx="1">
                  <c:v>IV. Housing and construction materials</c:v>
                </c:pt>
                <c:pt idx="2">
                  <c:v>VII. Transport</c:v>
                </c:pt>
                <c:pt idx="3">
                  <c:v>X. Culture, entertainment and tourism</c:v>
                </c:pt>
                <c:pt idx="4">
                  <c:v>II. Beverage and cigarette</c:v>
                </c:pt>
                <c:pt idx="5">
                  <c:v>V. Household equipment and goods </c:v>
                </c:pt>
                <c:pt idx="6">
                  <c:v>XI. Others goods and services</c:v>
                </c:pt>
                <c:pt idx="7">
                  <c:v>III. Garment, hat and footwear</c:v>
                </c:pt>
                <c:pt idx="8">
                  <c:v>VI. Medicine and health care services </c:v>
                </c:pt>
                <c:pt idx="9">
                  <c:v>VIII. Information and communication</c:v>
                </c:pt>
                <c:pt idx="10">
                  <c:v>IX. Education</c:v>
                </c:pt>
                <c:pt idx="11">
                  <c:v>I. Food and foodstuff</c:v>
                </c:pt>
              </c:strCache>
            </c:strRef>
          </c:cat>
          <c:val>
            <c:numRef>
              <c:f>'Biểu đồ 1'!$B$2:$B$13</c:f>
              <c:numCache>
                <c:formatCode>0.00%</c:formatCode>
                <c:ptCount val="12"/>
                <c:pt idx="0">
                  <c:v>2.9470000000000594E-3</c:v>
                </c:pt>
                <c:pt idx="1">
                  <c:v>9.5889999999999986E-3</c:v>
                </c:pt>
                <c:pt idx="2">
                  <c:v>8.2890000000000446E-3</c:v>
                </c:pt>
                <c:pt idx="3">
                  <c:v>4.8029999999999974E-3</c:v>
                </c:pt>
                <c:pt idx="4">
                  <c:v>2.0990000000000466E-3</c:v>
                </c:pt>
                <c:pt idx="5">
                  <c:v>1.7279999999999518E-3</c:v>
                </c:pt>
                <c:pt idx="6">
                  <c:v>1.3920000000000243E-3</c:v>
                </c:pt>
                <c:pt idx="7">
                  <c:v>1.2600000000000478E-3</c:v>
                </c:pt>
                <c:pt idx="8">
                  <c:v>1.0290000000000533E-3</c:v>
                </c:pt>
                <c:pt idx="9">
                  <c:v>4.0800000000004391E-4</c:v>
                </c:pt>
                <c:pt idx="10">
                  <c:v>2.8899999999993043E-4</c:v>
                </c:pt>
                <c:pt idx="11">
                  <c:v>-1.3880000000000337E-3</c:v>
                </c:pt>
              </c:numCache>
            </c:numRef>
          </c:val>
          <c:extLst>
            <c:ext xmlns:c16="http://schemas.microsoft.com/office/drawing/2014/chart" uri="{C3380CC4-5D6E-409C-BE32-E72D297353CC}">
              <c16:uniqueId val="{00000018-2D28-4D14-AE01-5D901B047192}"/>
            </c:ext>
          </c:extLst>
        </c:ser>
        <c:dLbls>
          <c:showLegendKey val="0"/>
          <c:showVal val="0"/>
          <c:showCatName val="0"/>
          <c:showSerName val="0"/>
          <c:showPercent val="0"/>
          <c:showBubbleSize val="0"/>
        </c:dLbls>
        <c:gapWidth val="166"/>
        <c:axId val="-1500537360"/>
        <c:axId val="-1500528656"/>
      </c:barChart>
      <c:catAx>
        <c:axId val="-1500537360"/>
        <c:scaling>
          <c:orientation val="minMax"/>
        </c:scaling>
        <c:delete val="0"/>
        <c:axPos val="b"/>
        <c:numFmt formatCode="General" sourceLinked="1"/>
        <c:majorTickMark val="none"/>
        <c:minorTickMark val="none"/>
        <c:tickLblPos val="low"/>
        <c:spPr>
          <a:noFill/>
          <a:ln w="9525" cap="flat" cmpd="sng" algn="ctr">
            <a:solidFill>
              <a:schemeClr val="bg2">
                <a:lumMod val="25000"/>
              </a:schemeClr>
            </a:solidFill>
            <a:round/>
          </a:ln>
          <a:effectLst/>
        </c:spPr>
        <c:txPr>
          <a:bodyPr rot="-60000000" spcFirstLastPara="1" vertOverflow="ellipsis" vert="horz" wrap="square" anchor="ctr" anchorCtr="1"/>
          <a:lstStyle/>
          <a:p>
            <a:pPr>
              <a:defRPr sz="800" b="0" i="1"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00528656"/>
        <c:crosses val="autoZero"/>
        <c:auto val="1"/>
        <c:lblAlgn val="ctr"/>
        <c:lblOffset val="100"/>
        <c:noMultiLvlLbl val="0"/>
      </c:catAx>
      <c:valAx>
        <c:axId val="-150052865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crossAx val="-15005373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0.15814</cdr:x>
      <cdr:y>0.04927</cdr:y>
    </cdr:from>
    <cdr:to>
      <cdr:x>0.33645</cdr:x>
      <cdr:y>0.15084</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915826" y="161922"/>
          <a:ext cx="1032629" cy="3337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58.7%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0.73135</cdr:x>
      <cdr:y>0.5405</cdr:y>
    </cdr:from>
    <cdr:to>
      <cdr:x>0.80639</cdr:x>
      <cdr:y>0.60128</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4235370" y="1776165"/>
          <a:ext cx="434571" cy="19973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0.9%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a:t>
          </a:r>
          <a:r>
            <a:rPr lang="en-US" sz="900" b="1" i="1" baseline="0">
              <a:latin typeface="Arial" panose="020B0604020202020204" pitchFamily="34" charset="0"/>
              <a:cs typeface="Arial" panose="020B0604020202020204" pitchFamily="34" charset="0"/>
            </a:rPr>
            <a:t> VND</a:t>
          </a:r>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0.15031</cdr:x>
      <cdr:y>0.07818</cdr:y>
    </cdr:from>
    <cdr:to>
      <cdr:x>0.16949</cdr:x>
      <cdr:y>0.11359</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425012" y="287850"/>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0.42405</cdr:x>
      <cdr:y>0.51078</cdr:y>
    </cdr:from>
    <cdr:to>
      <cdr:x>0.44323</cdr:x>
      <cdr:y>0.54619</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3983908" y="1991072"/>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0.62429</cdr:x>
      <cdr:y>0.57482</cdr:y>
    </cdr:from>
    <cdr:to>
      <cdr:x>0.64347</cdr:x>
      <cdr:y>0.61023</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5855700" y="2243218"/>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0.26841</cdr:x>
      <cdr:y>0.14315</cdr:y>
    </cdr:from>
    <cdr:to>
      <cdr:x>0.36746</cdr:x>
      <cdr:y>0.26482</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1554419" y="470395"/>
          <a:ext cx="573618" cy="39982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11.1%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0.34511</cdr:x>
      <cdr:y>0.44989</cdr:y>
    </cdr:from>
    <cdr:to>
      <cdr:x>0.44268</cdr:x>
      <cdr:y>0.55298</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1998628" y="1478395"/>
          <a:ext cx="565048" cy="33876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20.7%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0.43069</cdr:x>
      <cdr:y>0.46928</cdr:y>
    </cdr:from>
    <cdr:to>
      <cdr:x>0.52826</cdr:x>
      <cdr:y>0.57588</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494215" y="1542104"/>
          <a:ext cx="565047" cy="35030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0.52168</cdr:x>
      <cdr:y>0.50571</cdr:y>
    </cdr:from>
    <cdr:to>
      <cdr:x>0.61925</cdr:x>
      <cdr:y>0.59608</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021165" y="1637744"/>
          <a:ext cx="565048" cy="29266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16.0%</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0.62928</cdr:x>
      <cdr:y>0.54587</cdr:y>
    </cdr:from>
    <cdr:to>
      <cdr:x>0.72685</cdr:x>
      <cdr:y>0.62696</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644262" y="1767811"/>
          <a:ext cx="565047" cy="26261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6.8%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0.829</cdr:x>
      <cdr:y>0.55087</cdr:y>
    </cdr:from>
    <cdr:to>
      <cdr:x>0.93701</cdr:x>
      <cdr:y>0.61175</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800883" y="1810214"/>
          <a:ext cx="625508" cy="2000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46.6%</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0.90627</cdr:x>
      <cdr:y>0.5324</cdr:y>
    </cdr:from>
    <cdr:to>
      <cdr:x>1</cdr:x>
      <cdr:y>0.59118</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248384" y="1724171"/>
          <a:ext cx="542815" cy="19035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11.4%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0.33417</cdr:x>
      <cdr:y>0.47268</cdr:y>
    </cdr:from>
    <cdr:to>
      <cdr:x>0.35335</cdr:x>
      <cdr:y>0.50809</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3143716" y="1841090"/>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0.52215</cdr:x>
      <cdr:y>0.5366</cdr:y>
    </cdr:from>
    <cdr:to>
      <cdr:x>0.54133</cdr:x>
      <cdr:y>0.57201</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900896" y="2092757"/>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0.26018</cdr:x>
      <cdr:y>0.17815</cdr:y>
    </cdr:from>
    <cdr:to>
      <cdr:x>0.27936</cdr:x>
      <cdr:y>0.21356</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2452036" y="681466"/>
          <a:ext cx="139415"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0.92045</cdr:x>
      <cdr:y>0.59352</cdr:y>
    </cdr:from>
    <cdr:to>
      <cdr:x>0.93963</cdr:x>
      <cdr:y>0.62893</cdr:y>
    </cdr:to>
    <cdr:sp macro="" textlink="">
      <cdr:nvSpPr>
        <cdr:cNvPr id="2" name="Arrow: Right 1">
          <a:extLst xmlns:a="http://schemas.openxmlformats.org/drawingml/2006/main">
            <a:ext uri="{FF2B5EF4-FFF2-40B4-BE49-F238E27FC236}">
              <a16:creationId xmlns:a16="http://schemas.microsoft.com/office/drawing/2014/main" id="{2B77262D-F59F-8BE8-72BC-961DCEBED57F}"/>
            </a:ext>
          </a:extLst>
        </cdr:cNvPr>
        <cdr:cNvSpPr/>
      </cdr:nvSpPr>
      <cdr:spPr>
        <a:xfrm xmlns:a="http://schemas.openxmlformats.org/drawingml/2006/main" rot="5400000">
          <a:off x="8624157" y="2316846"/>
          <a:ext cx="139414" cy="179291"/>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0.7238</cdr:x>
      <cdr:y>0.57175</cdr:y>
    </cdr:from>
    <cdr:to>
      <cdr:x>0.74298</cdr:x>
      <cdr:y>0.60716</cdr:y>
    </cdr:to>
    <cdr:sp macro="" textlink="">
      <cdr:nvSpPr>
        <cdr:cNvPr id="10" name="Arrow: Right 9">
          <a:extLst xmlns:a="http://schemas.openxmlformats.org/drawingml/2006/main">
            <a:ext uri="{FF2B5EF4-FFF2-40B4-BE49-F238E27FC236}">
              <a16:creationId xmlns:a16="http://schemas.microsoft.com/office/drawing/2014/main" id="{2B77262D-F59F-8BE8-72BC-961DCEBED57F}"/>
            </a:ext>
          </a:extLst>
        </cdr:cNvPr>
        <cdr:cNvSpPr/>
      </cdr:nvSpPr>
      <cdr:spPr>
        <a:xfrm xmlns:a="http://schemas.openxmlformats.org/drawingml/2006/main" rot="16200000">
          <a:off x="6785908" y="2231130"/>
          <a:ext cx="139415"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0.82365</cdr:x>
      <cdr:y>0.57901</cdr:y>
    </cdr:from>
    <cdr:to>
      <cdr:x>0.84283</cdr:x>
      <cdr:y>0.61442</cdr:y>
    </cdr:to>
    <cdr:sp macro="" textlink="">
      <cdr:nvSpPr>
        <cdr:cNvPr id="3" name="Arrow: Right 2">
          <a:extLst xmlns:a="http://schemas.openxmlformats.org/drawingml/2006/main">
            <a:ext uri="{FF2B5EF4-FFF2-40B4-BE49-F238E27FC236}">
              <a16:creationId xmlns:a16="http://schemas.microsoft.com/office/drawing/2014/main" id="{D64297A1-8B7E-0078-4A5D-8A3BEA055AAE}"/>
            </a:ext>
          </a:extLst>
        </cdr:cNvPr>
        <cdr:cNvSpPr/>
      </cdr:nvSpPr>
      <cdr:spPr>
        <a:xfrm xmlns:a="http://schemas.openxmlformats.org/drawingml/2006/main" rot="16200000">
          <a:off x="7719316" y="2259712"/>
          <a:ext cx="139414"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0.78537</cdr:x>
      <cdr:y>0.06845</cdr:y>
    </cdr:from>
    <cdr:to>
      <cdr:x>0.92684</cdr:x>
      <cdr:y>0.14939</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623052" y="215674"/>
          <a:ext cx="832756" cy="2550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24.81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0.81387</cdr:x>
      <cdr:y>0.20302</cdr:y>
    </cdr:from>
    <cdr:to>
      <cdr:x>0.90005</cdr:x>
      <cdr:y>0.28397</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4790793" y="639699"/>
          <a:ext cx="507294"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18.39</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0.79858</cdr:x>
      <cdr:y>0.35573</cdr:y>
    </cdr:from>
    <cdr:to>
      <cdr:x>0.9124</cdr:x>
      <cdr:y>0.43668</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700814" y="1120874"/>
          <a:ext cx="669996"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US" sz="1000" b="1">
              <a:effectLst/>
              <a:latin typeface="Arial" panose="020B0604020202020204" pitchFamily="34" charset="0"/>
              <a:ea typeface="Times New Roman" panose="02020603050405020304" pitchFamily="18" charset="0"/>
              <a:cs typeface="Arial" panose="020B0604020202020204" pitchFamily="34" charset="0"/>
            </a:rPr>
            <a:t>12.16</a:t>
          </a:r>
        </a:p>
      </cdr:txBody>
    </cdr:sp>
  </cdr:relSizeAnchor>
  <cdr:relSizeAnchor xmlns:cdr="http://schemas.openxmlformats.org/drawingml/2006/chartDrawing">
    <cdr:from>
      <cdr:x>0.80971</cdr:x>
      <cdr:y>0.48709</cdr:y>
    </cdr:from>
    <cdr:to>
      <cdr:x>0.89751</cdr:x>
      <cdr:y>0.56804</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4766330" y="1534763"/>
          <a:ext cx="516830"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10.86</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0.81145</cdr:x>
      <cdr:y>0.60323</cdr:y>
    </cdr:from>
    <cdr:to>
      <cdr:x>0.90414</cdr:x>
      <cdr:y>0.68418</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4776561" y="1900690"/>
          <a:ext cx="545615" cy="25506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11.71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9033D-F8FB-4935-9313-6B7134130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10189</Words>
  <Characters>58083</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ltanh</dc:creator>
  <cp:keywords/>
  <dc:description/>
  <cp:lastModifiedBy>Author</cp:lastModifiedBy>
  <cp:revision>2</cp:revision>
  <cp:lastPrinted>2026-06-03T01:07:00Z</cp:lastPrinted>
  <dcterms:created xsi:type="dcterms:W3CDTF">2026-06-11T09:52:00Z</dcterms:created>
  <dcterms:modified xsi:type="dcterms:W3CDTF">2026-06-11T09:52:00Z</dcterms:modified>
  <cp:contentStatus/>
</cp:coreProperties>
</file>