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44" w:type="dxa"/>
        <w:jc w:val="center"/>
        <w:tblLayout w:type="fixed"/>
        <w:tblLook w:val="0000" w:firstRow="0" w:lastRow="0" w:firstColumn="0" w:lastColumn="0" w:noHBand="0" w:noVBand="0"/>
      </w:tblPr>
      <w:tblGrid>
        <w:gridCol w:w="4714"/>
        <w:gridCol w:w="6030"/>
      </w:tblGrid>
      <w:tr w:rsidR="00B72D47" w:rsidRPr="004F4D2E" w14:paraId="13B291D6" w14:textId="77777777" w:rsidTr="00DB5C11">
        <w:trPr>
          <w:trHeight w:val="1276"/>
          <w:jc w:val="center"/>
        </w:trPr>
        <w:tc>
          <w:tcPr>
            <w:tcW w:w="4714" w:type="dxa"/>
          </w:tcPr>
          <w:p w14:paraId="1B6AA7A7" w14:textId="77777777" w:rsidR="00B72D47" w:rsidRPr="004F4D2E" w:rsidRDefault="00B72D47" w:rsidP="00DB5C11">
            <w:pPr>
              <w:spacing w:after="0" w:line="240" w:lineRule="auto"/>
              <w:jc w:val="center"/>
              <w:rPr>
                <w:rFonts w:ascii="Times New Roman" w:hAnsi="Times New Roman" w:cs="Times New Roman"/>
                <w:spacing w:val="-6"/>
                <w:sz w:val="26"/>
                <w:szCs w:val="26"/>
                <w:lang w:val="en-US"/>
              </w:rPr>
            </w:pPr>
            <w:r w:rsidRPr="004F4D2E">
              <w:rPr>
                <w:rFonts w:ascii="Times New Roman" w:hAnsi="Times New Roman"/>
                <w:sz w:val="26"/>
                <w:lang w:val="en-US"/>
              </w:rPr>
              <w:t>MINISTRY OF FINANCE</w:t>
            </w:r>
          </w:p>
          <w:p w14:paraId="65AE5F26" w14:textId="77777777" w:rsidR="00B72D47" w:rsidRPr="004F4D2E" w:rsidRDefault="00B72D47" w:rsidP="00DB5C11">
            <w:pPr>
              <w:spacing w:after="0" w:line="240" w:lineRule="auto"/>
              <w:jc w:val="center"/>
              <w:rPr>
                <w:rFonts w:ascii="Times New Roman" w:hAnsi="Times New Roman" w:cs="Times New Roman"/>
                <w:b/>
                <w:bCs/>
                <w:spacing w:val="-6"/>
                <w:sz w:val="26"/>
                <w:szCs w:val="26"/>
                <w:lang w:val="en-US"/>
              </w:rPr>
            </w:pPr>
            <w:r w:rsidRPr="004F4D2E">
              <w:rPr>
                <w:rFonts w:ascii="Times New Roman" w:hAnsi="Times New Roman"/>
                <w:b/>
                <w:sz w:val="26"/>
                <w:lang w:val="en-US"/>
              </w:rPr>
              <w:t>NATIONAL STATISTICS OFFICE</w:t>
            </w:r>
          </w:p>
          <w:p w14:paraId="6D851875" w14:textId="77777777" w:rsidR="00B72D47" w:rsidRPr="004F4D2E" w:rsidRDefault="00B72D47" w:rsidP="00DB5C11">
            <w:pPr>
              <w:spacing w:after="0" w:line="144" w:lineRule="auto"/>
              <w:jc w:val="center"/>
              <w:rPr>
                <w:rFonts w:ascii="Times New Roman" w:hAnsi="Times New Roman" w:cs="Times New Roman"/>
                <w:bCs/>
                <w:spacing w:val="-6"/>
                <w:sz w:val="28"/>
                <w:szCs w:val="28"/>
                <w:vertAlign w:val="superscript"/>
                <w:lang w:val="en-US"/>
              </w:rPr>
            </w:pPr>
            <w:r w:rsidRPr="004F4D2E">
              <w:rPr>
                <w:rFonts w:ascii="Times New Roman" w:hAnsi="Times New Roman" w:cs="Times New Roman"/>
                <w:bCs/>
                <w:spacing w:val="-6"/>
                <w:sz w:val="26"/>
                <w:szCs w:val="26"/>
                <w:vertAlign w:val="superscript"/>
                <w:lang w:val="en-US"/>
              </w:rPr>
              <w:t>________________</w:t>
            </w:r>
          </w:p>
          <w:p w14:paraId="260830AC" w14:textId="449175AA" w:rsidR="00B72D47" w:rsidRPr="004F4D2E" w:rsidRDefault="00B72D47" w:rsidP="00DB5C11">
            <w:pPr>
              <w:spacing w:before="240" w:after="0" w:line="252" w:lineRule="auto"/>
              <w:jc w:val="center"/>
              <w:rPr>
                <w:rFonts w:ascii="Times New Roman" w:hAnsi="Times New Roman" w:cs="Times New Roman"/>
                <w:sz w:val="28"/>
                <w:szCs w:val="28"/>
                <w:lang w:val="en-US"/>
              </w:rPr>
            </w:pPr>
          </w:p>
        </w:tc>
        <w:tc>
          <w:tcPr>
            <w:tcW w:w="6030" w:type="dxa"/>
          </w:tcPr>
          <w:p w14:paraId="23400D2E" w14:textId="77777777" w:rsidR="00B72D47" w:rsidRPr="004F4D2E" w:rsidRDefault="00B72D47" w:rsidP="00DB5C11">
            <w:pPr>
              <w:spacing w:after="0" w:line="240" w:lineRule="auto"/>
              <w:jc w:val="center"/>
              <w:rPr>
                <w:rFonts w:ascii="Times New Roman" w:hAnsi="Times New Roman" w:cs="Times New Roman"/>
                <w:b/>
                <w:bCs/>
                <w:sz w:val="26"/>
                <w:szCs w:val="26"/>
                <w:lang w:val="en-US"/>
              </w:rPr>
            </w:pPr>
            <w:r w:rsidRPr="004F4D2E">
              <w:rPr>
                <w:rFonts w:ascii="Times New Roman" w:hAnsi="Times New Roman"/>
                <w:b/>
                <w:sz w:val="26"/>
                <w:lang w:val="en-US"/>
              </w:rPr>
              <w:t>SOCIALIST REPUBLIC OF VIET NAM</w:t>
            </w:r>
          </w:p>
          <w:p w14:paraId="6B465741" w14:textId="77777777" w:rsidR="00B72D47" w:rsidRPr="004F4D2E" w:rsidRDefault="00B72D47" w:rsidP="00DB5C11">
            <w:pPr>
              <w:spacing w:after="0" w:line="240" w:lineRule="auto"/>
              <w:jc w:val="center"/>
              <w:rPr>
                <w:rFonts w:ascii="Times New Roman" w:hAnsi="Times New Roman" w:cs="Times New Roman"/>
                <w:b/>
                <w:bCs/>
                <w:sz w:val="28"/>
                <w:szCs w:val="24"/>
                <w:lang w:val="en-US"/>
              </w:rPr>
            </w:pPr>
            <w:r w:rsidRPr="004F4D2E">
              <w:rPr>
                <w:rFonts w:ascii="Times New Roman" w:hAnsi="Times New Roman"/>
                <w:b/>
                <w:sz w:val="28"/>
                <w:lang w:val="en-US"/>
              </w:rPr>
              <w:t>Independence-Freedom-Happiness</w:t>
            </w:r>
          </w:p>
          <w:p w14:paraId="048E45A3" w14:textId="77777777" w:rsidR="00B72D47" w:rsidRPr="004F4D2E" w:rsidRDefault="00B72D47" w:rsidP="00DB5C11">
            <w:pPr>
              <w:spacing w:after="0" w:line="144" w:lineRule="auto"/>
              <w:jc w:val="center"/>
              <w:rPr>
                <w:rFonts w:ascii="Times New Roman" w:hAnsi="Times New Roman" w:cs="Times New Roman"/>
                <w:bCs/>
                <w:sz w:val="28"/>
                <w:szCs w:val="24"/>
                <w:vertAlign w:val="superscript"/>
                <w:lang w:val="en-US"/>
              </w:rPr>
            </w:pPr>
            <w:r w:rsidRPr="004F4D2E">
              <w:rPr>
                <w:rFonts w:ascii="Times New Roman" w:hAnsi="Times New Roman" w:cs="Times New Roman"/>
                <w:bCs/>
                <w:sz w:val="28"/>
                <w:szCs w:val="24"/>
                <w:vertAlign w:val="superscript"/>
                <w:lang w:val="en-US"/>
              </w:rPr>
              <w:t>______________________________________</w:t>
            </w:r>
          </w:p>
          <w:p w14:paraId="61123CC7" w14:textId="77777777" w:rsidR="00B72D47" w:rsidRPr="004F4D2E" w:rsidRDefault="00B72D47" w:rsidP="00DB5C11">
            <w:pPr>
              <w:spacing w:before="240" w:after="0" w:line="252" w:lineRule="auto"/>
              <w:ind w:hanging="2"/>
              <w:jc w:val="center"/>
              <w:rPr>
                <w:rFonts w:ascii="Times New Roman" w:hAnsi="Times New Roman" w:cs="Times New Roman"/>
                <w:b/>
                <w:bCs/>
                <w:i/>
                <w:iCs/>
                <w:sz w:val="28"/>
                <w:szCs w:val="28"/>
                <w:lang w:val="en-US"/>
              </w:rPr>
            </w:pPr>
            <w:r w:rsidRPr="004F4D2E">
              <w:rPr>
                <w:rFonts w:ascii="Times New Roman" w:hAnsi="Times New Roman" w:cs="Times New Roman"/>
                <w:i/>
                <w:iCs/>
                <w:sz w:val="28"/>
                <w:szCs w:val="28"/>
                <w:lang w:val="en-US"/>
              </w:rPr>
              <w:t>Ha Noi, July 3</w:t>
            </w:r>
            <w:r w:rsidRPr="004F4D2E">
              <w:rPr>
                <w:rFonts w:ascii="Times New Roman" w:hAnsi="Times New Roman" w:cs="Times New Roman"/>
                <w:i/>
                <w:iCs/>
                <w:sz w:val="28"/>
                <w:szCs w:val="28"/>
                <w:vertAlign w:val="superscript"/>
                <w:lang w:val="en-US"/>
              </w:rPr>
              <w:t>rd</w:t>
            </w:r>
            <w:r w:rsidRPr="004F4D2E">
              <w:rPr>
                <w:rFonts w:ascii="Times New Roman" w:hAnsi="Times New Roman" w:cs="Times New Roman"/>
                <w:i/>
                <w:iCs/>
                <w:sz w:val="28"/>
                <w:szCs w:val="28"/>
                <w:lang w:val="en-US"/>
              </w:rPr>
              <w:t>, 2026</w:t>
            </w:r>
          </w:p>
        </w:tc>
      </w:tr>
    </w:tbl>
    <w:p w14:paraId="6AAB25E4" w14:textId="77777777" w:rsidR="004F358C" w:rsidRPr="004F4D2E" w:rsidRDefault="004F358C" w:rsidP="004F358C">
      <w:pPr>
        <w:spacing w:after="0" w:line="245" w:lineRule="auto"/>
        <w:jc w:val="center"/>
        <w:rPr>
          <w:rFonts w:ascii="Times New Roman" w:hAnsi="Times New Roman" w:cs="Times New Roman"/>
          <w:b/>
          <w:bCs/>
          <w:color w:val="000000" w:themeColor="text1"/>
          <w:sz w:val="30"/>
          <w:szCs w:val="30"/>
          <w:lang w:val="en-US"/>
        </w:rPr>
      </w:pPr>
    </w:p>
    <w:p w14:paraId="6942E491" w14:textId="2A1EA006" w:rsidR="004F358C" w:rsidRPr="004F4D2E" w:rsidRDefault="00B72D47" w:rsidP="004F358C">
      <w:pPr>
        <w:spacing w:after="0" w:line="245" w:lineRule="auto"/>
        <w:jc w:val="center"/>
        <w:rPr>
          <w:rFonts w:ascii="Times New Roman" w:hAnsi="Times New Roman" w:cs="Times New Roman"/>
          <w:b/>
          <w:bCs/>
          <w:color w:val="000000" w:themeColor="text1"/>
          <w:sz w:val="30"/>
          <w:szCs w:val="30"/>
          <w:lang w:val="en-US"/>
        </w:rPr>
      </w:pPr>
      <w:r w:rsidRPr="004F4D2E">
        <w:rPr>
          <w:rFonts w:ascii="Times New Roman" w:hAnsi="Times New Roman" w:cs="Times New Roman"/>
          <w:b/>
          <w:bCs/>
          <w:color w:val="000000" w:themeColor="text1"/>
          <w:sz w:val="30"/>
          <w:szCs w:val="30"/>
          <w:lang w:val="en-US"/>
        </w:rPr>
        <w:t>PRESS RELEASE</w:t>
      </w:r>
    </w:p>
    <w:p w14:paraId="46478271" w14:textId="2CF2BCA9" w:rsidR="004F358C" w:rsidRPr="004F4D2E" w:rsidRDefault="00B72D47" w:rsidP="004F358C">
      <w:pPr>
        <w:spacing w:after="0" w:line="245" w:lineRule="auto"/>
        <w:jc w:val="center"/>
        <w:rPr>
          <w:rFonts w:ascii="Times New Roman" w:hAnsi="Times New Roman" w:cs="Times New Roman"/>
          <w:b/>
          <w:bCs/>
          <w:color w:val="000000" w:themeColor="text1"/>
          <w:sz w:val="30"/>
          <w:szCs w:val="30"/>
          <w:lang w:val="en-US"/>
        </w:rPr>
      </w:pPr>
      <w:r w:rsidRPr="004F4D2E">
        <w:rPr>
          <w:rFonts w:ascii="Times New Roman" w:hAnsi="Times New Roman" w:cs="Times New Roman"/>
          <w:b/>
          <w:bCs/>
          <w:color w:val="000000" w:themeColor="text1"/>
          <w:sz w:val="30"/>
          <w:szCs w:val="30"/>
          <w:lang w:val="en-US"/>
        </w:rPr>
        <w:t>Socio-Econo</w:t>
      </w:r>
      <w:r w:rsidR="00D11E8C">
        <w:rPr>
          <w:rFonts w:ascii="Times New Roman" w:hAnsi="Times New Roman" w:cs="Times New Roman"/>
          <w:b/>
          <w:bCs/>
          <w:color w:val="000000" w:themeColor="text1"/>
          <w:sz w:val="30"/>
          <w:szCs w:val="30"/>
          <w:lang w:val="en-US"/>
        </w:rPr>
        <w:t>mic Performance in the Q2 and in the first half of</w:t>
      </w:r>
      <w:r w:rsidRPr="004F4D2E">
        <w:rPr>
          <w:rFonts w:ascii="Times New Roman" w:hAnsi="Times New Roman" w:cs="Times New Roman"/>
          <w:b/>
          <w:bCs/>
          <w:color w:val="000000" w:themeColor="text1"/>
          <w:sz w:val="30"/>
          <w:szCs w:val="30"/>
          <w:lang w:val="en-US"/>
        </w:rPr>
        <w:t xml:space="preserve"> 2026</w:t>
      </w:r>
      <w:r w:rsidR="004F358C" w:rsidRPr="004F4D2E">
        <w:rPr>
          <w:rStyle w:val="FootnoteReference"/>
          <w:rFonts w:ascii="Times New Roman" w:hAnsi="Times New Roman"/>
          <w:b/>
          <w:bCs/>
          <w:color w:val="000000" w:themeColor="text1"/>
          <w:sz w:val="30"/>
          <w:szCs w:val="30"/>
          <w:lang w:val="en-US"/>
        </w:rPr>
        <w:footnoteReference w:id="1"/>
      </w:r>
    </w:p>
    <w:p w14:paraId="4AF3ECC7" w14:textId="4A65374E" w:rsidR="004F358C" w:rsidRPr="004F4D2E" w:rsidRDefault="004F358C" w:rsidP="00F76179">
      <w:pPr>
        <w:spacing w:after="0" w:line="245" w:lineRule="auto"/>
        <w:jc w:val="center"/>
        <w:rPr>
          <w:rFonts w:ascii="Times New Roman" w:hAnsi="Times New Roman" w:cs="Times New Roman"/>
          <w:b/>
          <w:bCs/>
          <w:color w:val="000000" w:themeColor="text1"/>
          <w:szCs w:val="30"/>
          <w:lang w:val="en-US"/>
        </w:rPr>
      </w:pPr>
      <w:r w:rsidRPr="004F4D2E">
        <w:rPr>
          <w:rFonts w:ascii="Times New Roman" w:hAnsi="Times New Roman" w:cs="Times New Roman"/>
          <w:b/>
          <w:bCs/>
          <w:noProof/>
          <w:color w:val="000000" w:themeColor="text1"/>
          <w:sz w:val="26"/>
          <w:szCs w:val="26"/>
          <w:lang w:val="en-US"/>
        </w:rPr>
        <mc:AlternateContent>
          <mc:Choice Requires="wps">
            <w:drawing>
              <wp:anchor distT="0" distB="0" distL="114300" distR="114300" simplePos="0" relativeHeight="251664384" behindDoc="0" locked="0" layoutInCell="1" allowOverlap="1" wp14:anchorId="29040F30" wp14:editId="2FF77A86">
                <wp:simplePos x="0" y="0"/>
                <wp:positionH relativeFrom="column">
                  <wp:posOffset>1824355</wp:posOffset>
                </wp:positionH>
                <wp:positionV relativeFrom="paragraph">
                  <wp:posOffset>40005</wp:posOffset>
                </wp:positionV>
                <wp:extent cx="2137340" cy="6350"/>
                <wp:effectExtent l="0" t="0" r="34925" b="317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3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F958A83"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5pt,3.15pt" to="311.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" strokeweight="1pt"/>
            </w:pict>
          </mc:Fallback>
        </mc:AlternateContent>
      </w:r>
    </w:p>
    <w:p w14:paraId="1EFA81DD" w14:textId="77777777" w:rsidR="004F358C" w:rsidRPr="004F4D2E" w:rsidRDefault="004F358C" w:rsidP="00F76179">
      <w:pPr>
        <w:spacing w:after="0" w:line="245" w:lineRule="auto"/>
        <w:jc w:val="center"/>
        <w:rPr>
          <w:rFonts w:ascii="Times New Roman" w:hAnsi="Times New Roman" w:cs="Times New Roman"/>
          <w:b/>
          <w:bCs/>
          <w:color w:val="000000" w:themeColor="text1"/>
          <w:szCs w:val="30"/>
          <w:lang w:val="en-US"/>
        </w:rPr>
      </w:pPr>
    </w:p>
    <w:p w14:paraId="4344EA78" w14:textId="77777777" w:rsidR="00B67503" w:rsidRPr="004F4D2E" w:rsidRDefault="00B67503" w:rsidP="00B67503">
      <w:pPr>
        <w:keepNext/>
        <w:spacing w:after="40" w:line="240" w:lineRule="auto"/>
        <w:ind w:firstLine="567"/>
        <w:jc w:val="both"/>
        <w:outlineLvl w:val="1"/>
        <w:rPr>
          <w:rFonts w:ascii="Times New Roman" w:hAnsi="Times New Roman" w:cs="Times New Roman"/>
          <w:b/>
          <w:bCs/>
          <w:color w:val="000000" w:themeColor="text1"/>
          <w:sz w:val="18"/>
          <w:szCs w:val="28"/>
          <w:lang w:val="en-US"/>
        </w:rPr>
      </w:pPr>
    </w:p>
    <w:p w14:paraId="5902C7C8" w14:textId="77777777" w:rsidR="007814C7" w:rsidRPr="004F4D2E" w:rsidRDefault="007814C7" w:rsidP="007814C7">
      <w:pPr>
        <w:keepNext/>
        <w:spacing w:after="120" w:line="240" w:lineRule="auto"/>
        <w:ind w:firstLine="567"/>
        <w:jc w:val="both"/>
        <w:outlineLvl w:val="1"/>
        <w:rPr>
          <w:rFonts w:ascii="Times New Roman" w:hAnsi="Times New Roman" w:cs="Times New Roman"/>
          <w:b/>
          <w:bCs/>
          <w:color w:val="000000" w:themeColor="text1"/>
          <w:sz w:val="28"/>
          <w:szCs w:val="28"/>
          <w:lang w:val="en-US"/>
        </w:rPr>
      </w:pPr>
      <w:r w:rsidRPr="004F4D2E">
        <w:rPr>
          <w:rFonts w:ascii="Times New Roman" w:hAnsi="Times New Roman" w:cs="Times New Roman"/>
          <w:b/>
          <w:bCs/>
          <w:color w:val="000000" w:themeColor="text1"/>
          <w:sz w:val="28"/>
          <w:szCs w:val="28"/>
          <w:lang w:val="en-US"/>
        </w:rPr>
        <w:t>INTERNATIONAL AND NATIONAL ECONOMIC CONTEXT</w:t>
      </w:r>
    </w:p>
    <w:p w14:paraId="5AB732C6" w14:textId="5FB0280E" w:rsidR="007814C7" w:rsidRPr="004F4D2E" w:rsidRDefault="007814C7" w:rsidP="007814C7">
      <w:pPr>
        <w:spacing w:after="120" w:line="259" w:lineRule="auto"/>
        <w:ind w:firstLine="720"/>
        <w:jc w:val="both"/>
        <w:rPr>
          <w:rFonts w:ascii="Times New Roman" w:hAnsi="Times New Roman" w:cs="Times New Roman"/>
          <w:color w:val="000000" w:themeColor="text1"/>
          <w:sz w:val="28"/>
          <w:szCs w:val="28"/>
          <w:lang w:val="en-US"/>
        </w:rPr>
      </w:pPr>
      <w:r w:rsidRPr="004F4D2E">
        <w:rPr>
          <w:rFonts w:ascii="Times New Roman" w:hAnsi="Times New Roman" w:cs="Times New Roman"/>
          <w:sz w:val="28"/>
          <w:szCs w:val="28"/>
          <w:lang w:val="en-US"/>
        </w:rPr>
        <w:t>During the first half of 2026, the global situation remained highly complex and unpredictable.</w:t>
      </w:r>
      <w:r w:rsidR="00D11E8C">
        <w:rPr>
          <w:rFonts w:ascii="Times New Roman" w:hAnsi="Times New Roman" w:cs="Times New Roman"/>
          <w:sz w:val="28"/>
          <w:szCs w:val="28"/>
          <w:lang w:val="en-US"/>
        </w:rPr>
        <w:t xml:space="preserve"> </w:t>
      </w:r>
      <w:r w:rsidRPr="004F4D2E">
        <w:rPr>
          <w:rFonts w:ascii="Times New Roman" w:hAnsi="Times New Roman" w:cs="Times New Roman"/>
          <w:sz w:val="28"/>
          <w:szCs w:val="28"/>
          <w:lang w:val="en-US"/>
        </w:rPr>
        <w:t>Prolonged armed conflicts in the Middle East escalated risks to global peace and security, negatively impacting global supply chains, energy and commodity prices, logistics costs, and international trade. Concurrently, climate change, natural disasters, energy security, food security, and cybersecurity intensified. On the structural front, digital transformation, artificial intelligence (AI) integration, high-tech advancements, the green transition, and the reconfiguration of global value chains progressed rapidly, presenting both strategic opportunities and new operational demands. Meanwhile, global inflation experienced a resurgence, financial conditions tightened, and global economic growth showed signs of deceleration.</w:t>
      </w:r>
      <w:r w:rsidRPr="004F4D2E">
        <w:rPr>
          <w:rFonts w:ascii="Times New Roman" w:hAnsi="Times New Roman" w:cs="Times New Roman"/>
          <w:color w:val="000000" w:themeColor="text1"/>
          <w:sz w:val="28"/>
          <w:szCs w:val="28"/>
          <w:lang w:val="en-US"/>
        </w:rPr>
        <w:t xml:space="preserve"> </w:t>
      </w:r>
    </w:p>
    <w:p w14:paraId="4123BE15" w14:textId="70097D18" w:rsidR="007814C7" w:rsidRPr="004F4D2E" w:rsidRDefault="007814C7" w:rsidP="007814C7">
      <w:pPr>
        <w:spacing w:after="120" w:line="259" w:lineRule="auto"/>
        <w:ind w:firstLine="720"/>
        <w:jc w:val="both"/>
        <w:rPr>
          <w:rFonts w:ascii="Times New Roman" w:hAnsi="Times New Roman" w:cs="Times New Roman"/>
          <w:color w:val="000000" w:themeColor="text1"/>
          <w:sz w:val="28"/>
          <w:szCs w:val="28"/>
          <w:lang w:val="en-US"/>
        </w:rPr>
      </w:pPr>
      <w:r w:rsidRPr="004F4D2E">
        <w:rPr>
          <w:rFonts w:ascii="Times New Roman" w:hAnsi="Times New Roman" w:cs="Times New Roman"/>
          <w:sz w:val="28"/>
          <w:szCs w:val="28"/>
          <w:lang w:val="en-US"/>
        </w:rPr>
        <w:t>Against this backdrop, major international organizations downgraded their 2026 global economic growth forecasts compared to previous projections. The International Monetary Fund (IMF)</w:t>
      </w:r>
      <w:r w:rsidRPr="004F4D2E">
        <w:rPr>
          <w:rFonts w:ascii="Times New Roman" w:hAnsi="Times New Roman" w:cs="Times New Roman"/>
          <w:sz w:val="28"/>
          <w:szCs w:val="28"/>
          <w:vertAlign w:val="superscript"/>
          <w:lang w:val="en-US"/>
        </w:rPr>
        <w:footnoteReference w:id="2"/>
      </w:r>
      <w:r w:rsidRPr="004F4D2E">
        <w:rPr>
          <w:rFonts w:ascii="Times New Roman" w:hAnsi="Times New Roman" w:cs="Times New Roman"/>
          <w:sz w:val="28"/>
          <w:szCs w:val="28"/>
          <w:lang w:val="en-US"/>
        </w:rPr>
        <w:t>, the United Nations (UN)</w:t>
      </w:r>
      <w:r w:rsidRPr="004F4D2E">
        <w:rPr>
          <w:rFonts w:ascii="Times New Roman" w:hAnsi="Times New Roman" w:cs="Times New Roman"/>
          <w:sz w:val="28"/>
          <w:szCs w:val="28"/>
          <w:vertAlign w:val="superscript"/>
          <w:lang w:val="en-US"/>
        </w:rPr>
        <w:footnoteReference w:id="3"/>
      </w:r>
      <w:r w:rsidRPr="004F4D2E">
        <w:rPr>
          <w:rFonts w:ascii="Times New Roman" w:hAnsi="Times New Roman" w:cs="Times New Roman"/>
          <w:sz w:val="28"/>
          <w:szCs w:val="28"/>
          <w:lang w:val="en-US"/>
        </w:rPr>
        <w:t>, and Fitch Ratings (FR)</w:t>
      </w:r>
      <w:r w:rsidRPr="004F4D2E">
        <w:rPr>
          <w:rFonts w:ascii="Times New Roman" w:hAnsi="Times New Roman" w:cs="Times New Roman"/>
          <w:sz w:val="28"/>
          <w:szCs w:val="28"/>
          <w:vertAlign w:val="superscript"/>
          <w:lang w:val="en-US"/>
        </w:rPr>
        <w:footnoteReference w:id="4"/>
      </w:r>
      <w:r w:rsidRPr="004F4D2E">
        <w:rPr>
          <w:rFonts w:ascii="Times New Roman" w:hAnsi="Times New Roman" w:cs="Times New Roman"/>
          <w:sz w:val="28"/>
          <w:szCs w:val="28"/>
          <w:lang w:val="en-US"/>
        </w:rPr>
        <w:t xml:space="preserve"> each lowered their growth forecasts by 0.2 percentage points, while the Organisation for Economic Co-operation and Development (OECD)</w:t>
      </w:r>
      <w:r w:rsidRPr="004F4D2E">
        <w:rPr>
          <w:rFonts w:ascii="Times New Roman" w:hAnsi="Times New Roman" w:cs="Times New Roman"/>
          <w:sz w:val="28"/>
          <w:szCs w:val="28"/>
          <w:vertAlign w:val="superscript"/>
          <w:lang w:val="en-US"/>
        </w:rPr>
        <w:footnoteReference w:id="5"/>
      </w:r>
      <w:r w:rsidRPr="004F4D2E">
        <w:rPr>
          <w:rFonts w:ascii="Times New Roman" w:hAnsi="Times New Roman" w:cs="Times New Roman"/>
          <w:sz w:val="28"/>
          <w:szCs w:val="28"/>
          <w:lang w:val="en-US"/>
        </w:rPr>
        <w:t xml:space="preserve"> and the World Bank (WB)</w:t>
      </w:r>
      <w:r w:rsidRPr="004F4D2E">
        <w:rPr>
          <w:rFonts w:ascii="Times New Roman" w:hAnsi="Times New Roman" w:cs="Times New Roman"/>
          <w:sz w:val="28"/>
          <w:szCs w:val="28"/>
          <w:vertAlign w:val="superscript"/>
          <w:lang w:val="en-US"/>
        </w:rPr>
        <w:footnoteReference w:id="6"/>
      </w:r>
      <w:r w:rsidR="00D11E8C">
        <w:rPr>
          <w:rFonts w:ascii="Times New Roman" w:hAnsi="Times New Roman" w:cs="Times New Roman"/>
          <w:sz w:val="28"/>
          <w:szCs w:val="28"/>
          <w:lang w:val="en-US"/>
        </w:rPr>
        <w:t xml:space="preserve"> trimmed their forecasts</w:t>
      </w:r>
      <w:r w:rsidRPr="004F4D2E">
        <w:rPr>
          <w:rFonts w:ascii="Times New Roman" w:hAnsi="Times New Roman" w:cs="Times New Roman"/>
          <w:sz w:val="28"/>
          <w:szCs w:val="28"/>
          <w:lang w:val="en-US"/>
        </w:rPr>
        <w:t xml:space="preserve"> by 0.1 percentage points. Specifically, </w:t>
      </w:r>
      <w:r w:rsidRPr="004F4D2E">
        <w:rPr>
          <w:rFonts w:ascii="Times New Roman" w:hAnsi="Times New Roman" w:cs="Times New Roman"/>
          <w:sz w:val="28"/>
          <w:szCs w:val="28"/>
          <w:lang w:val="en-US"/>
        </w:rPr>
        <w:lastRenderedPageBreak/>
        <w:t>2026 global growth forecasts are pegged at 3.1% by the IMF, 2.8% by the OECD, 2.5% by both the UN and WB, and 2.4% by FR.</w:t>
      </w:r>
      <w:r w:rsidRPr="004F4D2E">
        <w:rPr>
          <w:rFonts w:ascii="Times New Roman" w:hAnsi="Times New Roman" w:cs="Times New Roman"/>
          <w:color w:val="000000" w:themeColor="text1"/>
          <w:sz w:val="28"/>
          <w:szCs w:val="28"/>
          <w:lang w:val="en-US"/>
        </w:rPr>
        <w:t xml:space="preserve"> </w:t>
      </w:r>
    </w:p>
    <w:p w14:paraId="133FF18A" w14:textId="0094A676" w:rsidR="007814C7" w:rsidRPr="004F4D2E" w:rsidRDefault="007814C7" w:rsidP="007814C7">
      <w:pPr>
        <w:spacing w:after="120" w:line="259" w:lineRule="auto"/>
        <w:ind w:firstLine="720"/>
        <w:jc w:val="both"/>
        <w:rPr>
          <w:rFonts w:ascii="Times New Roman" w:hAnsi="Times New Roman" w:cs="Times New Roman"/>
          <w:color w:val="000000" w:themeColor="text1"/>
          <w:spacing w:val="-4"/>
          <w:sz w:val="28"/>
          <w:szCs w:val="28"/>
          <w:lang w:val="en-US"/>
        </w:rPr>
      </w:pPr>
      <w:r w:rsidRPr="004F4D2E">
        <w:rPr>
          <w:rFonts w:ascii="Times New Roman" w:hAnsi="Times New Roman" w:cs="Times New Roman"/>
          <w:sz w:val="28"/>
          <w:szCs w:val="28"/>
          <w:lang w:val="en-US"/>
        </w:rPr>
        <w:t>For</w:t>
      </w:r>
      <w:r w:rsidR="00D11E8C">
        <w:rPr>
          <w:rFonts w:ascii="Times New Roman" w:hAnsi="Times New Roman" w:cs="Times New Roman"/>
          <w:sz w:val="28"/>
          <w:szCs w:val="28"/>
          <w:lang w:val="en-US"/>
        </w:rPr>
        <w:t xml:space="preserve"> the</w:t>
      </w:r>
      <w:r w:rsidRPr="004F4D2E">
        <w:rPr>
          <w:rFonts w:ascii="Times New Roman" w:hAnsi="Times New Roman" w:cs="Times New Roman"/>
          <w:sz w:val="28"/>
          <w:szCs w:val="28"/>
          <w:lang w:val="en-US"/>
        </w:rPr>
        <w:t xml:space="preserve"> Southeast Asia</w:t>
      </w:r>
      <w:r w:rsidRPr="004F4D2E">
        <w:rPr>
          <w:rStyle w:val="FootnoteReference"/>
          <w:rFonts w:ascii="Times New Roman" w:hAnsi="Times New Roman"/>
          <w:sz w:val="28"/>
          <w:szCs w:val="28"/>
          <w:lang w:val="en-US"/>
        </w:rPr>
        <w:footnoteReference w:id="7"/>
      </w:r>
      <w:r w:rsidRPr="004F4D2E">
        <w:rPr>
          <w:rFonts w:ascii="Times New Roman" w:hAnsi="Times New Roman" w:cs="Times New Roman"/>
          <w:sz w:val="28"/>
          <w:szCs w:val="28"/>
          <w:lang w:val="en-US"/>
        </w:rPr>
        <w:t>, while growth assessments for individual economies varied across organizations, consensus remained that Viet Nam would lead the region in growth performance. Accordingly, Viet Nam’s growth in 2026 was projected to be between 6.5-7.2%</w:t>
      </w:r>
      <w:r w:rsidRPr="004F4D2E">
        <w:rPr>
          <w:rStyle w:val="FootnoteReference"/>
          <w:rFonts w:ascii="Times New Roman" w:hAnsi="Times New Roman"/>
          <w:sz w:val="28"/>
          <w:szCs w:val="28"/>
          <w:lang w:val="en-US"/>
        </w:rPr>
        <w:footnoteReference w:id="8"/>
      </w:r>
      <w:r w:rsidRPr="004F4D2E">
        <w:rPr>
          <w:rFonts w:ascii="Times New Roman" w:hAnsi="Times New Roman" w:cs="Times New Roman"/>
          <w:sz w:val="28"/>
          <w:szCs w:val="28"/>
          <w:lang w:val="en-US"/>
        </w:rPr>
        <w:t>; Indonesia between 4.7-5.2%; Malaysia between 4.2-4.7%; the Philippines between 3.2-4.4%; Singapore between 3.0-3.5%; and Thailand between 1.5-1.8%</w:t>
      </w:r>
      <w:r w:rsidRPr="004F4D2E">
        <w:rPr>
          <w:rFonts w:ascii="Times New Roman" w:hAnsi="Times New Roman" w:cs="Times New Roman"/>
          <w:color w:val="000000" w:themeColor="text1"/>
          <w:spacing w:val="-4"/>
          <w:sz w:val="28"/>
          <w:szCs w:val="28"/>
          <w:lang w:val="en-US"/>
        </w:rPr>
        <w:t xml:space="preserve">. </w:t>
      </w:r>
    </w:p>
    <w:p w14:paraId="172200AB" w14:textId="75753C69" w:rsidR="007814C7" w:rsidRPr="004F4D2E" w:rsidRDefault="007814C7" w:rsidP="007814C7">
      <w:pPr>
        <w:spacing w:after="120" w:line="259" w:lineRule="auto"/>
        <w:ind w:firstLine="720"/>
        <w:jc w:val="both"/>
        <w:rPr>
          <w:rFonts w:ascii="Times New Roman" w:hAnsi="Times New Roman" w:cs="Times New Roman"/>
          <w:color w:val="000000" w:themeColor="text1"/>
          <w:sz w:val="28"/>
          <w:szCs w:val="28"/>
          <w:shd w:val="clear" w:color="auto" w:fill="FFFFFF" w:themeFill="background1"/>
          <w:lang w:val="en-US"/>
        </w:rPr>
      </w:pPr>
      <w:r w:rsidRPr="004F4D2E">
        <w:rPr>
          <w:rFonts w:ascii="Times New Roman" w:hAnsi="Times New Roman" w:cs="Times New Roman"/>
          <w:color w:val="000000" w:themeColor="text1"/>
          <w:sz w:val="28"/>
          <w:szCs w:val="28"/>
          <w:lang w:val="en-US"/>
        </w:rPr>
        <w:t xml:space="preserve">Along with closely monitoring developments in the global and domestic economic situation, </w:t>
      </w:r>
      <w:r w:rsidRPr="004F4D2E">
        <w:rPr>
          <w:rFonts w:ascii="Times New Roman" w:hAnsi="Times New Roman" w:cs="Times New Roman"/>
          <w:sz w:val="28"/>
          <w:szCs w:val="28"/>
          <w:lang w:val="en-US"/>
        </w:rPr>
        <w:t>the Government and the Prime Minister issued decisive directives to ministries, agencies, and localities to implement a comprehensive suite of solutions aimed at driving economic growth, targeting double-digit growth in 2026. Key institutional drivers included the operationalization of the two-tiered local government model, continuous institutional improvements, enhanced decentralization, and administrative reforms. These measures optimized state management, expanded development space, and strengthened regional linkages, fostering effective resource mobilization. Consequently, despite external volatility, the socio-e</w:t>
      </w:r>
      <w:r w:rsidR="00D11E8C">
        <w:rPr>
          <w:rFonts w:ascii="Times New Roman" w:hAnsi="Times New Roman" w:cs="Times New Roman"/>
          <w:sz w:val="28"/>
          <w:szCs w:val="28"/>
          <w:lang w:val="en-US"/>
        </w:rPr>
        <w:t>conomic performance in Q2 and in the first half of</w:t>
      </w:r>
      <w:r w:rsidRPr="004F4D2E">
        <w:rPr>
          <w:rFonts w:ascii="Times New Roman" w:hAnsi="Times New Roman" w:cs="Times New Roman"/>
          <w:sz w:val="28"/>
          <w:szCs w:val="28"/>
          <w:lang w:val="en-US"/>
        </w:rPr>
        <w:t xml:space="preserve"> 2026 achieved positive outcomes across most macroeconomic sectors. Specifically</w:t>
      </w:r>
      <w:r w:rsidRPr="004F4D2E">
        <w:rPr>
          <w:rFonts w:ascii="Times New Roman" w:hAnsi="Times New Roman" w:cs="Times New Roman"/>
          <w:color w:val="000000" w:themeColor="text1"/>
          <w:sz w:val="28"/>
          <w:szCs w:val="28"/>
          <w:shd w:val="clear" w:color="auto" w:fill="FFFFFF" w:themeFill="background1"/>
          <w:lang w:val="en-US"/>
        </w:rPr>
        <w:t>:</w:t>
      </w:r>
    </w:p>
    <w:p w14:paraId="0E80692E" w14:textId="77777777" w:rsidR="007814C7" w:rsidRPr="004F4D2E" w:rsidRDefault="007814C7" w:rsidP="007814C7">
      <w:pPr>
        <w:spacing w:beforeLines="40" w:before="96" w:afterLines="40" w:after="96" w:line="264" w:lineRule="auto"/>
        <w:ind w:firstLine="567"/>
        <w:jc w:val="both"/>
        <w:rPr>
          <w:rFonts w:ascii="Times New Roman" w:hAnsi="Times New Roman" w:cs="Times New Roman"/>
          <w:b/>
          <w:color w:val="000000" w:themeColor="text1"/>
          <w:sz w:val="28"/>
          <w:szCs w:val="28"/>
          <w:lang w:val="en-US"/>
        </w:rPr>
      </w:pPr>
      <w:r w:rsidRPr="004F4D2E">
        <w:rPr>
          <w:rFonts w:ascii="Times New Roman" w:hAnsi="Times New Roman" w:cs="Times New Roman"/>
          <w:b/>
          <w:color w:val="000000" w:themeColor="text1"/>
          <w:sz w:val="28"/>
          <w:szCs w:val="28"/>
          <w:lang w:val="en-US"/>
        </w:rPr>
        <w:t>I. ECONOMIC GROWTH</w:t>
      </w:r>
    </w:p>
    <w:p w14:paraId="6F4FC101" w14:textId="77777777" w:rsidR="007814C7" w:rsidRPr="004F4D2E" w:rsidRDefault="007814C7" w:rsidP="007814C7">
      <w:pPr>
        <w:spacing w:beforeLines="40" w:before="96" w:afterLines="40" w:after="96" w:line="264" w:lineRule="auto"/>
        <w:ind w:firstLine="567"/>
        <w:jc w:val="both"/>
        <w:rPr>
          <w:rFonts w:ascii="Times New Roman" w:hAnsi="Times New Roman" w:cs="Times New Roman"/>
          <w:b/>
          <w:i/>
          <w:color w:val="000000" w:themeColor="text1"/>
          <w:spacing w:val="-2"/>
          <w:sz w:val="28"/>
          <w:szCs w:val="28"/>
          <w:lang w:val="en-US"/>
        </w:rPr>
      </w:pPr>
      <w:bookmarkStart w:id="0" w:name="_Hlk67685084"/>
      <w:r w:rsidRPr="004F4D2E">
        <w:rPr>
          <w:rFonts w:ascii="Times New Roman" w:hAnsi="Times New Roman" w:cs="Times New Roman"/>
          <w:b/>
          <w:i/>
          <w:color w:val="000000" w:themeColor="text1"/>
          <w:sz w:val="28"/>
          <w:szCs w:val="28"/>
          <w:lang w:val="en-US"/>
        </w:rPr>
        <w:t xml:space="preserve">1. </w:t>
      </w:r>
      <w:r w:rsidRPr="004F4D2E">
        <w:rPr>
          <w:rFonts w:ascii="Times New Roman" w:hAnsi="Times New Roman" w:cs="Times New Roman"/>
          <w:b/>
          <w:i/>
          <w:color w:val="000000" w:themeColor="text1"/>
          <w:spacing w:val="-2"/>
          <w:sz w:val="28"/>
          <w:szCs w:val="28"/>
          <w:lang w:val="en-US"/>
        </w:rPr>
        <w:t xml:space="preserve">Gross Domestic Product (GDP) </w:t>
      </w:r>
    </w:p>
    <w:p w14:paraId="61AC4583" w14:textId="77777777" w:rsidR="007814C7" w:rsidRPr="004F4D2E" w:rsidRDefault="007814C7" w:rsidP="007814C7">
      <w:pPr>
        <w:spacing w:after="0" w:line="238" w:lineRule="auto"/>
        <w:ind w:firstLine="720"/>
        <w:jc w:val="both"/>
        <w:rPr>
          <w:rFonts w:ascii="Times New Roman" w:hAnsi="Times New Roman" w:cs="Times New Roman"/>
          <w:color w:val="000000" w:themeColor="text1"/>
          <w:spacing w:val="-2"/>
          <w:sz w:val="28"/>
          <w:szCs w:val="28"/>
          <w:lang w:val="en-US"/>
        </w:rPr>
      </w:pPr>
      <w:r w:rsidRPr="004F4D2E">
        <w:rPr>
          <w:rFonts w:ascii="Times New Roman" w:hAnsi="Times New Roman" w:cs="Times New Roman"/>
          <w:sz w:val="28"/>
          <w:szCs w:val="28"/>
          <w:lang w:val="en-US"/>
        </w:rPr>
        <w:t>Gross Domestic Product (GDP) Q2 2026</w:t>
      </w:r>
      <w:r w:rsidRPr="004F4D2E">
        <w:rPr>
          <w:rFonts w:ascii="Times New Roman" w:hAnsi="Times New Roman" w:cs="Times New Roman"/>
          <w:i/>
          <w:sz w:val="28"/>
          <w:szCs w:val="28"/>
          <w:lang w:val="en-US"/>
        </w:rPr>
        <w:t xml:space="preserve"> </w:t>
      </w:r>
      <w:r w:rsidRPr="004F4D2E">
        <w:rPr>
          <w:rFonts w:ascii="Times New Roman" w:hAnsi="Times New Roman" w:cs="Times New Roman"/>
          <w:sz w:val="28"/>
          <w:szCs w:val="28"/>
          <w:lang w:val="en-US"/>
        </w:rPr>
        <w:t>recorded robust expansion, rising by an estimated 8.39% year-on-year</w:t>
      </w:r>
      <w:r w:rsidRPr="004F4D2E">
        <w:rPr>
          <w:rStyle w:val="FootnoteReference"/>
          <w:rFonts w:ascii="Times New Roman" w:hAnsi="Times New Roman"/>
          <w:sz w:val="28"/>
          <w:szCs w:val="28"/>
          <w:lang w:val="en-US"/>
        </w:rPr>
        <w:footnoteReference w:id="9"/>
      </w:r>
      <w:r w:rsidRPr="004F4D2E">
        <w:rPr>
          <w:rFonts w:ascii="Times New Roman" w:hAnsi="Times New Roman" w:cs="Times New Roman"/>
          <w:sz w:val="28"/>
          <w:szCs w:val="28"/>
          <w:lang w:val="en-US"/>
        </w:rPr>
        <w:t xml:space="preserve"> (YoY). Specifically, the agriculture, forestry, and fishing sector grew by 4.06%, contributing 5.65% to the overall value-added growth of the economy; the industry and construction sector rose by 10.51%, representing 50.07%; and the services sector expanded by 7.87%, constituting 44.28%.</w:t>
      </w:r>
      <w:r w:rsidRPr="004F4D2E">
        <w:rPr>
          <w:rFonts w:ascii="Times New Roman" w:hAnsi="Times New Roman" w:cs="Times New Roman"/>
          <w:color w:val="000000" w:themeColor="text1"/>
          <w:spacing w:val="-2"/>
          <w:sz w:val="28"/>
          <w:szCs w:val="28"/>
          <w:lang w:val="en-US"/>
        </w:rPr>
        <w:t xml:space="preserve"> </w:t>
      </w:r>
    </w:p>
    <w:p w14:paraId="28F3A010" w14:textId="7719D643" w:rsidR="007814C7" w:rsidRPr="004F4D2E" w:rsidRDefault="00D11E8C" w:rsidP="007814C7">
      <w:pPr>
        <w:spacing w:after="0" w:line="238" w:lineRule="auto"/>
        <w:ind w:firstLine="720"/>
        <w:jc w:val="both"/>
        <w:rPr>
          <w:rFonts w:ascii="Times New Roman" w:hAnsi="Times New Roman" w:cs="Times New Roman"/>
          <w:color w:val="000000" w:themeColor="text1"/>
          <w:spacing w:val="-2"/>
          <w:sz w:val="28"/>
          <w:szCs w:val="28"/>
          <w:lang w:val="en-US"/>
        </w:rPr>
      </w:pPr>
      <w:r>
        <w:rPr>
          <w:rFonts w:ascii="Times New Roman" w:hAnsi="Times New Roman" w:cs="Times New Roman"/>
          <w:color w:val="000000" w:themeColor="text1"/>
          <w:spacing w:val="-2"/>
          <w:sz w:val="28"/>
          <w:szCs w:val="28"/>
          <w:lang w:val="en-US"/>
        </w:rPr>
        <w:t>GDP in the first half of</w:t>
      </w:r>
      <w:r w:rsidR="007814C7" w:rsidRPr="004F4D2E">
        <w:rPr>
          <w:rFonts w:ascii="Times New Roman" w:hAnsi="Times New Roman" w:cs="Times New Roman"/>
          <w:color w:val="000000" w:themeColor="text1"/>
          <w:spacing w:val="-2"/>
          <w:sz w:val="28"/>
          <w:szCs w:val="28"/>
          <w:lang w:val="en-US"/>
        </w:rPr>
        <w:t xml:space="preserve"> 2026 increased by 8.18% YoY, </w:t>
      </w:r>
      <w:r w:rsidR="007814C7" w:rsidRPr="004F4D2E">
        <w:rPr>
          <w:rFonts w:ascii="Times New Roman" w:hAnsi="Times New Roman" w:cs="Times New Roman"/>
          <w:i/>
          <w:color w:val="000000" w:themeColor="text1"/>
          <w:spacing w:val="-2"/>
          <w:sz w:val="28"/>
          <w:szCs w:val="28"/>
          <w:lang w:val="en-US"/>
        </w:rPr>
        <w:t>accelerating from the 7.63% growth recorded in the same period of 2025</w:t>
      </w:r>
      <w:r w:rsidR="007814C7" w:rsidRPr="004F4D2E">
        <w:rPr>
          <w:rFonts w:ascii="Times New Roman" w:hAnsi="Times New Roman" w:cs="Times New Roman"/>
          <w:color w:val="000000" w:themeColor="text1"/>
          <w:spacing w:val="-2"/>
          <w:sz w:val="28"/>
          <w:szCs w:val="28"/>
          <w:lang w:val="en-US"/>
        </w:rPr>
        <w:t>. In terms of overall value-added growth of the economy, the agriculture, forestry, and fishing sector increased by 3.87% YoY, contributing 5.66%; the industry and construction sector expanded by 9.81% YoY, contributing 47.20%, the services sector increased by 8.09% YoY, contributing 47.14%.</w:t>
      </w:r>
    </w:p>
    <w:p w14:paraId="255047C0" w14:textId="77777777" w:rsidR="007814C7" w:rsidRPr="004F4D2E" w:rsidRDefault="007814C7" w:rsidP="007814C7">
      <w:pPr>
        <w:spacing w:after="0" w:line="238" w:lineRule="auto"/>
        <w:ind w:firstLine="720"/>
        <w:jc w:val="both"/>
        <w:rPr>
          <w:rFonts w:ascii="Times New Roman" w:hAnsi="Times New Roman" w:cs="Times New Roman"/>
          <w:color w:val="000000" w:themeColor="text1"/>
          <w:sz w:val="28"/>
          <w:szCs w:val="28"/>
          <w:lang w:val="en-US"/>
        </w:rPr>
      </w:pPr>
      <w:r w:rsidRPr="004F4D2E">
        <w:rPr>
          <w:rFonts w:ascii="Times New Roman" w:hAnsi="Times New Roman" w:cs="Times New Roman"/>
          <w:sz w:val="28"/>
          <w:szCs w:val="28"/>
          <w:lang w:val="en-US"/>
        </w:rPr>
        <w:t xml:space="preserve">In the agriculture, forestry, and fishing sector, agricultural activities maintained steady growth, securing domestic consumption while expanding its export markets. Agricultural value-added rose by 3.57% YoY (contributing </w:t>
      </w:r>
      <w:r w:rsidRPr="004F4D2E">
        <w:rPr>
          <w:rFonts w:ascii="Times New Roman" w:hAnsi="Times New Roman" w:cs="Times New Roman"/>
          <w:sz w:val="28"/>
          <w:szCs w:val="28"/>
          <w:lang w:val="en-US"/>
        </w:rPr>
        <w:lastRenderedPageBreak/>
        <w:t>3.83% to total economic value-added), forestry value-added increased by 3.98% (contributing 0.27%), and fishery value-added grew by 4.88% (contributing 1.56%).</w:t>
      </w:r>
    </w:p>
    <w:p w14:paraId="13DD6499" w14:textId="77777777" w:rsidR="007814C7" w:rsidRPr="004F4D2E" w:rsidRDefault="007814C7" w:rsidP="007814C7">
      <w:pPr>
        <w:spacing w:after="0" w:line="238" w:lineRule="auto"/>
        <w:ind w:firstLine="720"/>
        <w:jc w:val="both"/>
        <w:rPr>
          <w:rFonts w:ascii="Times New Roman" w:hAnsi="Times New Roman" w:cs="Times New Roman"/>
          <w:color w:val="000000" w:themeColor="text1"/>
          <w:spacing w:val="-2"/>
          <w:sz w:val="28"/>
          <w:szCs w:val="28"/>
          <w:lang w:val="en-US"/>
        </w:rPr>
      </w:pPr>
      <w:r w:rsidRPr="004F4D2E">
        <w:rPr>
          <w:rFonts w:ascii="Times New Roman" w:hAnsi="Times New Roman" w:cs="Times New Roman"/>
          <w:sz w:val="28"/>
          <w:szCs w:val="28"/>
          <w:lang w:val="en-US"/>
        </w:rPr>
        <w:t>In the industry and construction sector, industrial activities sustained upward momentum driven by reviving export orders and the strong spillover effects of public investment. Industrial value-added climbed by 9.86% YoY, accounting for 40.35% of overall value-added growth of the economy. The manufacturing remained the primary engine of growth, expanding by 10.23% YoY (contributing 33.07%). Other sub-sectors included the electricity supply (+9.34% YoY, contributing 5.14%); water supply, sewerage, waste management and remediation activities (+7.72% YoY, contributing 0.54%); mining and quarrying (+6.67% YoY, contributing 1.60%); and construction (+9.51% YoY, contributing 6.85%).</w:t>
      </w:r>
    </w:p>
    <w:p w14:paraId="2F68FEE0" w14:textId="77777777" w:rsidR="007814C7" w:rsidRPr="004F4D2E" w:rsidRDefault="007814C7" w:rsidP="007814C7">
      <w:pPr>
        <w:spacing w:after="0" w:line="238" w:lineRule="auto"/>
        <w:ind w:firstLine="720"/>
        <w:jc w:val="both"/>
        <w:rPr>
          <w:rFonts w:ascii="Times New Roman" w:hAnsi="Times New Roman" w:cs="Times New Roman"/>
          <w:color w:val="000000" w:themeColor="text1"/>
          <w:spacing w:val="-2"/>
          <w:sz w:val="28"/>
          <w:szCs w:val="28"/>
          <w:lang w:val="en-US"/>
        </w:rPr>
      </w:pPr>
      <w:r w:rsidRPr="004F4D2E">
        <w:rPr>
          <w:rFonts w:ascii="Times New Roman" w:hAnsi="Times New Roman" w:cs="Times New Roman"/>
          <w:sz w:val="28"/>
          <w:szCs w:val="28"/>
          <w:lang w:val="en-US"/>
        </w:rPr>
        <w:t>In the services sector, trade, transportation, and tourism achieved significant gains fueled by robust consumer demand, vibrant cargo circulation and domestic travel. The service sector’s total value-added increased by 8.09% YoY. Key market-driven service sub-sectors maintained high growth trajectories made significant contributions the gross value-added growth of the economy, including the transportation and storage (+10.18% YoY, contributing 7.73%), the wholesale and retail trade (+9.67%, contributing 13.51%); accommodation and food service activities (+8.05%, contributing 2.73%); and the finance, banking, and insurance activities (+7.97%, contributing 4.71%). In addition, administrative and support activities increased by 8.99%, contributing 1.81%.</w:t>
      </w:r>
      <w:r w:rsidRPr="004F4D2E">
        <w:rPr>
          <w:rFonts w:ascii="Times New Roman" w:hAnsi="Times New Roman" w:cs="Times New Roman"/>
          <w:color w:val="000000" w:themeColor="text1"/>
          <w:spacing w:val="-2"/>
          <w:sz w:val="28"/>
          <w:szCs w:val="28"/>
          <w:lang w:val="en-US"/>
        </w:rPr>
        <w:t xml:space="preserve"> </w:t>
      </w:r>
    </w:p>
    <w:p w14:paraId="6A06A12D" w14:textId="1AB7281A" w:rsidR="007814C7" w:rsidRPr="004F4D2E" w:rsidRDefault="007814C7" w:rsidP="007814C7">
      <w:pPr>
        <w:spacing w:after="0" w:line="238" w:lineRule="auto"/>
        <w:ind w:firstLine="720"/>
        <w:jc w:val="both"/>
        <w:rPr>
          <w:rFonts w:ascii="Times New Roman" w:hAnsi="Times New Roman" w:cs="Times New Roman"/>
          <w:color w:val="000000" w:themeColor="text1"/>
          <w:spacing w:val="-4"/>
          <w:sz w:val="28"/>
          <w:szCs w:val="28"/>
          <w:lang w:val="en-US"/>
        </w:rPr>
      </w:pPr>
      <w:r w:rsidRPr="004F4D2E">
        <w:rPr>
          <w:rFonts w:ascii="Times New Roman" w:hAnsi="Times New Roman" w:cs="Times New Roman"/>
          <w:sz w:val="28"/>
          <w:szCs w:val="28"/>
          <w:lang w:val="en-US"/>
        </w:rPr>
        <w:t>Regard</w:t>
      </w:r>
      <w:r w:rsidR="00D11E8C">
        <w:rPr>
          <w:rFonts w:ascii="Times New Roman" w:hAnsi="Times New Roman" w:cs="Times New Roman"/>
          <w:sz w:val="28"/>
          <w:szCs w:val="28"/>
          <w:lang w:val="en-US"/>
        </w:rPr>
        <w:t>ing the economic structure in the first half of</w:t>
      </w:r>
      <w:r w:rsidRPr="004F4D2E">
        <w:rPr>
          <w:rFonts w:ascii="Times New Roman" w:hAnsi="Times New Roman" w:cs="Times New Roman"/>
          <w:sz w:val="28"/>
          <w:szCs w:val="28"/>
          <w:lang w:val="en-US"/>
        </w:rPr>
        <w:t xml:space="preserve"> 2026, the agriculture, forestry, and fishing sector accounted for 10.61%; the industry and construction sector accounted for 37.66%; the service sector accounted for 43.52%; and the taxes less subsidies on products accounted for 8.21% (The corresponding structure for the same period in 2025 was 11.28%; 36.82%; 43.59%; and 8.31%).</w:t>
      </w:r>
    </w:p>
    <w:p w14:paraId="1B623855" w14:textId="0A956E98" w:rsidR="007814C7" w:rsidRPr="004F4D2E" w:rsidRDefault="00D11E8C" w:rsidP="007814C7">
      <w:pPr>
        <w:spacing w:after="0" w:line="238" w:lineRule="auto"/>
        <w:ind w:firstLine="720"/>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Regarding GDP utilization in the first half of</w:t>
      </w:r>
      <w:r w:rsidR="007814C7" w:rsidRPr="004F4D2E">
        <w:rPr>
          <w:rFonts w:ascii="Times New Roman" w:hAnsi="Times New Roman" w:cs="Times New Roman"/>
          <w:sz w:val="28"/>
          <w:szCs w:val="28"/>
          <w:lang w:val="en-US"/>
        </w:rPr>
        <w:t xml:space="preserve"> 2026, the final consumption increased by 8.15% compared to the same period in 2025; the gross capital formation rose by 15.20%; the export of goods and services grew by 20.18%; and the import of goods and services increased by 26.44%.</w:t>
      </w:r>
    </w:p>
    <w:bookmarkEnd w:id="0"/>
    <w:p w14:paraId="2217C775" w14:textId="7BD4BC8D" w:rsidR="007814C7" w:rsidRPr="004F4D2E" w:rsidRDefault="00D11E8C" w:rsidP="007814C7">
      <w:pPr>
        <w:pStyle w:val="ListParagraph"/>
        <w:spacing w:before="120" w:after="60" w:line="264" w:lineRule="auto"/>
        <w:ind w:left="0" w:firstLine="720"/>
        <w:jc w:val="both"/>
        <w:rPr>
          <w:rFonts w:ascii="Times New Roman Bold Italic" w:hAnsi="Times New Roman Bold Italic" w:cs="Times New Roman"/>
          <w:b/>
          <w:i/>
          <w:color w:val="000000" w:themeColor="text1"/>
          <w:spacing w:val="4"/>
          <w:sz w:val="28"/>
          <w:szCs w:val="28"/>
          <w:lang w:val="en-US"/>
        </w:rPr>
      </w:pPr>
      <w:r>
        <w:rPr>
          <w:rFonts w:ascii="Times New Roman Bold Italic" w:hAnsi="Times New Roman Bold Italic" w:cs="Times New Roman"/>
          <w:b/>
          <w:i/>
          <w:color w:val="000000" w:themeColor="text1"/>
          <w:spacing w:val="4"/>
          <w:sz w:val="28"/>
          <w:szCs w:val="28"/>
          <w:lang w:val="en-US"/>
        </w:rPr>
        <w:t>2. Agricultural production in the first half of</w:t>
      </w:r>
      <w:r w:rsidR="007814C7" w:rsidRPr="004F4D2E">
        <w:rPr>
          <w:rFonts w:ascii="Times New Roman Bold Italic" w:hAnsi="Times New Roman Bold Italic" w:cs="Times New Roman"/>
          <w:b/>
          <w:i/>
          <w:color w:val="000000" w:themeColor="text1"/>
          <w:spacing w:val="4"/>
          <w:sz w:val="28"/>
          <w:szCs w:val="28"/>
          <w:lang w:val="en-US"/>
        </w:rPr>
        <w:t xml:space="preserve"> 2026 maintained stable growth. Spring rice production grew in both yield and production, fulfilling domestic consumption and export demands. Fruit production showed positive signals, and the management of planting area codes and packaging facilities was strengthened, contributing to improved quality and value of agricultural products and expanding export markets. Livestock developed towards farm-based, bio-secur</w:t>
      </w:r>
      <w:r w:rsidR="002D0314">
        <w:rPr>
          <w:rFonts w:ascii="Times New Roman Bold Italic" w:hAnsi="Times New Roman Bold Italic" w:cs="Times New Roman"/>
          <w:b/>
          <w:i/>
          <w:color w:val="000000" w:themeColor="text1"/>
          <w:spacing w:val="4"/>
          <w:sz w:val="28"/>
          <w:szCs w:val="28"/>
          <w:lang w:val="en-US"/>
        </w:rPr>
        <w:t>e production, production of pig</w:t>
      </w:r>
      <w:bookmarkStart w:id="1" w:name="_GoBack"/>
      <w:bookmarkEnd w:id="1"/>
      <w:r w:rsidR="007814C7" w:rsidRPr="004F4D2E">
        <w:rPr>
          <w:rFonts w:ascii="Times New Roman Bold Italic" w:hAnsi="Times New Roman Bold Italic" w:cs="Times New Roman"/>
          <w:b/>
          <w:i/>
          <w:color w:val="000000" w:themeColor="text1"/>
          <w:spacing w:val="4"/>
          <w:sz w:val="28"/>
          <w:szCs w:val="28"/>
          <w:lang w:val="en-US"/>
        </w:rPr>
        <w:t xml:space="preserve"> live weight and poultry live weight witnessed a year-on-year jump. Wood production showed an upward trend thanks to strong processing and export demand. Aquaculture and fisheries capture witnessed a stability thanks to increased application of high technology and favorable weather</w:t>
      </w:r>
    </w:p>
    <w:p w14:paraId="054B9E49" w14:textId="77777777" w:rsidR="007814C7" w:rsidRPr="004F4D2E" w:rsidRDefault="007814C7" w:rsidP="007814C7">
      <w:pPr>
        <w:spacing w:after="0" w:line="264" w:lineRule="auto"/>
        <w:ind w:firstLine="567"/>
        <w:jc w:val="both"/>
        <w:rPr>
          <w:rFonts w:ascii="Times New Roman" w:hAnsi="Times New Roman" w:cs="Times New Roman"/>
          <w:color w:val="000000" w:themeColor="text1"/>
          <w:sz w:val="28"/>
          <w:szCs w:val="28"/>
          <w:lang w:val="en-US"/>
        </w:rPr>
      </w:pPr>
      <w:r w:rsidRPr="004F4D2E">
        <w:rPr>
          <w:rFonts w:ascii="Times New Roman" w:hAnsi="Times New Roman" w:cs="Times New Roman"/>
          <w:i/>
          <w:color w:val="000000" w:themeColor="text1"/>
          <w:sz w:val="28"/>
          <w:szCs w:val="28"/>
          <w:lang w:val="en-US"/>
        </w:rPr>
        <w:lastRenderedPageBreak/>
        <w:t>a) Agriculture</w:t>
      </w:r>
    </w:p>
    <w:p w14:paraId="410414A3" w14:textId="4D286B45" w:rsidR="007814C7" w:rsidRPr="004F4D2E" w:rsidRDefault="007814C7" w:rsidP="007814C7">
      <w:pPr>
        <w:shd w:val="clear" w:color="auto" w:fill="FFFFFF"/>
        <w:spacing w:after="0" w:line="264" w:lineRule="auto"/>
        <w:ind w:firstLine="562"/>
        <w:jc w:val="both"/>
        <w:rPr>
          <w:rFonts w:ascii="Times New Roman" w:hAnsi="Times New Roman" w:cs="Times New Roman"/>
          <w:color w:val="000000" w:themeColor="text1"/>
          <w:spacing w:val="-4"/>
          <w:sz w:val="28"/>
          <w:szCs w:val="28"/>
          <w:lang w:val="en-US"/>
        </w:rPr>
      </w:pPr>
      <w:r w:rsidRPr="004F4D2E">
        <w:rPr>
          <w:rFonts w:ascii="Times New Roman" w:hAnsi="Times New Roman" w:cs="Times New Roman"/>
          <w:color w:val="000000" w:themeColor="text1"/>
          <w:spacing w:val="-4"/>
          <w:sz w:val="28"/>
          <w:szCs w:val="28"/>
          <w:lang w:val="en-US"/>
        </w:rPr>
        <w:t>In 2026, the cultivation area of spring rice nationwide reached 2,932.1 thousand hectares, a year-on-year</w:t>
      </w:r>
      <w:r w:rsidRPr="004F4D2E">
        <w:rPr>
          <w:rStyle w:val="FootnoteReference"/>
          <w:rFonts w:ascii="Times New Roman" w:hAnsi="Times New Roman"/>
          <w:color w:val="000000" w:themeColor="text1"/>
          <w:spacing w:val="-4"/>
          <w:sz w:val="28"/>
          <w:szCs w:val="28"/>
          <w:lang w:val="en-US"/>
        </w:rPr>
        <w:footnoteReference w:id="10"/>
      </w:r>
      <w:r w:rsidRPr="004F4D2E">
        <w:rPr>
          <w:rFonts w:ascii="Times New Roman" w:hAnsi="Times New Roman" w:cs="Times New Roman"/>
          <w:color w:val="000000" w:themeColor="text1"/>
          <w:spacing w:val="-4"/>
          <w:sz w:val="28"/>
          <w:szCs w:val="28"/>
          <w:lang w:val="en-US"/>
        </w:rPr>
        <w:t xml:space="preserve"> decrease of 37.7 thousand hectares. </w:t>
      </w:r>
      <w:r w:rsidR="00FB0C09">
        <w:rPr>
          <w:rFonts w:ascii="Times New Roman" w:hAnsi="Times New Roman" w:cs="Times New Roman"/>
          <w:color w:val="000000" w:themeColor="text1"/>
          <w:spacing w:val="-4"/>
          <w:sz w:val="28"/>
          <w:szCs w:val="28"/>
          <w:lang w:val="en-US"/>
        </w:rPr>
        <w:t xml:space="preserve">The </w:t>
      </w:r>
      <w:r w:rsidRPr="004F4D2E">
        <w:rPr>
          <w:rFonts w:ascii="Times New Roman" w:hAnsi="Times New Roman" w:cs="Times New Roman"/>
          <w:color w:val="000000" w:themeColor="text1"/>
          <w:spacing w:val="-4"/>
          <w:sz w:val="28"/>
          <w:szCs w:val="28"/>
          <w:lang w:val="en-US"/>
        </w:rPr>
        <w:t xml:space="preserve">Northern localities cultivated 1,037.2 thousand hectares, experiencing a year-on-year down of 13.3 thousand hectares; </w:t>
      </w:r>
      <w:r w:rsidR="00FB0C09">
        <w:rPr>
          <w:rFonts w:ascii="Times New Roman" w:hAnsi="Times New Roman" w:cs="Times New Roman"/>
          <w:color w:val="000000" w:themeColor="text1"/>
          <w:spacing w:val="-4"/>
          <w:sz w:val="28"/>
          <w:szCs w:val="28"/>
          <w:lang w:val="en-US"/>
        </w:rPr>
        <w:t xml:space="preserve">the </w:t>
      </w:r>
      <w:r w:rsidRPr="004F4D2E">
        <w:rPr>
          <w:rFonts w:ascii="Times New Roman" w:hAnsi="Times New Roman" w:cs="Times New Roman"/>
          <w:color w:val="000000" w:themeColor="text1"/>
          <w:spacing w:val="-4"/>
          <w:sz w:val="28"/>
          <w:szCs w:val="28"/>
          <w:lang w:val="en-US"/>
        </w:rPr>
        <w:t>Southern provinces cultivated 1,894.9 thousand hectares witnessing a year-on-year crash of 24.4 thousand hectares, of which the Mekong River Delta accounted for 1,251.0 thousand hectares (-14.4 thousand hectares). The yield of the spring rice nationwide was estimated to reach 69.8 quintals/hectare, showing a year-on-year bounce of 1.2 quintals/hectare. The production of the spring rice in 2026 was estimated to reach 20.5 million tons, witnessing a year-on-year growth of 88.1 thousand tons,</w:t>
      </w:r>
    </w:p>
    <w:p w14:paraId="54987AF1" w14:textId="77777777" w:rsidR="007814C7" w:rsidRPr="004F4D2E" w:rsidRDefault="007814C7" w:rsidP="007814C7">
      <w:pPr>
        <w:shd w:val="clear" w:color="auto" w:fill="FFFFFF"/>
        <w:spacing w:after="0" w:line="264" w:lineRule="auto"/>
        <w:ind w:firstLine="562"/>
        <w:jc w:val="both"/>
        <w:rPr>
          <w:rStyle w:val="normalchar"/>
          <w:rFonts w:ascii="Times New Roman" w:hAnsi="Times New Roman"/>
          <w:color w:val="000000" w:themeColor="text1"/>
          <w:sz w:val="28"/>
          <w:szCs w:val="28"/>
          <w:lang w:val="en-US"/>
        </w:rPr>
      </w:pPr>
      <w:r w:rsidRPr="004F4D2E">
        <w:rPr>
          <w:rStyle w:val="normalchar"/>
          <w:rFonts w:ascii="Times New Roman" w:hAnsi="Times New Roman"/>
          <w:color w:val="000000" w:themeColor="text1"/>
          <w:sz w:val="28"/>
          <w:szCs w:val="28"/>
          <w:lang w:val="en-US"/>
        </w:rPr>
        <w:t>As of June 20</w:t>
      </w:r>
      <w:r w:rsidRPr="004F4D2E">
        <w:rPr>
          <w:rStyle w:val="normalchar"/>
          <w:rFonts w:ascii="Times New Roman" w:hAnsi="Times New Roman"/>
          <w:color w:val="000000" w:themeColor="text1"/>
          <w:sz w:val="28"/>
          <w:szCs w:val="28"/>
          <w:vertAlign w:val="superscript"/>
          <w:lang w:val="en-US"/>
        </w:rPr>
        <w:t>th</w:t>
      </w:r>
      <w:r w:rsidRPr="004F4D2E">
        <w:rPr>
          <w:rStyle w:val="normalchar"/>
          <w:rFonts w:ascii="Times New Roman" w:hAnsi="Times New Roman"/>
          <w:color w:val="000000" w:themeColor="text1"/>
          <w:sz w:val="28"/>
          <w:szCs w:val="28"/>
          <w:lang w:val="en-US"/>
        </w:rPr>
        <w:t>, 2026, localities nationwide cultivated 1,712.2 thousand hectares of summer-autumn rice, equal to 95.7%, year-on-year, of which the Mekong River Delta reached 1,144.1 thousand hectares, equal to 94.4%.</w:t>
      </w:r>
    </w:p>
    <w:p w14:paraId="78B1658F" w14:textId="634DBC54" w:rsidR="007814C7" w:rsidRPr="004F4D2E" w:rsidRDefault="00FB0C09" w:rsidP="007814C7">
      <w:pPr>
        <w:tabs>
          <w:tab w:val="center" w:pos="5062"/>
        </w:tabs>
        <w:spacing w:after="0" w:line="264" w:lineRule="auto"/>
        <w:ind w:firstLine="562"/>
        <w:jc w:val="both"/>
        <w:rPr>
          <w:rStyle w:val="normalchar"/>
          <w:rFonts w:ascii="Times New Roman" w:hAnsi="Times New Roman"/>
          <w:color w:val="000000" w:themeColor="text1"/>
          <w:sz w:val="28"/>
          <w:szCs w:val="28"/>
          <w:lang w:val="en-US"/>
        </w:rPr>
      </w:pPr>
      <w:r>
        <w:rPr>
          <w:rStyle w:val="normalchar"/>
          <w:rFonts w:ascii="Times New Roman" w:hAnsi="Times New Roman"/>
          <w:color w:val="000000" w:themeColor="text1"/>
          <w:sz w:val="28"/>
          <w:szCs w:val="28"/>
          <w:lang w:val="en-US"/>
        </w:rPr>
        <w:t>Generally, in the first half of</w:t>
      </w:r>
      <w:r w:rsidR="007814C7" w:rsidRPr="004F4D2E">
        <w:rPr>
          <w:rStyle w:val="normalchar"/>
          <w:rFonts w:ascii="Times New Roman" w:hAnsi="Times New Roman"/>
          <w:color w:val="000000" w:themeColor="text1"/>
          <w:sz w:val="28"/>
          <w:szCs w:val="28"/>
          <w:lang w:val="en-US"/>
        </w:rPr>
        <w:t xml:space="preserve"> 2026, the production of many fruits continued to show a year-on-year growth as follows: Durian</w:t>
      </w:r>
      <w:r>
        <w:rPr>
          <w:rStyle w:val="normalchar"/>
          <w:rFonts w:ascii="Times New Roman" w:hAnsi="Times New Roman"/>
          <w:color w:val="000000" w:themeColor="text1"/>
          <w:sz w:val="28"/>
          <w:szCs w:val="28"/>
          <w:lang w:val="en-US"/>
        </w:rPr>
        <w:t xml:space="preserve"> with</w:t>
      </w:r>
      <w:r w:rsidR="007814C7" w:rsidRPr="004F4D2E">
        <w:rPr>
          <w:rStyle w:val="normalchar"/>
          <w:rFonts w:ascii="Times New Roman" w:hAnsi="Times New Roman"/>
          <w:color w:val="000000" w:themeColor="text1"/>
          <w:sz w:val="28"/>
          <w:szCs w:val="28"/>
          <w:lang w:val="en-US"/>
        </w:rPr>
        <w:t xml:space="preserve"> 603.3 thousand tons, (+12.7%); jackfruit </w:t>
      </w:r>
      <w:r>
        <w:rPr>
          <w:rStyle w:val="normalchar"/>
          <w:rFonts w:ascii="Times New Roman" w:hAnsi="Times New Roman"/>
          <w:color w:val="000000" w:themeColor="text1"/>
          <w:sz w:val="28"/>
          <w:szCs w:val="28"/>
          <w:lang w:val="en-US"/>
        </w:rPr>
        <w:t xml:space="preserve">with </w:t>
      </w:r>
      <w:r w:rsidR="007814C7" w:rsidRPr="004F4D2E">
        <w:rPr>
          <w:rStyle w:val="normalchar"/>
          <w:rFonts w:ascii="Times New Roman" w:hAnsi="Times New Roman"/>
          <w:color w:val="000000" w:themeColor="text1"/>
          <w:sz w:val="28"/>
          <w:szCs w:val="28"/>
          <w:lang w:val="en-US"/>
        </w:rPr>
        <w:t>512.0 thousand tons, (+10.3%); pineapple</w:t>
      </w:r>
      <w:r>
        <w:rPr>
          <w:rStyle w:val="normalchar"/>
          <w:rFonts w:ascii="Times New Roman" w:hAnsi="Times New Roman"/>
          <w:color w:val="000000" w:themeColor="text1"/>
          <w:sz w:val="28"/>
          <w:szCs w:val="28"/>
          <w:lang w:val="en-US"/>
        </w:rPr>
        <w:t xml:space="preserve"> with</w:t>
      </w:r>
      <w:r w:rsidR="007814C7" w:rsidRPr="004F4D2E">
        <w:rPr>
          <w:rStyle w:val="normalchar"/>
          <w:rFonts w:ascii="Times New Roman" w:hAnsi="Times New Roman"/>
          <w:color w:val="000000" w:themeColor="text1"/>
          <w:sz w:val="28"/>
          <w:szCs w:val="28"/>
          <w:lang w:val="en-US"/>
        </w:rPr>
        <w:t xml:space="preserve"> 461.6 thousand tons, (+8.0%); mangoes </w:t>
      </w:r>
      <w:r>
        <w:rPr>
          <w:rStyle w:val="normalchar"/>
          <w:rFonts w:ascii="Times New Roman" w:hAnsi="Times New Roman"/>
          <w:color w:val="000000" w:themeColor="text1"/>
          <w:sz w:val="28"/>
          <w:szCs w:val="28"/>
          <w:lang w:val="en-US"/>
        </w:rPr>
        <w:t xml:space="preserve">with </w:t>
      </w:r>
      <w:r w:rsidR="007814C7" w:rsidRPr="004F4D2E">
        <w:rPr>
          <w:rStyle w:val="normalchar"/>
          <w:rFonts w:ascii="Times New Roman" w:hAnsi="Times New Roman"/>
          <w:color w:val="000000" w:themeColor="text1"/>
          <w:sz w:val="28"/>
          <w:szCs w:val="28"/>
          <w:lang w:val="en-US"/>
        </w:rPr>
        <w:t xml:space="preserve">757.8 thousand tons, (+3.8%); dragon fruit </w:t>
      </w:r>
      <w:r>
        <w:rPr>
          <w:rStyle w:val="normalchar"/>
          <w:rFonts w:ascii="Times New Roman" w:hAnsi="Times New Roman"/>
          <w:color w:val="000000" w:themeColor="text1"/>
          <w:sz w:val="28"/>
          <w:szCs w:val="28"/>
          <w:lang w:val="en-US"/>
        </w:rPr>
        <w:t xml:space="preserve">with </w:t>
      </w:r>
      <w:r w:rsidR="007814C7" w:rsidRPr="004F4D2E">
        <w:rPr>
          <w:rStyle w:val="normalchar"/>
          <w:rFonts w:ascii="Times New Roman" w:hAnsi="Times New Roman"/>
          <w:color w:val="000000" w:themeColor="text1"/>
          <w:sz w:val="28"/>
          <w:szCs w:val="28"/>
          <w:lang w:val="en-US"/>
        </w:rPr>
        <w:t xml:space="preserve">625.0 thousand tons, (+3.0%); longan </w:t>
      </w:r>
      <w:r>
        <w:rPr>
          <w:rStyle w:val="normalchar"/>
          <w:rFonts w:ascii="Times New Roman" w:hAnsi="Times New Roman"/>
          <w:color w:val="000000" w:themeColor="text1"/>
          <w:sz w:val="28"/>
          <w:szCs w:val="28"/>
          <w:lang w:val="en-US"/>
        </w:rPr>
        <w:t xml:space="preserve">with </w:t>
      </w:r>
      <w:r w:rsidR="007814C7" w:rsidRPr="004F4D2E">
        <w:rPr>
          <w:rStyle w:val="normalchar"/>
          <w:rFonts w:ascii="Times New Roman" w:hAnsi="Times New Roman"/>
          <w:color w:val="000000" w:themeColor="text1"/>
          <w:sz w:val="28"/>
          <w:szCs w:val="28"/>
          <w:lang w:val="en-US"/>
        </w:rPr>
        <w:t xml:space="preserve">231.6 thousand tons, (+2.3%). Production of some perennial industrial crops also saw a year-on-year upward trend, including coconut </w:t>
      </w:r>
      <w:r>
        <w:rPr>
          <w:rStyle w:val="normalchar"/>
          <w:rFonts w:ascii="Times New Roman" w:hAnsi="Times New Roman"/>
          <w:color w:val="000000" w:themeColor="text1"/>
          <w:sz w:val="28"/>
          <w:szCs w:val="28"/>
          <w:lang w:val="en-US"/>
        </w:rPr>
        <w:t xml:space="preserve">with </w:t>
      </w:r>
      <w:r w:rsidR="007814C7" w:rsidRPr="004F4D2E">
        <w:rPr>
          <w:rStyle w:val="normalchar"/>
          <w:rFonts w:ascii="Times New Roman" w:hAnsi="Times New Roman"/>
          <w:color w:val="000000" w:themeColor="text1"/>
          <w:sz w:val="28"/>
          <w:szCs w:val="28"/>
          <w:lang w:val="en-US"/>
        </w:rPr>
        <w:t>1,332.7 thousand tons, (+7.3%); green tea</w:t>
      </w:r>
      <w:r>
        <w:rPr>
          <w:rStyle w:val="normalchar"/>
          <w:rFonts w:ascii="Times New Roman" w:hAnsi="Times New Roman"/>
          <w:color w:val="000000" w:themeColor="text1"/>
          <w:sz w:val="28"/>
          <w:szCs w:val="28"/>
          <w:lang w:val="en-US"/>
        </w:rPr>
        <w:t xml:space="preserve"> with</w:t>
      </w:r>
      <w:r w:rsidR="007814C7" w:rsidRPr="004F4D2E">
        <w:rPr>
          <w:rStyle w:val="normalchar"/>
          <w:rFonts w:ascii="Times New Roman" w:hAnsi="Times New Roman"/>
          <w:color w:val="000000" w:themeColor="text1"/>
          <w:sz w:val="28"/>
          <w:szCs w:val="28"/>
          <w:lang w:val="en-US"/>
        </w:rPr>
        <w:t xml:space="preserve"> 566.0 thousand tons, (+4.0%); rubber</w:t>
      </w:r>
      <w:r>
        <w:rPr>
          <w:rStyle w:val="normalchar"/>
          <w:rFonts w:ascii="Times New Roman" w:hAnsi="Times New Roman"/>
          <w:color w:val="000000" w:themeColor="text1"/>
          <w:sz w:val="28"/>
          <w:szCs w:val="28"/>
          <w:lang w:val="en-US"/>
        </w:rPr>
        <w:t xml:space="preserve"> with</w:t>
      </w:r>
      <w:r w:rsidR="007814C7" w:rsidRPr="004F4D2E">
        <w:rPr>
          <w:rStyle w:val="normalchar"/>
          <w:rFonts w:ascii="Times New Roman" w:hAnsi="Times New Roman"/>
          <w:color w:val="000000" w:themeColor="text1"/>
          <w:sz w:val="28"/>
          <w:szCs w:val="28"/>
          <w:lang w:val="en-US"/>
        </w:rPr>
        <w:t xml:space="preserve"> 439.6 thousand tons, (+3.9%); cashew nuts </w:t>
      </w:r>
      <w:r>
        <w:rPr>
          <w:rStyle w:val="normalchar"/>
          <w:rFonts w:ascii="Times New Roman" w:hAnsi="Times New Roman"/>
          <w:color w:val="000000" w:themeColor="text1"/>
          <w:sz w:val="28"/>
          <w:szCs w:val="28"/>
          <w:lang w:val="en-US"/>
        </w:rPr>
        <w:t xml:space="preserve">with </w:t>
      </w:r>
      <w:r w:rsidR="007814C7" w:rsidRPr="004F4D2E">
        <w:rPr>
          <w:rStyle w:val="normalchar"/>
          <w:rFonts w:ascii="Times New Roman" w:hAnsi="Times New Roman"/>
          <w:color w:val="000000" w:themeColor="text1"/>
          <w:sz w:val="28"/>
          <w:szCs w:val="28"/>
          <w:lang w:val="en-US"/>
        </w:rPr>
        <w:t xml:space="preserve">323.4 thousand tons, (+4.6%); pepper </w:t>
      </w:r>
      <w:r>
        <w:rPr>
          <w:rStyle w:val="normalchar"/>
          <w:rFonts w:ascii="Times New Roman" w:hAnsi="Times New Roman"/>
          <w:color w:val="000000" w:themeColor="text1"/>
          <w:sz w:val="28"/>
          <w:szCs w:val="28"/>
          <w:lang w:val="en-US"/>
        </w:rPr>
        <w:t xml:space="preserve">with </w:t>
      </w:r>
      <w:r w:rsidR="007814C7" w:rsidRPr="004F4D2E">
        <w:rPr>
          <w:rStyle w:val="normalchar"/>
          <w:rFonts w:ascii="Times New Roman" w:hAnsi="Times New Roman"/>
          <w:color w:val="000000" w:themeColor="text1"/>
          <w:sz w:val="28"/>
          <w:szCs w:val="28"/>
          <w:lang w:val="en-US"/>
        </w:rPr>
        <w:t>267.3 thousand tons, (+5.0%).</w:t>
      </w:r>
    </w:p>
    <w:p w14:paraId="48922260" w14:textId="77777777" w:rsidR="007814C7" w:rsidRPr="004F4D2E" w:rsidRDefault="007814C7" w:rsidP="007814C7">
      <w:pPr>
        <w:tabs>
          <w:tab w:val="center" w:pos="5062"/>
        </w:tabs>
        <w:spacing w:after="0" w:line="264" w:lineRule="auto"/>
        <w:ind w:firstLine="562"/>
        <w:jc w:val="both"/>
        <w:rPr>
          <w:rStyle w:val="normalchar"/>
          <w:rFonts w:ascii="Times New Roman" w:hAnsi="Times New Roman"/>
          <w:color w:val="000000" w:themeColor="text1"/>
          <w:sz w:val="28"/>
          <w:szCs w:val="28"/>
          <w:lang w:val="en-US"/>
        </w:rPr>
      </w:pPr>
    </w:p>
    <w:p w14:paraId="293D876E" w14:textId="446DEC5B" w:rsidR="007814C7" w:rsidRPr="004F4D2E" w:rsidRDefault="007814C7" w:rsidP="007814C7">
      <w:pPr>
        <w:spacing w:after="0" w:line="264" w:lineRule="auto"/>
        <w:ind w:firstLine="567"/>
        <w:jc w:val="both"/>
        <w:rPr>
          <w:rFonts w:ascii="Times New Roman" w:hAnsi="Times New Roman" w:cs="Times New Roman"/>
          <w:bCs/>
          <w:color w:val="000000" w:themeColor="text1"/>
          <w:spacing w:val="2"/>
          <w:sz w:val="28"/>
          <w:szCs w:val="28"/>
          <w:lang w:val="en-US"/>
        </w:rPr>
      </w:pPr>
      <w:r w:rsidRPr="004F4D2E">
        <w:rPr>
          <w:rFonts w:ascii="Times New Roman" w:hAnsi="Times New Roman" w:cs="Times New Roman"/>
          <w:bCs/>
          <w:color w:val="000000" w:themeColor="text1"/>
          <w:spacing w:val="2"/>
          <w:sz w:val="28"/>
          <w:szCs w:val="28"/>
          <w:lang w:val="en-US"/>
        </w:rPr>
        <w:t>Cattle and buffalo farming continued a downward trend</w:t>
      </w:r>
      <w:r w:rsidRPr="004F4D2E">
        <w:rPr>
          <w:rStyle w:val="FootnoteReference"/>
          <w:rFonts w:ascii="Times New Roman" w:hAnsi="Times New Roman"/>
          <w:color w:val="000000" w:themeColor="text1"/>
          <w:spacing w:val="2"/>
          <w:sz w:val="28"/>
          <w:szCs w:val="28"/>
          <w:lang w:val="en-US"/>
        </w:rPr>
        <w:footnoteReference w:id="11"/>
      </w:r>
      <w:r w:rsidRPr="004F4D2E">
        <w:rPr>
          <w:rFonts w:ascii="Times New Roman" w:hAnsi="Times New Roman" w:cs="Times New Roman"/>
          <w:color w:val="000000" w:themeColor="text1"/>
          <w:spacing w:val="2"/>
          <w:sz w:val="28"/>
          <w:szCs w:val="28"/>
          <w:lang w:val="en-US"/>
        </w:rPr>
        <w:t xml:space="preserve">. Pig and poultry farming saw a positive </w:t>
      </w:r>
      <w:r w:rsidR="002D0314" w:rsidRPr="004F4D2E">
        <w:rPr>
          <w:rFonts w:ascii="Times New Roman" w:hAnsi="Times New Roman" w:cs="Times New Roman"/>
          <w:color w:val="000000" w:themeColor="text1"/>
          <w:spacing w:val="2"/>
          <w:sz w:val="28"/>
          <w:szCs w:val="28"/>
          <w:lang w:val="en-US"/>
        </w:rPr>
        <w:t>growth;</w:t>
      </w:r>
      <w:r w:rsidRPr="004F4D2E">
        <w:rPr>
          <w:rFonts w:ascii="Times New Roman" w:hAnsi="Times New Roman" w:cs="Times New Roman"/>
          <w:color w:val="000000" w:themeColor="text1"/>
          <w:spacing w:val="2"/>
          <w:sz w:val="28"/>
          <w:szCs w:val="28"/>
          <w:lang w:val="en-US"/>
        </w:rPr>
        <w:t xml:space="preserve"> diseases were under control. Pig population developed steadily due to the strong shift from household farming to semi-industrial production, linking to businesses, several localities promoted bio secure farming and using high-yield breeds, at the same time, the large-scale enterprise and farm sector continued to maintain production.</w:t>
      </w:r>
    </w:p>
    <w:p w14:paraId="38815689" w14:textId="77777777" w:rsidR="007814C7" w:rsidRPr="004F4D2E" w:rsidRDefault="007814C7" w:rsidP="007814C7">
      <w:pPr>
        <w:spacing w:beforeLines="40" w:before="96" w:afterLines="40" w:after="96" w:line="269" w:lineRule="auto"/>
        <w:jc w:val="center"/>
        <w:rPr>
          <w:rFonts w:ascii="Arial" w:hAnsi="Arial" w:cs="Arial"/>
          <w:b/>
          <w:bCs/>
          <w:color w:val="000000" w:themeColor="text1"/>
          <w:sz w:val="24"/>
          <w:szCs w:val="26"/>
          <w:lang w:val="en-US"/>
        </w:rPr>
      </w:pPr>
      <w:r w:rsidRPr="004F4D2E">
        <w:rPr>
          <w:rFonts w:ascii="Arial" w:hAnsi="Arial" w:cs="Arial"/>
          <w:b/>
          <w:bCs/>
          <w:color w:val="000000" w:themeColor="text1"/>
          <w:sz w:val="24"/>
          <w:szCs w:val="26"/>
          <w:lang w:val="en-US"/>
        </w:rPr>
        <w:t xml:space="preserve"> Main products of livestock</w:t>
      </w:r>
    </w:p>
    <w:tbl>
      <w:tblPr>
        <w:tblW w:w="9075" w:type="dxa"/>
        <w:jc w:val="center"/>
        <w:tblLook w:val="04A0" w:firstRow="1" w:lastRow="0" w:firstColumn="1" w:lastColumn="0" w:noHBand="0" w:noVBand="1"/>
      </w:tblPr>
      <w:tblGrid>
        <w:gridCol w:w="2618"/>
        <w:gridCol w:w="1746"/>
        <w:gridCol w:w="1638"/>
        <w:gridCol w:w="1399"/>
        <w:gridCol w:w="1674"/>
      </w:tblGrid>
      <w:tr w:rsidR="007814C7" w:rsidRPr="004F4D2E" w14:paraId="05C8A126" w14:textId="77777777" w:rsidTr="005A172F">
        <w:trPr>
          <w:trHeight w:val="178"/>
          <w:jc w:val="center"/>
        </w:trPr>
        <w:tc>
          <w:tcPr>
            <w:tcW w:w="2618" w:type="dxa"/>
            <w:tcBorders>
              <w:top w:val="single" w:sz="4" w:space="0" w:color="auto"/>
            </w:tcBorders>
            <w:noWrap/>
            <w:vAlign w:val="bottom"/>
            <w:hideMark/>
          </w:tcPr>
          <w:p w14:paraId="54E19BDC" w14:textId="77777777" w:rsidR="007814C7" w:rsidRPr="004F4D2E" w:rsidRDefault="007814C7" w:rsidP="005A172F">
            <w:pPr>
              <w:spacing w:after="0" w:line="240" w:lineRule="auto"/>
              <w:jc w:val="center"/>
              <w:rPr>
                <w:rFonts w:ascii="Arial" w:hAnsi="Arial" w:cs="Arial"/>
                <w:b/>
                <w:bCs/>
                <w:sz w:val="20"/>
                <w:szCs w:val="20"/>
                <w:lang w:val="en-US"/>
              </w:rPr>
            </w:pPr>
            <w:r w:rsidRPr="004F4D2E">
              <w:rPr>
                <w:rFonts w:ascii="Arial" w:hAnsi="Arial" w:cs="Arial"/>
                <w:b/>
                <w:bCs/>
                <w:sz w:val="20"/>
                <w:szCs w:val="20"/>
                <w:lang w:val="en-US"/>
              </w:rPr>
              <w:t> </w:t>
            </w:r>
          </w:p>
        </w:tc>
        <w:tc>
          <w:tcPr>
            <w:tcW w:w="1746" w:type="dxa"/>
            <w:vMerge w:val="restart"/>
            <w:tcBorders>
              <w:top w:val="single" w:sz="4" w:space="0" w:color="auto"/>
            </w:tcBorders>
            <w:vAlign w:val="center"/>
            <w:hideMark/>
          </w:tcPr>
          <w:p w14:paraId="6E253BCF" w14:textId="77777777" w:rsidR="007814C7" w:rsidRPr="004F4D2E" w:rsidRDefault="007814C7" w:rsidP="005A172F">
            <w:pPr>
              <w:spacing w:after="0" w:line="240" w:lineRule="auto"/>
              <w:jc w:val="center"/>
              <w:rPr>
                <w:rFonts w:ascii="Arial" w:hAnsi="Arial" w:cs="Arial"/>
                <w:sz w:val="19"/>
                <w:szCs w:val="19"/>
                <w:lang w:val="en-US"/>
              </w:rPr>
            </w:pPr>
            <w:r w:rsidRPr="004F4D2E">
              <w:rPr>
                <w:rFonts w:ascii="Arial" w:hAnsi="Arial" w:cs="Arial"/>
                <w:sz w:val="20"/>
                <w:szCs w:val="20"/>
                <w:lang w:val="en-US" w:eastAsia="en-GB"/>
              </w:rPr>
              <w:t>Estimate</w:t>
            </w:r>
            <w:r w:rsidRPr="004F4D2E">
              <w:rPr>
                <w:rFonts w:ascii="Arial" w:hAnsi="Arial" w:cs="Arial"/>
                <w:sz w:val="19"/>
                <w:szCs w:val="19"/>
                <w:lang w:val="en-US"/>
              </w:rPr>
              <w:t xml:space="preserve"> </w:t>
            </w:r>
          </w:p>
          <w:p w14:paraId="25745BD4"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19"/>
                <w:szCs w:val="19"/>
                <w:lang w:val="en-US"/>
              </w:rPr>
              <w:t>Q2 2026</w:t>
            </w:r>
          </w:p>
        </w:tc>
        <w:tc>
          <w:tcPr>
            <w:tcW w:w="1638" w:type="dxa"/>
            <w:vMerge w:val="restart"/>
            <w:tcBorders>
              <w:top w:val="single" w:sz="4" w:space="0" w:color="auto"/>
            </w:tcBorders>
            <w:vAlign w:val="center"/>
            <w:hideMark/>
          </w:tcPr>
          <w:p w14:paraId="7BF38F95"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 xml:space="preserve">Accumulative 6 months 2026 </w:t>
            </w:r>
          </w:p>
        </w:tc>
        <w:tc>
          <w:tcPr>
            <w:tcW w:w="3073" w:type="dxa"/>
            <w:gridSpan w:val="2"/>
            <w:tcBorders>
              <w:top w:val="single" w:sz="4" w:space="0" w:color="auto"/>
              <w:bottom w:val="single" w:sz="4" w:space="0" w:color="auto"/>
            </w:tcBorders>
            <w:noWrap/>
            <w:vAlign w:val="center"/>
            <w:hideMark/>
          </w:tcPr>
          <w:p w14:paraId="49D8307A"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eastAsia="en-GB"/>
              </w:rPr>
              <w:t>Change YoY (%)</w:t>
            </w:r>
          </w:p>
        </w:tc>
      </w:tr>
      <w:tr w:rsidR="007814C7" w:rsidRPr="004F4D2E" w14:paraId="0C2B11F7" w14:textId="77777777" w:rsidTr="005A172F">
        <w:trPr>
          <w:trHeight w:val="178"/>
          <w:jc w:val="center"/>
        </w:trPr>
        <w:tc>
          <w:tcPr>
            <w:tcW w:w="2618" w:type="dxa"/>
            <w:noWrap/>
            <w:vAlign w:val="center"/>
            <w:hideMark/>
          </w:tcPr>
          <w:p w14:paraId="7CDAE6B3" w14:textId="77777777" w:rsidR="007814C7" w:rsidRPr="004F4D2E" w:rsidRDefault="007814C7" w:rsidP="005A172F">
            <w:pPr>
              <w:spacing w:after="0" w:line="240" w:lineRule="auto"/>
              <w:jc w:val="center"/>
              <w:rPr>
                <w:rFonts w:ascii="Arial" w:hAnsi="Arial" w:cs="Arial"/>
                <w:sz w:val="20"/>
                <w:szCs w:val="20"/>
                <w:lang w:val="en-US"/>
              </w:rPr>
            </w:pPr>
          </w:p>
        </w:tc>
        <w:tc>
          <w:tcPr>
            <w:tcW w:w="1746" w:type="dxa"/>
            <w:vMerge/>
            <w:tcBorders>
              <w:bottom w:val="single" w:sz="4" w:space="0" w:color="auto"/>
            </w:tcBorders>
            <w:vAlign w:val="center"/>
            <w:hideMark/>
          </w:tcPr>
          <w:p w14:paraId="74D14E32" w14:textId="77777777" w:rsidR="007814C7" w:rsidRPr="004F4D2E" w:rsidRDefault="007814C7" w:rsidP="005A172F">
            <w:pPr>
              <w:spacing w:after="0" w:line="240" w:lineRule="auto"/>
              <w:jc w:val="center"/>
              <w:rPr>
                <w:rFonts w:ascii="Arial" w:hAnsi="Arial" w:cs="Arial"/>
                <w:sz w:val="20"/>
                <w:szCs w:val="20"/>
                <w:lang w:val="en-US"/>
              </w:rPr>
            </w:pPr>
          </w:p>
        </w:tc>
        <w:tc>
          <w:tcPr>
            <w:tcW w:w="1638" w:type="dxa"/>
            <w:vMerge/>
            <w:tcBorders>
              <w:bottom w:val="single" w:sz="4" w:space="0" w:color="auto"/>
            </w:tcBorders>
            <w:vAlign w:val="center"/>
            <w:hideMark/>
          </w:tcPr>
          <w:p w14:paraId="1CB1C708" w14:textId="77777777" w:rsidR="007814C7" w:rsidRPr="004F4D2E" w:rsidRDefault="007814C7" w:rsidP="005A172F">
            <w:pPr>
              <w:spacing w:after="0" w:line="240" w:lineRule="auto"/>
              <w:jc w:val="center"/>
              <w:rPr>
                <w:rFonts w:ascii="Arial" w:hAnsi="Arial" w:cs="Arial"/>
                <w:sz w:val="20"/>
                <w:szCs w:val="20"/>
                <w:lang w:val="en-US"/>
              </w:rPr>
            </w:pPr>
          </w:p>
        </w:tc>
        <w:tc>
          <w:tcPr>
            <w:tcW w:w="1399" w:type="dxa"/>
            <w:tcBorders>
              <w:top w:val="single" w:sz="4" w:space="0" w:color="auto"/>
              <w:bottom w:val="single" w:sz="4" w:space="0" w:color="auto"/>
            </w:tcBorders>
            <w:vAlign w:val="center"/>
            <w:hideMark/>
          </w:tcPr>
          <w:p w14:paraId="6B2D42EA" w14:textId="77777777" w:rsidR="007814C7" w:rsidRPr="004F4D2E" w:rsidRDefault="007814C7" w:rsidP="005A172F">
            <w:pPr>
              <w:spacing w:after="0" w:line="240" w:lineRule="auto"/>
              <w:jc w:val="center"/>
              <w:rPr>
                <w:rFonts w:ascii="Arial" w:hAnsi="Arial" w:cs="Arial"/>
                <w:sz w:val="19"/>
                <w:szCs w:val="19"/>
                <w:lang w:val="en-US"/>
              </w:rPr>
            </w:pPr>
            <w:r w:rsidRPr="004F4D2E">
              <w:rPr>
                <w:rFonts w:ascii="Arial" w:hAnsi="Arial" w:cs="Arial"/>
                <w:sz w:val="19"/>
                <w:szCs w:val="19"/>
                <w:lang w:val="en-US"/>
              </w:rPr>
              <w:t xml:space="preserve">Performed </w:t>
            </w:r>
          </w:p>
          <w:p w14:paraId="426CF003"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19"/>
                <w:szCs w:val="19"/>
                <w:lang w:val="en-US"/>
              </w:rPr>
              <w:t>Q2 2026</w:t>
            </w:r>
          </w:p>
        </w:tc>
        <w:tc>
          <w:tcPr>
            <w:tcW w:w="1674" w:type="dxa"/>
            <w:tcBorders>
              <w:top w:val="single" w:sz="4" w:space="0" w:color="auto"/>
              <w:bottom w:val="single" w:sz="4" w:space="0" w:color="auto"/>
            </w:tcBorders>
            <w:vAlign w:val="center"/>
            <w:hideMark/>
          </w:tcPr>
          <w:p w14:paraId="6840773B" w14:textId="340283BF" w:rsidR="007814C7" w:rsidRPr="004F4D2E" w:rsidRDefault="00FB0C09" w:rsidP="005A172F">
            <w:pPr>
              <w:spacing w:after="0" w:line="240" w:lineRule="auto"/>
              <w:jc w:val="center"/>
              <w:rPr>
                <w:rFonts w:ascii="Arial" w:hAnsi="Arial" w:cs="Arial"/>
                <w:sz w:val="20"/>
                <w:szCs w:val="20"/>
                <w:lang w:val="en-US"/>
              </w:rPr>
            </w:pPr>
            <w:r>
              <w:rPr>
                <w:rFonts w:ascii="Arial" w:hAnsi="Arial" w:cs="Arial"/>
                <w:sz w:val="20"/>
                <w:szCs w:val="20"/>
                <w:lang w:val="en-US"/>
              </w:rPr>
              <w:t>First half of</w:t>
            </w:r>
            <w:r w:rsidR="007814C7" w:rsidRPr="004F4D2E">
              <w:rPr>
                <w:rFonts w:ascii="Arial" w:hAnsi="Arial" w:cs="Arial"/>
                <w:sz w:val="20"/>
                <w:szCs w:val="20"/>
                <w:lang w:val="en-US"/>
              </w:rPr>
              <w:t xml:space="preserve"> 2026</w:t>
            </w:r>
          </w:p>
        </w:tc>
      </w:tr>
      <w:tr w:rsidR="007814C7" w:rsidRPr="004F4D2E" w14:paraId="451D8FC0" w14:textId="77777777" w:rsidTr="005A172F">
        <w:trPr>
          <w:trHeight w:hRule="exact" w:val="350"/>
          <w:jc w:val="center"/>
        </w:trPr>
        <w:tc>
          <w:tcPr>
            <w:tcW w:w="4364" w:type="dxa"/>
            <w:gridSpan w:val="2"/>
            <w:noWrap/>
            <w:vAlign w:val="center"/>
            <w:hideMark/>
          </w:tcPr>
          <w:p w14:paraId="6B5CEA0C" w14:textId="77777777" w:rsidR="007814C7" w:rsidRPr="004F4D2E" w:rsidRDefault="007814C7" w:rsidP="005A172F">
            <w:pPr>
              <w:spacing w:after="0" w:line="240" w:lineRule="auto"/>
              <w:rPr>
                <w:rFonts w:ascii="Arial" w:hAnsi="Arial" w:cs="Arial"/>
                <w:bCs/>
                <w:sz w:val="20"/>
                <w:szCs w:val="20"/>
                <w:lang w:val="en-US"/>
              </w:rPr>
            </w:pPr>
            <w:r w:rsidRPr="004F4D2E">
              <w:rPr>
                <w:rFonts w:ascii="Arial" w:hAnsi="Arial" w:cs="Arial"/>
                <w:b/>
                <w:bCs/>
                <w:sz w:val="20"/>
                <w:szCs w:val="20"/>
                <w:lang w:val="en-US"/>
              </w:rPr>
              <w:t>Production of live weight (Thous. tons)</w:t>
            </w:r>
          </w:p>
        </w:tc>
        <w:tc>
          <w:tcPr>
            <w:tcW w:w="1638" w:type="dxa"/>
            <w:vAlign w:val="center"/>
            <w:hideMark/>
          </w:tcPr>
          <w:p w14:paraId="668BCCD6" w14:textId="77777777" w:rsidR="007814C7" w:rsidRPr="004F4D2E" w:rsidRDefault="007814C7" w:rsidP="005A172F">
            <w:pPr>
              <w:spacing w:after="0" w:line="240" w:lineRule="auto"/>
              <w:ind w:right="204" w:firstLineChars="100" w:firstLine="200"/>
              <w:jc w:val="right"/>
              <w:rPr>
                <w:rFonts w:ascii="Arial" w:hAnsi="Arial" w:cs="Arial"/>
                <w:sz w:val="20"/>
                <w:szCs w:val="20"/>
                <w:lang w:val="en-US"/>
              </w:rPr>
            </w:pPr>
          </w:p>
        </w:tc>
        <w:tc>
          <w:tcPr>
            <w:tcW w:w="1399" w:type="dxa"/>
            <w:vAlign w:val="center"/>
            <w:hideMark/>
          </w:tcPr>
          <w:p w14:paraId="1C3E1EF6" w14:textId="77777777" w:rsidR="007814C7" w:rsidRPr="004F4D2E" w:rsidRDefault="007814C7" w:rsidP="005A172F">
            <w:pPr>
              <w:spacing w:after="0" w:line="240" w:lineRule="auto"/>
              <w:jc w:val="center"/>
              <w:rPr>
                <w:rFonts w:ascii="Arial" w:hAnsi="Arial" w:cs="Arial"/>
                <w:sz w:val="20"/>
                <w:szCs w:val="20"/>
                <w:lang w:val="en-US"/>
              </w:rPr>
            </w:pPr>
          </w:p>
        </w:tc>
        <w:tc>
          <w:tcPr>
            <w:tcW w:w="1674" w:type="dxa"/>
            <w:vAlign w:val="center"/>
            <w:hideMark/>
          </w:tcPr>
          <w:p w14:paraId="16368874" w14:textId="77777777" w:rsidR="007814C7" w:rsidRPr="004F4D2E" w:rsidRDefault="007814C7" w:rsidP="005A172F">
            <w:pPr>
              <w:spacing w:after="0" w:line="240" w:lineRule="auto"/>
              <w:jc w:val="center"/>
              <w:rPr>
                <w:rFonts w:ascii="Arial" w:hAnsi="Arial" w:cs="Arial"/>
                <w:sz w:val="20"/>
                <w:szCs w:val="20"/>
                <w:lang w:val="en-US"/>
              </w:rPr>
            </w:pPr>
          </w:p>
        </w:tc>
      </w:tr>
      <w:tr w:rsidR="007814C7" w:rsidRPr="004F4D2E" w14:paraId="430525D6" w14:textId="77777777" w:rsidTr="005A172F">
        <w:trPr>
          <w:trHeight w:hRule="exact" w:val="350"/>
          <w:jc w:val="center"/>
        </w:trPr>
        <w:tc>
          <w:tcPr>
            <w:tcW w:w="2618" w:type="dxa"/>
            <w:vAlign w:val="center"/>
            <w:hideMark/>
          </w:tcPr>
          <w:p w14:paraId="1A2088C7" w14:textId="77777777" w:rsidR="007814C7" w:rsidRPr="004F4D2E" w:rsidRDefault="007814C7" w:rsidP="005A172F">
            <w:pPr>
              <w:spacing w:after="0" w:line="240" w:lineRule="auto"/>
              <w:ind w:firstLineChars="100" w:firstLine="200"/>
              <w:rPr>
                <w:rFonts w:ascii="Arial" w:hAnsi="Arial" w:cs="Arial"/>
                <w:sz w:val="20"/>
                <w:szCs w:val="20"/>
                <w:lang w:val="en-US"/>
              </w:rPr>
            </w:pPr>
            <w:r w:rsidRPr="004F4D2E">
              <w:rPr>
                <w:rFonts w:ascii="Arial" w:hAnsi="Arial" w:cs="Arial"/>
                <w:sz w:val="20"/>
                <w:szCs w:val="20"/>
                <w:lang w:val="en-US"/>
              </w:rPr>
              <w:t xml:space="preserve">Pig </w:t>
            </w:r>
          </w:p>
        </w:tc>
        <w:tc>
          <w:tcPr>
            <w:tcW w:w="1746" w:type="dxa"/>
            <w:noWrap/>
            <w:vAlign w:val="center"/>
            <w:hideMark/>
          </w:tcPr>
          <w:p w14:paraId="6D2BED77" w14:textId="77777777" w:rsidR="007814C7" w:rsidRPr="004F4D2E" w:rsidRDefault="007814C7" w:rsidP="005A172F">
            <w:pPr>
              <w:spacing w:after="0" w:line="240" w:lineRule="auto"/>
              <w:ind w:right="225"/>
              <w:jc w:val="right"/>
              <w:rPr>
                <w:rFonts w:ascii="Arial" w:hAnsi="Arial" w:cs="Arial"/>
                <w:sz w:val="20"/>
                <w:szCs w:val="20"/>
                <w:lang w:val="en-US"/>
              </w:rPr>
            </w:pPr>
            <w:r w:rsidRPr="004F4D2E">
              <w:rPr>
                <w:rFonts w:ascii="Arial" w:hAnsi="Arial" w:cs="Arial"/>
                <w:sz w:val="20"/>
                <w:szCs w:val="20"/>
                <w:lang w:val="en-US"/>
              </w:rPr>
              <w:t>1,417.7</w:t>
            </w:r>
          </w:p>
        </w:tc>
        <w:tc>
          <w:tcPr>
            <w:tcW w:w="1638" w:type="dxa"/>
            <w:noWrap/>
            <w:vAlign w:val="center"/>
          </w:tcPr>
          <w:p w14:paraId="4941F0C1" w14:textId="77777777" w:rsidR="007814C7" w:rsidRPr="004F4D2E" w:rsidRDefault="007814C7" w:rsidP="005A172F">
            <w:pPr>
              <w:spacing w:after="0" w:line="240" w:lineRule="auto"/>
              <w:ind w:right="263"/>
              <w:jc w:val="right"/>
              <w:rPr>
                <w:rFonts w:ascii="Arial" w:hAnsi="Arial" w:cs="Arial"/>
                <w:sz w:val="20"/>
                <w:szCs w:val="20"/>
                <w:lang w:val="en-US"/>
              </w:rPr>
            </w:pPr>
            <w:r w:rsidRPr="004F4D2E">
              <w:rPr>
                <w:rFonts w:ascii="Arial" w:hAnsi="Arial" w:cs="Arial"/>
                <w:sz w:val="20"/>
                <w:szCs w:val="20"/>
                <w:lang w:val="en-US"/>
              </w:rPr>
              <w:t>2,864.1</w:t>
            </w:r>
          </w:p>
        </w:tc>
        <w:tc>
          <w:tcPr>
            <w:tcW w:w="1399" w:type="dxa"/>
            <w:noWrap/>
            <w:vAlign w:val="center"/>
          </w:tcPr>
          <w:p w14:paraId="01BE0624"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4.7</w:t>
            </w:r>
          </w:p>
        </w:tc>
        <w:tc>
          <w:tcPr>
            <w:tcW w:w="1674" w:type="dxa"/>
            <w:noWrap/>
            <w:vAlign w:val="center"/>
          </w:tcPr>
          <w:p w14:paraId="71FE4760"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4.8</w:t>
            </w:r>
          </w:p>
        </w:tc>
      </w:tr>
      <w:tr w:rsidR="007814C7" w:rsidRPr="004F4D2E" w14:paraId="3CE0737C" w14:textId="77777777" w:rsidTr="005A172F">
        <w:trPr>
          <w:trHeight w:hRule="exact" w:val="350"/>
          <w:jc w:val="center"/>
        </w:trPr>
        <w:tc>
          <w:tcPr>
            <w:tcW w:w="2618" w:type="dxa"/>
            <w:vAlign w:val="center"/>
            <w:hideMark/>
          </w:tcPr>
          <w:p w14:paraId="37896C2B" w14:textId="77777777" w:rsidR="007814C7" w:rsidRPr="004F4D2E" w:rsidRDefault="007814C7" w:rsidP="005A172F">
            <w:pPr>
              <w:spacing w:after="0" w:line="240" w:lineRule="auto"/>
              <w:ind w:firstLineChars="100" w:firstLine="200"/>
              <w:rPr>
                <w:rFonts w:ascii="Arial" w:hAnsi="Arial" w:cs="Arial"/>
                <w:sz w:val="20"/>
                <w:szCs w:val="20"/>
                <w:lang w:val="en-US"/>
              </w:rPr>
            </w:pPr>
            <w:r w:rsidRPr="004F4D2E">
              <w:rPr>
                <w:rFonts w:ascii="Arial" w:hAnsi="Arial" w:cs="Arial"/>
                <w:sz w:val="20"/>
                <w:szCs w:val="20"/>
                <w:lang w:val="en-US" w:eastAsia="en-GB"/>
              </w:rPr>
              <w:lastRenderedPageBreak/>
              <w:t>Poultry</w:t>
            </w:r>
          </w:p>
        </w:tc>
        <w:tc>
          <w:tcPr>
            <w:tcW w:w="1746" w:type="dxa"/>
            <w:noWrap/>
            <w:vAlign w:val="center"/>
            <w:hideMark/>
          </w:tcPr>
          <w:p w14:paraId="2E0776E7" w14:textId="77777777" w:rsidR="007814C7" w:rsidRPr="004F4D2E" w:rsidRDefault="007814C7" w:rsidP="005A172F">
            <w:pPr>
              <w:spacing w:after="0" w:line="240" w:lineRule="auto"/>
              <w:ind w:right="225"/>
              <w:jc w:val="right"/>
              <w:rPr>
                <w:rFonts w:ascii="Arial" w:hAnsi="Arial" w:cs="Arial"/>
                <w:sz w:val="20"/>
                <w:szCs w:val="20"/>
                <w:lang w:val="en-US"/>
              </w:rPr>
            </w:pPr>
            <w:r w:rsidRPr="004F4D2E">
              <w:rPr>
                <w:rFonts w:ascii="Arial" w:hAnsi="Arial" w:cs="Arial"/>
                <w:sz w:val="20"/>
                <w:szCs w:val="20"/>
                <w:lang w:val="en-US"/>
              </w:rPr>
              <w:t xml:space="preserve">677.4 </w:t>
            </w:r>
          </w:p>
        </w:tc>
        <w:tc>
          <w:tcPr>
            <w:tcW w:w="1638" w:type="dxa"/>
            <w:noWrap/>
            <w:vAlign w:val="center"/>
          </w:tcPr>
          <w:p w14:paraId="6F69481E" w14:textId="77777777" w:rsidR="007814C7" w:rsidRPr="004F4D2E" w:rsidRDefault="007814C7" w:rsidP="005A172F">
            <w:pPr>
              <w:spacing w:after="0" w:line="240" w:lineRule="auto"/>
              <w:ind w:right="263"/>
              <w:jc w:val="right"/>
              <w:rPr>
                <w:rFonts w:ascii="Arial" w:hAnsi="Arial" w:cs="Arial"/>
                <w:sz w:val="20"/>
                <w:szCs w:val="20"/>
                <w:lang w:val="en-US"/>
              </w:rPr>
            </w:pPr>
            <w:r w:rsidRPr="004F4D2E">
              <w:rPr>
                <w:rFonts w:ascii="Arial" w:hAnsi="Arial" w:cs="Arial"/>
                <w:sz w:val="20"/>
                <w:szCs w:val="20"/>
                <w:lang w:val="en-US"/>
              </w:rPr>
              <w:t>1.340.7</w:t>
            </w:r>
          </w:p>
        </w:tc>
        <w:tc>
          <w:tcPr>
            <w:tcW w:w="1399" w:type="dxa"/>
            <w:noWrap/>
            <w:vAlign w:val="center"/>
          </w:tcPr>
          <w:p w14:paraId="35009CB0"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5.6</w:t>
            </w:r>
          </w:p>
        </w:tc>
        <w:tc>
          <w:tcPr>
            <w:tcW w:w="1674" w:type="dxa"/>
            <w:noWrap/>
            <w:vAlign w:val="center"/>
          </w:tcPr>
          <w:p w14:paraId="7387D417"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5.6</w:t>
            </w:r>
          </w:p>
        </w:tc>
      </w:tr>
      <w:tr w:rsidR="007814C7" w:rsidRPr="004F4D2E" w14:paraId="531DF595" w14:textId="77777777" w:rsidTr="005A172F">
        <w:trPr>
          <w:trHeight w:hRule="exact" w:val="350"/>
          <w:jc w:val="center"/>
        </w:trPr>
        <w:tc>
          <w:tcPr>
            <w:tcW w:w="2618" w:type="dxa"/>
            <w:vAlign w:val="center"/>
            <w:hideMark/>
          </w:tcPr>
          <w:p w14:paraId="09BB4314" w14:textId="77777777" w:rsidR="007814C7" w:rsidRPr="004F4D2E" w:rsidRDefault="007814C7" w:rsidP="005A172F">
            <w:pPr>
              <w:spacing w:after="0" w:line="240" w:lineRule="auto"/>
              <w:ind w:firstLineChars="100" w:firstLine="200"/>
              <w:rPr>
                <w:rFonts w:ascii="Arial" w:hAnsi="Arial" w:cs="Arial"/>
                <w:sz w:val="20"/>
                <w:szCs w:val="20"/>
                <w:lang w:val="en-US"/>
              </w:rPr>
            </w:pPr>
            <w:r w:rsidRPr="004F4D2E">
              <w:rPr>
                <w:rFonts w:ascii="Arial" w:hAnsi="Arial" w:cs="Arial"/>
                <w:sz w:val="20"/>
                <w:szCs w:val="20"/>
                <w:lang w:val="en-US" w:eastAsia="en-GB"/>
              </w:rPr>
              <w:t>Buffalo</w:t>
            </w:r>
          </w:p>
        </w:tc>
        <w:tc>
          <w:tcPr>
            <w:tcW w:w="1746" w:type="dxa"/>
            <w:noWrap/>
            <w:vAlign w:val="center"/>
            <w:hideMark/>
          </w:tcPr>
          <w:p w14:paraId="7009005F" w14:textId="77777777" w:rsidR="007814C7" w:rsidRPr="004F4D2E" w:rsidRDefault="007814C7" w:rsidP="005A172F">
            <w:pPr>
              <w:spacing w:after="0" w:line="240" w:lineRule="auto"/>
              <w:ind w:right="225"/>
              <w:jc w:val="right"/>
              <w:rPr>
                <w:rFonts w:ascii="Arial" w:hAnsi="Arial" w:cs="Arial"/>
                <w:sz w:val="20"/>
                <w:szCs w:val="20"/>
                <w:lang w:val="en-US"/>
              </w:rPr>
            </w:pPr>
            <w:r w:rsidRPr="004F4D2E">
              <w:rPr>
                <w:rFonts w:ascii="Arial" w:hAnsi="Arial" w:cs="Arial"/>
                <w:sz w:val="20"/>
                <w:szCs w:val="20"/>
                <w:lang w:val="en-US"/>
              </w:rPr>
              <w:t>32.7</w:t>
            </w:r>
          </w:p>
        </w:tc>
        <w:tc>
          <w:tcPr>
            <w:tcW w:w="1638" w:type="dxa"/>
            <w:noWrap/>
            <w:vAlign w:val="center"/>
          </w:tcPr>
          <w:p w14:paraId="24603FDD" w14:textId="77777777" w:rsidR="007814C7" w:rsidRPr="004F4D2E" w:rsidRDefault="007814C7" w:rsidP="005A172F">
            <w:pPr>
              <w:spacing w:after="0" w:line="240" w:lineRule="auto"/>
              <w:ind w:right="263"/>
              <w:jc w:val="right"/>
              <w:rPr>
                <w:rFonts w:ascii="Arial" w:hAnsi="Arial" w:cs="Arial"/>
                <w:sz w:val="20"/>
                <w:szCs w:val="20"/>
                <w:lang w:val="en-US"/>
              </w:rPr>
            </w:pPr>
            <w:r w:rsidRPr="004F4D2E">
              <w:rPr>
                <w:rFonts w:ascii="Arial" w:hAnsi="Arial" w:cs="Arial"/>
                <w:sz w:val="20"/>
                <w:szCs w:val="20"/>
                <w:lang w:val="en-US"/>
              </w:rPr>
              <w:t>67.6</w:t>
            </w:r>
          </w:p>
        </w:tc>
        <w:tc>
          <w:tcPr>
            <w:tcW w:w="1399" w:type="dxa"/>
            <w:noWrap/>
            <w:vAlign w:val="center"/>
          </w:tcPr>
          <w:p w14:paraId="1B7EC4CC"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1.8</w:t>
            </w:r>
          </w:p>
        </w:tc>
        <w:tc>
          <w:tcPr>
            <w:tcW w:w="1674" w:type="dxa"/>
            <w:noWrap/>
            <w:vAlign w:val="center"/>
          </w:tcPr>
          <w:p w14:paraId="695092D5"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1.6</w:t>
            </w:r>
          </w:p>
        </w:tc>
      </w:tr>
      <w:tr w:rsidR="007814C7" w:rsidRPr="004F4D2E" w14:paraId="73B213F2" w14:textId="77777777" w:rsidTr="005A172F">
        <w:trPr>
          <w:trHeight w:hRule="exact" w:val="350"/>
          <w:jc w:val="center"/>
        </w:trPr>
        <w:tc>
          <w:tcPr>
            <w:tcW w:w="2618" w:type="dxa"/>
            <w:vAlign w:val="center"/>
            <w:hideMark/>
          </w:tcPr>
          <w:p w14:paraId="3F6326CD" w14:textId="77777777" w:rsidR="007814C7" w:rsidRPr="004F4D2E" w:rsidRDefault="007814C7" w:rsidP="005A172F">
            <w:pPr>
              <w:spacing w:after="0" w:line="240" w:lineRule="auto"/>
              <w:ind w:firstLineChars="100" w:firstLine="200"/>
              <w:rPr>
                <w:rFonts w:ascii="Arial" w:hAnsi="Arial" w:cs="Arial"/>
                <w:sz w:val="20"/>
                <w:szCs w:val="20"/>
                <w:lang w:val="en-US"/>
              </w:rPr>
            </w:pPr>
            <w:r w:rsidRPr="004F4D2E">
              <w:rPr>
                <w:rFonts w:ascii="Arial" w:hAnsi="Arial" w:cs="Arial"/>
                <w:sz w:val="20"/>
                <w:szCs w:val="20"/>
                <w:lang w:val="en-US" w:eastAsia="en-GB"/>
              </w:rPr>
              <w:t>Cattle</w:t>
            </w:r>
            <w:r w:rsidRPr="004F4D2E">
              <w:rPr>
                <w:rFonts w:ascii="Arial" w:hAnsi="Arial" w:cs="Arial"/>
                <w:sz w:val="20"/>
                <w:szCs w:val="20"/>
                <w:lang w:val="en-US"/>
              </w:rPr>
              <w:t xml:space="preserve"> </w:t>
            </w:r>
          </w:p>
        </w:tc>
        <w:tc>
          <w:tcPr>
            <w:tcW w:w="1746" w:type="dxa"/>
            <w:noWrap/>
            <w:vAlign w:val="center"/>
            <w:hideMark/>
          </w:tcPr>
          <w:p w14:paraId="59D45FDC" w14:textId="77777777" w:rsidR="007814C7" w:rsidRPr="004F4D2E" w:rsidRDefault="007814C7" w:rsidP="005A172F">
            <w:pPr>
              <w:spacing w:after="0" w:line="240" w:lineRule="auto"/>
              <w:ind w:right="225"/>
              <w:jc w:val="right"/>
              <w:rPr>
                <w:rFonts w:ascii="Arial" w:hAnsi="Arial" w:cs="Arial"/>
                <w:sz w:val="20"/>
                <w:szCs w:val="20"/>
                <w:lang w:val="en-US"/>
              </w:rPr>
            </w:pPr>
            <w:r w:rsidRPr="004F4D2E">
              <w:rPr>
                <w:rFonts w:ascii="Arial" w:hAnsi="Arial" w:cs="Arial"/>
                <w:sz w:val="20"/>
                <w:szCs w:val="20"/>
                <w:lang w:val="en-US"/>
              </w:rPr>
              <w:t xml:space="preserve">          131.2 </w:t>
            </w:r>
          </w:p>
        </w:tc>
        <w:tc>
          <w:tcPr>
            <w:tcW w:w="1638" w:type="dxa"/>
            <w:noWrap/>
            <w:vAlign w:val="center"/>
          </w:tcPr>
          <w:p w14:paraId="436E6F83" w14:textId="77777777" w:rsidR="007814C7" w:rsidRPr="004F4D2E" w:rsidRDefault="007814C7" w:rsidP="005A172F">
            <w:pPr>
              <w:spacing w:after="0" w:line="240" w:lineRule="auto"/>
              <w:ind w:right="263"/>
              <w:jc w:val="right"/>
              <w:rPr>
                <w:rFonts w:ascii="Arial" w:hAnsi="Arial" w:cs="Arial"/>
                <w:sz w:val="20"/>
                <w:szCs w:val="20"/>
                <w:lang w:val="en-US"/>
              </w:rPr>
            </w:pPr>
            <w:r w:rsidRPr="004F4D2E">
              <w:rPr>
                <w:rFonts w:ascii="Arial" w:hAnsi="Arial" w:cs="Arial"/>
                <w:sz w:val="20"/>
                <w:szCs w:val="20"/>
                <w:lang w:val="en-US"/>
              </w:rPr>
              <w:t>267.8</w:t>
            </w:r>
          </w:p>
        </w:tc>
        <w:tc>
          <w:tcPr>
            <w:tcW w:w="1399" w:type="dxa"/>
            <w:noWrap/>
            <w:vAlign w:val="center"/>
          </w:tcPr>
          <w:p w14:paraId="7EB8C057"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1.2</w:t>
            </w:r>
          </w:p>
        </w:tc>
        <w:tc>
          <w:tcPr>
            <w:tcW w:w="1674" w:type="dxa"/>
            <w:noWrap/>
            <w:vAlign w:val="center"/>
          </w:tcPr>
          <w:p w14:paraId="10B7BBF3"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1.3</w:t>
            </w:r>
          </w:p>
        </w:tc>
      </w:tr>
      <w:tr w:rsidR="007814C7" w:rsidRPr="004F4D2E" w14:paraId="43E4B488" w14:textId="77777777" w:rsidTr="005A172F">
        <w:trPr>
          <w:trHeight w:hRule="exact" w:val="350"/>
          <w:jc w:val="center"/>
        </w:trPr>
        <w:tc>
          <w:tcPr>
            <w:tcW w:w="2618" w:type="dxa"/>
            <w:noWrap/>
            <w:vAlign w:val="center"/>
            <w:hideMark/>
          </w:tcPr>
          <w:p w14:paraId="11B40D5F" w14:textId="77777777" w:rsidR="007814C7" w:rsidRPr="004F4D2E" w:rsidRDefault="007814C7" w:rsidP="005A172F">
            <w:pPr>
              <w:spacing w:after="0" w:line="240" w:lineRule="auto"/>
              <w:rPr>
                <w:rFonts w:ascii="Arial" w:hAnsi="Arial" w:cs="Arial"/>
                <w:sz w:val="20"/>
                <w:szCs w:val="20"/>
                <w:lang w:val="en-US"/>
              </w:rPr>
            </w:pPr>
            <w:r w:rsidRPr="004F4D2E">
              <w:rPr>
                <w:rFonts w:ascii="Arial" w:hAnsi="Arial" w:cs="Arial"/>
                <w:sz w:val="20"/>
                <w:szCs w:val="20"/>
                <w:lang w:val="en-US" w:eastAsia="en-GB"/>
              </w:rPr>
              <w:t>Eggs (Mill. Pieces)</w:t>
            </w:r>
          </w:p>
        </w:tc>
        <w:tc>
          <w:tcPr>
            <w:tcW w:w="1746" w:type="dxa"/>
            <w:noWrap/>
            <w:vAlign w:val="center"/>
            <w:hideMark/>
          </w:tcPr>
          <w:p w14:paraId="4371C310" w14:textId="77777777" w:rsidR="007814C7" w:rsidRPr="004F4D2E" w:rsidRDefault="007814C7" w:rsidP="005A172F">
            <w:pPr>
              <w:spacing w:after="0" w:line="240" w:lineRule="auto"/>
              <w:ind w:right="225"/>
              <w:jc w:val="right"/>
              <w:rPr>
                <w:rFonts w:ascii="Arial" w:hAnsi="Arial" w:cs="Arial"/>
                <w:sz w:val="20"/>
                <w:szCs w:val="20"/>
                <w:lang w:val="en-US"/>
              </w:rPr>
            </w:pPr>
            <w:r w:rsidRPr="004F4D2E">
              <w:rPr>
                <w:rFonts w:ascii="Arial" w:hAnsi="Arial" w:cs="Arial"/>
                <w:sz w:val="20"/>
                <w:szCs w:val="20"/>
                <w:lang w:val="en-US"/>
              </w:rPr>
              <w:t>5,251.5</w:t>
            </w:r>
          </w:p>
        </w:tc>
        <w:tc>
          <w:tcPr>
            <w:tcW w:w="1638" w:type="dxa"/>
            <w:noWrap/>
            <w:vAlign w:val="center"/>
          </w:tcPr>
          <w:p w14:paraId="7E551693" w14:textId="77777777" w:rsidR="007814C7" w:rsidRPr="004F4D2E" w:rsidRDefault="007814C7" w:rsidP="005A172F">
            <w:pPr>
              <w:spacing w:after="0" w:line="240" w:lineRule="auto"/>
              <w:ind w:right="263"/>
              <w:jc w:val="right"/>
              <w:rPr>
                <w:rFonts w:ascii="Arial" w:hAnsi="Arial" w:cs="Arial"/>
                <w:sz w:val="20"/>
                <w:szCs w:val="20"/>
                <w:lang w:val="en-US"/>
              </w:rPr>
            </w:pPr>
            <w:r w:rsidRPr="004F4D2E">
              <w:rPr>
                <w:rFonts w:ascii="Arial" w:hAnsi="Arial" w:cs="Arial"/>
                <w:sz w:val="20"/>
                <w:szCs w:val="20"/>
                <w:lang w:val="en-US"/>
              </w:rPr>
              <w:t>10,756.8</w:t>
            </w:r>
          </w:p>
        </w:tc>
        <w:tc>
          <w:tcPr>
            <w:tcW w:w="1399" w:type="dxa"/>
            <w:noWrap/>
            <w:vAlign w:val="center"/>
          </w:tcPr>
          <w:p w14:paraId="214FF679"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1.7</w:t>
            </w:r>
          </w:p>
        </w:tc>
        <w:tc>
          <w:tcPr>
            <w:tcW w:w="1674" w:type="dxa"/>
            <w:noWrap/>
            <w:vAlign w:val="center"/>
          </w:tcPr>
          <w:p w14:paraId="13AF372F"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2.6</w:t>
            </w:r>
          </w:p>
        </w:tc>
      </w:tr>
      <w:tr w:rsidR="007814C7" w:rsidRPr="004F4D2E" w14:paraId="2FBE6CAB" w14:textId="77777777" w:rsidTr="005A172F">
        <w:trPr>
          <w:trHeight w:hRule="exact" w:val="350"/>
          <w:jc w:val="center"/>
        </w:trPr>
        <w:tc>
          <w:tcPr>
            <w:tcW w:w="2618" w:type="dxa"/>
            <w:tcBorders>
              <w:bottom w:val="single" w:sz="4" w:space="0" w:color="auto"/>
            </w:tcBorders>
            <w:noWrap/>
            <w:vAlign w:val="center"/>
            <w:hideMark/>
          </w:tcPr>
          <w:p w14:paraId="37EE908F" w14:textId="77777777" w:rsidR="007814C7" w:rsidRPr="004F4D2E" w:rsidRDefault="007814C7" w:rsidP="005A172F">
            <w:pPr>
              <w:spacing w:after="0" w:line="240" w:lineRule="auto"/>
              <w:rPr>
                <w:rFonts w:ascii="Arial" w:hAnsi="Arial" w:cs="Arial"/>
                <w:sz w:val="20"/>
                <w:szCs w:val="20"/>
                <w:lang w:val="en-US"/>
              </w:rPr>
            </w:pPr>
            <w:r w:rsidRPr="004F4D2E">
              <w:rPr>
                <w:rFonts w:ascii="Arial" w:hAnsi="Arial" w:cs="Arial"/>
                <w:sz w:val="20"/>
                <w:szCs w:val="20"/>
                <w:lang w:val="en-US" w:eastAsia="en-GB"/>
              </w:rPr>
              <w:t>Milk (Thous. Liters)</w:t>
            </w:r>
            <w:r w:rsidRPr="004F4D2E">
              <w:rPr>
                <w:rFonts w:ascii="Arial" w:hAnsi="Arial" w:cs="Arial"/>
                <w:sz w:val="20"/>
                <w:szCs w:val="20"/>
                <w:lang w:val="en-US"/>
              </w:rPr>
              <w:t xml:space="preserve"> </w:t>
            </w:r>
          </w:p>
        </w:tc>
        <w:tc>
          <w:tcPr>
            <w:tcW w:w="1746" w:type="dxa"/>
            <w:tcBorders>
              <w:bottom w:val="single" w:sz="4" w:space="0" w:color="auto"/>
            </w:tcBorders>
            <w:noWrap/>
            <w:vAlign w:val="center"/>
            <w:hideMark/>
          </w:tcPr>
          <w:p w14:paraId="562C9EE8" w14:textId="77777777" w:rsidR="007814C7" w:rsidRPr="004F4D2E" w:rsidRDefault="007814C7" w:rsidP="005A172F">
            <w:pPr>
              <w:spacing w:after="0" w:line="240" w:lineRule="auto"/>
              <w:ind w:right="225"/>
              <w:jc w:val="right"/>
              <w:rPr>
                <w:rFonts w:ascii="Arial" w:hAnsi="Arial" w:cs="Arial"/>
                <w:sz w:val="20"/>
                <w:szCs w:val="20"/>
                <w:lang w:val="en-US"/>
              </w:rPr>
            </w:pPr>
            <w:r w:rsidRPr="004F4D2E">
              <w:rPr>
                <w:rFonts w:ascii="Arial" w:hAnsi="Arial" w:cs="Arial"/>
                <w:sz w:val="20"/>
                <w:szCs w:val="20"/>
                <w:lang w:val="en-US"/>
              </w:rPr>
              <w:t xml:space="preserve">          342.1 </w:t>
            </w:r>
          </w:p>
        </w:tc>
        <w:tc>
          <w:tcPr>
            <w:tcW w:w="1638" w:type="dxa"/>
            <w:tcBorders>
              <w:bottom w:val="single" w:sz="4" w:space="0" w:color="auto"/>
            </w:tcBorders>
            <w:noWrap/>
            <w:vAlign w:val="center"/>
          </w:tcPr>
          <w:p w14:paraId="08D905C6" w14:textId="77777777" w:rsidR="007814C7" w:rsidRPr="004F4D2E" w:rsidRDefault="007814C7" w:rsidP="005A172F">
            <w:pPr>
              <w:spacing w:after="0" w:line="240" w:lineRule="auto"/>
              <w:ind w:right="263"/>
              <w:jc w:val="right"/>
              <w:rPr>
                <w:rFonts w:ascii="Arial" w:hAnsi="Arial" w:cs="Arial"/>
                <w:sz w:val="20"/>
                <w:szCs w:val="20"/>
                <w:lang w:val="en-US"/>
              </w:rPr>
            </w:pPr>
            <w:r w:rsidRPr="004F4D2E">
              <w:rPr>
                <w:rFonts w:ascii="Arial" w:hAnsi="Arial" w:cs="Arial"/>
                <w:sz w:val="20"/>
                <w:szCs w:val="20"/>
                <w:lang w:val="en-US"/>
              </w:rPr>
              <w:t>683.7</w:t>
            </w:r>
          </w:p>
        </w:tc>
        <w:tc>
          <w:tcPr>
            <w:tcW w:w="1399" w:type="dxa"/>
            <w:tcBorders>
              <w:bottom w:val="single" w:sz="4" w:space="0" w:color="auto"/>
            </w:tcBorders>
            <w:noWrap/>
            <w:vAlign w:val="center"/>
          </w:tcPr>
          <w:p w14:paraId="08BF2818"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5.6</w:t>
            </w:r>
          </w:p>
        </w:tc>
        <w:tc>
          <w:tcPr>
            <w:tcW w:w="1674" w:type="dxa"/>
            <w:tcBorders>
              <w:bottom w:val="single" w:sz="4" w:space="0" w:color="auto"/>
            </w:tcBorders>
            <w:noWrap/>
            <w:vAlign w:val="center"/>
          </w:tcPr>
          <w:p w14:paraId="2871C5CF" w14:textId="77777777" w:rsidR="007814C7" w:rsidRPr="004F4D2E" w:rsidRDefault="007814C7" w:rsidP="005A172F">
            <w:pPr>
              <w:spacing w:after="0" w:line="240" w:lineRule="auto"/>
              <w:jc w:val="center"/>
              <w:rPr>
                <w:rFonts w:ascii="Arial" w:hAnsi="Arial" w:cs="Arial"/>
                <w:sz w:val="20"/>
                <w:szCs w:val="20"/>
                <w:lang w:val="en-US"/>
              </w:rPr>
            </w:pPr>
            <w:r w:rsidRPr="004F4D2E">
              <w:rPr>
                <w:rFonts w:ascii="Arial" w:hAnsi="Arial" w:cs="Arial"/>
                <w:sz w:val="20"/>
                <w:szCs w:val="20"/>
                <w:lang w:val="en-US"/>
              </w:rPr>
              <w:t>5.2</w:t>
            </w:r>
          </w:p>
        </w:tc>
      </w:tr>
    </w:tbl>
    <w:p w14:paraId="375BA720" w14:textId="77777777" w:rsidR="007814C7" w:rsidRPr="004F4D2E" w:rsidRDefault="007814C7" w:rsidP="007814C7">
      <w:pPr>
        <w:spacing w:beforeLines="100" w:before="240" w:afterLines="40" w:after="96" w:line="269" w:lineRule="auto"/>
        <w:ind w:firstLine="562"/>
        <w:jc w:val="both"/>
        <w:rPr>
          <w:rFonts w:ascii="Times New Roman" w:hAnsi="Times New Roman" w:cs="Times New Roman"/>
          <w:i/>
          <w:color w:val="000000" w:themeColor="text1"/>
          <w:sz w:val="28"/>
          <w:szCs w:val="28"/>
          <w:lang w:val="en-US"/>
        </w:rPr>
      </w:pPr>
      <w:r w:rsidRPr="004F4D2E">
        <w:rPr>
          <w:rFonts w:ascii="Times New Roman" w:hAnsi="Times New Roman" w:cs="Times New Roman"/>
          <w:i/>
          <w:color w:val="000000" w:themeColor="text1"/>
          <w:sz w:val="28"/>
          <w:szCs w:val="28"/>
          <w:lang w:val="en-US"/>
        </w:rPr>
        <w:t xml:space="preserve">b) Forestry </w:t>
      </w:r>
    </w:p>
    <w:p w14:paraId="522749A5" w14:textId="47F98A2B" w:rsidR="007814C7" w:rsidRPr="004F4D2E" w:rsidRDefault="007814C7" w:rsidP="007814C7">
      <w:pPr>
        <w:spacing w:after="0" w:line="264" w:lineRule="auto"/>
        <w:ind w:firstLine="562"/>
        <w:jc w:val="both"/>
        <w:rPr>
          <w:rFonts w:ascii="Times New Roman" w:hAnsi="Times New Roman" w:cs="Times New Roman"/>
          <w:color w:val="000000" w:themeColor="text1"/>
          <w:spacing w:val="-2"/>
          <w:sz w:val="28"/>
          <w:szCs w:val="28"/>
          <w:lang w:val="en-US"/>
        </w:rPr>
      </w:pPr>
      <w:r w:rsidRPr="004F4D2E">
        <w:rPr>
          <w:rFonts w:ascii="Times New Roman" w:hAnsi="Times New Roman" w:cs="Times New Roman"/>
          <w:color w:val="000000" w:themeColor="text1"/>
          <w:spacing w:val="-2"/>
          <w:sz w:val="28"/>
          <w:szCs w:val="28"/>
          <w:lang w:val="en-US"/>
        </w:rPr>
        <w:t xml:space="preserve">The area </w:t>
      </w:r>
      <w:r w:rsidR="00FB0C09">
        <w:rPr>
          <w:rFonts w:ascii="Times New Roman" w:hAnsi="Times New Roman" w:cs="Times New Roman"/>
          <w:color w:val="000000" w:themeColor="text1"/>
          <w:spacing w:val="-2"/>
          <w:sz w:val="28"/>
          <w:szCs w:val="28"/>
          <w:lang w:val="en-US"/>
        </w:rPr>
        <w:t>of ​​newly planted forests in the first half of</w:t>
      </w:r>
      <w:r w:rsidRPr="004F4D2E">
        <w:rPr>
          <w:rFonts w:ascii="Times New Roman" w:hAnsi="Times New Roman" w:cs="Times New Roman"/>
          <w:color w:val="000000" w:themeColor="text1"/>
          <w:spacing w:val="-2"/>
          <w:sz w:val="28"/>
          <w:szCs w:val="28"/>
          <w:lang w:val="en-US"/>
        </w:rPr>
        <w:t xml:space="preserve"> 2026 was estimated to reach 145.7 thousand hectares, witnessing a year-on-year drop of 3.5%; the number of scattered forest trees planted were estimated to reach 51.6 million trees (+2.7%); wood production reached 11,767.7 thousand m</w:t>
      </w:r>
      <w:r w:rsidRPr="004F4D2E">
        <w:rPr>
          <w:rFonts w:ascii="Times New Roman" w:hAnsi="Times New Roman" w:cs="Times New Roman"/>
          <w:color w:val="000000" w:themeColor="text1"/>
          <w:spacing w:val="-2"/>
          <w:sz w:val="28"/>
          <w:szCs w:val="28"/>
          <w:vertAlign w:val="superscript"/>
          <w:lang w:val="en-US"/>
        </w:rPr>
        <w:t>3</w:t>
      </w:r>
      <w:r w:rsidRPr="004F4D2E">
        <w:rPr>
          <w:rFonts w:ascii="Times New Roman" w:hAnsi="Times New Roman" w:cs="Times New Roman"/>
          <w:color w:val="000000" w:themeColor="text1"/>
          <w:spacing w:val="-2"/>
          <w:sz w:val="28"/>
          <w:szCs w:val="28"/>
          <w:lang w:val="en-US"/>
        </w:rPr>
        <w:t xml:space="preserve"> (+4.5%).</w:t>
      </w:r>
    </w:p>
    <w:p w14:paraId="484122AC" w14:textId="2B302190" w:rsidR="007814C7" w:rsidRPr="004F4D2E" w:rsidRDefault="007814C7" w:rsidP="007814C7">
      <w:pPr>
        <w:spacing w:after="0" w:line="264" w:lineRule="auto"/>
        <w:ind w:firstLine="562"/>
        <w:jc w:val="both"/>
        <w:rPr>
          <w:rFonts w:ascii="Times New Roman" w:hAnsi="Times New Roman" w:cs="Times New Roman"/>
          <w:color w:val="000000" w:themeColor="text1"/>
          <w:spacing w:val="-2"/>
          <w:sz w:val="28"/>
          <w:szCs w:val="28"/>
          <w:lang w:val="en-US"/>
        </w:rPr>
      </w:pPr>
      <w:r w:rsidRPr="004F4D2E">
        <w:rPr>
          <w:rFonts w:ascii="Times New Roman" w:hAnsi="Times New Roman" w:cs="Times New Roman"/>
          <w:color w:val="000000" w:themeColor="text1"/>
          <w:spacing w:val="-2"/>
          <w:sz w:val="28"/>
          <w:szCs w:val="28"/>
          <w:lang w:val="en-US"/>
        </w:rPr>
        <w:t>The total area of ​​forest damaged</w:t>
      </w:r>
      <w:r w:rsidRPr="004F4D2E">
        <w:rPr>
          <w:rFonts w:ascii="Times New Roman" w:hAnsi="Times New Roman" w:cs="Times New Roman"/>
          <w:color w:val="000000" w:themeColor="text1"/>
          <w:sz w:val="28"/>
          <w:szCs w:val="28"/>
          <w:vertAlign w:val="superscript"/>
          <w:lang w:val="en-US"/>
        </w:rPr>
        <w:footnoteReference w:id="12"/>
      </w:r>
      <w:r w:rsidR="00FB0C09">
        <w:rPr>
          <w:rFonts w:ascii="Times New Roman" w:hAnsi="Times New Roman" w:cs="Times New Roman"/>
          <w:color w:val="000000" w:themeColor="text1"/>
          <w:spacing w:val="-2"/>
          <w:sz w:val="28"/>
          <w:szCs w:val="28"/>
          <w:lang w:val="en-US"/>
        </w:rPr>
        <w:t xml:space="preserve"> nationwide in the first half of</w:t>
      </w:r>
      <w:r w:rsidRPr="004F4D2E">
        <w:rPr>
          <w:rFonts w:ascii="Times New Roman" w:hAnsi="Times New Roman" w:cs="Times New Roman"/>
          <w:color w:val="000000" w:themeColor="text1"/>
          <w:spacing w:val="-2"/>
          <w:sz w:val="28"/>
          <w:szCs w:val="28"/>
          <w:lang w:val="en-US"/>
        </w:rPr>
        <w:t xml:space="preserve"> 2026 was 347.0 hectares, showing a year-on-year drop of 59.1%, of which: the area of ​​forest cut or destroyed was 286.9 hectares, (-49.2%); the area of ​​forest burned was 60.1 hectares, (-78.8%).</w:t>
      </w:r>
    </w:p>
    <w:p w14:paraId="05DBF143" w14:textId="77777777" w:rsidR="007814C7" w:rsidRPr="004F4D2E" w:rsidRDefault="007814C7" w:rsidP="007814C7">
      <w:pPr>
        <w:spacing w:beforeLines="40" w:before="96" w:afterLines="40" w:after="96" w:line="264" w:lineRule="auto"/>
        <w:ind w:firstLine="562"/>
        <w:jc w:val="both"/>
        <w:rPr>
          <w:rFonts w:ascii="Times New Roman" w:hAnsi="Times New Roman" w:cs="Times New Roman"/>
          <w:color w:val="000000" w:themeColor="text1"/>
          <w:sz w:val="28"/>
          <w:szCs w:val="28"/>
          <w:lang w:val="en-US"/>
        </w:rPr>
      </w:pPr>
      <w:r w:rsidRPr="004F4D2E">
        <w:rPr>
          <w:rFonts w:ascii="Times New Roman" w:hAnsi="Times New Roman" w:cs="Times New Roman"/>
          <w:bCs/>
          <w:i/>
          <w:iCs/>
          <w:color w:val="000000" w:themeColor="text1"/>
          <w:sz w:val="28"/>
          <w:szCs w:val="28"/>
          <w:lang w:val="en-US"/>
        </w:rPr>
        <w:t>c) Fishing</w:t>
      </w:r>
    </w:p>
    <w:p w14:paraId="61C34379" w14:textId="7FAF1D93" w:rsidR="007814C7" w:rsidRPr="004F4D2E" w:rsidRDefault="007814C7" w:rsidP="007814C7">
      <w:pPr>
        <w:spacing w:after="0" w:line="264" w:lineRule="auto"/>
        <w:ind w:firstLine="562"/>
        <w:jc w:val="both"/>
        <w:rPr>
          <w:rFonts w:ascii="Times New Roman" w:hAnsi="Times New Roman" w:cs="Times New Roman"/>
          <w:color w:val="000000" w:themeColor="text1"/>
          <w:sz w:val="28"/>
          <w:szCs w:val="28"/>
          <w:lang w:val="en-US"/>
        </w:rPr>
      </w:pPr>
      <w:r w:rsidRPr="004F4D2E">
        <w:rPr>
          <w:rFonts w:ascii="Times New Roman" w:hAnsi="Times New Roman" w:cs="Times New Roman"/>
          <w:color w:val="000000" w:themeColor="text1"/>
          <w:sz w:val="28"/>
          <w:szCs w:val="28"/>
          <w:lang w:val="en-US"/>
        </w:rPr>
        <w:t>Total fisheries productio</w:t>
      </w:r>
      <w:r w:rsidR="00FB0C09">
        <w:rPr>
          <w:rFonts w:ascii="Times New Roman" w:hAnsi="Times New Roman" w:cs="Times New Roman"/>
          <w:color w:val="000000" w:themeColor="text1"/>
          <w:sz w:val="28"/>
          <w:szCs w:val="28"/>
          <w:lang w:val="en-US"/>
        </w:rPr>
        <w:t>n in the first half of</w:t>
      </w:r>
      <w:r w:rsidRPr="004F4D2E">
        <w:rPr>
          <w:rFonts w:ascii="Times New Roman" w:hAnsi="Times New Roman" w:cs="Times New Roman"/>
          <w:color w:val="000000" w:themeColor="text1"/>
          <w:sz w:val="28"/>
          <w:szCs w:val="28"/>
          <w:lang w:val="en-US"/>
        </w:rPr>
        <w:t xml:space="preserve"> 2026 was estimated to reach 4,954.2 thousand tons, showing a year-on-year growth of 3.6% (Q2 2026 was estimated at 2,739.9 thousand tons, (+3.9%), including fish 3,497.9 thousand tons, (+2.7%); shrimp 774.1 thousand tons, (+7.4%); and other aquatic products 682.2 thousand tons (+4.7%).</w:t>
      </w:r>
    </w:p>
    <w:p w14:paraId="1B005246" w14:textId="01AB709C" w:rsidR="007814C7" w:rsidRPr="004F4D2E" w:rsidRDefault="007814C7" w:rsidP="007814C7">
      <w:pPr>
        <w:spacing w:after="0" w:line="264" w:lineRule="auto"/>
        <w:ind w:firstLine="562"/>
        <w:jc w:val="both"/>
        <w:rPr>
          <w:rFonts w:ascii="Times New Roman" w:hAnsi="Times New Roman" w:cs="Times New Roman"/>
          <w:color w:val="000000" w:themeColor="text1"/>
          <w:spacing w:val="-4"/>
          <w:sz w:val="28"/>
          <w:szCs w:val="28"/>
          <w:lang w:val="en-US"/>
        </w:rPr>
      </w:pPr>
      <w:r w:rsidRPr="004F4D2E">
        <w:rPr>
          <w:rFonts w:ascii="Times New Roman" w:hAnsi="Times New Roman" w:cs="Times New Roman"/>
          <w:color w:val="000000" w:themeColor="text1"/>
          <w:spacing w:val="-4"/>
          <w:sz w:val="28"/>
          <w:szCs w:val="28"/>
          <w:lang w:val="en-US"/>
        </w:rPr>
        <w:t xml:space="preserve">Aquaculture production in </w:t>
      </w:r>
      <w:r w:rsidR="00FB0C09">
        <w:rPr>
          <w:rFonts w:ascii="Times New Roman" w:hAnsi="Times New Roman" w:cs="Times New Roman"/>
          <w:color w:val="000000" w:themeColor="text1"/>
          <w:sz w:val="28"/>
          <w:szCs w:val="28"/>
          <w:lang w:val="en-US"/>
        </w:rPr>
        <w:t>the first half of</w:t>
      </w:r>
      <w:r w:rsidRPr="004F4D2E">
        <w:rPr>
          <w:rFonts w:ascii="Times New Roman" w:hAnsi="Times New Roman" w:cs="Times New Roman"/>
          <w:color w:val="000000" w:themeColor="text1"/>
          <w:sz w:val="28"/>
          <w:szCs w:val="28"/>
          <w:lang w:val="en-US"/>
        </w:rPr>
        <w:t xml:space="preserve"> 2026 </w:t>
      </w:r>
      <w:r w:rsidRPr="004F4D2E">
        <w:rPr>
          <w:rFonts w:ascii="Times New Roman" w:hAnsi="Times New Roman" w:cs="Times New Roman"/>
          <w:color w:val="000000" w:themeColor="text1"/>
          <w:spacing w:val="-4"/>
          <w:sz w:val="28"/>
          <w:szCs w:val="28"/>
          <w:lang w:val="en-US"/>
        </w:rPr>
        <w:t xml:space="preserve">was estimated to reach 2,993.1 thousand tons, representing a year-on-year increase of 5.7%, including: Fish 1,984.0 thousand tons, (+4.4%); shrimp 702.5 thousand tons, (+8.1%); and other aquatic products 306.6 thousand tons, (+9.1%). Specifically, pangasius production reached 935.4 thousand tons, (+5.0%); white leg shrimp production reached 494.3 thousand tons, (+9.5%); tiger shrimp production reached 167.6 thousand tons, (+4.3%); and tilapia production in the </w:t>
      </w:r>
      <w:r w:rsidR="00FB0C09">
        <w:rPr>
          <w:rFonts w:ascii="Times New Roman" w:hAnsi="Times New Roman" w:cs="Times New Roman"/>
          <w:color w:val="000000" w:themeColor="text1"/>
          <w:sz w:val="28"/>
          <w:szCs w:val="28"/>
          <w:lang w:val="en-US"/>
        </w:rPr>
        <w:t>first half of</w:t>
      </w:r>
      <w:r w:rsidRPr="004F4D2E">
        <w:rPr>
          <w:rFonts w:ascii="Times New Roman" w:hAnsi="Times New Roman" w:cs="Times New Roman"/>
          <w:color w:val="000000" w:themeColor="text1"/>
          <w:sz w:val="28"/>
          <w:szCs w:val="28"/>
          <w:lang w:val="en-US"/>
        </w:rPr>
        <w:t xml:space="preserve"> 2026 </w:t>
      </w:r>
      <w:r w:rsidRPr="004F4D2E">
        <w:rPr>
          <w:rFonts w:ascii="Times New Roman" w:hAnsi="Times New Roman" w:cs="Times New Roman"/>
          <w:color w:val="000000" w:themeColor="text1"/>
          <w:spacing w:val="-4"/>
          <w:sz w:val="28"/>
          <w:szCs w:val="28"/>
          <w:lang w:val="en-US"/>
        </w:rPr>
        <w:t>was estimated to increase by 10.4%.</w:t>
      </w:r>
    </w:p>
    <w:p w14:paraId="76610EAF" w14:textId="77777777" w:rsidR="007814C7" w:rsidRPr="004F4D2E" w:rsidRDefault="007814C7" w:rsidP="007814C7">
      <w:pPr>
        <w:spacing w:after="0" w:line="264" w:lineRule="auto"/>
        <w:ind w:firstLine="562"/>
        <w:jc w:val="both"/>
        <w:rPr>
          <w:rFonts w:ascii="Times New Roman" w:hAnsi="Times New Roman" w:cs="Times New Roman"/>
          <w:color w:val="000000" w:themeColor="text1"/>
          <w:sz w:val="28"/>
          <w:szCs w:val="28"/>
          <w:lang w:val="en-US"/>
        </w:rPr>
      </w:pPr>
      <w:r w:rsidRPr="004F4D2E">
        <w:rPr>
          <w:rFonts w:ascii="Times New Roman" w:hAnsi="Times New Roman" w:cs="Times New Roman"/>
          <w:color w:val="000000" w:themeColor="text1"/>
          <w:sz w:val="28"/>
          <w:szCs w:val="28"/>
          <w:lang w:val="en-US"/>
        </w:rPr>
        <w:t>The production of capture fisheries in the first six months of the year was estimated to reach 1,961.1 thousand tons, representing a year-on-year growth of 0.6% (Q2 2026 was estimated at 1,059.5 thousand tons, (+1.0%), including fish 1,513.9 thousand tons, (+0.4%); shrimp 71.6 thousand tons, (+1.3%); other aquatic products 375.6 thousand tons, (+1.3%).</w:t>
      </w:r>
    </w:p>
    <w:p w14:paraId="047D45D1" w14:textId="002F2207" w:rsidR="007814C7" w:rsidRPr="004F4D2E" w:rsidRDefault="007814C7" w:rsidP="007814C7">
      <w:pPr>
        <w:shd w:val="clear" w:color="auto" w:fill="FFFFFF"/>
        <w:spacing w:before="120" w:after="120" w:line="264" w:lineRule="auto"/>
        <w:ind w:firstLine="720"/>
        <w:jc w:val="both"/>
        <w:rPr>
          <w:rFonts w:ascii="Times New Roman" w:hAnsi="Times New Roman" w:cs="Times New Roman"/>
          <w:b/>
          <w:i/>
          <w:color w:val="000000" w:themeColor="text1"/>
          <w:spacing w:val="-2"/>
          <w:sz w:val="28"/>
          <w:szCs w:val="28"/>
          <w:lang w:val="en-US"/>
        </w:rPr>
      </w:pPr>
      <w:r w:rsidRPr="004F4D2E">
        <w:rPr>
          <w:rFonts w:ascii="Times New Roman" w:hAnsi="Times New Roman" w:cs="Times New Roman"/>
          <w:b/>
          <w:i/>
          <w:color w:val="000000" w:themeColor="text1"/>
          <w:sz w:val="28"/>
          <w:szCs w:val="28"/>
          <w:lang w:val="en-US"/>
        </w:rPr>
        <w:t>3.</w:t>
      </w:r>
      <w:r w:rsidRPr="004F4D2E">
        <w:rPr>
          <w:rFonts w:ascii="Times New Roman" w:hAnsi="Times New Roman" w:cs="Times New Roman"/>
          <w:b/>
          <w:i/>
          <w:color w:val="000000" w:themeColor="text1"/>
          <w:spacing w:val="2"/>
          <w:sz w:val="28"/>
          <w:szCs w:val="28"/>
          <w:lang w:val="en-US"/>
        </w:rPr>
        <w:t xml:space="preserve"> </w:t>
      </w:r>
      <w:r w:rsidRPr="004F4D2E">
        <w:rPr>
          <w:rFonts w:ascii="Times New Roman" w:hAnsi="Times New Roman" w:cs="Times New Roman"/>
          <w:b/>
          <w:i/>
          <w:color w:val="000000" w:themeColor="text1"/>
          <w:spacing w:val="-2"/>
          <w:sz w:val="28"/>
          <w:szCs w:val="28"/>
          <w:lang w:val="en-US"/>
        </w:rPr>
        <w:t>In Q2 2026, industrial production maintained a positive growth trend, with the Index of Industrial Production (IIP) estimated to incre</w:t>
      </w:r>
      <w:r w:rsidR="00FB0C09">
        <w:rPr>
          <w:rFonts w:ascii="Times New Roman" w:hAnsi="Times New Roman" w:cs="Times New Roman"/>
          <w:b/>
          <w:i/>
          <w:color w:val="000000" w:themeColor="text1"/>
          <w:spacing w:val="-2"/>
          <w:sz w:val="28"/>
          <w:szCs w:val="28"/>
          <w:lang w:val="en-US"/>
        </w:rPr>
        <w:t>ase by 11.2% year-on-year. In the first half of</w:t>
      </w:r>
      <w:r w:rsidRPr="004F4D2E">
        <w:rPr>
          <w:rFonts w:ascii="Times New Roman" w:hAnsi="Times New Roman" w:cs="Times New Roman"/>
          <w:b/>
          <w:i/>
          <w:color w:val="000000" w:themeColor="text1"/>
          <w:spacing w:val="-2"/>
          <w:sz w:val="28"/>
          <w:szCs w:val="28"/>
          <w:lang w:val="en-US"/>
        </w:rPr>
        <w:t xml:space="preserve"> 2026, the IIP grew by 10.8% compared with the </w:t>
      </w:r>
      <w:r w:rsidRPr="004F4D2E">
        <w:rPr>
          <w:rFonts w:ascii="Times New Roman" w:hAnsi="Times New Roman" w:cs="Times New Roman"/>
          <w:b/>
          <w:i/>
          <w:color w:val="000000" w:themeColor="text1"/>
          <w:spacing w:val="-2"/>
          <w:sz w:val="28"/>
          <w:szCs w:val="28"/>
          <w:lang w:val="en-US"/>
        </w:rPr>
        <w:lastRenderedPageBreak/>
        <w:t>same period in the previous year, representing the highest growth rate recorded in the 2019–2026 period</w:t>
      </w:r>
      <w:r w:rsidR="00AB6596" w:rsidRPr="004F4D2E">
        <w:rPr>
          <w:rFonts w:ascii="Times New Roman" w:hAnsi="Times New Roman"/>
          <w:i/>
          <w:color w:val="000000" w:themeColor="text1"/>
          <w:lang w:val="en-US"/>
        </w:rPr>
        <w:footnoteReference w:id="13"/>
      </w:r>
      <w:r w:rsidRPr="004F4D2E">
        <w:rPr>
          <w:rFonts w:ascii="Times New Roman" w:hAnsi="Times New Roman" w:cs="Times New Roman"/>
          <w:b/>
          <w:i/>
          <w:color w:val="000000" w:themeColor="text1"/>
          <w:spacing w:val="-2"/>
          <w:sz w:val="28"/>
          <w:szCs w:val="28"/>
          <w:lang w:val="en-US"/>
        </w:rPr>
        <w:t>. Manufacturing was estimated to expand by 11.4%.</w:t>
      </w:r>
    </w:p>
    <w:p w14:paraId="54EC0850" w14:textId="748FC611" w:rsidR="007814C7" w:rsidRPr="004F4D2E" w:rsidRDefault="00FB0C09" w:rsidP="007814C7">
      <w:pPr>
        <w:shd w:val="clear" w:color="auto" w:fill="FFFFFF"/>
        <w:spacing w:before="120" w:after="120" w:line="264" w:lineRule="auto"/>
        <w:ind w:firstLine="720"/>
        <w:jc w:val="both"/>
        <w:rPr>
          <w:rFonts w:ascii="Times New Roman" w:hAnsi="Times New Roman" w:cs="Times New Roman"/>
          <w:color w:val="000000" w:themeColor="text1"/>
          <w:spacing w:val="-2"/>
          <w:sz w:val="28"/>
          <w:szCs w:val="28"/>
          <w:lang w:val="en-US"/>
        </w:rPr>
      </w:pPr>
      <w:r>
        <w:rPr>
          <w:rFonts w:ascii="Times New Roman" w:hAnsi="Times New Roman" w:cs="Times New Roman"/>
          <w:color w:val="000000" w:themeColor="text1"/>
          <w:spacing w:val="-2"/>
          <w:sz w:val="28"/>
          <w:szCs w:val="28"/>
          <w:lang w:val="en-US"/>
        </w:rPr>
        <w:t>Generally, in the first half of</w:t>
      </w:r>
      <w:r w:rsidR="007814C7" w:rsidRPr="004F4D2E">
        <w:rPr>
          <w:rFonts w:ascii="Times New Roman" w:hAnsi="Times New Roman" w:cs="Times New Roman"/>
          <w:color w:val="000000" w:themeColor="text1"/>
          <w:spacing w:val="-2"/>
          <w:sz w:val="28"/>
          <w:szCs w:val="28"/>
          <w:lang w:val="en-US"/>
        </w:rPr>
        <w:t xml:space="preserve"> 2026, the IIP was estimated to grow by 10.8% over the same period last year (the corresponding figure in 2025 was 8.7%). Specifically, the manufacturing grew by 11.4% (the corresponding figure in 2025 was 10.5%), contributing 8.9 percentage points to the overall growth; contributing 0.9 percentage points; the electricity supply rose by 9.6% (versus 4.1% in 2025), contributing 0.9 percentage points;  the water supply, sewerage, waste management and remediation activities increased by 8.9% (versus 10.7% in 2025), contributing 0.1 percentage points; the mining and quarrying grew by 5.8% (3.5% decline in the same period of 2025).</w:t>
      </w:r>
    </w:p>
    <w:p w14:paraId="7E07D766" w14:textId="4B0D1BCA" w:rsidR="007814C7" w:rsidRPr="004F4D2E" w:rsidRDefault="00400CD7" w:rsidP="007814C7">
      <w:pPr>
        <w:shd w:val="clear" w:color="auto" w:fill="FFFFFF"/>
        <w:spacing w:after="0" w:line="264" w:lineRule="auto"/>
        <w:ind w:firstLine="562"/>
        <w:jc w:val="both"/>
        <w:rPr>
          <w:rFonts w:ascii="Times New Roman" w:hAnsi="Times New Roman" w:cs="Times New Roman"/>
          <w:color w:val="000000" w:themeColor="text1"/>
          <w:sz w:val="28"/>
          <w:szCs w:val="28"/>
          <w:lang w:val="en-US"/>
        </w:rPr>
      </w:pPr>
      <w:r>
        <w:rPr>
          <w:rFonts w:ascii="Times New Roman" w:hAnsi="Times New Roman"/>
          <w:sz w:val="28"/>
          <w:lang w:val="en-US"/>
        </w:rPr>
        <w:t>Generally, in the first half of</w:t>
      </w:r>
      <w:r w:rsidR="007814C7" w:rsidRPr="004F4D2E">
        <w:rPr>
          <w:rFonts w:ascii="Times New Roman" w:hAnsi="Times New Roman"/>
          <w:sz w:val="28"/>
          <w:lang w:val="en-US"/>
        </w:rPr>
        <w:t xml:space="preserve"> 2026 the IIS of the manufacturing recorded a</w:t>
      </w:r>
      <w:r w:rsidR="007814C7" w:rsidRPr="004F4D2E">
        <w:rPr>
          <w:rFonts w:ascii="Times New Roman" w:hAnsi="Times New Roman"/>
          <w:b/>
          <w:sz w:val="28"/>
          <w:lang w:val="en-US"/>
        </w:rPr>
        <w:t xml:space="preserve"> </w:t>
      </w:r>
      <w:r w:rsidR="007814C7" w:rsidRPr="004F4D2E">
        <w:rPr>
          <w:rFonts w:ascii="Times New Roman" w:hAnsi="Times New Roman"/>
          <w:sz w:val="28"/>
          <w:lang w:val="en-US"/>
        </w:rPr>
        <w:t>year-on-year increase of 10.8% (the corresponding period in 2025 saw an increase of 9.8%).</w:t>
      </w:r>
      <w:r w:rsidR="007814C7" w:rsidRPr="004F4D2E">
        <w:rPr>
          <w:rFonts w:ascii="Times New Roman" w:hAnsi="Times New Roman" w:cs="Times New Roman"/>
          <w:sz w:val="28"/>
          <w:szCs w:val="28"/>
          <w:lang w:val="en-US"/>
        </w:rPr>
        <w:t xml:space="preserve"> Index of Industrial Inventory of the manufacturing as of June 30</w:t>
      </w:r>
      <w:r w:rsidR="007814C7" w:rsidRPr="004F4D2E">
        <w:rPr>
          <w:rFonts w:ascii="Times New Roman" w:hAnsi="Times New Roman" w:cs="Times New Roman"/>
          <w:sz w:val="28"/>
          <w:szCs w:val="28"/>
          <w:vertAlign w:val="superscript"/>
          <w:lang w:val="en-US"/>
        </w:rPr>
        <w:t>th</w:t>
      </w:r>
      <w:r w:rsidR="007814C7" w:rsidRPr="004F4D2E">
        <w:rPr>
          <w:rFonts w:ascii="Times New Roman" w:hAnsi="Times New Roman" w:cs="Times New Roman"/>
          <w:sz w:val="28"/>
          <w:szCs w:val="28"/>
          <w:lang w:val="en-US"/>
        </w:rPr>
        <w:t>, 2026 experienced a month-on-month increase of 5.3% and a year-on-year rise of 13.3%. The average Inventory Turnover Ratio (ITR) for the manufacturing in the Q2 2026 was 82.2% (the corresponding period last year saw an average figure of 85.7%).</w:t>
      </w:r>
      <w:r w:rsidR="007814C7" w:rsidRPr="004F4D2E">
        <w:rPr>
          <w:rFonts w:ascii="Times New Roman" w:hAnsi="Times New Roman" w:cs="Times New Roman"/>
          <w:color w:val="000000" w:themeColor="text1"/>
          <w:sz w:val="28"/>
          <w:szCs w:val="28"/>
          <w:lang w:val="en-US"/>
        </w:rPr>
        <w:t xml:space="preserve"> </w:t>
      </w:r>
    </w:p>
    <w:p w14:paraId="0DDF6B4E" w14:textId="343A6030" w:rsidR="007814C7" w:rsidRPr="004F4D2E" w:rsidRDefault="007814C7" w:rsidP="007814C7">
      <w:pPr>
        <w:spacing w:beforeLines="40" w:before="96" w:afterLines="40" w:after="96" w:line="264" w:lineRule="auto"/>
        <w:ind w:firstLine="567"/>
        <w:jc w:val="both"/>
        <w:rPr>
          <w:rFonts w:ascii="Times New Roman" w:hAnsi="Times New Roman" w:cs="Times New Roman"/>
          <w:b/>
          <w:bCs/>
          <w:i/>
          <w:color w:val="000000" w:themeColor="text1"/>
          <w:sz w:val="28"/>
          <w:szCs w:val="28"/>
          <w:lang w:val="en-US"/>
        </w:rPr>
      </w:pPr>
      <w:r w:rsidRPr="004F4D2E">
        <w:rPr>
          <w:rFonts w:ascii="Times New Roman" w:hAnsi="Times New Roman" w:cs="Times New Roman"/>
          <w:b/>
          <w:bCs/>
          <w:i/>
          <w:color w:val="000000" w:themeColor="text1"/>
          <w:sz w:val="28"/>
          <w:szCs w:val="28"/>
          <w:lang w:val="en-US"/>
        </w:rPr>
        <w:t xml:space="preserve">  4. The number</w:t>
      </w:r>
      <w:r w:rsidR="00400CD7">
        <w:rPr>
          <w:rFonts w:ascii="Times New Roman" w:hAnsi="Times New Roman" w:cs="Times New Roman"/>
          <w:b/>
          <w:bCs/>
          <w:i/>
          <w:color w:val="000000" w:themeColor="text1"/>
          <w:sz w:val="28"/>
          <w:szCs w:val="28"/>
          <w:lang w:val="en-US"/>
        </w:rPr>
        <w:t xml:space="preserve"> of registered enterprises in the first half of</w:t>
      </w:r>
      <w:r w:rsidRPr="004F4D2E">
        <w:rPr>
          <w:rFonts w:ascii="Times New Roman" w:hAnsi="Times New Roman" w:cs="Times New Roman"/>
          <w:b/>
          <w:bCs/>
          <w:i/>
          <w:color w:val="000000" w:themeColor="text1"/>
          <w:sz w:val="28"/>
          <w:szCs w:val="28"/>
          <w:lang w:val="en-US"/>
        </w:rPr>
        <w:t xml:space="preserve"> 2026 increased by 22.5% YoY. The number of enterprises entering the market was higher than the number of enterprises</w:t>
      </w:r>
      <w:r w:rsidRPr="004F4D2E" w:rsidDel="008F6263">
        <w:rPr>
          <w:rFonts w:ascii="Times New Roman" w:hAnsi="Times New Roman" w:cs="Times New Roman"/>
          <w:b/>
          <w:bCs/>
          <w:i/>
          <w:color w:val="000000" w:themeColor="text1"/>
          <w:sz w:val="28"/>
          <w:szCs w:val="28"/>
          <w:lang w:val="en-US"/>
        </w:rPr>
        <w:t xml:space="preserve"> </w:t>
      </w:r>
      <w:r w:rsidRPr="004F4D2E">
        <w:rPr>
          <w:rFonts w:ascii="Times New Roman" w:hAnsi="Times New Roman" w:cs="Times New Roman"/>
          <w:b/>
          <w:bCs/>
          <w:i/>
          <w:color w:val="000000" w:themeColor="text1"/>
          <w:sz w:val="28"/>
          <w:szCs w:val="28"/>
          <w:lang w:val="en-US"/>
        </w:rPr>
        <w:t>withdrew from the market.</w:t>
      </w:r>
    </w:p>
    <w:p w14:paraId="4F243D91" w14:textId="77777777" w:rsidR="007814C7" w:rsidRPr="004F4D2E" w:rsidRDefault="007814C7" w:rsidP="007814C7">
      <w:pPr>
        <w:spacing w:beforeLines="40" w:before="96" w:afterLines="40" w:after="96" w:line="264" w:lineRule="auto"/>
        <w:ind w:firstLine="567"/>
        <w:jc w:val="both"/>
        <w:rPr>
          <w:rFonts w:ascii="Times New Roman" w:hAnsi="Times New Roman" w:cs="Times New Roman"/>
          <w:b/>
          <w:bCs/>
          <w:i/>
          <w:color w:val="000000" w:themeColor="text1"/>
          <w:sz w:val="28"/>
          <w:szCs w:val="28"/>
          <w:lang w:val="en-US"/>
        </w:rPr>
      </w:pPr>
      <w:r w:rsidRPr="004F4D2E">
        <w:rPr>
          <w:rFonts w:ascii="Times New Roman" w:hAnsi="Times New Roman" w:cs="Times New Roman"/>
          <w:b/>
          <w:bCs/>
          <w:i/>
          <w:color w:val="000000" w:themeColor="text1"/>
          <w:sz w:val="28"/>
          <w:szCs w:val="28"/>
          <w:lang w:val="en-US"/>
        </w:rPr>
        <w:t xml:space="preserve">a) Enterprise registration </w:t>
      </w:r>
    </w:p>
    <w:p w14:paraId="3C5AC04A" w14:textId="77777777" w:rsidR="007814C7" w:rsidRPr="004F4D2E" w:rsidRDefault="007814C7" w:rsidP="007814C7">
      <w:pPr>
        <w:spacing w:after="0" w:line="264" w:lineRule="auto"/>
        <w:ind w:firstLine="720"/>
        <w:jc w:val="both"/>
        <w:rPr>
          <w:rFonts w:ascii="Times New Roman" w:hAnsi="Times New Roman" w:cs="Times New Roman"/>
          <w:color w:val="000000" w:themeColor="text1"/>
          <w:sz w:val="28"/>
          <w:szCs w:val="28"/>
          <w:lang w:val="en-US"/>
        </w:rPr>
      </w:pPr>
      <w:r w:rsidRPr="004F4D2E">
        <w:rPr>
          <w:rFonts w:ascii="Times New Roman" w:hAnsi="Times New Roman" w:cs="Times New Roman"/>
          <w:color w:val="000000" w:themeColor="text1"/>
          <w:sz w:val="28"/>
          <w:szCs w:val="28"/>
          <w:lang w:val="en-US"/>
        </w:rPr>
        <w:t>In June, the country had over 16.8 thousand newly established enterprises with a registered capital of over 286.3 trillion VND and registered employees of 82.5 thousand employees, a month-on-month decrease of 1.1% in the number of enterprises and increase of 1.9%, 8.8% in the registered capital, and in the number of employees, respectively. In comparison with the same period last year, in the number of enterprises, the registered capital and the number of employees showed a decrease of 31.0%, an increase of 62.0%, a decrease of 39.8%, respectively.</w:t>
      </w:r>
    </w:p>
    <w:p w14:paraId="008F9DD8" w14:textId="09E2D31B" w:rsidR="007814C7" w:rsidRPr="004F4D2E" w:rsidRDefault="00400CD7" w:rsidP="007814C7">
      <w:pPr>
        <w:spacing w:after="0" w:line="264" w:lineRule="auto"/>
        <w:ind w:firstLine="720"/>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Overall, in the first half of</w:t>
      </w:r>
      <w:r w:rsidR="007814C7" w:rsidRPr="004F4D2E">
        <w:rPr>
          <w:rFonts w:ascii="Times New Roman" w:hAnsi="Times New Roman" w:cs="Times New Roman"/>
          <w:sz w:val="28"/>
          <w:szCs w:val="28"/>
          <w:lang w:val="en-US"/>
        </w:rPr>
        <w:t xml:space="preserve"> 2026, </w:t>
      </w:r>
      <w:r w:rsidR="007814C7" w:rsidRPr="004F4D2E">
        <w:rPr>
          <w:rFonts w:ascii="Times New Roman" w:hAnsi="Times New Roman" w:cs="Times New Roman"/>
          <w:color w:val="000000" w:themeColor="text1"/>
          <w:sz w:val="28"/>
          <w:szCs w:val="28"/>
          <w:lang w:val="en-US"/>
        </w:rPr>
        <w:t xml:space="preserve">the whole country had </w:t>
      </w:r>
      <w:r w:rsidR="007814C7" w:rsidRPr="004F4D2E">
        <w:rPr>
          <w:rFonts w:ascii="Times New Roman" w:hAnsi="Times New Roman" w:cs="Times New Roman"/>
          <w:sz w:val="28"/>
          <w:szCs w:val="28"/>
          <w:lang w:val="en-US"/>
        </w:rPr>
        <w:t xml:space="preserve">nearly 111.7 thousand newly registered enterprises with a total registered capital of over 1,352.6 trillion VND and </w:t>
      </w:r>
      <w:r w:rsidR="002D0314" w:rsidRPr="004F4D2E">
        <w:rPr>
          <w:rFonts w:ascii="Times New Roman" w:hAnsi="Times New Roman" w:cs="Times New Roman"/>
          <w:sz w:val="28"/>
          <w:szCs w:val="28"/>
          <w:lang w:val="en-US"/>
        </w:rPr>
        <w:t>total registered employees</w:t>
      </w:r>
      <w:r w:rsidR="007814C7" w:rsidRPr="004F4D2E">
        <w:rPr>
          <w:rFonts w:ascii="Times New Roman" w:hAnsi="Times New Roman" w:cs="Times New Roman"/>
          <w:sz w:val="28"/>
          <w:szCs w:val="28"/>
          <w:lang w:val="en-US"/>
        </w:rPr>
        <w:t xml:space="preserve"> of nearly 515.3 thousand employees, </w:t>
      </w:r>
      <w:r w:rsidR="007814C7" w:rsidRPr="004F4D2E">
        <w:rPr>
          <w:rFonts w:ascii="Times New Roman" w:hAnsi="Times New Roman" w:cs="Times New Roman"/>
          <w:color w:val="000000" w:themeColor="text1"/>
          <w:spacing w:val="-4"/>
          <w:sz w:val="28"/>
          <w:szCs w:val="28"/>
          <w:lang w:val="en-US"/>
        </w:rPr>
        <w:t>a year-on-year</w:t>
      </w:r>
      <w:r w:rsidR="007814C7" w:rsidRPr="004F4D2E" w:rsidDel="00732DC0">
        <w:rPr>
          <w:rFonts w:ascii="Times New Roman" w:hAnsi="Times New Roman" w:cs="Times New Roman"/>
          <w:color w:val="000000" w:themeColor="text1"/>
          <w:sz w:val="28"/>
          <w:szCs w:val="28"/>
          <w:lang w:val="en-US"/>
        </w:rPr>
        <w:t xml:space="preserve"> </w:t>
      </w:r>
      <w:r w:rsidR="007814C7" w:rsidRPr="004F4D2E">
        <w:rPr>
          <w:rFonts w:ascii="Times New Roman" w:hAnsi="Times New Roman" w:cs="Times New Roman"/>
          <w:color w:val="000000" w:themeColor="text1"/>
          <w:sz w:val="28"/>
          <w:szCs w:val="28"/>
          <w:lang w:val="en-US"/>
        </w:rPr>
        <w:t>increase of</w:t>
      </w:r>
      <w:r w:rsidR="007814C7" w:rsidRPr="004F4D2E">
        <w:rPr>
          <w:rFonts w:ascii="Times New Roman" w:hAnsi="Times New Roman" w:cs="Times New Roman"/>
          <w:sz w:val="28"/>
          <w:szCs w:val="28"/>
          <w:lang w:val="en-US"/>
        </w:rPr>
        <w:t xml:space="preserve"> 22.5%, 64.8% and a decrease of 12.8% </w:t>
      </w:r>
      <w:r w:rsidR="007814C7" w:rsidRPr="004F4D2E">
        <w:rPr>
          <w:rFonts w:ascii="Times New Roman" w:hAnsi="Times New Roman" w:cs="Times New Roman"/>
          <w:color w:val="000000" w:themeColor="text1"/>
          <w:sz w:val="28"/>
          <w:szCs w:val="28"/>
          <w:lang w:val="en-US"/>
        </w:rPr>
        <w:t xml:space="preserve">in the number of enterprises, in registered capital and </w:t>
      </w:r>
      <w:r w:rsidR="007814C7" w:rsidRPr="004F4D2E">
        <w:rPr>
          <w:rFonts w:ascii="Times New Roman" w:hAnsi="Times New Roman" w:cs="Times New Roman"/>
          <w:sz w:val="28"/>
          <w:szCs w:val="28"/>
          <w:lang w:val="en-US"/>
        </w:rPr>
        <w:t>in the number of employees</w:t>
      </w:r>
      <w:r w:rsidR="007814C7" w:rsidRPr="004F4D2E">
        <w:rPr>
          <w:rFonts w:ascii="Times New Roman" w:hAnsi="Times New Roman" w:cs="Times New Roman"/>
          <w:color w:val="000000" w:themeColor="text1"/>
          <w:sz w:val="28"/>
          <w:szCs w:val="28"/>
          <w:lang w:val="en-US"/>
        </w:rPr>
        <w:t>, respectively</w:t>
      </w:r>
      <w:r w:rsidR="007814C7" w:rsidRPr="004F4D2E">
        <w:rPr>
          <w:rFonts w:ascii="Times New Roman" w:hAnsi="Times New Roman" w:cs="Times New Roman"/>
          <w:sz w:val="28"/>
          <w:szCs w:val="28"/>
          <w:lang w:val="en-US"/>
        </w:rPr>
        <w:t>. The average registered capital of a ne</w:t>
      </w:r>
      <w:r>
        <w:rPr>
          <w:rFonts w:ascii="Times New Roman" w:hAnsi="Times New Roman" w:cs="Times New Roman"/>
          <w:sz w:val="28"/>
          <w:szCs w:val="28"/>
          <w:lang w:val="en-US"/>
        </w:rPr>
        <w:t>wly established enterprises in the first half of</w:t>
      </w:r>
      <w:r w:rsidR="007814C7" w:rsidRPr="004F4D2E">
        <w:rPr>
          <w:rFonts w:ascii="Times New Roman" w:hAnsi="Times New Roman" w:cs="Times New Roman"/>
          <w:sz w:val="28"/>
          <w:szCs w:val="28"/>
          <w:lang w:val="en-US"/>
        </w:rPr>
        <w:t xml:space="preserve"> 2026 reached 12.1 billion VND (</w:t>
      </w:r>
      <w:r w:rsidR="007814C7" w:rsidRPr="004F4D2E">
        <w:rPr>
          <w:rFonts w:ascii="Times New Roman" w:hAnsi="Times New Roman" w:cs="Times New Roman"/>
          <w:color w:val="000000" w:themeColor="text1"/>
          <w:spacing w:val="-4"/>
          <w:sz w:val="28"/>
          <w:szCs w:val="28"/>
          <w:lang w:val="en-US"/>
        </w:rPr>
        <w:t>+</w:t>
      </w:r>
      <w:r w:rsidR="007814C7" w:rsidRPr="004F4D2E">
        <w:rPr>
          <w:rFonts w:ascii="Times New Roman" w:hAnsi="Times New Roman" w:cs="Times New Roman"/>
          <w:sz w:val="28"/>
          <w:szCs w:val="28"/>
          <w:lang w:val="en-US"/>
        </w:rPr>
        <w:t>34.5% YoY). The total registered ca</w:t>
      </w:r>
      <w:r>
        <w:rPr>
          <w:rFonts w:ascii="Times New Roman" w:hAnsi="Times New Roman" w:cs="Times New Roman"/>
          <w:sz w:val="28"/>
          <w:szCs w:val="28"/>
          <w:lang w:val="en-US"/>
        </w:rPr>
        <w:t>pital added to the economy in the first half of</w:t>
      </w:r>
      <w:r w:rsidR="007814C7" w:rsidRPr="004F4D2E">
        <w:rPr>
          <w:rFonts w:ascii="Times New Roman" w:hAnsi="Times New Roman" w:cs="Times New Roman"/>
          <w:sz w:val="28"/>
          <w:szCs w:val="28"/>
          <w:lang w:val="en-US"/>
        </w:rPr>
        <w:t xml:space="preserve"> 2026 reached nearly </w:t>
      </w:r>
      <w:r w:rsidR="007814C7" w:rsidRPr="004F4D2E">
        <w:rPr>
          <w:rFonts w:ascii="Times New Roman" w:hAnsi="Times New Roman" w:cs="Times New Roman"/>
          <w:sz w:val="28"/>
          <w:szCs w:val="28"/>
          <w:lang w:val="en-US"/>
        </w:rPr>
        <w:lastRenderedPageBreak/>
        <w:t xml:space="preserve">3.1 </w:t>
      </w:r>
      <w:r w:rsidR="007814C7" w:rsidRPr="004F4D2E">
        <w:rPr>
          <w:rFonts w:ascii="Times New Roman" w:hAnsi="Times New Roman" w:cs="Times New Roman"/>
          <w:color w:val="000000" w:themeColor="text1"/>
          <w:sz w:val="28"/>
          <w:szCs w:val="28"/>
          <w:lang w:val="en-US"/>
        </w:rPr>
        <w:t>quadrillion</w:t>
      </w:r>
      <w:r w:rsidR="007814C7" w:rsidRPr="004F4D2E" w:rsidDel="00CB7EF1">
        <w:rPr>
          <w:rFonts w:ascii="Times New Roman" w:hAnsi="Times New Roman" w:cs="Times New Roman"/>
          <w:sz w:val="28"/>
          <w:szCs w:val="28"/>
          <w:lang w:val="en-US"/>
        </w:rPr>
        <w:t xml:space="preserve"> </w:t>
      </w:r>
      <w:r w:rsidR="007814C7" w:rsidRPr="004F4D2E">
        <w:rPr>
          <w:rFonts w:ascii="Times New Roman" w:hAnsi="Times New Roman" w:cs="Times New Roman"/>
          <w:sz w:val="28"/>
          <w:szCs w:val="28"/>
          <w:lang w:val="en-US"/>
        </w:rPr>
        <w:t>VND (</w:t>
      </w:r>
      <w:r w:rsidR="007814C7" w:rsidRPr="004F4D2E">
        <w:rPr>
          <w:rFonts w:ascii="Times New Roman" w:hAnsi="Times New Roman" w:cs="Times New Roman"/>
          <w:color w:val="000000" w:themeColor="text1"/>
          <w:sz w:val="28"/>
          <w:szCs w:val="28"/>
          <w:lang w:val="en-US"/>
        </w:rPr>
        <w:t>+</w:t>
      </w:r>
      <w:r w:rsidR="007814C7" w:rsidRPr="004F4D2E">
        <w:rPr>
          <w:rFonts w:ascii="Times New Roman" w:hAnsi="Times New Roman" w:cs="Times New Roman"/>
          <w:sz w:val="28"/>
          <w:szCs w:val="28"/>
          <w:lang w:val="en-US"/>
        </w:rPr>
        <w:t xml:space="preserve">11.3% YoY). In addition, the country had over 58.1 thousand </w:t>
      </w:r>
      <w:r w:rsidR="007814C7" w:rsidRPr="004F4D2E">
        <w:rPr>
          <w:rFonts w:ascii="Times New Roman" w:hAnsi="Times New Roman" w:cs="Times New Roman"/>
          <w:color w:val="000000" w:themeColor="text1"/>
          <w:sz w:val="28"/>
          <w:szCs w:val="28"/>
          <w:lang w:val="en-US"/>
        </w:rPr>
        <w:t>resumed operation enterprises</w:t>
      </w:r>
      <w:r w:rsidR="007814C7" w:rsidRPr="004F4D2E">
        <w:rPr>
          <w:rFonts w:ascii="Times New Roman" w:hAnsi="Times New Roman" w:cs="Times New Roman"/>
          <w:sz w:val="28"/>
          <w:szCs w:val="28"/>
          <w:lang w:val="en-US"/>
        </w:rPr>
        <w:t xml:space="preserve"> (</w:t>
      </w:r>
      <w:r w:rsidR="007814C7" w:rsidRPr="004F4D2E">
        <w:rPr>
          <w:rFonts w:ascii="Times New Roman" w:hAnsi="Times New Roman" w:cs="Times New Roman"/>
          <w:color w:val="000000" w:themeColor="text1"/>
          <w:sz w:val="28"/>
          <w:szCs w:val="28"/>
          <w:lang w:val="en-US"/>
        </w:rPr>
        <w:t>a year-on-year</w:t>
      </w:r>
      <w:r w:rsidR="007814C7" w:rsidRPr="004F4D2E" w:rsidDel="00CB7EF1">
        <w:rPr>
          <w:rFonts w:ascii="Times New Roman" w:hAnsi="Times New Roman" w:cs="Times New Roman"/>
          <w:sz w:val="28"/>
          <w:szCs w:val="28"/>
          <w:lang w:val="en-US"/>
        </w:rPr>
        <w:t xml:space="preserve"> </w:t>
      </w:r>
      <w:r w:rsidR="007814C7" w:rsidRPr="004F4D2E">
        <w:rPr>
          <w:rFonts w:ascii="Times New Roman" w:hAnsi="Times New Roman" w:cs="Times New Roman"/>
          <w:sz w:val="28"/>
          <w:szCs w:val="28"/>
          <w:lang w:val="en-US"/>
        </w:rPr>
        <w:t xml:space="preserve">decrease of 5.5%), bringing the total number of newly established and </w:t>
      </w:r>
      <w:r w:rsidR="007814C7" w:rsidRPr="004F4D2E">
        <w:rPr>
          <w:rFonts w:ascii="Times New Roman" w:hAnsi="Times New Roman" w:cs="Times New Roman"/>
          <w:color w:val="000000" w:themeColor="text1"/>
          <w:sz w:val="28"/>
          <w:szCs w:val="28"/>
          <w:lang w:val="en-US"/>
        </w:rPr>
        <w:t>resumed</w:t>
      </w:r>
      <w:r w:rsidR="007814C7" w:rsidRPr="004F4D2E">
        <w:rPr>
          <w:rFonts w:ascii="Times New Roman" w:hAnsi="Times New Roman" w:cs="Times New Roman"/>
          <w:color w:val="000000" w:themeColor="text1"/>
          <w:spacing w:val="-4"/>
          <w:sz w:val="28"/>
          <w:szCs w:val="28"/>
          <w:lang w:val="en-US"/>
        </w:rPr>
        <w:t xml:space="preserve"> </w:t>
      </w:r>
      <w:r w:rsidR="007814C7" w:rsidRPr="004F4D2E">
        <w:rPr>
          <w:rFonts w:ascii="Times New Roman" w:hAnsi="Times New Roman" w:cs="Times New Roman"/>
          <w:color w:val="000000" w:themeColor="text1"/>
          <w:sz w:val="28"/>
          <w:szCs w:val="28"/>
          <w:lang w:val="en-US"/>
        </w:rPr>
        <w:t xml:space="preserve">operation </w:t>
      </w:r>
      <w:r w:rsidR="007814C7" w:rsidRPr="004F4D2E">
        <w:rPr>
          <w:rFonts w:ascii="Times New Roman" w:hAnsi="Times New Roman" w:cs="Times New Roman"/>
          <w:color w:val="000000" w:themeColor="text1"/>
          <w:spacing w:val="-4"/>
          <w:sz w:val="28"/>
          <w:szCs w:val="28"/>
          <w:lang w:val="en-US"/>
        </w:rPr>
        <w:t>enterprises</w:t>
      </w:r>
      <w:r w:rsidR="007814C7" w:rsidRPr="004F4D2E" w:rsidDel="00975112">
        <w:rPr>
          <w:rFonts w:ascii="Times New Roman" w:hAnsi="Times New Roman" w:cs="Times New Roman"/>
          <w:color w:val="000000" w:themeColor="text1"/>
          <w:sz w:val="28"/>
          <w:szCs w:val="28"/>
          <w:lang w:val="en-US"/>
        </w:rPr>
        <w:t xml:space="preserve"> </w:t>
      </w:r>
      <w:r>
        <w:rPr>
          <w:rFonts w:ascii="Times New Roman" w:hAnsi="Times New Roman" w:cs="Times New Roman"/>
          <w:sz w:val="28"/>
          <w:szCs w:val="28"/>
          <w:lang w:val="en-US"/>
        </w:rPr>
        <w:t>in the first half of</w:t>
      </w:r>
      <w:r w:rsidR="007814C7" w:rsidRPr="004F4D2E">
        <w:rPr>
          <w:rFonts w:ascii="Times New Roman" w:hAnsi="Times New Roman" w:cs="Times New Roman"/>
          <w:sz w:val="28"/>
          <w:szCs w:val="28"/>
          <w:lang w:val="en-US"/>
        </w:rPr>
        <w:t xml:space="preserve"> 2026 to over 169.8 thousand enterprises (+11.2% YoY). On average, there were 28.3 thousand </w:t>
      </w:r>
      <w:r w:rsidR="007814C7" w:rsidRPr="004F4D2E">
        <w:rPr>
          <w:rFonts w:ascii="Times New Roman" w:hAnsi="Times New Roman" w:cs="Times New Roman"/>
          <w:color w:val="000000" w:themeColor="text1"/>
          <w:sz w:val="28"/>
          <w:szCs w:val="28"/>
          <w:lang w:val="en-US"/>
        </w:rPr>
        <w:t xml:space="preserve">newly </w:t>
      </w:r>
      <w:r w:rsidR="007814C7" w:rsidRPr="004F4D2E">
        <w:rPr>
          <w:rFonts w:ascii="Times New Roman" w:hAnsi="Times New Roman" w:cs="Times New Roman"/>
          <w:color w:val="000000" w:themeColor="text1"/>
          <w:spacing w:val="-2"/>
          <w:sz w:val="28"/>
          <w:szCs w:val="28"/>
          <w:lang w:val="en-US"/>
        </w:rPr>
        <w:t xml:space="preserve">established </w:t>
      </w:r>
      <w:r w:rsidR="007814C7" w:rsidRPr="004F4D2E">
        <w:rPr>
          <w:rFonts w:ascii="Times New Roman" w:hAnsi="Times New Roman" w:cs="Times New Roman"/>
          <w:color w:val="000000" w:themeColor="text1"/>
          <w:sz w:val="28"/>
          <w:szCs w:val="28"/>
          <w:lang w:val="en-US"/>
        </w:rPr>
        <w:t>and resumed operation enterprises per</w:t>
      </w:r>
      <w:r w:rsidR="007814C7" w:rsidRPr="004F4D2E">
        <w:rPr>
          <w:rFonts w:ascii="Times New Roman" w:hAnsi="Times New Roman" w:cs="Times New Roman"/>
          <w:sz w:val="28"/>
          <w:szCs w:val="28"/>
          <w:lang w:val="en-US"/>
        </w:rPr>
        <w:t xml:space="preserve"> month.</w:t>
      </w:r>
    </w:p>
    <w:p w14:paraId="20A71B79" w14:textId="0838BA2D" w:rsidR="007814C7" w:rsidRPr="004F4D2E" w:rsidRDefault="00400CD7" w:rsidP="007814C7">
      <w:pPr>
        <w:spacing w:after="0" w:line="264" w:lineRule="auto"/>
        <w:ind w:firstLine="720"/>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In the first half of</w:t>
      </w:r>
      <w:r w:rsidR="007814C7" w:rsidRPr="004F4D2E">
        <w:rPr>
          <w:rFonts w:ascii="Times New Roman" w:hAnsi="Times New Roman" w:cs="Times New Roman"/>
          <w:sz w:val="28"/>
          <w:szCs w:val="28"/>
          <w:lang w:val="en-US"/>
        </w:rPr>
        <w:t xml:space="preserve"> 2026, the number of </w:t>
      </w:r>
      <w:r w:rsidR="007814C7" w:rsidRPr="004F4D2E">
        <w:rPr>
          <w:rFonts w:ascii="Times New Roman" w:hAnsi="Times New Roman" w:cs="Times New Roman"/>
          <w:color w:val="000000" w:themeColor="text1"/>
          <w:sz w:val="28"/>
          <w:szCs w:val="28"/>
          <w:lang w:val="en-US"/>
        </w:rPr>
        <w:t xml:space="preserve">enterprises temporarily suspending </w:t>
      </w:r>
      <w:r w:rsidR="007814C7" w:rsidRPr="004F4D2E">
        <w:rPr>
          <w:rFonts w:ascii="Times New Roman" w:hAnsi="Times New Roman" w:cs="Times New Roman"/>
          <w:color w:val="000000" w:themeColor="text1"/>
          <w:spacing w:val="-2"/>
          <w:sz w:val="28"/>
          <w:szCs w:val="28"/>
          <w:lang w:val="en-US"/>
        </w:rPr>
        <w:t>for a definite time</w:t>
      </w:r>
      <w:r w:rsidR="007814C7" w:rsidRPr="004F4D2E">
        <w:rPr>
          <w:rFonts w:ascii="Times New Roman" w:hAnsi="Times New Roman" w:cs="Times New Roman"/>
          <w:sz w:val="28"/>
          <w:szCs w:val="28"/>
          <w:lang w:val="en-US"/>
        </w:rPr>
        <w:t xml:space="preserve"> was 85.9 thousand enterprises (</w:t>
      </w:r>
      <w:r w:rsidR="007814C7" w:rsidRPr="004F4D2E">
        <w:rPr>
          <w:rFonts w:ascii="Times New Roman" w:hAnsi="Times New Roman" w:cs="Times New Roman"/>
          <w:color w:val="000000" w:themeColor="text1"/>
          <w:sz w:val="28"/>
          <w:szCs w:val="28"/>
          <w:lang w:val="en-US"/>
        </w:rPr>
        <w:t>+</w:t>
      </w:r>
      <w:r w:rsidR="007814C7" w:rsidRPr="004F4D2E">
        <w:rPr>
          <w:rFonts w:ascii="Times New Roman" w:hAnsi="Times New Roman" w:cs="Times New Roman"/>
          <w:sz w:val="28"/>
          <w:szCs w:val="28"/>
          <w:lang w:val="en-US"/>
        </w:rPr>
        <w:t xml:space="preserve">6.3% YoY); nearly 41.2 </w:t>
      </w:r>
      <w:r w:rsidR="007814C7" w:rsidRPr="004F4D2E">
        <w:rPr>
          <w:rFonts w:ascii="Times New Roman" w:hAnsi="Times New Roman" w:cs="Times New Roman"/>
          <w:color w:val="000000" w:themeColor="text1"/>
          <w:sz w:val="28"/>
          <w:szCs w:val="28"/>
          <w:lang w:val="en-US"/>
        </w:rPr>
        <w:t>thousand enterprises suspended operation waiting for dissolution procedures, (+</w:t>
      </w:r>
      <w:r w:rsidR="007814C7" w:rsidRPr="004F4D2E">
        <w:rPr>
          <w:rFonts w:ascii="Times New Roman" w:hAnsi="Times New Roman" w:cs="Times New Roman"/>
          <w:sz w:val="28"/>
          <w:szCs w:val="28"/>
          <w:lang w:val="en-US"/>
        </w:rPr>
        <w:t>21.0% YoY); and nearly 24</w:t>
      </w:r>
      <w:r w:rsidR="007814C7" w:rsidRPr="004F4D2E">
        <w:rPr>
          <w:rFonts w:ascii="Times New Roman" w:hAnsi="Times New Roman" w:cs="Times New Roman"/>
          <w:color w:val="000000" w:themeColor="text1"/>
          <w:sz w:val="28"/>
          <w:szCs w:val="28"/>
          <w:lang w:val="en-US"/>
        </w:rPr>
        <w:t xml:space="preserve"> thousand enterprises completed procedures for dissolution, (+</w:t>
      </w:r>
      <w:r w:rsidR="007814C7" w:rsidRPr="004F4D2E">
        <w:rPr>
          <w:rFonts w:ascii="Times New Roman" w:hAnsi="Times New Roman" w:cs="Times New Roman"/>
          <w:sz w:val="28"/>
          <w:szCs w:val="28"/>
          <w:lang w:val="en-US"/>
        </w:rPr>
        <w:t xml:space="preserve">94.7% YoY). On average, 25.2 </w:t>
      </w:r>
      <w:r w:rsidR="007814C7" w:rsidRPr="004F4D2E">
        <w:rPr>
          <w:rFonts w:ascii="Times New Roman" w:hAnsi="Times New Roman" w:cs="Times New Roman"/>
          <w:color w:val="000000" w:themeColor="text1"/>
          <w:sz w:val="28"/>
          <w:szCs w:val="28"/>
          <w:lang w:val="en-US"/>
        </w:rPr>
        <w:t xml:space="preserve">thousand enterprises </w:t>
      </w:r>
      <w:r w:rsidR="007814C7" w:rsidRPr="004F4D2E">
        <w:rPr>
          <w:rFonts w:ascii="Times New Roman" w:hAnsi="Times New Roman" w:cs="Times New Roman"/>
          <w:sz w:val="28"/>
          <w:szCs w:val="28"/>
          <w:lang w:val="en-US"/>
        </w:rPr>
        <w:t>withdrew from the market each month.</w:t>
      </w:r>
    </w:p>
    <w:p w14:paraId="45D5A6AF" w14:textId="77777777" w:rsidR="007814C7" w:rsidRPr="004F4D2E" w:rsidRDefault="007814C7" w:rsidP="007814C7">
      <w:pPr>
        <w:spacing w:beforeLines="40" w:before="96" w:afterLines="40" w:after="96" w:line="264" w:lineRule="auto"/>
        <w:ind w:firstLine="567"/>
        <w:jc w:val="both"/>
        <w:rPr>
          <w:rFonts w:ascii="Times New Roman" w:hAnsi="Times New Roman" w:cs="Times New Roman"/>
          <w:b/>
          <w:i/>
          <w:color w:val="000000" w:themeColor="text1"/>
          <w:sz w:val="28"/>
          <w:szCs w:val="28"/>
          <w:lang w:val="en-US"/>
        </w:rPr>
      </w:pPr>
      <w:r w:rsidRPr="004F4D2E">
        <w:rPr>
          <w:rFonts w:ascii="Times New Roman" w:hAnsi="Times New Roman" w:cs="Times New Roman"/>
          <w:b/>
          <w:i/>
          <w:color w:val="000000" w:themeColor="text1"/>
          <w:sz w:val="28"/>
          <w:szCs w:val="28"/>
          <w:lang w:val="en-US"/>
        </w:rPr>
        <w:t xml:space="preserve">   b) </w:t>
      </w:r>
      <w:r w:rsidRPr="004F4D2E">
        <w:rPr>
          <w:rFonts w:ascii="Times New Roman" w:hAnsi="Times New Roman" w:cs="Times New Roman"/>
          <w:b/>
          <w:i/>
          <w:sz w:val="28"/>
          <w:szCs w:val="28"/>
          <w:lang w:val="en-US"/>
        </w:rPr>
        <w:t>Business trends of the enterprise</w:t>
      </w:r>
    </w:p>
    <w:p w14:paraId="30684F9E" w14:textId="77777777" w:rsidR="007814C7" w:rsidRPr="004F4D2E" w:rsidRDefault="007814C7" w:rsidP="007814C7">
      <w:pPr>
        <w:spacing w:beforeLines="40" w:before="96" w:afterLines="40" w:after="96" w:line="264" w:lineRule="auto"/>
        <w:ind w:firstLine="567"/>
        <w:jc w:val="both"/>
        <w:rPr>
          <w:rFonts w:ascii="Times New Roman" w:hAnsi="Times New Roman" w:cs="Times New Roman"/>
          <w:color w:val="000000" w:themeColor="text1"/>
          <w:spacing w:val="-2"/>
          <w:sz w:val="28"/>
          <w:szCs w:val="28"/>
          <w:lang w:val="en-US"/>
        </w:rPr>
      </w:pPr>
      <w:r w:rsidRPr="004F4D2E">
        <w:rPr>
          <w:rFonts w:ascii="Times New Roman" w:hAnsi="Times New Roman" w:cs="Times New Roman"/>
          <w:color w:val="000000" w:themeColor="text1"/>
          <w:spacing w:val="-2"/>
          <w:sz w:val="28"/>
          <w:szCs w:val="28"/>
          <w:lang w:val="en-US"/>
        </w:rPr>
        <w:t xml:space="preserve">The results of the business tendency survey of enterprises in the manufacturing in Q2 2026 showed that: </w:t>
      </w:r>
      <w:r w:rsidRPr="004F4D2E">
        <w:rPr>
          <w:rFonts w:ascii="Times New Roman" w:hAnsi="Times New Roman" w:cs="Times New Roman"/>
          <w:spacing w:val="-2"/>
          <w:sz w:val="28"/>
          <w:szCs w:val="28"/>
          <w:lang w:val="en-US"/>
        </w:rPr>
        <w:t xml:space="preserve">36.3% of enterprises assessed </w:t>
      </w:r>
      <w:r w:rsidRPr="004F4D2E">
        <w:rPr>
          <w:rFonts w:ascii="Times New Roman" w:hAnsi="Times New Roman" w:cs="Times New Roman"/>
          <w:color w:val="000000" w:themeColor="text1"/>
          <w:sz w:val="28"/>
          <w:szCs w:val="28"/>
          <w:lang w:val="en-US"/>
        </w:rPr>
        <w:t>that their</w:t>
      </w:r>
      <w:r w:rsidRPr="004F4D2E">
        <w:rPr>
          <w:rFonts w:ascii="Times New Roman" w:hAnsi="Times New Roman" w:cs="Times New Roman"/>
          <w:spacing w:val="-2"/>
          <w:sz w:val="28"/>
          <w:szCs w:val="28"/>
          <w:lang w:val="en-US"/>
        </w:rPr>
        <w:t xml:space="preserve"> business performance</w:t>
      </w:r>
      <w:r w:rsidRPr="004F4D2E" w:rsidDel="002A7F5D">
        <w:rPr>
          <w:rFonts w:ascii="Times New Roman" w:hAnsi="Times New Roman" w:cs="Times New Roman"/>
          <w:spacing w:val="-2"/>
          <w:sz w:val="28"/>
          <w:szCs w:val="28"/>
          <w:lang w:val="en-US"/>
        </w:rPr>
        <w:t xml:space="preserve"> </w:t>
      </w:r>
      <w:r w:rsidRPr="004F4D2E">
        <w:rPr>
          <w:rFonts w:ascii="Times New Roman" w:hAnsi="Times New Roman" w:cs="Times New Roman"/>
          <w:spacing w:val="-2"/>
          <w:sz w:val="28"/>
          <w:szCs w:val="28"/>
          <w:lang w:val="en-US"/>
        </w:rPr>
        <w:t xml:space="preserve">was better than in Q1 2026; 43.4% of enterprises </w:t>
      </w:r>
      <w:r w:rsidRPr="004F4D2E">
        <w:rPr>
          <w:rFonts w:ascii="Times New Roman" w:hAnsi="Times New Roman" w:cs="Times New Roman"/>
          <w:color w:val="000000" w:themeColor="text1"/>
          <w:sz w:val="28"/>
          <w:szCs w:val="28"/>
          <w:lang w:val="en-US"/>
        </w:rPr>
        <w:t xml:space="preserve">said that the </w:t>
      </w:r>
      <w:r w:rsidRPr="004F4D2E">
        <w:rPr>
          <w:rFonts w:ascii="Times New Roman" w:hAnsi="Times New Roman" w:cs="Times New Roman"/>
          <w:spacing w:val="-2"/>
          <w:sz w:val="28"/>
          <w:szCs w:val="28"/>
          <w:lang w:val="en-US"/>
        </w:rPr>
        <w:t>business performance</w:t>
      </w:r>
      <w:r w:rsidRPr="004F4D2E" w:rsidDel="002A7F5D">
        <w:rPr>
          <w:rFonts w:ascii="Times New Roman" w:hAnsi="Times New Roman" w:cs="Times New Roman"/>
          <w:spacing w:val="-2"/>
          <w:sz w:val="28"/>
          <w:szCs w:val="28"/>
          <w:lang w:val="en-US"/>
        </w:rPr>
        <w:t xml:space="preserve"> </w:t>
      </w:r>
      <w:r w:rsidRPr="004F4D2E">
        <w:rPr>
          <w:rFonts w:ascii="Times New Roman" w:hAnsi="Times New Roman" w:cs="Times New Roman"/>
          <w:color w:val="000000" w:themeColor="text1"/>
          <w:sz w:val="28"/>
          <w:szCs w:val="28"/>
          <w:lang w:val="en-US"/>
        </w:rPr>
        <w:t>was stable</w:t>
      </w:r>
      <w:r w:rsidRPr="004F4D2E">
        <w:rPr>
          <w:rFonts w:ascii="Times New Roman" w:hAnsi="Times New Roman" w:cs="Times New Roman"/>
          <w:spacing w:val="-2"/>
          <w:sz w:val="28"/>
          <w:szCs w:val="28"/>
          <w:lang w:val="en-US"/>
        </w:rPr>
        <w:t>, and 20.3% of enterprises faced difficulties</w:t>
      </w:r>
      <w:r w:rsidRPr="004F4D2E">
        <w:rPr>
          <w:rFonts w:ascii="Times New Roman" w:hAnsi="Times New Roman" w:cs="Times New Roman"/>
          <w:color w:val="000000" w:themeColor="text1"/>
          <w:spacing w:val="-2"/>
          <w:sz w:val="28"/>
          <w:szCs w:val="28"/>
          <w:vertAlign w:val="superscript"/>
          <w:lang w:val="en-US"/>
        </w:rPr>
        <w:footnoteReference w:id="14"/>
      </w:r>
      <w:r w:rsidRPr="004F4D2E">
        <w:rPr>
          <w:rFonts w:ascii="Times New Roman" w:hAnsi="Times New Roman" w:cs="Times New Roman"/>
          <w:color w:val="000000" w:themeColor="text1"/>
          <w:spacing w:val="-2"/>
          <w:sz w:val="28"/>
          <w:szCs w:val="28"/>
          <w:lang w:val="en-US"/>
        </w:rPr>
        <w:t xml:space="preserve">. </w:t>
      </w:r>
      <w:r w:rsidRPr="004F4D2E">
        <w:rPr>
          <w:rFonts w:ascii="Times New Roman" w:hAnsi="Times New Roman" w:cs="Times New Roman"/>
          <w:color w:val="000000" w:themeColor="text1"/>
          <w:sz w:val="28"/>
          <w:szCs w:val="28"/>
          <w:lang w:val="en-US"/>
        </w:rPr>
        <w:t>It is expected that in</w:t>
      </w:r>
      <w:r w:rsidRPr="004F4D2E">
        <w:rPr>
          <w:rFonts w:ascii="Times New Roman" w:hAnsi="Times New Roman" w:cs="Times New Roman"/>
          <w:spacing w:val="-2"/>
          <w:sz w:val="28"/>
          <w:szCs w:val="28"/>
          <w:lang w:val="en-US"/>
        </w:rPr>
        <w:t xml:space="preserve"> Q3 2026, 39.4% of enterprises </w:t>
      </w:r>
      <w:r w:rsidRPr="004F4D2E">
        <w:rPr>
          <w:rFonts w:ascii="Times New Roman" w:hAnsi="Times New Roman" w:cs="Times New Roman"/>
          <w:color w:val="000000" w:themeColor="text1"/>
          <w:sz w:val="28"/>
          <w:szCs w:val="28"/>
          <w:lang w:val="en-US"/>
        </w:rPr>
        <w:t xml:space="preserve">presented that the tendency would get better than </w:t>
      </w:r>
      <w:r w:rsidRPr="004F4D2E">
        <w:rPr>
          <w:rFonts w:ascii="Times New Roman" w:hAnsi="Times New Roman" w:cs="Times New Roman"/>
          <w:spacing w:val="-2"/>
          <w:sz w:val="28"/>
          <w:szCs w:val="28"/>
          <w:lang w:val="en-US"/>
        </w:rPr>
        <w:t>that in Q2 2026; 44.0% of enterprises believed the business performance</w:t>
      </w:r>
      <w:r w:rsidRPr="004F4D2E" w:rsidDel="002A7F5D">
        <w:rPr>
          <w:rFonts w:ascii="Times New Roman" w:hAnsi="Times New Roman" w:cs="Times New Roman"/>
          <w:spacing w:val="-2"/>
          <w:sz w:val="28"/>
          <w:szCs w:val="28"/>
          <w:lang w:val="en-US"/>
        </w:rPr>
        <w:t xml:space="preserve"> </w:t>
      </w:r>
      <w:r w:rsidRPr="004F4D2E">
        <w:rPr>
          <w:rFonts w:ascii="Times New Roman" w:hAnsi="Times New Roman" w:cs="Times New Roman"/>
          <w:spacing w:val="-2"/>
          <w:sz w:val="28"/>
          <w:szCs w:val="28"/>
          <w:lang w:val="en-US"/>
        </w:rPr>
        <w:t xml:space="preserve">would be stable, and 16.6% of enterprises predicted </w:t>
      </w:r>
      <w:r w:rsidRPr="004F4D2E">
        <w:rPr>
          <w:rFonts w:ascii="Times New Roman" w:hAnsi="Times New Roman" w:cs="Times New Roman"/>
          <w:color w:val="000000" w:themeColor="text1"/>
          <w:sz w:val="28"/>
          <w:szCs w:val="28"/>
          <w:lang w:val="en-US"/>
        </w:rPr>
        <w:t>that it would be more difficult</w:t>
      </w:r>
      <w:r w:rsidRPr="004F4D2E">
        <w:rPr>
          <w:rFonts w:ascii="Times New Roman" w:hAnsi="Times New Roman" w:cs="Times New Roman"/>
          <w:color w:val="000000" w:themeColor="text1"/>
          <w:spacing w:val="-2"/>
          <w:sz w:val="28"/>
          <w:szCs w:val="28"/>
          <w:lang w:val="en-US"/>
        </w:rPr>
        <w:t>.</w:t>
      </w:r>
    </w:p>
    <w:p w14:paraId="724D31DE" w14:textId="52CAF925" w:rsidR="00400CD7" w:rsidRDefault="00AB6596" w:rsidP="00400CD7">
      <w:pPr>
        <w:spacing w:after="0" w:line="264" w:lineRule="auto"/>
        <w:ind w:firstLine="720"/>
        <w:jc w:val="both"/>
        <w:rPr>
          <w:rFonts w:ascii="Times New Roman" w:hAnsi="Times New Roman" w:cs="Times New Roman"/>
          <w:b/>
          <w:i/>
          <w:color w:val="000000" w:themeColor="text1"/>
          <w:sz w:val="28"/>
          <w:szCs w:val="28"/>
          <w:lang w:val="en-US"/>
        </w:rPr>
      </w:pPr>
      <w:r w:rsidRPr="004F4D2E">
        <w:rPr>
          <w:rFonts w:ascii="Times New Roman" w:hAnsi="Times New Roman" w:cs="Times New Roman"/>
          <w:b/>
          <w:i/>
          <w:color w:val="000000" w:themeColor="text1"/>
          <w:sz w:val="28"/>
          <w:szCs w:val="28"/>
          <w:lang w:val="en-US"/>
        </w:rPr>
        <w:t>5. Trade, transp</w:t>
      </w:r>
      <w:r w:rsidR="00400CD7">
        <w:rPr>
          <w:rFonts w:ascii="Times New Roman" w:hAnsi="Times New Roman" w:cs="Times New Roman"/>
          <w:b/>
          <w:i/>
          <w:color w:val="000000" w:themeColor="text1"/>
          <w:sz w:val="28"/>
          <w:szCs w:val="28"/>
          <w:lang w:val="en-US"/>
        </w:rPr>
        <w:t>ort and tourism activities in the first half of</w:t>
      </w:r>
      <w:r w:rsidRPr="004F4D2E">
        <w:rPr>
          <w:rFonts w:ascii="Times New Roman" w:hAnsi="Times New Roman" w:cs="Times New Roman"/>
          <w:b/>
          <w:i/>
          <w:color w:val="000000" w:themeColor="text1"/>
          <w:sz w:val="28"/>
          <w:szCs w:val="28"/>
          <w:lang w:val="en-US"/>
        </w:rPr>
        <w:t xml:space="preserve"> 2026 maintained relatively solid growth compared to the same period last year; favorable visa policies, intensified tourism promotion and marketing programmes, along with the diversification of tourism products and expansion of international visitor marke</w:t>
      </w:r>
      <w:r w:rsidR="00400CD7">
        <w:rPr>
          <w:rFonts w:ascii="Times New Roman" w:hAnsi="Times New Roman" w:cs="Times New Roman"/>
          <w:b/>
          <w:i/>
          <w:color w:val="000000" w:themeColor="text1"/>
          <w:sz w:val="28"/>
          <w:szCs w:val="28"/>
          <w:lang w:val="en-US"/>
        </w:rPr>
        <w:t>ts, continued to attract increasing</w:t>
      </w:r>
      <w:r w:rsidRPr="004F4D2E">
        <w:rPr>
          <w:rFonts w:ascii="Times New Roman" w:hAnsi="Times New Roman" w:cs="Times New Roman"/>
          <w:b/>
          <w:i/>
          <w:color w:val="000000" w:themeColor="text1"/>
          <w:sz w:val="28"/>
          <w:szCs w:val="28"/>
          <w:lang w:val="en-US"/>
        </w:rPr>
        <w:t xml:space="preserve"> numbers of international visitors to</w:t>
      </w:r>
      <w:r w:rsidR="00400CD7" w:rsidRPr="00400CD7">
        <w:rPr>
          <w:rFonts w:ascii="Times New Roman" w:hAnsi="Times New Roman" w:cs="Times New Roman"/>
          <w:b/>
          <w:i/>
          <w:color w:val="000000" w:themeColor="text1"/>
          <w:sz w:val="28"/>
          <w:szCs w:val="28"/>
          <w:lang w:val="en-US"/>
        </w:rPr>
        <w:t xml:space="preserve"> </w:t>
      </w:r>
      <w:r w:rsidR="00400CD7" w:rsidRPr="004F4D2E">
        <w:rPr>
          <w:rFonts w:ascii="Times New Roman" w:hAnsi="Times New Roman" w:cs="Times New Roman"/>
          <w:b/>
          <w:i/>
          <w:color w:val="000000" w:themeColor="text1"/>
          <w:sz w:val="28"/>
          <w:szCs w:val="28"/>
          <w:lang w:val="en-US"/>
        </w:rPr>
        <w:t>Viet Nam YoY</w:t>
      </w:r>
      <w:r w:rsidR="00400CD7">
        <w:rPr>
          <w:rFonts w:ascii="Times New Roman" w:hAnsi="Times New Roman" w:cs="Times New Roman"/>
          <w:b/>
          <w:i/>
          <w:color w:val="000000" w:themeColor="text1"/>
          <w:sz w:val="28"/>
          <w:szCs w:val="28"/>
          <w:lang w:val="en-US"/>
        </w:rPr>
        <w:t>.</w:t>
      </w:r>
    </w:p>
    <w:p w14:paraId="489B4C73" w14:textId="4FEA8D96" w:rsidR="00AB6596" w:rsidRPr="00400CD7" w:rsidRDefault="00400CD7" w:rsidP="00400CD7">
      <w:pPr>
        <w:spacing w:after="0" w:line="264" w:lineRule="auto"/>
        <w:ind w:firstLine="720"/>
        <w:jc w:val="both"/>
        <w:rPr>
          <w:rFonts w:ascii="Times New Roman" w:hAnsi="Times New Roman" w:cs="Times New Roman"/>
          <w:b/>
          <w:i/>
          <w:color w:val="000000" w:themeColor="text1"/>
          <w:sz w:val="28"/>
          <w:szCs w:val="28"/>
          <w:lang w:val="en-US"/>
        </w:rPr>
      </w:pPr>
      <w:r>
        <w:rPr>
          <w:rFonts w:ascii="Times New Roman" w:hAnsi="Times New Roman" w:cs="Times New Roman"/>
          <w:b/>
          <w:i/>
          <w:color w:val="000000" w:themeColor="text1"/>
          <w:sz w:val="28"/>
          <w:szCs w:val="28"/>
          <w:lang w:val="en-US"/>
        </w:rPr>
        <w:t xml:space="preserve"> </w:t>
      </w:r>
    </w:p>
    <w:p w14:paraId="08D0BF1B" w14:textId="77777777" w:rsidR="00AB6596" w:rsidRPr="004F4D2E" w:rsidRDefault="00AB6596" w:rsidP="00AB6596">
      <w:pPr>
        <w:pStyle w:val="ListParagraph"/>
        <w:tabs>
          <w:tab w:val="left" w:pos="567"/>
        </w:tabs>
        <w:spacing w:after="0" w:line="264" w:lineRule="auto"/>
        <w:ind w:left="0" w:firstLine="562"/>
        <w:jc w:val="both"/>
        <w:rPr>
          <w:rFonts w:ascii="Times New Roman" w:hAnsi="Times New Roman" w:cs="Times New Roman"/>
          <w:bCs/>
          <w:color w:val="000000" w:themeColor="text1"/>
          <w:sz w:val="28"/>
          <w:szCs w:val="28"/>
          <w:lang w:val="en-US" w:eastAsia="en-GB"/>
        </w:rPr>
      </w:pPr>
      <w:r w:rsidRPr="004F4D2E">
        <w:rPr>
          <w:rFonts w:ascii="Times New Roman" w:hAnsi="Times New Roman" w:cs="Times New Roman"/>
          <w:bCs/>
          <w:iCs/>
          <w:sz w:val="28"/>
          <w:szCs w:val="28"/>
          <w:lang w:val="en-US"/>
        </w:rPr>
        <w:t>For Q2 2026, the retail sales of goods and services at current prices increasing by</w:t>
      </w:r>
      <w:r w:rsidRPr="004F4D2E">
        <w:rPr>
          <w:rFonts w:ascii="Times New Roman" w:hAnsi="Times New Roman" w:cs="Times New Roman"/>
          <w:iCs/>
          <w:color w:val="000000" w:themeColor="text1"/>
          <w:sz w:val="28"/>
          <w:szCs w:val="28"/>
          <w:lang w:val="en-US"/>
        </w:rPr>
        <w:t xml:space="preserve"> 13.9%</w:t>
      </w:r>
      <w:r w:rsidRPr="004F4D2E">
        <w:rPr>
          <w:rFonts w:ascii="Times New Roman" w:hAnsi="Times New Roman" w:cs="Times New Roman"/>
          <w:bCs/>
          <w:color w:val="000000" w:themeColor="text1"/>
          <w:sz w:val="28"/>
          <w:szCs w:val="28"/>
          <w:lang w:val="en-US"/>
        </w:rPr>
        <w:t xml:space="preserve"> </w:t>
      </w:r>
      <w:r w:rsidRPr="004F4D2E">
        <w:rPr>
          <w:rFonts w:ascii="Times New Roman" w:hAnsi="Times New Roman" w:cs="Times New Roman"/>
          <w:color w:val="000000" w:themeColor="text1"/>
          <w:sz w:val="28"/>
          <w:szCs w:val="28"/>
          <w:lang w:val="en-US"/>
        </w:rPr>
        <w:t xml:space="preserve">YoY; </w:t>
      </w:r>
      <w:r w:rsidRPr="004F4D2E">
        <w:rPr>
          <w:rFonts w:ascii="Times New Roman" w:hAnsi="Times New Roman" w:cs="Times New Roman"/>
          <w:iCs/>
          <w:sz w:val="28"/>
          <w:szCs w:val="28"/>
          <w:lang w:val="en-US"/>
        </w:rPr>
        <w:t>passenger carried</w:t>
      </w:r>
      <w:r w:rsidRPr="004F4D2E">
        <w:rPr>
          <w:rFonts w:ascii="Times New Roman" w:hAnsi="Times New Roman" w:cs="Times New Roman"/>
          <w:iCs/>
          <w:color w:val="000000" w:themeColor="text1"/>
          <w:sz w:val="28"/>
          <w:szCs w:val="28"/>
          <w:lang w:val="en-US"/>
        </w:rPr>
        <w:t xml:space="preserve"> </w:t>
      </w:r>
      <w:r w:rsidRPr="004F4D2E">
        <w:rPr>
          <w:rFonts w:ascii="Times New Roman" w:hAnsi="Times New Roman" w:cs="Times New Roman"/>
          <w:color w:val="000000" w:themeColor="text1"/>
          <w:sz w:val="28"/>
          <w:szCs w:val="28"/>
          <w:lang w:val="en-US"/>
        </w:rPr>
        <w:t>rose by 23.2% in volume and by 12.6% in passenger-kilometers; freight carried grew by 12.1% in volume and by 9.9% in ton-kilometers; international visitors to Viet Nam</w:t>
      </w:r>
      <w:r w:rsidRPr="004F4D2E">
        <w:rPr>
          <w:rStyle w:val="FootnoteReference"/>
          <w:rFonts w:ascii="Times New Roman" w:eastAsia="Calibri" w:hAnsi="Times New Roman"/>
          <w:bCs/>
          <w:iCs/>
          <w:color w:val="000000" w:themeColor="text1"/>
          <w:sz w:val="28"/>
          <w:szCs w:val="28"/>
          <w:lang w:val="en-US"/>
        </w:rPr>
        <w:footnoteReference w:id="15"/>
      </w:r>
      <w:r w:rsidRPr="004F4D2E">
        <w:rPr>
          <w:rFonts w:ascii="Times New Roman" w:hAnsi="Times New Roman" w:cs="Times New Roman"/>
          <w:bCs/>
          <w:color w:val="000000" w:themeColor="text1"/>
          <w:sz w:val="28"/>
          <w:szCs w:val="28"/>
          <w:lang w:val="en-US" w:eastAsia="en-GB"/>
        </w:rPr>
        <w:t xml:space="preserve"> </w:t>
      </w:r>
      <w:r w:rsidRPr="004F4D2E">
        <w:rPr>
          <w:rFonts w:ascii="Times New Roman" w:hAnsi="Times New Roman" w:cs="Times New Roman"/>
          <w:iCs/>
          <w:color w:val="000000" w:themeColor="text1"/>
          <w:sz w:val="28"/>
          <w:szCs w:val="28"/>
          <w:lang w:val="en-US"/>
        </w:rPr>
        <w:t>were estimated at 5.49 million arrivals</w:t>
      </w:r>
      <w:r w:rsidRPr="004F4D2E">
        <w:rPr>
          <w:rFonts w:ascii="Times New Roman" w:hAnsi="Times New Roman" w:cs="Times New Roman"/>
          <w:iCs/>
          <w:color w:val="000000" w:themeColor="text1"/>
          <w:sz w:val="28"/>
          <w:szCs w:val="28"/>
          <w:vertAlign w:val="superscript"/>
          <w:lang w:val="en-US"/>
        </w:rPr>
        <w:footnoteReference w:id="16"/>
      </w:r>
      <w:r w:rsidRPr="004F4D2E">
        <w:rPr>
          <w:rFonts w:ascii="Times New Roman" w:hAnsi="Times New Roman" w:cs="Times New Roman"/>
          <w:iCs/>
          <w:color w:val="000000" w:themeColor="text1"/>
          <w:sz w:val="28"/>
          <w:szCs w:val="28"/>
          <w:lang w:val="en-US"/>
        </w:rPr>
        <w:t>, rising by 18.2% YoY.</w:t>
      </w:r>
      <w:r w:rsidRPr="004F4D2E">
        <w:rPr>
          <w:rFonts w:ascii="Times New Roman" w:hAnsi="Times New Roman" w:cs="Times New Roman"/>
          <w:bCs/>
          <w:color w:val="000000" w:themeColor="text1"/>
          <w:sz w:val="28"/>
          <w:szCs w:val="28"/>
          <w:lang w:val="en-US" w:eastAsia="en-GB"/>
        </w:rPr>
        <w:t xml:space="preserve"> </w:t>
      </w:r>
    </w:p>
    <w:p w14:paraId="4B4034CB" w14:textId="553AA45F" w:rsidR="00AB6596" w:rsidRPr="004F4D2E" w:rsidRDefault="00400CD7" w:rsidP="00AB6596">
      <w:pPr>
        <w:spacing w:after="0" w:line="264" w:lineRule="auto"/>
        <w:ind w:firstLine="562"/>
        <w:jc w:val="both"/>
        <w:rPr>
          <w:rFonts w:ascii="Times New Roman" w:hAnsi="Times New Roman" w:cs="Times New Roman"/>
          <w:iCs/>
          <w:color w:val="000000" w:themeColor="text1"/>
          <w:sz w:val="28"/>
          <w:szCs w:val="28"/>
          <w:lang w:val="en-US"/>
        </w:rPr>
      </w:pPr>
      <w:r>
        <w:rPr>
          <w:rFonts w:ascii="Times New Roman" w:hAnsi="Times New Roman" w:cs="Times New Roman"/>
          <w:iCs/>
          <w:sz w:val="28"/>
          <w:szCs w:val="28"/>
          <w:lang w:val="en-US"/>
        </w:rPr>
        <w:lastRenderedPageBreak/>
        <w:t>Generally, in the first half of</w:t>
      </w:r>
      <w:r w:rsidR="00AB6596" w:rsidRPr="004F4D2E">
        <w:rPr>
          <w:rFonts w:ascii="Times New Roman" w:hAnsi="Times New Roman" w:cs="Times New Roman"/>
          <w:iCs/>
          <w:sz w:val="28"/>
          <w:szCs w:val="28"/>
          <w:lang w:val="en-US"/>
        </w:rPr>
        <w:t xml:space="preserve"> 2026, the retail sales of goods and services at current prices reached an estimated 3,889.5 trillion VND, up 12.9% YoY, or up 7.3% in real terms after excluding price factors (compared to 7.4% in 2025)</w:t>
      </w:r>
      <w:r w:rsidR="00AB6596" w:rsidRPr="004F4D2E">
        <w:rPr>
          <w:rFonts w:ascii="Times New Roman" w:hAnsi="Times New Roman" w:cs="Times New Roman"/>
          <w:iCs/>
          <w:color w:val="000000" w:themeColor="text1"/>
          <w:sz w:val="28"/>
          <w:szCs w:val="28"/>
          <w:lang w:val="en-US"/>
        </w:rPr>
        <w:t>.</w:t>
      </w:r>
    </w:p>
    <w:p w14:paraId="79361C3F" w14:textId="77777777" w:rsidR="00AB6596" w:rsidRPr="004F4D2E" w:rsidRDefault="00AB6596" w:rsidP="00AB6596">
      <w:pPr>
        <w:spacing w:after="0" w:line="269" w:lineRule="auto"/>
        <w:jc w:val="center"/>
        <w:rPr>
          <w:rFonts w:ascii="Arial" w:hAnsi="Arial" w:cs="Arial"/>
          <w:b/>
          <w:bCs/>
          <w:color w:val="000000" w:themeColor="text1"/>
          <w:spacing w:val="-6"/>
          <w:sz w:val="24"/>
          <w:szCs w:val="24"/>
          <w:lang w:val="en-US"/>
        </w:rPr>
      </w:pPr>
      <w:r w:rsidRPr="004F4D2E">
        <w:rPr>
          <w:rFonts w:ascii="Arial" w:hAnsi="Arial" w:cs="Arial"/>
          <w:b/>
          <w:bCs/>
          <w:spacing w:val="-6"/>
          <w:sz w:val="24"/>
          <w:szCs w:val="26"/>
          <w:lang w:val="en-US"/>
        </w:rPr>
        <w:t>Retail sales of consumer goods and services at current prices</w:t>
      </w:r>
    </w:p>
    <w:p w14:paraId="2BE68830" w14:textId="77777777" w:rsidR="00AB6596" w:rsidRPr="004F4D2E" w:rsidRDefault="00AB6596" w:rsidP="00AB6596">
      <w:pPr>
        <w:tabs>
          <w:tab w:val="left" w:pos="2835"/>
        </w:tabs>
        <w:spacing w:beforeLines="40" w:before="96" w:afterLines="40" w:after="96" w:line="269" w:lineRule="auto"/>
        <w:ind w:firstLine="561"/>
        <w:jc w:val="right"/>
        <w:rPr>
          <w:rFonts w:ascii="Arial" w:hAnsi="Arial" w:cs="Arial"/>
          <w:b/>
          <w:bCs/>
          <w:i/>
          <w:color w:val="000000" w:themeColor="text1"/>
          <w:spacing w:val="-6"/>
          <w:sz w:val="20"/>
          <w:szCs w:val="20"/>
          <w:lang w:val="en-US"/>
        </w:rPr>
      </w:pPr>
      <w:r w:rsidRPr="004F4D2E">
        <w:rPr>
          <w:rFonts w:ascii="Arial" w:hAnsi="Arial" w:cs="Arial"/>
          <w:b/>
          <w:i/>
          <w:spacing w:val="-6"/>
          <w:sz w:val="20"/>
          <w:szCs w:val="20"/>
          <w:lang w:val="en-US"/>
        </w:rPr>
        <w:t>Trillion VND</w:t>
      </w:r>
    </w:p>
    <w:tbl>
      <w:tblPr>
        <w:tblStyle w:val="TableGrid2"/>
        <w:tblW w:w="9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4"/>
        <w:gridCol w:w="995"/>
        <w:gridCol w:w="995"/>
        <w:gridCol w:w="1130"/>
        <w:gridCol w:w="1128"/>
        <w:gridCol w:w="1129"/>
        <w:gridCol w:w="1133"/>
      </w:tblGrid>
      <w:tr w:rsidR="00AB6596" w:rsidRPr="004F4D2E" w14:paraId="43088DA2" w14:textId="77777777" w:rsidTr="005A172F">
        <w:trPr>
          <w:trHeight w:val="582"/>
        </w:trPr>
        <w:tc>
          <w:tcPr>
            <w:tcW w:w="2544" w:type="dxa"/>
            <w:vMerge w:val="restart"/>
            <w:tcBorders>
              <w:top w:val="single" w:sz="4" w:space="0" w:color="auto"/>
            </w:tcBorders>
            <w:vAlign w:val="center"/>
          </w:tcPr>
          <w:p w14:paraId="4603511C" w14:textId="77777777" w:rsidR="00AB6596" w:rsidRPr="004F4D2E" w:rsidRDefault="00AB6596" w:rsidP="005A172F">
            <w:pPr>
              <w:jc w:val="both"/>
              <w:rPr>
                <w:rFonts w:ascii="Arial" w:hAnsi="Arial" w:cs="Arial"/>
                <w:bCs/>
                <w:sz w:val="20"/>
                <w:szCs w:val="20"/>
                <w:lang w:val="en-US"/>
              </w:rPr>
            </w:pPr>
          </w:p>
        </w:tc>
        <w:tc>
          <w:tcPr>
            <w:tcW w:w="995" w:type="dxa"/>
            <w:vMerge w:val="restart"/>
            <w:tcBorders>
              <w:top w:val="single" w:sz="4" w:space="0" w:color="auto"/>
            </w:tcBorders>
            <w:vAlign w:val="center"/>
          </w:tcPr>
          <w:p w14:paraId="084B7771" w14:textId="77777777" w:rsidR="00AB6596" w:rsidRPr="004F4D2E" w:rsidRDefault="00AB6596" w:rsidP="005A172F">
            <w:pPr>
              <w:spacing w:before="60" w:after="60"/>
              <w:jc w:val="center"/>
              <w:rPr>
                <w:rFonts w:ascii="Arial" w:hAnsi="Arial" w:cs="Arial"/>
                <w:bCs/>
                <w:sz w:val="20"/>
                <w:szCs w:val="20"/>
                <w:lang w:val="en-US"/>
              </w:rPr>
            </w:pPr>
            <w:r w:rsidRPr="004F4D2E">
              <w:rPr>
                <w:rFonts w:ascii="Arial" w:hAnsi="Arial" w:cs="Arial"/>
                <w:bCs/>
                <w:sz w:val="20"/>
                <w:szCs w:val="20"/>
                <w:lang w:val="en-US"/>
              </w:rPr>
              <w:t>Estimate</w:t>
            </w:r>
          </w:p>
          <w:p w14:paraId="5231DC7A" w14:textId="77777777" w:rsidR="00AB6596" w:rsidRPr="004F4D2E" w:rsidRDefault="00AB6596" w:rsidP="005A172F">
            <w:pPr>
              <w:spacing w:before="60" w:after="60"/>
              <w:jc w:val="center"/>
              <w:rPr>
                <w:rFonts w:ascii="Arial" w:hAnsi="Arial" w:cs="Arial"/>
                <w:bCs/>
                <w:sz w:val="20"/>
                <w:szCs w:val="20"/>
                <w:lang w:val="en-US"/>
              </w:rPr>
            </w:pPr>
            <w:r w:rsidRPr="004F4D2E">
              <w:rPr>
                <w:rFonts w:ascii="Arial" w:hAnsi="Arial" w:cs="Arial"/>
                <w:bCs/>
                <w:sz w:val="20"/>
                <w:szCs w:val="20"/>
                <w:lang w:val="en-US"/>
              </w:rPr>
              <w:t xml:space="preserve">for June </w:t>
            </w:r>
            <w:r w:rsidRPr="004F4D2E">
              <w:rPr>
                <w:rFonts w:ascii="Arial" w:hAnsi="Arial" w:cs="Arial"/>
                <w:bCs/>
                <w:sz w:val="20"/>
                <w:szCs w:val="20"/>
                <w:lang w:val="en-US"/>
              </w:rPr>
              <w:br/>
              <w:t>2026</w:t>
            </w:r>
          </w:p>
        </w:tc>
        <w:tc>
          <w:tcPr>
            <w:tcW w:w="995" w:type="dxa"/>
            <w:vMerge w:val="restart"/>
            <w:tcBorders>
              <w:top w:val="single" w:sz="4" w:space="0" w:color="auto"/>
            </w:tcBorders>
            <w:vAlign w:val="center"/>
          </w:tcPr>
          <w:p w14:paraId="5DE41786" w14:textId="77777777" w:rsidR="00AB6596" w:rsidRPr="004F4D2E" w:rsidRDefault="00AB6596" w:rsidP="005A172F">
            <w:pPr>
              <w:spacing w:before="60" w:after="60"/>
              <w:jc w:val="center"/>
              <w:rPr>
                <w:rFonts w:ascii="Arial" w:hAnsi="Arial" w:cs="Arial"/>
                <w:bCs/>
                <w:sz w:val="20"/>
                <w:szCs w:val="20"/>
                <w:lang w:val="en-US"/>
              </w:rPr>
            </w:pPr>
            <w:r w:rsidRPr="004F4D2E">
              <w:rPr>
                <w:rFonts w:ascii="Arial" w:hAnsi="Arial" w:cs="Arial"/>
                <w:bCs/>
                <w:sz w:val="20"/>
                <w:szCs w:val="20"/>
                <w:lang w:val="en-US"/>
              </w:rPr>
              <w:t>Estimate</w:t>
            </w:r>
          </w:p>
          <w:p w14:paraId="12675C67" w14:textId="77777777" w:rsidR="00AB6596" w:rsidRPr="004F4D2E" w:rsidRDefault="00AB6596" w:rsidP="005A172F">
            <w:pPr>
              <w:spacing w:before="60" w:after="60"/>
              <w:jc w:val="center"/>
              <w:rPr>
                <w:rFonts w:ascii="Arial" w:hAnsi="Arial" w:cs="Arial"/>
                <w:bCs/>
                <w:sz w:val="20"/>
                <w:szCs w:val="20"/>
                <w:lang w:val="en-US"/>
              </w:rPr>
            </w:pPr>
            <w:r w:rsidRPr="004F4D2E">
              <w:rPr>
                <w:rFonts w:ascii="Arial" w:hAnsi="Arial" w:cs="Arial"/>
                <w:bCs/>
                <w:sz w:val="20"/>
                <w:szCs w:val="20"/>
                <w:lang w:val="en-US"/>
              </w:rPr>
              <w:t xml:space="preserve">for Q2 </w:t>
            </w:r>
            <w:r w:rsidRPr="004F4D2E">
              <w:rPr>
                <w:rFonts w:ascii="Arial" w:hAnsi="Arial" w:cs="Arial"/>
                <w:bCs/>
                <w:sz w:val="20"/>
                <w:szCs w:val="20"/>
                <w:lang w:val="en-US"/>
              </w:rPr>
              <w:br/>
              <w:t>2026</w:t>
            </w:r>
          </w:p>
        </w:tc>
        <w:tc>
          <w:tcPr>
            <w:tcW w:w="1130" w:type="dxa"/>
            <w:vMerge w:val="restart"/>
            <w:tcBorders>
              <w:top w:val="single" w:sz="4" w:space="0" w:color="auto"/>
            </w:tcBorders>
            <w:vAlign w:val="center"/>
          </w:tcPr>
          <w:p w14:paraId="2250A466" w14:textId="77777777" w:rsidR="00AB6596" w:rsidRPr="004F4D2E" w:rsidRDefault="00AB6596" w:rsidP="005A172F">
            <w:pPr>
              <w:spacing w:before="60" w:after="60"/>
              <w:jc w:val="center"/>
              <w:rPr>
                <w:rFonts w:ascii="Arial" w:hAnsi="Arial" w:cs="Arial"/>
                <w:bCs/>
                <w:sz w:val="20"/>
                <w:szCs w:val="20"/>
                <w:lang w:val="en-US"/>
              </w:rPr>
            </w:pPr>
            <w:r w:rsidRPr="004F4D2E">
              <w:rPr>
                <w:rFonts w:ascii="Arial" w:hAnsi="Arial" w:cs="Arial"/>
                <w:bCs/>
                <w:sz w:val="20"/>
                <w:szCs w:val="20"/>
                <w:lang w:val="en-US"/>
              </w:rPr>
              <w:t>Estimate</w:t>
            </w:r>
          </w:p>
          <w:p w14:paraId="0ABFB3C0" w14:textId="6CEE3E5F" w:rsidR="00AB6596" w:rsidRPr="004F4D2E" w:rsidRDefault="00F94F6A" w:rsidP="005A172F">
            <w:pPr>
              <w:spacing w:before="60" w:after="60"/>
              <w:jc w:val="center"/>
              <w:rPr>
                <w:rFonts w:ascii="Arial" w:hAnsi="Arial" w:cs="Arial"/>
                <w:bCs/>
                <w:sz w:val="20"/>
                <w:szCs w:val="20"/>
                <w:lang w:val="en-US"/>
              </w:rPr>
            </w:pPr>
            <w:r>
              <w:rPr>
                <w:rFonts w:ascii="Arial" w:hAnsi="Arial" w:cs="Arial"/>
                <w:bCs/>
                <w:sz w:val="20"/>
                <w:szCs w:val="20"/>
                <w:lang w:val="en-US"/>
              </w:rPr>
              <w:t>first half of</w:t>
            </w:r>
            <w:r w:rsidR="00AB6596" w:rsidRPr="004F4D2E">
              <w:rPr>
                <w:rFonts w:ascii="Arial" w:hAnsi="Arial" w:cs="Arial"/>
                <w:bCs/>
                <w:sz w:val="20"/>
                <w:szCs w:val="20"/>
                <w:lang w:val="en-US"/>
              </w:rPr>
              <w:t xml:space="preserve"> 2026</w:t>
            </w:r>
          </w:p>
        </w:tc>
        <w:tc>
          <w:tcPr>
            <w:tcW w:w="3390" w:type="dxa"/>
            <w:gridSpan w:val="3"/>
            <w:tcBorders>
              <w:top w:val="single" w:sz="4" w:space="0" w:color="auto"/>
              <w:bottom w:val="single" w:sz="4" w:space="0" w:color="auto"/>
            </w:tcBorders>
            <w:vAlign w:val="center"/>
          </w:tcPr>
          <w:p w14:paraId="775F864B" w14:textId="77777777" w:rsidR="00AB6596" w:rsidRPr="004F4D2E" w:rsidRDefault="00AB6596" w:rsidP="005A172F">
            <w:pPr>
              <w:spacing w:before="60" w:after="60"/>
              <w:ind w:right="96"/>
              <w:jc w:val="center"/>
              <w:rPr>
                <w:rFonts w:ascii="Arial" w:hAnsi="Arial" w:cs="Arial"/>
                <w:bCs/>
                <w:sz w:val="20"/>
                <w:szCs w:val="20"/>
                <w:lang w:val="en-US"/>
              </w:rPr>
            </w:pPr>
            <w:r w:rsidRPr="004F4D2E">
              <w:rPr>
                <w:rFonts w:ascii="Arial" w:hAnsi="Arial" w:cs="Arial"/>
                <w:bCs/>
                <w:sz w:val="20"/>
                <w:szCs w:val="20"/>
                <w:lang w:val="en-US"/>
              </w:rPr>
              <w:t>YoY</w:t>
            </w:r>
          </w:p>
          <w:p w14:paraId="26AFD845" w14:textId="77777777" w:rsidR="00AB6596" w:rsidRPr="004F4D2E" w:rsidRDefault="00AB6596" w:rsidP="005A172F">
            <w:pPr>
              <w:spacing w:before="60" w:after="60"/>
              <w:ind w:right="96"/>
              <w:jc w:val="center"/>
              <w:rPr>
                <w:rFonts w:ascii="Arial" w:hAnsi="Arial" w:cs="Arial"/>
                <w:bCs/>
                <w:sz w:val="20"/>
                <w:szCs w:val="20"/>
                <w:lang w:val="en-US"/>
              </w:rPr>
            </w:pPr>
            <w:r w:rsidRPr="004F4D2E">
              <w:rPr>
                <w:rFonts w:ascii="Arial" w:hAnsi="Arial" w:cs="Arial"/>
                <w:bCs/>
                <w:sz w:val="20"/>
                <w:szCs w:val="20"/>
                <w:lang w:val="en-US"/>
              </w:rPr>
              <w:t>Growth rate (%)</w:t>
            </w:r>
          </w:p>
        </w:tc>
      </w:tr>
      <w:tr w:rsidR="00AB6596" w:rsidRPr="004F4D2E" w14:paraId="1191FFED" w14:textId="77777777" w:rsidTr="005A172F">
        <w:trPr>
          <w:trHeight w:val="808"/>
        </w:trPr>
        <w:tc>
          <w:tcPr>
            <w:tcW w:w="2544" w:type="dxa"/>
            <w:vMerge/>
            <w:vAlign w:val="center"/>
          </w:tcPr>
          <w:p w14:paraId="3A2E4D07" w14:textId="77777777" w:rsidR="00AB6596" w:rsidRPr="004F4D2E" w:rsidRDefault="00AB6596" w:rsidP="005A172F">
            <w:pPr>
              <w:jc w:val="both"/>
              <w:rPr>
                <w:rFonts w:ascii="Arial" w:hAnsi="Arial" w:cs="Arial"/>
                <w:bCs/>
                <w:sz w:val="20"/>
                <w:szCs w:val="20"/>
                <w:lang w:val="en-US"/>
              </w:rPr>
            </w:pPr>
          </w:p>
        </w:tc>
        <w:tc>
          <w:tcPr>
            <w:tcW w:w="995" w:type="dxa"/>
            <w:vMerge/>
            <w:tcBorders>
              <w:bottom w:val="single" w:sz="4" w:space="0" w:color="auto"/>
            </w:tcBorders>
            <w:vAlign w:val="center"/>
          </w:tcPr>
          <w:p w14:paraId="1D4DE2D5" w14:textId="77777777" w:rsidR="00AB6596" w:rsidRPr="004F4D2E" w:rsidRDefault="00AB6596" w:rsidP="005A172F">
            <w:pPr>
              <w:spacing w:before="60" w:after="60"/>
              <w:jc w:val="both"/>
              <w:rPr>
                <w:rFonts w:ascii="Arial" w:hAnsi="Arial" w:cs="Arial"/>
                <w:bCs/>
                <w:sz w:val="20"/>
                <w:szCs w:val="20"/>
                <w:lang w:val="en-US"/>
              </w:rPr>
            </w:pPr>
          </w:p>
        </w:tc>
        <w:tc>
          <w:tcPr>
            <w:tcW w:w="995" w:type="dxa"/>
            <w:vMerge/>
            <w:tcBorders>
              <w:bottom w:val="single" w:sz="4" w:space="0" w:color="auto"/>
            </w:tcBorders>
            <w:vAlign w:val="center"/>
          </w:tcPr>
          <w:p w14:paraId="5003BE53" w14:textId="77777777" w:rsidR="00AB6596" w:rsidRPr="004F4D2E" w:rsidRDefault="00AB6596" w:rsidP="005A172F">
            <w:pPr>
              <w:spacing w:before="60" w:after="60"/>
              <w:jc w:val="both"/>
              <w:rPr>
                <w:rFonts w:ascii="Arial" w:hAnsi="Arial" w:cs="Arial"/>
                <w:bCs/>
                <w:sz w:val="20"/>
                <w:szCs w:val="20"/>
                <w:lang w:val="en-US"/>
              </w:rPr>
            </w:pPr>
          </w:p>
        </w:tc>
        <w:tc>
          <w:tcPr>
            <w:tcW w:w="1130" w:type="dxa"/>
            <w:vMerge/>
            <w:tcBorders>
              <w:bottom w:val="single" w:sz="4" w:space="0" w:color="auto"/>
            </w:tcBorders>
            <w:vAlign w:val="center"/>
          </w:tcPr>
          <w:p w14:paraId="3AA951CA" w14:textId="77777777" w:rsidR="00AB6596" w:rsidRPr="004F4D2E" w:rsidRDefault="00AB6596" w:rsidP="005A172F">
            <w:pPr>
              <w:spacing w:before="60" w:after="60"/>
              <w:jc w:val="both"/>
              <w:rPr>
                <w:rFonts w:ascii="Arial" w:hAnsi="Arial" w:cs="Arial"/>
                <w:bCs/>
                <w:sz w:val="20"/>
                <w:szCs w:val="20"/>
                <w:lang w:val="en-US"/>
              </w:rPr>
            </w:pPr>
          </w:p>
        </w:tc>
        <w:tc>
          <w:tcPr>
            <w:tcW w:w="1128" w:type="dxa"/>
            <w:tcBorders>
              <w:top w:val="single" w:sz="4" w:space="0" w:color="auto"/>
              <w:bottom w:val="single" w:sz="4" w:space="0" w:color="auto"/>
            </w:tcBorders>
            <w:vAlign w:val="center"/>
          </w:tcPr>
          <w:p w14:paraId="0CB391D8" w14:textId="77777777" w:rsidR="00AB6596" w:rsidRPr="004F4D2E" w:rsidRDefault="00AB6596" w:rsidP="005A172F">
            <w:pPr>
              <w:spacing w:before="60" w:after="60"/>
              <w:jc w:val="center"/>
              <w:rPr>
                <w:rFonts w:ascii="Arial" w:hAnsi="Arial" w:cs="Arial"/>
                <w:bCs/>
                <w:sz w:val="20"/>
                <w:szCs w:val="20"/>
                <w:lang w:val="en-US"/>
              </w:rPr>
            </w:pPr>
            <w:r w:rsidRPr="004F4D2E">
              <w:rPr>
                <w:rFonts w:ascii="Arial" w:hAnsi="Arial" w:cs="Arial"/>
                <w:bCs/>
                <w:sz w:val="20"/>
                <w:szCs w:val="20"/>
                <w:lang w:val="en-US"/>
              </w:rPr>
              <w:t xml:space="preserve">June </w:t>
            </w:r>
            <w:r w:rsidRPr="004F4D2E">
              <w:rPr>
                <w:rFonts w:ascii="Arial" w:hAnsi="Arial" w:cs="Arial"/>
                <w:bCs/>
                <w:sz w:val="20"/>
                <w:szCs w:val="20"/>
                <w:lang w:val="en-US"/>
              </w:rPr>
              <w:br/>
              <w:t>2026</w:t>
            </w:r>
          </w:p>
        </w:tc>
        <w:tc>
          <w:tcPr>
            <w:tcW w:w="1129" w:type="dxa"/>
            <w:tcBorders>
              <w:top w:val="single" w:sz="4" w:space="0" w:color="auto"/>
              <w:bottom w:val="single" w:sz="4" w:space="0" w:color="auto"/>
            </w:tcBorders>
            <w:vAlign w:val="center"/>
          </w:tcPr>
          <w:p w14:paraId="5FEECEAE" w14:textId="77777777" w:rsidR="00AB6596" w:rsidRPr="004F4D2E" w:rsidRDefault="00AB6596" w:rsidP="005A172F">
            <w:pPr>
              <w:spacing w:before="60" w:after="60"/>
              <w:jc w:val="center"/>
              <w:rPr>
                <w:rFonts w:ascii="Arial" w:hAnsi="Arial" w:cs="Arial"/>
                <w:bCs/>
                <w:sz w:val="20"/>
                <w:szCs w:val="20"/>
                <w:lang w:val="en-US"/>
              </w:rPr>
            </w:pPr>
            <w:r w:rsidRPr="004F4D2E">
              <w:rPr>
                <w:rFonts w:ascii="Arial" w:hAnsi="Arial" w:cs="Arial"/>
                <w:bCs/>
                <w:sz w:val="20"/>
                <w:szCs w:val="20"/>
                <w:lang w:val="en-US"/>
              </w:rPr>
              <w:t xml:space="preserve">Q2 </w:t>
            </w:r>
            <w:r w:rsidRPr="004F4D2E">
              <w:rPr>
                <w:rFonts w:ascii="Arial" w:hAnsi="Arial" w:cs="Arial"/>
                <w:bCs/>
                <w:sz w:val="20"/>
                <w:szCs w:val="20"/>
                <w:lang w:val="en-US"/>
              </w:rPr>
              <w:br/>
              <w:t>2026</w:t>
            </w:r>
          </w:p>
        </w:tc>
        <w:tc>
          <w:tcPr>
            <w:tcW w:w="1133" w:type="dxa"/>
            <w:tcBorders>
              <w:top w:val="single" w:sz="4" w:space="0" w:color="auto"/>
              <w:bottom w:val="single" w:sz="4" w:space="0" w:color="auto"/>
            </w:tcBorders>
            <w:vAlign w:val="center"/>
          </w:tcPr>
          <w:p w14:paraId="677BC06D" w14:textId="0DEE4929" w:rsidR="00AB6596" w:rsidRPr="004F4D2E" w:rsidRDefault="00F94F6A" w:rsidP="005A172F">
            <w:pPr>
              <w:spacing w:before="60" w:after="60"/>
              <w:jc w:val="center"/>
              <w:rPr>
                <w:rFonts w:ascii="Arial" w:hAnsi="Arial" w:cs="Arial"/>
                <w:bCs/>
                <w:sz w:val="20"/>
                <w:szCs w:val="20"/>
                <w:lang w:val="en-US"/>
              </w:rPr>
            </w:pPr>
            <w:r>
              <w:rPr>
                <w:rFonts w:ascii="Arial" w:hAnsi="Arial" w:cs="Arial"/>
                <w:color w:val="000000" w:themeColor="text1"/>
                <w:sz w:val="20"/>
                <w:szCs w:val="20"/>
                <w:lang w:val="en-US"/>
              </w:rPr>
              <w:t>First half of</w:t>
            </w:r>
            <w:r w:rsidR="00AB6596" w:rsidRPr="004F4D2E">
              <w:rPr>
                <w:rFonts w:ascii="Arial" w:hAnsi="Arial" w:cs="Arial"/>
                <w:bCs/>
                <w:sz w:val="20"/>
                <w:szCs w:val="20"/>
                <w:lang w:val="en-US"/>
              </w:rPr>
              <w:t xml:space="preserve"> 2026</w:t>
            </w:r>
          </w:p>
        </w:tc>
      </w:tr>
      <w:tr w:rsidR="00AB6596" w:rsidRPr="004F4D2E" w14:paraId="5A9E5562" w14:textId="77777777" w:rsidTr="005A172F">
        <w:trPr>
          <w:trHeight w:val="299"/>
        </w:trPr>
        <w:tc>
          <w:tcPr>
            <w:tcW w:w="2544" w:type="dxa"/>
            <w:vAlign w:val="center"/>
          </w:tcPr>
          <w:p w14:paraId="2913D0E9" w14:textId="77777777" w:rsidR="00AB6596" w:rsidRPr="004F4D2E" w:rsidRDefault="00AB6596" w:rsidP="005A172F">
            <w:pPr>
              <w:spacing w:before="120" w:after="40"/>
              <w:jc w:val="both"/>
              <w:rPr>
                <w:rFonts w:ascii="Arial" w:hAnsi="Arial" w:cs="Arial"/>
                <w:b/>
                <w:bCs/>
                <w:sz w:val="20"/>
                <w:szCs w:val="20"/>
                <w:lang w:val="en-US"/>
              </w:rPr>
            </w:pPr>
            <w:r w:rsidRPr="004F4D2E">
              <w:rPr>
                <w:rFonts w:ascii="Arial" w:hAnsi="Arial" w:cs="Arial"/>
                <w:b/>
                <w:bCs/>
                <w:sz w:val="20"/>
                <w:szCs w:val="20"/>
                <w:lang w:val="en-US"/>
              </w:rPr>
              <w:t>Total</w:t>
            </w:r>
          </w:p>
        </w:tc>
        <w:tc>
          <w:tcPr>
            <w:tcW w:w="995" w:type="dxa"/>
            <w:tcBorders>
              <w:top w:val="single" w:sz="4" w:space="0" w:color="auto"/>
            </w:tcBorders>
            <w:vAlign w:val="center"/>
          </w:tcPr>
          <w:p w14:paraId="78423BC1" w14:textId="77777777" w:rsidR="00AB6596" w:rsidRPr="004F4D2E" w:rsidRDefault="00AB6596" w:rsidP="005A172F">
            <w:pPr>
              <w:spacing w:before="120" w:after="40"/>
              <w:ind w:right="92"/>
              <w:jc w:val="right"/>
              <w:rPr>
                <w:rFonts w:ascii="Arial" w:hAnsi="Arial" w:cs="Arial"/>
                <w:b/>
                <w:bCs/>
                <w:sz w:val="20"/>
                <w:szCs w:val="20"/>
                <w:lang w:val="en-US"/>
              </w:rPr>
            </w:pPr>
            <w:r w:rsidRPr="004F4D2E">
              <w:rPr>
                <w:rFonts w:ascii="Arial" w:hAnsi="Arial" w:cs="Arial"/>
                <w:b/>
                <w:bCs/>
                <w:sz w:val="20"/>
                <w:szCs w:val="20"/>
                <w:lang w:val="en-US"/>
              </w:rPr>
              <w:t>665.6</w:t>
            </w:r>
          </w:p>
        </w:tc>
        <w:tc>
          <w:tcPr>
            <w:tcW w:w="995" w:type="dxa"/>
            <w:tcBorders>
              <w:top w:val="single" w:sz="4" w:space="0" w:color="auto"/>
            </w:tcBorders>
            <w:vAlign w:val="center"/>
          </w:tcPr>
          <w:p w14:paraId="1FFB5566" w14:textId="77777777" w:rsidR="00AB6596" w:rsidRPr="004F4D2E" w:rsidRDefault="00AB6596" w:rsidP="005A172F">
            <w:pPr>
              <w:spacing w:before="120" w:after="40"/>
              <w:ind w:right="92"/>
              <w:jc w:val="right"/>
              <w:rPr>
                <w:rFonts w:ascii="Arial" w:hAnsi="Arial" w:cs="Arial"/>
                <w:b/>
                <w:bCs/>
                <w:sz w:val="20"/>
                <w:szCs w:val="20"/>
                <w:lang w:val="en-US"/>
              </w:rPr>
            </w:pPr>
            <w:r w:rsidRPr="004F4D2E">
              <w:rPr>
                <w:rFonts w:ascii="Arial" w:hAnsi="Arial" w:cs="Arial"/>
                <w:b/>
                <w:bCs/>
                <w:sz w:val="20"/>
                <w:szCs w:val="20"/>
                <w:lang w:val="en-US"/>
              </w:rPr>
              <w:t>1,977.6</w:t>
            </w:r>
          </w:p>
        </w:tc>
        <w:tc>
          <w:tcPr>
            <w:tcW w:w="1130" w:type="dxa"/>
            <w:tcBorders>
              <w:top w:val="single" w:sz="4" w:space="0" w:color="auto"/>
            </w:tcBorders>
            <w:vAlign w:val="center"/>
          </w:tcPr>
          <w:p w14:paraId="0807EE51" w14:textId="77777777" w:rsidR="00AB6596" w:rsidRPr="004F4D2E" w:rsidRDefault="00AB6596" w:rsidP="005A172F">
            <w:pPr>
              <w:spacing w:before="120" w:after="40"/>
              <w:ind w:right="98"/>
              <w:jc w:val="right"/>
              <w:rPr>
                <w:rFonts w:ascii="Arial" w:hAnsi="Arial" w:cs="Arial"/>
                <w:b/>
                <w:bCs/>
                <w:sz w:val="20"/>
                <w:szCs w:val="20"/>
                <w:lang w:val="en-US"/>
              </w:rPr>
            </w:pPr>
            <w:r w:rsidRPr="004F4D2E">
              <w:rPr>
                <w:rFonts w:ascii="Arial" w:hAnsi="Arial" w:cs="Arial"/>
                <w:b/>
                <w:bCs/>
                <w:sz w:val="20"/>
                <w:szCs w:val="20"/>
                <w:lang w:val="en-US"/>
              </w:rPr>
              <w:t>3.889,5</w:t>
            </w:r>
          </w:p>
        </w:tc>
        <w:tc>
          <w:tcPr>
            <w:tcW w:w="1128" w:type="dxa"/>
            <w:tcBorders>
              <w:top w:val="single" w:sz="4" w:space="0" w:color="auto"/>
            </w:tcBorders>
            <w:vAlign w:val="center"/>
          </w:tcPr>
          <w:p w14:paraId="334E5F1C" w14:textId="77777777" w:rsidR="00AB6596" w:rsidRPr="004F4D2E" w:rsidRDefault="00AB6596" w:rsidP="005A172F">
            <w:pPr>
              <w:spacing w:before="120" w:after="40"/>
              <w:jc w:val="center"/>
              <w:rPr>
                <w:rFonts w:ascii="Arial" w:hAnsi="Arial" w:cs="Arial"/>
                <w:b/>
                <w:bCs/>
                <w:sz w:val="20"/>
                <w:szCs w:val="20"/>
                <w:lang w:val="en-US"/>
              </w:rPr>
            </w:pPr>
            <w:r w:rsidRPr="004F4D2E">
              <w:rPr>
                <w:rFonts w:ascii="Arial" w:hAnsi="Arial" w:cs="Arial"/>
                <w:b/>
                <w:bCs/>
                <w:sz w:val="20"/>
                <w:szCs w:val="20"/>
                <w:lang w:val="en-US"/>
              </w:rPr>
              <w:t>14.8</w:t>
            </w:r>
          </w:p>
        </w:tc>
        <w:tc>
          <w:tcPr>
            <w:tcW w:w="1129" w:type="dxa"/>
            <w:tcBorders>
              <w:top w:val="single" w:sz="4" w:space="0" w:color="auto"/>
            </w:tcBorders>
            <w:vAlign w:val="center"/>
          </w:tcPr>
          <w:p w14:paraId="60A38C29" w14:textId="77777777" w:rsidR="00AB6596" w:rsidRPr="004F4D2E" w:rsidRDefault="00AB6596" w:rsidP="005A172F">
            <w:pPr>
              <w:spacing w:before="120" w:after="40"/>
              <w:jc w:val="center"/>
              <w:rPr>
                <w:rFonts w:ascii="Arial" w:hAnsi="Arial" w:cs="Arial"/>
                <w:b/>
                <w:bCs/>
                <w:sz w:val="20"/>
                <w:szCs w:val="20"/>
                <w:lang w:val="en-US"/>
              </w:rPr>
            </w:pPr>
            <w:r w:rsidRPr="004F4D2E">
              <w:rPr>
                <w:rFonts w:ascii="Arial" w:hAnsi="Arial" w:cs="Arial"/>
                <w:b/>
                <w:bCs/>
                <w:sz w:val="20"/>
                <w:szCs w:val="20"/>
                <w:lang w:val="en-US"/>
              </w:rPr>
              <w:t>13.9</w:t>
            </w:r>
          </w:p>
        </w:tc>
        <w:tc>
          <w:tcPr>
            <w:tcW w:w="1133" w:type="dxa"/>
            <w:tcBorders>
              <w:top w:val="single" w:sz="4" w:space="0" w:color="auto"/>
            </w:tcBorders>
            <w:vAlign w:val="center"/>
          </w:tcPr>
          <w:p w14:paraId="7D44FCAC" w14:textId="77777777" w:rsidR="00AB6596" w:rsidRPr="004F4D2E" w:rsidRDefault="00AB6596" w:rsidP="005A172F">
            <w:pPr>
              <w:spacing w:before="120" w:after="40"/>
              <w:jc w:val="center"/>
              <w:rPr>
                <w:rFonts w:ascii="Arial" w:hAnsi="Arial" w:cs="Arial"/>
                <w:b/>
                <w:bCs/>
                <w:sz w:val="20"/>
                <w:szCs w:val="20"/>
                <w:lang w:val="en-US"/>
              </w:rPr>
            </w:pPr>
            <w:r w:rsidRPr="004F4D2E">
              <w:rPr>
                <w:rFonts w:ascii="Arial" w:hAnsi="Arial" w:cs="Arial"/>
                <w:b/>
                <w:bCs/>
                <w:sz w:val="20"/>
                <w:szCs w:val="20"/>
                <w:lang w:val="en-US"/>
              </w:rPr>
              <w:t>12.9</w:t>
            </w:r>
          </w:p>
        </w:tc>
      </w:tr>
      <w:tr w:rsidR="00AB6596" w:rsidRPr="004F4D2E" w14:paraId="19C244F1" w14:textId="77777777" w:rsidTr="005A172F">
        <w:trPr>
          <w:trHeight w:val="299"/>
        </w:trPr>
        <w:tc>
          <w:tcPr>
            <w:tcW w:w="2544" w:type="dxa"/>
            <w:vAlign w:val="center"/>
          </w:tcPr>
          <w:p w14:paraId="073E7708" w14:textId="77777777" w:rsidR="00AB6596" w:rsidRPr="004F4D2E" w:rsidRDefault="00AB6596" w:rsidP="005A172F">
            <w:pPr>
              <w:spacing w:before="40" w:after="40"/>
              <w:ind w:firstLine="176"/>
              <w:jc w:val="both"/>
              <w:rPr>
                <w:rFonts w:ascii="Arial" w:hAnsi="Arial" w:cs="Arial"/>
                <w:bCs/>
                <w:sz w:val="20"/>
                <w:szCs w:val="20"/>
                <w:lang w:val="en-US"/>
              </w:rPr>
            </w:pPr>
            <w:r w:rsidRPr="004F4D2E">
              <w:rPr>
                <w:rFonts w:ascii="Arial" w:hAnsi="Arial" w:cs="Arial"/>
                <w:bCs/>
                <w:sz w:val="20"/>
                <w:szCs w:val="20"/>
                <w:lang w:val="en-US"/>
              </w:rPr>
              <w:t>Retail sales of goods</w:t>
            </w:r>
          </w:p>
        </w:tc>
        <w:tc>
          <w:tcPr>
            <w:tcW w:w="995" w:type="dxa"/>
            <w:vAlign w:val="center"/>
          </w:tcPr>
          <w:p w14:paraId="02692D00"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496.9</w:t>
            </w:r>
          </w:p>
        </w:tc>
        <w:tc>
          <w:tcPr>
            <w:tcW w:w="995" w:type="dxa"/>
            <w:vAlign w:val="center"/>
          </w:tcPr>
          <w:p w14:paraId="17F00A3B"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1,486.2</w:t>
            </w:r>
          </w:p>
        </w:tc>
        <w:tc>
          <w:tcPr>
            <w:tcW w:w="1130" w:type="dxa"/>
            <w:vAlign w:val="center"/>
          </w:tcPr>
          <w:p w14:paraId="6EC539DF" w14:textId="77777777" w:rsidR="00AB6596" w:rsidRPr="004F4D2E" w:rsidRDefault="00AB6596" w:rsidP="005A172F">
            <w:pPr>
              <w:spacing w:before="40" w:after="40"/>
              <w:ind w:right="98"/>
              <w:jc w:val="right"/>
              <w:rPr>
                <w:rFonts w:ascii="Arial" w:hAnsi="Arial" w:cs="Arial"/>
                <w:bCs/>
                <w:sz w:val="20"/>
                <w:szCs w:val="20"/>
                <w:lang w:val="en-US"/>
              </w:rPr>
            </w:pPr>
            <w:r w:rsidRPr="004F4D2E">
              <w:rPr>
                <w:rFonts w:ascii="Arial" w:hAnsi="Arial" w:cs="Arial"/>
                <w:sz w:val="20"/>
                <w:szCs w:val="20"/>
                <w:lang w:val="en-US"/>
              </w:rPr>
              <w:t>2.941,8</w:t>
            </w:r>
          </w:p>
        </w:tc>
        <w:tc>
          <w:tcPr>
            <w:tcW w:w="1128" w:type="dxa"/>
            <w:vAlign w:val="center"/>
          </w:tcPr>
          <w:p w14:paraId="1F4A18F3"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13.4</w:t>
            </w:r>
          </w:p>
        </w:tc>
        <w:tc>
          <w:tcPr>
            <w:tcW w:w="1129" w:type="dxa"/>
            <w:vAlign w:val="center"/>
          </w:tcPr>
          <w:p w14:paraId="78ABDC58"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bCs/>
                <w:sz w:val="20"/>
                <w:szCs w:val="20"/>
                <w:lang w:val="en-US"/>
              </w:rPr>
              <w:t>13.2</w:t>
            </w:r>
          </w:p>
        </w:tc>
        <w:tc>
          <w:tcPr>
            <w:tcW w:w="1133" w:type="dxa"/>
            <w:vAlign w:val="center"/>
          </w:tcPr>
          <w:p w14:paraId="74311367"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12.5</w:t>
            </w:r>
          </w:p>
        </w:tc>
      </w:tr>
      <w:tr w:rsidR="00AB6596" w:rsidRPr="004F4D2E" w14:paraId="4E11FACC" w14:textId="77777777" w:rsidTr="005A172F">
        <w:trPr>
          <w:trHeight w:val="283"/>
        </w:trPr>
        <w:tc>
          <w:tcPr>
            <w:tcW w:w="2544" w:type="dxa"/>
            <w:vAlign w:val="center"/>
          </w:tcPr>
          <w:p w14:paraId="4CDB8207" w14:textId="77777777" w:rsidR="00AB6596" w:rsidRPr="004F4D2E" w:rsidRDefault="00AB6596" w:rsidP="005A172F">
            <w:pPr>
              <w:spacing w:before="40" w:after="40"/>
              <w:ind w:firstLine="176"/>
              <w:rPr>
                <w:rFonts w:ascii="Arial" w:hAnsi="Arial" w:cs="Arial"/>
                <w:bCs/>
                <w:sz w:val="20"/>
                <w:szCs w:val="20"/>
                <w:lang w:val="en-US"/>
              </w:rPr>
            </w:pPr>
            <w:r w:rsidRPr="004F4D2E">
              <w:rPr>
                <w:rFonts w:ascii="Arial" w:hAnsi="Arial" w:cs="Arial"/>
                <w:bCs/>
                <w:sz w:val="20"/>
                <w:szCs w:val="20"/>
                <w:lang w:val="en-US"/>
              </w:rPr>
              <w:t>Accommodation and food services</w:t>
            </w:r>
          </w:p>
        </w:tc>
        <w:tc>
          <w:tcPr>
            <w:tcW w:w="995" w:type="dxa"/>
            <w:vAlign w:val="center"/>
          </w:tcPr>
          <w:p w14:paraId="1C183464"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87.6</w:t>
            </w:r>
          </w:p>
        </w:tc>
        <w:tc>
          <w:tcPr>
            <w:tcW w:w="995" w:type="dxa"/>
            <w:vAlign w:val="center"/>
          </w:tcPr>
          <w:p w14:paraId="679E9EBE"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256.1</w:t>
            </w:r>
          </w:p>
        </w:tc>
        <w:tc>
          <w:tcPr>
            <w:tcW w:w="1130" w:type="dxa"/>
            <w:vAlign w:val="center"/>
          </w:tcPr>
          <w:p w14:paraId="4B3CC4A0" w14:textId="77777777" w:rsidR="00AB6596" w:rsidRPr="004F4D2E" w:rsidRDefault="00AB6596" w:rsidP="005A172F">
            <w:pPr>
              <w:spacing w:before="40" w:after="40"/>
              <w:ind w:right="98"/>
              <w:jc w:val="right"/>
              <w:rPr>
                <w:rFonts w:ascii="Arial" w:hAnsi="Arial" w:cs="Arial"/>
                <w:bCs/>
                <w:sz w:val="20"/>
                <w:szCs w:val="20"/>
                <w:lang w:val="en-US"/>
              </w:rPr>
            </w:pPr>
            <w:r w:rsidRPr="004F4D2E">
              <w:rPr>
                <w:rFonts w:ascii="Arial" w:hAnsi="Arial" w:cs="Arial"/>
                <w:sz w:val="20"/>
                <w:szCs w:val="20"/>
                <w:lang w:val="en-US"/>
              </w:rPr>
              <w:t>493,0</w:t>
            </w:r>
          </w:p>
        </w:tc>
        <w:tc>
          <w:tcPr>
            <w:tcW w:w="1128" w:type="dxa"/>
            <w:vAlign w:val="center"/>
          </w:tcPr>
          <w:p w14:paraId="755013A6"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19.7</w:t>
            </w:r>
          </w:p>
        </w:tc>
        <w:tc>
          <w:tcPr>
            <w:tcW w:w="1129" w:type="dxa"/>
            <w:vAlign w:val="center"/>
          </w:tcPr>
          <w:p w14:paraId="1C0ECC3B"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bCs/>
                <w:sz w:val="20"/>
                <w:szCs w:val="20"/>
                <w:lang w:val="en-US"/>
              </w:rPr>
              <w:t>16.8</w:t>
            </w:r>
          </w:p>
        </w:tc>
        <w:tc>
          <w:tcPr>
            <w:tcW w:w="1133" w:type="dxa"/>
            <w:vAlign w:val="center"/>
          </w:tcPr>
          <w:p w14:paraId="7EBDAFE6"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15.6</w:t>
            </w:r>
          </w:p>
        </w:tc>
      </w:tr>
      <w:tr w:rsidR="00AB6596" w:rsidRPr="004F4D2E" w14:paraId="4CBD5F57" w14:textId="77777777" w:rsidTr="005A172F">
        <w:trPr>
          <w:trHeight w:val="299"/>
        </w:trPr>
        <w:tc>
          <w:tcPr>
            <w:tcW w:w="2544" w:type="dxa"/>
            <w:vAlign w:val="center"/>
          </w:tcPr>
          <w:p w14:paraId="22CF41D9" w14:textId="77777777" w:rsidR="00AB6596" w:rsidRPr="004F4D2E" w:rsidRDefault="00AB6596" w:rsidP="005A172F">
            <w:pPr>
              <w:spacing w:before="40" w:after="40"/>
              <w:ind w:firstLine="176"/>
              <w:jc w:val="both"/>
              <w:rPr>
                <w:rFonts w:ascii="Arial" w:hAnsi="Arial" w:cs="Arial"/>
                <w:bCs/>
                <w:sz w:val="20"/>
                <w:szCs w:val="20"/>
                <w:lang w:val="en-US"/>
              </w:rPr>
            </w:pPr>
            <w:r w:rsidRPr="004F4D2E">
              <w:rPr>
                <w:rFonts w:ascii="Arial" w:hAnsi="Arial" w:cs="Arial"/>
                <w:bCs/>
                <w:sz w:val="20"/>
                <w:szCs w:val="20"/>
                <w:lang w:val="en-US"/>
              </w:rPr>
              <w:t>Travelling services</w:t>
            </w:r>
          </w:p>
        </w:tc>
        <w:tc>
          <w:tcPr>
            <w:tcW w:w="995" w:type="dxa"/>
            <w:vAlign w:val="center"/>
          </w:tcPr>
          <w:p w14:paraId="041DDE3A"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8.9</w:t>
            </w:r>
          </w:p>
        </w:tc>
        <w:tc>
          <w:tcPr>
            <w:tcW w:w="995" w:type="dxa"/>
            <w:vAlign w:val="center"/>
          </w:tcPr>
          <w:p w14:paraId="08E319FC"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26.5</w:t>
            </w:r>
          </w:p>
        </w:tc>
        <w:tc>
          <w:tcPr>
            <w:tcW w:w="1130" w:type="dxa"/>
            <w:vAlign w:val="center"/>
          </w:tcPr>
          <w:p w14:paraId="0B6893E5" w14:textId="77777777" w:rsidR="00AB6596" w:rsidRPr="004F4D2E" w:rsidRDefault="00AB6596" w:rsidP="005A172F">
            <w:pPr>
              <w:spacing w:before="40" w:after="40"/>
              <w:ind w:right="98"/>
              <w:jc w:val="right"/>
              <w:rPr>
                <w:rFonts w:ascii="Arial" w:hAnsi="Arial" w:cs="Arial"/>
                <w:bCs/>
                <w:sz w:val="20"/>
                <w:szCs w:val="20"/>
                <w:lang w:val="en-US"/>
              </w:rPr>
            </w:pPr>
            <w:r w:rsidRPr="004F4D2E">
              <w:rPr>
                <w:rFonts w:ascii="Arial" w:hAnsi="Arial" w:cs="Arial"/>
                <w:sz w:val="20"/>
                <w:szCs w:val="20"/>
                <w:lang w:val="en-US"/>
              </w:rPr>
              <w:t>49,8</w:t>
            </w:r>
          </w:p>
        </w:tc>
        <w:tc>
          <w:tcPr>
            <w:tcW w:w="1128" w:type="dxa"/>
            <w:vAlign w:val="center"/>
          </w:tcPr>
          <w:p w14:paraId="45FE6646"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24.9</w:t>
            </w:r>
          </w:p>
        </w:tc>
        <w:tc>
          <w:tcPr>
            <w:tcW w:w="1129" w:type="dxa"/>
            <w:vAlign w:val="center"/>
          </w:tcPr>
          <w:p w14:paraId="4BA65A1B"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bCs/>
                <w:sz w:val="20"/>
                <w:szCs w:val="20"/>
                <w:lang w:val="en-US"/>
              </w:rPr>
              <w:t>15.3</w:t>
            </w:r>
          </w:p>
        </w:tc>
        <w:tc>
          <w:tcPr>
            <w:tcW w:w="1133" w:type="dxa"/>
            <w:vAlign w:val="center"/>
          </w:tcPr>
          <w:p w14:paraId="47DB8D02"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15.0</w:t>
            </w:r>
          </w:p>
        </w:tc>
      </w:tr>
      <w:tr w:rsidR="00AB6596" w:rsidRPr="004F4D2E" w14:paraId="79188538" w14:textId="77777777" w:rsidTr="005A172F">
        <w:trPr>
          <w:trHeight w:val="299"/>
        </w:trPr>
        <w:tc>
          <w:tcPr>
            <w:tcW w:w="2544" w:type="dxa"/>
            <w:tcBorders>
              <w:bottom w:val="single" w:sz="4" w:space="0" w:color="auto"/>
            </w:tcBorders>
            <w:vAlign w:val="center"/>
          </w:tcPr>
          <w:p w14:paraId="17FF6FBD" w14:textId="77777777" w:rsidR="00AB6596" w:rsidRPr="004F4D2E" w:rsidRDefault="00AB6596" w:rsidP="005A172F">
            <w:pPr>
              <w:spacing w:before="40" w:after="40"/>
              <w:ind w:firstLine="176"/>
              <w:jc w:val="both"/>
              <w:rPr>
                <w:rFonts w:ascii="Arial" w:hAnsi="Arial" w:cs="Arial"/>
                <w:bCs/>
                <w:sz w:val="20"/>
                <w:szCs w:val="20"/>
                <w:lang w:val="en-US"/>
              </w:rPr>
            </w:pPr>
            <w:r w:rsidRPr="004F4D2E">
              <w:rPr>
                <w:rFonts w:ascii="Arial" w:hAnsi="Arial" w:cs="Arial"/>
                <w:bCs/>
                <w:sz w:val="20"/>
                <w:szCs w:val="20"/>
                <w:lang w:val="en-US"/>
              </w:rPr>
              <w:t>Other services</w:t>
            </w:r>
          </w:p>
        </w:tc>
        <w:tc>
          <w:tcPr>
            <w:tcW w:w="995" w:type="dxa"/>
            <w:tcBorders>
              <w:bottom w:val="single" w:sz="4" w:space="0" w:color="auto"/>
            </w:tcBorders>
            <w:vAlign w:val="center"/>
          </w:tcPr>
          <w:p w14:paraId="3D6E650D"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72.2</w:t>
            </w:r>
          </w:p>
        </w:tc>
        <w:tc>
          <w:tcPr>
            <w:tcW w:w="995" w:type="dxa"/>
            <w:tcBorders>
              <w:bottom w:val="single" w:sz="4" w:space="0" w:color="auto"/>
            </w:tcBorders>
            <w:vAlign w:val="center"/>
          </w:tcPr>
          <w:p w14:paraId="4F2770D3" w14:textId="77777777" w:rsidR="00AB6596" w:rsidRPr="004F4D2E" w:rsidRDefault="00AB6596" w:rsidP="005A172F">
            <w:pPr>
              <w:spacing w:before="40" w:after="40"/>
              <w:ind w:right="92"/>
              <w:jc w:val="right"/>
              <w:rPr>
                <w:rFonts w:ascii="Arial" w:hAnsi="Arial" w:cs="Arial"/>
                <w:sz w:val="20"/>
                <w:szCs w:val="20"/>
                <w:lang w:val="en-US"/>
              </w:rPr>
            </w:pPr>
            <w:r w:rsidRPr="004F4D2E">
              <w:rPr>
                <w:rFonts w:ascii="Arial" w:hAnsi="Arial" w:cs="Arial"/>
                <w:sz w:val="20"/>
                <w:szCs w:val="20"/>
                <w:lang w:val="en-US"/>
              </w:rPr>
              <w:t>208.8</w:t>
            </w:r>
          </w:p>
        </w:tc>
        <w:tc>
          <w:tcPr>
            <w:tcW w:w="1130" w:type="dxa"/>
            <w:tcBorders>
              <w:bottom w:val="single" w:sz="4" w:space="0" w:color="auto"/>
            </w:tcBorders>
            <w:vAlign w:val="center"/>
          </w:tcPr>
          <w:p w14:paraId="372024F8" w14:textId="77777777" w:rsidR="00AB6596" w:rsidRPr="004F4D2E" w:rsidRDefault="00AB6596" w:rsidP="005A172F">
            <w:pPr>
              <w:spacing w:before="40" w:after="40"/>
              <w:ind w:right="98"/>
              <w:jc w:val="right"/>
              <w:rPr>
                <w:rFonts w:ascii="Arial" w:hAnsi="Arial" w:cs="Arial"/>
                <w:bCs/>
                <w:sz w:val="20"/>
                <w:szCs w:val="20"/>
                <w:lang w:val="en-US"/>
              </w:rPr>
            </w:pPr>
            <w:r w:rsidRPr="004F4D2E">
              <w:rPr>
                <w:rFonts w:ascii="Arial" w:hAnsi="Arial" w:cs="Arial"/>
                <w:sz w:val="20"/>
                <w:szCs w:val="20"/>
                <w:lang w:val="en-US"/>
              </w:rPr>
              <w:t>404,9</w:t>
            </w:r>
          </w:p>
        </w:tc>
        <w:tc>
          <w:tcPr>
            <w:tcW w:w="1128" w:type="dxa"/>
            <w:tcBorders>
              <w:bottom w:val="single" w:sz="4" w:space="0" w:color="auto"/>
            </w:tcBorders>
            <w:vAlign w:val="center"/>
          </w:tcPr>
          <w:p w14:paraId="67372186"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17.9</w:t>
            </w:r>
          </w:p>
        </w:tc>
        <w:tc>
          <w:tcPr>
            <w:tcW w:w="1129" w:type="dxa"/>
            <w:tcBorders>
              <w:bottom w:val="single" w:sz="4" w:space="0" w:color="auto"/>
            </w:tcBorders>
            <w:vAlign w:val="center"/>
          </w:tcPr>
          <w:p w14:paraId="490DECF1"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bCs/>
                <w:sz w:val="20"/>
                <w:szCs w:val="20"/>
                <w:lang w:val="en-US"/>
              </w:rPr>
              <w:t>12.5</w:t>
            </w:r>
          </w:p>
        </w:tc>
        <w:tc>
          <w:tcPr>
            <w:tcW w:w="1133" w:type="dxa"/>
            <w:tcBorders>
              <w:bottom w:val="single" w:sz="4" w:space="0" w:color="auto"/>
            </w:tcBorders>
            <w:vAlign w:val="center"/>
          </w:tcPr>
          <w:p w14:paraId="3647BC88" w14:textId="77777777" w:rsidR="00AB6596" w:rsidRPr="004F4D2E" w:rsidRDefault="00AB6596" w:rsidP="005A172F">
            <w:pPr>
              <w:spacing w:before="40" w:after="40"/>
              <w:jc w:val="center"/>
              <w:rPr>
                <w:rFonts w:ascii="Arial" w:hAnsi="Arial" w:cs="Arial"/>
                <w:bCs/>
                <w:sz w:val="20"/>
                <w:szCs w:val="20"/>
                <w:lang w:val="en-US"/>
              </w:rPr>
            </w:pPr>
            <w:r w:rsidRPr="004F4D2E">
              <w:rPr>
                <w:rFonts w:ascii="Arial" w:hAnsi="Arial" w:cs="Arial"/>
                <w:sz w:val="20"/>
                <w:szCs w:val="20"/>
                <w:lang w:val="en-US"/>
              </w:rPr>
              <w:t>12.5</w:t>
            </w:r>
          </w:p>
        </w:tc>
      </w:tr>
    </w:tbl>
    <w:p w14:paraId="3CBBB10D" w14:textId="77777777" w:rsidR="00AB6596" w:rsidRPr="004F4D2E" w:rsidRDefault="00AB6596" w:rsidP="00AB6596">
      <w:pPr>
        <w:pStyle w:val="ListParagraph"/>
        <w:tabs>
          <w:tab w:val="left" w:pos="567"/>
        </w:tabs>
        <w:spacing w:after="0" w:line="264" w:lineRule="auto"/>
        <w:ind w:left="0"/>
        <w:jc w:val="both"/>
        <w:rPr>
          <w:rFonts w:ascii="Times New Roman" w:hAnsi="Times New Roman" w:cs="Times New Roman"/>
          <w:color w:val="000000" w:themeColor="text1"/>
          <w:sz w:val="28"/>
          <w:szCs w:val="28"/>
          <w:lang w:val="en-US"/>
        </w:rPr>
      </w:pPr>
      <w:r w:rsidRPr="004F4D2E">
        <w:rPr>
          <w:rFonts w:ascii="Times New Roman" w:hAnsi="Times New Roman" w:cs="Times New Roman"/>
          <w:color w:val="000000" w:themeColor="text1"/>
          <w:sz w:val="28"/>
          <w:szCs w:val="28"/>
          <w:lang w:val="en-US"/>
        </w:rPr>
        <w:tab/>
      </w:r>
    </w:p>
    <w:p w14:paraId="0784155F" w14:textId="63BB07DA" w:rsidR="00AB6596" w:rsidRPr="004F4D2E" w:rsidRDefault="00AB6596" w:rsidP="00AB6596">
      <w:pPr>
        <w:pStyle w:val="ListParagraph"/>
        <w:tabs>
          <w:tab w:val="left" w:pos="567"/>
        </w:tabs>
        <w:spacing w:after="0" w:line="264" w:lineRule="auto"/>
        <w:ind w:left="0" w:firstLine="567"/>
        <w:jc w:val="both"/>
        <w:rPr>
          <w:rFonts w:ascii="Times New Roman" w:hAnsi="Times New Roman" w:cs="Times New Roman"/>
          <w:iCs/>
          <w:color w:val="000000" w:themeColor="text1"/>
          <w:sz w:val="28"/>
          <w:szCs w:val="28"/>
          <w:lang w:val="en-US"/>
        </w:rPr>
      </w:pPr>
      <w:r w:rsidRPr="004F4D2E">
        <w:rPr>
          <w:rFonts w:ascii="Times New Roman" w:hAnsi="Times New Roman" w:cs="Times New Roman"/>
          <w:iCs/>
          <w:sz w:val="28"/>
          <w:szCs w:val="28"/>
          <w:lang w:val="en-US"/>
        </w:rPr>
        <w:t>Passenger carried</w:t>
      </w:r>
      <w:r w:rsidRPr="004F4D2E">
        <w:rPr>
          <w:rFonts w:ascii="Times New Roman" w:hAnsi="Times New Roman" w:cs="Times New Roman"/>
          <w:color w:val="000000" w:themeColor="text1"/>
          <w:sz w:val="28"/>
          <w:szCs w:val="28"/>
          <w:lang w:val="en-US"/>
        </w:rPr>
        <w:t xml:space="preserve"> </w:t>
      </w:r>
      <w:r w:rsidR="00F94F6A">
        <w:rPr>
          <w:rFonts w:ascii="Times New Roman" w:hAnsi="Times New Roman" w:cs="Times New Roman"/>
          <w:iCs/>
          <w:sz w:val="28"/>
          <w:szCs w:val="28"/>
          <w:lang w:val="en-US"/>
        </w:rPr>
        <w:t>in the first half of</w:t>
      </w:r>
      <w:r w:rsidRPr="004F4D2E">
        <w:rPr>
          <w:rFonts w:ascii="Times New Roman" w:hAnsi="Times New Roman" w:cs="Times New Roman"/>
          <w:iCs/>
          <w:sz w:val="28"/>
          <w:szCs w:val="28"/>
          <w:lang w:val="en-US"/>
        </w:rPr>
        <w:t xml:space="preserve"> 2026</w:t>
      </w:r>
      <w:r w:rsidRPr="004F4D2E">
        <w:rPr>
          <w:rFonts w:ascii="Times New Roman" w:hAnsi="Times New Roman" w:cs="Times New Roman"/>
          <w:color w:val="000000" w:themeColor="text1"/>
          <w:sz w:val="28"/>
          <w:szCs w:val="28"/>
          <w:lang w:val="en-US"/>
        </w:rPr>
        <w:t xml:space="preserve"> </w:t>
      </w:r>
      <w:r w:rsidRPr="004F4D2E">
        <w:rPr>
          <w:rFonts w:ascii="Times New Roman" w:hAnsi="Times New Roman" w:cs="Times New Roman"/>
          <w:iCs/>
          <w:color w:val="000000" w:themeColor="text1"/>
          <w:sz w:val="28"/>
          <w:szCs w:val="28"/>
          <w:lang w:val="en-US"/>
        </w:rPr>
        <w:t>was estimated at 3,403.1 million turns of passengers, a YoY increase of 18.8% and passenger carried (passenger-kilometers) reached 170.7 billion passenger-kilometer, a rise of 12.2%</w:t>
      </w:r>
      <w:r w:rsidRPr="004F4D2E">
        <w:rPr>
          <w:rFonts w:ascii="Times New Roman" w:hAnsi="Times New Roman" w:cs="Times New Roman"/>
          <w:color w:val="000000" w:themeColor="text1"/>
          <w:sz w:val="28"/>
          <w:szCs w:val="28"/>
          <w:lang w:val="en-US"/>
        </w:rPr>
        <w:t xml:space="preserve">; </w:t>
      </w:r>
      <w:r w:rsidRPr="004F4D2E">
        <w:rPr>
          <w:rFonts w:ascii="Times New Roman" w:hAnsi="Times New Roman" w:cs="Times New Roman"/>
          <w:iCs/>
          <w:sz w:val="28"/>
          <w:szCs w:val="28"/>
          <w:lang w:val="en-US"/>
        </w:rPr>
        <w:t>in Q2 2026, passengers carried was estimated at 1,810.2 million turns, up 23.2% YoY, and passenger-kilometers reached 86.0 billion passenger-kilometers, up 12.6%</w:t>
      </w:r>
      <w:r w:rsidRPr="004F4D2E">
        <w:rPr>
          <w:rFonts w:ascii="Times New Roman" w:hAnsi="Times New Roman" w:cs="Times New Roman"/>
          <w:color w:val="000000" w:themeColor="text1"/>
          <w:sz w:val="28"/>
          <w:szCs w:val="28"/>
          <w:lang w:val="en-US"/>
        </w:rPr>
        <w:t xml:space="preserve">. </w:t>
      </w:r>
    </w:p>
    <w:p w14:paraId="71348239" w14:textId="3B5D716B" w:rsidR="00AB6596" w:rsidRPr="004F4D2E" w:rsidRDefault="00AB6596" w:rsidP="00AB6596">
      <w:pPr>
        <w:pStyle w:val="ListParagraph"/>
        <w:tabs>
          <w:tab w:val="left" w:pos="567"/>
        </w:tabs>
        <w:spacing w:after="0" w:line="264" w:lineRule="auto"/>
        <w:ind w:left="0"/>
        <w:jc w:val="both"/>
        <w:rPr>
          <w:rFonts w:ascii="Times New Roman" w:hAnsi="Times New Roman" w:cs="Times New Roman"/>
          <w:iCs/>
          <w:color w:val="000000" w:themeColor="text1"/>
          <w:sz w:val="28"/>
          <w:szCs w:val="28"/>
          <w:lang w:val="en-US"/>
        </w:rPr>
      </w:pPr>
      <w:r w:rsidRPr="004F4D2E">
        <w:rPr>
          <w:rFonts w:ascii="Times New Roman" w:hAnsi="Times New Roman" w:cs="Times New Roman"/>
          <w:color w:val="000000" w:themeColor="text1"/>
          <w:sz w:val="28"/>
          <w:szCs w:val="28"/>
          <w:lang w:val="en-US"/>
        </w:rPr>
        <w:tab/>
      </w:r>
      <w:r w:rsidRPr="004F4D2E">
        <w:rPr>
          <w:rFonts w:ascii="Times New Roman" w:hAnsi="Times New Roman" w:cs="Times New Roman"/>
          <w:iCs/>
          <w:sz w:val="28"/>
          <w:szCs w:val="28"/>
          <w:lang w:val="en-US"/>
        </w:rPr>
        <w:t>Freight transported</w:t>
      </w:r>
      <w:r w:rsidRPr="004F4D2E">
        <w:rPr>
          <w:rFonts w:ascii="Times New Roman" w:hAnsi="Times New Roman" w:cs="Times New Roman"/>
          <w:color w:val="000000" w:themeColor="text1"/>
          <w:sz w:val="28"/>
          <w:szCs w:val="28"/>
          <w:lang w:val="en-US"/>
        </w:rPr>
        <w:t xml:space="preserve"> </w:t>
      </w:r>
      <w:r w:rsidR="00F94F6A">
        <w:rPr>
          <w:rFonts w:ascii="Times New Roman" w:hAnsi="Times New Roman" w:cs="Times New Roman"/>
          <w:iCs/>
          <w:sz w:val="28"/>
          <w:szCs w:val="28"/>
          <w:lang w:val="en-US"/>
        </w:rPr>
        <w:t>in the first half of</w:t>
      </w:r>
      <w:r w:rsidRPr="004F4D2E">
        <w:rPr>
          <w:rFonts w:ascii="Times New Roman" w:hAnsi="Times New Roman" w:cs="Times New Roman"/>
          <w:iCs/>
          <w:sz w:val="28"/>
          <w:szCs w:val="28"/>
          <w:lang w:val="en-US"/>
        </w:rPr>
        <w:t xml:space="preserve"> 2026</w:t>
      </w:r>
      <w:r w:rsidRPr="004F4D2E">
        <w:rPr>
          <w:rFonts w:ascii="Times New Roman" w:hAnsi="Times New Roman" w:cs="Times New Roman"/>
          <w:color w:val="000000" w:themeColor="text1"/>
          <w:spacing w:val="-2"/>
          <w:sz w:val="28"/>
          <w:szCs w:val="28"/>
          <w:lang w:val="en-US"/>
        </w:rPr>
        <w:t xml:space="preserve"> </w:t>
      </w:r>
      <w:r w:rsidRPr="004F4D2E">
        <w:rPr>
          <w:rFonts w:ascii="Times New Roman" w:hAnsi="Times New Roman" w:cs="Times New Roman"/>
          <w:iCs/>
          <w:sz w:val="28"/>
          <w:szCs w:val="28"/>
          <w:lang w:val="en-US"/>
        </w:rPr>
        <w:t>was estimated at 1,619.4 million tons, a YoY increase of 13.2% and freight transported (ton-kilometers) reached 321.2 billion ton-kilometer, a YoY increase of 10.0%</w:t>
      </w:r>
      <w:r w:rsidRPr="004F4D2E">
        <w:rPr>
          <w:rFonts w:ascii="Times New Roman" w:hAnsi="Times New Roman" w:cs="Times New Roman"/>
          <w:color w:val="000000" w:themeColor="text1"/>
          <w:sz w:val="28"/>
          <w:szCs w:val="28"/>
          <w:lang w:val="en-US"/>
        </w:rPr>
        <w:t xml:space="preserve">; </w:t>
      </w:r>
      <w:r w:rsidRPr="004F4D2E">
        <w:rPr>
          <w:rFonts w:ascii="Times New Roman" w:hAnsi="Times New Roman" w:cs="Times New Roman"/>
          <w:iCs/>
          <w:sz w:val="28"/>
          <w:szCs w:val="28"/>
          <w:lang w:val="en-US"/>
        </w:rPr>
        <w:t>in Q2 2026, freight transported was estimated at 810.6 million turns, up 12,1% YoY and passenger-kilometers reached 166.3 billion passenger-kilometers, up 9.9%</w:t>
      </w:r>
      <w:r w:rsidRPr="004F4D2E">
        <w:rPr>
          <w:rFonts w:ascii="Times New Roman" w:hAnsi="Times New Roman" w:cs="Times New Roman"/>
          <w:color w:val="000000" w:themeColor="text1"/>
          <w:sz w:val="28"/>
          <w:szCs w:val="28"/>
          <w:lang w:val="en-US"/>
        </w:rPr>
        <w:t>.</w:t>
      </w:r>
    </w:p>
    <w:p w14:paraId="0674C510" w14:textId="59BAD1A7" w:rsidR="00AB6596" w:rsidRPr="004F4D2E" w:rsidRDefault="00AB6596" w:rsidP="00AB6596">
      <w:pPr>
        <w:spacing w:after="0" w:line="264" w:lineRule="auto"/>
        <w:jc w:val="both"/>
        <w:rPr>
          <w:rFonts w:ascii="Times New Roman" w:hAnsi="Times New Roman" w:cs="Times New Roman"/>
          <w:iCs/>
          <w:color w:val="000000" w:themeColor="text1"/>
          <w:spacing w:val="2"/>
          <w:sz w:val="28"/>
          <w:szCs w:val="28"/>
          <w:lang w:val="en-US"/>
        </w:rPr>
      </w:pPr>
      <w:r w:rsidRPr="004F4D2E">
        <w:rPr>
          <w:rFonts w:ascii="Times New Roman" w:hAnsi="Times New Roman" w:cs="Times New Roman"/>
          <w:color w:val="000000" w:themeColor="text1"/>
          <w:spacing w:val="2"/>
          <w:sz w:val="28"/>
          <w:szCs w:val="28"/>
          <w:lang w:val="en-US"/>
        </w:rPr>
        <w:t xml:space="preserve">        </w:t>
      </w:r>
      <w:r w:rsidRPr="004F4D2E">
        <w:rPr>
          <w:rFonts w:ascii="Times New Roman" w:eastAsia="Calibri" w:hAnsi="Times New Roman" w:cs="Times New Roman"/>
          <w:sz w:val="28"/>
          <w:szCs w:val="28"/>
          <w:lang w:val="en-US"/>
        </w:rPr>
        <w:t>International visitors to Viet Nam</w:t>
      </w:r>
      <w:r w:rsidR="00F94F6A">
        <w:rPr>
          <w:rFonts w:ascii="Times New Roman" w:hAnsi="Times New Roman" w:cs="Times New Roman"/>
          <w:color w:val="000000" w:themeColor="text1"/>
          <w:spacing w:val="2"/>
          <w:sz w:val="28"/>
          <w:szCs w:val="28"/>
          <w:lang w:val="en-US"/>
        </w:rPr>
        <w:t xml:space="preserve"> in the first half of</w:t>
      </w:r>
      <w:r w:rsidRPr="004F4D2E">
        <w:rPr>
          <w:rFonts w:ascii="Times New Roman" w:hAnsi="Times New Roman" w:cs="Times New Roman"/>
          <w:color w:val="000000" w:themeColor="text1"/>
          <w:spacing w:val="2"/>
          <w:sz w:val="28"/>
          <w:szCs w:val="28"/>
          <w:lang w:val="en-US"/>
        </w:rPr>
        <w:t xml:space="preserve"> 2026 </w:t>
      </w:r>
      <w:r w:rsidRPr="004F4D2E">
        <w:rPr>
          <w:rFonts w:ascii="Times New Roman" w:hAnsi="Times New Roman" w:cs="Times New Roman"/>
          <w:iCs/>
          <w:sz w:val="28"/>
          <w:szCs w:val="28"/>
          <w:lang w:val="en-US"/>
        </w:rPr>
        <w:t xml:space="preserve">reached 12.3 </w:t>
      </w:r>
      <w:r w:rsidRPr="004F4D2E">
        <w:rPr>
          <w:rFonts w:ascii="Times New Roman" w:eastAsia="Calibri" w:hAnsi="Times New Roman" w:cs="Times New Roman"/>
          <w:sz w:val="28"/>
          <w:szCs w:val="28"/>
          <w:lang w:val="en-US"/>
        </w:rPr>
        <w:t>million arrivals</w:t>
      </w:r>
      <w:r w:rsidRPr="004F4D2E">
        <w:rPr>
          <w:rFonts w:ascii="Times New Roman" w:hAnsi="Times New Roman" w:cs="Times New Roman"/>
          <w:iCs/>
          <w:sz w:val="28"/>
          <w:szCs w:val="28"/>
          <w:lang w:val="en-US"/>
        </w:rPr>
        <w:t xml:space="preserve">, a YoY growth of 14.9%. </w:t>
      </w:r>
      <w:r w:rsidRPr="004F4D2E">
        <w:rPr>
          <w:rFonts w:ascii="Times New Roman" w:eastAsia="Calibri" w:hAnsi="Times New Roman" w:cs="Times New Roman"/>
          <w:sz w:val="28"/>
          <w:szCs w:val="28"/>
          <w:lang w:val="en-US"/>
        </w:rPr>
        <w:t>Of which, arrivals by airway reached</w:t>
      </w:r>
      <w:r w:rsidRPr="004F4D2E">
        <w:rPr>
          <w:rFonts w:ascii="Times New Roman" w:hAnsi="Times New Roman" w:cs="Times New Roman"/>
          <w:iCs/>
          <w:sz w:val="28"/>
          <w:szCs w:val="28"/>
          <w:lang w:val="en-US"/>
        </w:rPr>
        <w:t xml:space="preserve"> 10.1 </w:t>
      </w:r>
      <w:r w:rsidRPr="004F4D2E">
        <w:rPr>
          <w:rFonts w:ascii="Times New Roman" w:eastAsia="Calibri" w:hAnsi="Times New Roman" w:cs="Times New Roman"/>
          <w:sz w:val="28"/>
          <w:szCs w:val="28"/>
          <w:lang w:val="en-US"/>
        </w:rPr>
        <w:t>million</w:t>
      </w:r>
      <w:r w:rsidRPr="004F4D2E">
        <w:rPr>
          <w:rFonts w:ascii="Times New Roman" w:hAnsi="Times New Roman" w:cs="Times New Roman"/>
          <w:bCs/>
          <w:iCs/>
          <w:spacing w:val="-2"/>
          <w:sz w:val="28"/>
          <w:szCs w:val="28"/>
          <w:lang w:val="en-US"/>
        </w:rPr>
        <w:t xml:space="preserve"> arrivals</w:t>
      </w:r>
      <w:r w:rsidRPr="004F4D2E">
        <w:rPr>
          <w:rFonts w:ascii="Times New Roman" w:eastAsia="Calibri" w:hAnsi="Times New Roman" w:cs="Times New Roman"/>
          <w:sz w:val="28"/>
          <w:szCs w:val="28"/>
          <w:lang w:val="en-US"/>
        </w:rPr>
        <w:t>, accounting for</w:t>
      </w:r>
      <w:r w:rsidRPr="004F4D2E">
        <w:rPr>
          <w:rFonts w:ascii="Times New Roman" w:hAnsi="Times New Roman" w:cs="Times New Roman"/>
          <w:iCs/>
          <w:sz w:val="28"/>
          <w:szCs w:val="28"/>
          <w:lang w:val="en-US"/>
        </w:rPr>
        <w:t xml:space="preserve"> 82.6% </w:t>
      </w:r>
      <w:r w:rsidRPr="004F4D2E">
        <w:rPr>
          <w:rFonts w:ascii="Times New Roman" w:eastAsia="Calibri" w:hAnsi="Times New Roman" w:cs="Times New Roman"/>
          <w:sz w:val="28"/>
          <w:szCs w:val="28"/>
          <w:lang w:val="en-US"/>
        </w:rPr>
        <w:t>of total international visitors to Viet Nam and rising by</w:t>
      </w:r>
      <w:r w:rsidRPr="004F4D2E">
        <w:rPr>
          <w:rFonts w:ascii="Times New Roman" w:hAnsi="Times New Roman" w:cs="Times New Roman"/>
          <w:iCs/>
          <w:sz w:val="28"/>
          <w:szCs w:val="28"/>
          <w:lang w:val="en-US"/>
        </w:rPr>
        <w:t xml:space="preserve"> 11.4% YoY; </w:t>
      </w:r>
      <w:r w:rsidRPr="004F4D2E">
        <w:rPr>
          <w:rFonts w:ascii="Times New Roman" w:eastAsia="Calibri" w:hAnsi="Times New Roman" w:cs="Times New Roman"/>
          <w:sz w:val="28"/>
          <w:szCs w:val="28"/>
          <w:lang w:val="en-US"/>
        </w:rPr>
        <w:t>arrivals by road reached</w:t>
      </w:r>
      <w:r w:rsidRPr="004F4D2E">
        <w:rPr>
          <w:rFonts w:ascii="Times New Roman" w:hAnsi="Times New Roman" w:cs="Times New Roman"/>
          <w:iCs/>
          <w:sz w:val="28"/>
          <w:szCs w:val="28"/>
          <w:lang w:val="en-US"/>
        </w:rPr>
        <w:t xml:space="preserve"> 1.9 </w:t>
      </w:r>
      <w:r w:rsidRPr="004F4D2E">
        <w:rPr>
          <w:rFonts w:ascii="Times New Roman" w:eastAsia="Calibri" w:hAnsi="Times New Roman" w:cs="Times New Roman"/>
          <w:sz w:val="28"/>
          <w:szCs w:val="28"/>
          <w:lang w:val="en-US"/>
        </w:rPr>
        <w:t>million</w:t>
      </w:r>
      <w:r w:rsidRPr="004F4D2E">
        <w:rPr>
          <w:rFonts w:ascii="Times New Roman" w:hAnsi="Times New Roman" w:cs="Times New Roman"/>
          <w:bCs/>
          <w:iCs/>
          <w:spacing w:val="-2"/>
          <w:sz w:val="28"/>
          <w:szCs w:val="28"/>
          <w:lang w:val="en-US"/>
        </w:rPr>
        <w:t xml:space="preserve"> arrivals</w:t>
      </w:r>
      <w:r w:rsidRPr="004F4D2E">
        <w:rPr>
          <w:rFonts w:ascii="Times New Roman" w:eastAsia="Calibri" w:hAnsi="Times New Roman" w:cs="Times New Roman"/>
          <w:sz w:val="28"/>
          <w:szCs w:val="28"/>
          <w:lang w:val="en-US"/>
        </w:rPr>
        <w:t>, accounting for</w:t>
      </w:r>
      <w:r w:rsidRPr="004F4D2E">
        <w:rPr>
          <w:rFonts w:ascii="Times New Roman" w:hAnsi="Times New Roman" w:cs="Times New Roman"/>
          <w:iCs/>
          <w:sz w:val="28"/>
          <w:szCs w:val="28"/>
          <w:lang w:val="en-US"/>
        </w:rPr>
        <w:t xml:space="preserve"> 15.7% </w:t>
      </w:r>
      <w:r w:rsidRPr="004F4D2E">
        <w:rPr>
          <w:rFonts w:ascii="Times New Roman" w:eastAsia="Calibri" w:hAnsi="Times New Roman" w:cs="Times New Roman"/>
          <w:sz w:val="28"/>
          <w:szCs w:val="28"/>
          <w:lang w:val="en-US"/>
        </w:rPr>
        <w:t>and increasing by</w:t>
      </w:r>
      <w:r w:rsidRPr="004F4D2E">
        <w:rPr>
          <w:rFonts w:ascii="Times New Roman" w:hAnsi="Times New Roman" w:cs="Times New Roman"/>
          <w:iCs/>
          <w:sz w:val="28"/>
          <w:szCs w:val="28"/>
          <w:lang w:val="en-US"/>
        </w:rPr>
        <w:t xml:space="preserve"> 37.5%; </w:t>
      </w:r>
      <w:r w:rsidRPr="004F4D2E">
        <w:rPr>
          <w:rFonts w:ascii="Times New Roman" w:eastAsia="Calibri" w:hAnsi="Times New Roman" w:cs="Times New Roman"/>
          <w:sz w:val="28"/>
          <w:szCs w:val="28"/>
          <w:lang w:val="en-US"/>
        </w:rPr>
        <w:t>arrivals by seaway reached</w:t>
      </w:r>
      <w:r w:rsidRPr="004F4D2E">
        <w:rPr>
          <w:rFonts w:ascii="Times New Roman" w:hAnsi="Times New Roman" w:cs="Times New Roman"/>
          <w:iCs/>
          <w:sz w:val="28"/>
          <w:szCs w:val="28"/>
          <w:lang w:val="en-US"/>
        </w:rPr>
        <w:t xml:space="preserve"> 209.0 </w:t>
      </w:r>
      <w:r w:rsidRPr="004F4D2E">
        <w:rPr>
          <w:rFonts w:ascii="Times New Roman" w:eastAsia="Calibri" w:hAnsi="Times New Roman" w:cs="Times New Roman"/>
          <w:sz w:val="28"/>
          <w:szCs w:val="28"/>
          <w:lang w:val="en-US"/>
        </w:rPr>
        <w:t>thousand arrivals, accounting for</w:t>
      </w:r>
      <w:r w:rsidRPr="004F4D2E">
        <w:rPr>
          <w:rFonts w:ascii="Times New Roman" w:hAnsi="Times New Roman" w:cs="Times New Roman"/>
          <w:iCs/>
          <w:sz w:val="28"/>
          <w:szCs w:val="28"/>
          <w:lang w:val="en-US"/>
        </w:rPr>
        <w:t xml:space="preserve"> 1.7% </w:t>
      </w:r>
      <w:r w:rsidRPr="004F4D2E">
        <w:rPr>
          <w:rFonts w:ascii="Times New Roman" w:eastAsia="Calibri" w:hAnsi="Times New Roman" w:cs="Times New Roman"/>
          <w:sz w:val="28"/>
          <w:szCs w:val="28"/>
          <w:lang w:val="en-US"/>
        </w:rPr>
        <w:t>and rising by</w:t>
      </w:r>
      <w:r w:rsidRPr="004F4D2E">
        <w:rPr>
          <w:rFonts w:ascii="Times New Roman" w:hAnsi="Times New Roman" w:cs="Times New Roman"/>
          <w:iCs/>
          <w:sz w:val="28"/>
          <w:szCs w:val="28"/>
          <w:lang w:val="en-US"/>
        </w:rPr>
        <w:t xml:space="preserve"> 15.2%</w:t>
      </w:r>
      <w:r w:rsidRPr="004F4D2E">
        <w:rPr>
          <w:rFonts w:ascii="Times New Roman" w:hAnsi="Times New Roman" w:cs="Times New Roman"/>
          <w:iCs/>
          <w:color w:val="000000" w:themeColor="text1"/>
          <w:spacing w:val="2"/>
          <w:sz w:val="28"/>
          <w:szCs w:val="28"/>
          <w:lang w:val="en-US"/>
        </w:rPr>
        <w:t>.</w:t>
      </w:r>
    </w:p>
    <w:p w14:paraId="48B8B022" w14:textId="44363EE7" w:rsidR="00AB6596" w:rsidRPr="004F4D2E" w:rsidRDefault="00AB6596" w:rsidP="00AB6596">
      <w:pPr>
        <w:spacing w:after="0" w:line="264" w:lineRule="auto"/>
        <w:ind w:firstLine="720"/>
        <w:jc w:val="both"/>
        <w:rPr>
          <w:rFonts w:ascii="Times New Roman" w:hAnsi="Times New Roman" w:cs="Times New Roman"/>
          <w:color w:val="000000" w:themeColor="text1"/>
          <w:sz w:val="28"/>
          <w:szCs w:val="28"/>
          <w:lang w:val="en-US"/>
        </w:rPr>
      </w:pPr>
      <w:r w:rsidRPr="004F4D2E">
        <w:rPr>
          <w:rFonts w:ascii="Times New Roman" w:hAnsi="Times New Roman" w:cs="Times New Roman"/>
          <w:bCs/>
          <w:sz w:val="28"/>
          <w:szCs w:val="28"/>
          <w:lang w:val="en-US" w:eastAsia="en-GB"/>
        </w:rPr>
        <w:t>The number of outbound Vietnamese citizens</w:t>
      </w:r>
      <w:r w:rsidRPr="004F4D2E">
        <w:rPr>
          <w:rFonts w:ascii="Times New Roman" w:eastAsia="Calibri" w:hAnsi="Times New Roman" w:cs="Times New Roman"/>
          <w:color w:val="000000" w:themeColor="text1"/>
          <w:spacing w:val="-4"/>
          <w:sz w:val="28"/>
          <w:szCs w:val="28"/>
          <w:vertAlign w:val="superscript"/>
          <w:lang w:val="en-US"/>
        </w:rPr>
        <w:footnoteReference w:id="17"/>
      </w:r>
      <w:r w:rsidRPr="004F4D2E">
        <w:rPr>
          <w:rFonts w:ascii="Times New Roman" w:hAnsi="Times New Roman" w:cs="Times New Roman"/>
          <w:color w:val="000000" w:themeColor="text1"/>
          <w:sz w:val="28"/>
          <w:szCs w:val="28"/>
          <w:lang w:val="en-US"/>
        </w:rPr>
        <w:t xml:space="preserve"> </w:t>
      </w:r>
      <w:r w:rsidR="00F94F6A">
        <w:rPr>
          <w:rFonts w:ascii="Times New Roman" w:hAnsi="Times New Roman" w:cs="Times New Roman"/>
          <w:bCs/>
          <w:sz w:val="28"/>
          <w:szCs w:val="28"/>
          <w:lang w:val="en-US"/>
        </w:rPr>
        <w:t>in the first half of</w:t>
      </w:r>
      <w:r w:rsidRPr="004F4D2E">
        <w:rPr>
          <w:rFonts w:ascii="Times New Roman" w:hAnsi="Times New Roman" w:cs="Times New Roman"/>
          <w:bCs/>
          <w:sz w:val="28"/>
          <w:szCs w:val="28"/>
          <w:lang w:val="en-US"/>
        </w:rPr>
        <w:t xml:space="preserve"> 2026</w:t>
      </w:r>
      <w:r w:rsidRPr="004F4D2E">
        <w:rPr>
          <w:rFonts w:ascii="Times New Roman" w:hAnsi="Times New Roman" w:cs="Times New Roman"/>
          <w:color w:val="000000" w:themeColor="text1"/>
          <w:sz w:val="28"/>
          <w:szCs w:val="28"/>
          <w:lang w:val="en-US"/>
        </w:rPr>
        <w:t xml:space="preserve"> reached 2,685.8 thousand, </w:t>
      </w:r>
      <w:r w:rsidRPr="004F4D2E">
        <w:rPr>
          <w:rFonts w:ascii="Times New Roman" w:hAnsi="Times New Roman" w:cs="Times New Roman"/>
          <w:bCs/>
          <w:sz w:val="28"/>
          <w:szCs w:val="28"/>
          <w:lang w:val="en-US" w:eastAsia="en-GB"/>
        </w:rPr>
        <w:t>down</w:t>
      </w:r>
      <w:r w:rsidRPr="004F4D2E">
        <w:rPr>
          <w:rFonts w:ascii="Times New Roman" w:hAnsi="Times New Roman" w:cs="Times New Roman"/>
          <w:bCs/>
          <w:sz w:val="28"/>
          <w:szCs w:val="28"/>
          <w:lang w:val="en-US"/>
        </w:rPr>
        <w:t xml:space="preserve"> 33.9% YoY</w:t>
      </w:r>
      <w:r w:rsidRPr="004F4D2E">
        <w:rPr>
          <w:rFonts w:ascii="Times New Roman" w:hAnsi="Times New Roman" w:cs="Times New Roman"/>
          <w:color w:val="000000" w:themeColor="text1"/>
          <w:sz w:val="28"/>
          <w:szCs w:val="28"/>
          <w:lang w:val="en-US"/>
        </w:rPr>
        <w:t>.</w:t>
      </w:r>
    </w:p>
    <w:p w14:paraId="7049E077" w14:textId="77777777" w:rsidR="00AB6596" w:rsidRPr="004F4D2E" w:rsidRDefault="00AB6596" w:rsidP="00AB6596">
      <w:pPr>
        <w:shd w:val="clear" w:color="auto" w:fill="FFFFFF"/>
        <w:spacing w:before="120" w:after="120" w:line="254" w:lineRule="auto"/>
        <w:ind w:firstLine="720"/>
        <w:jc w:val="both"/>
        <w:rPr>
          <w:rFonts w:ascii="Times New Roman" w:hAnsi="Times New Roman" w:cs="Times New Roman"/>
          <w:b/>
          <w:i/>
          <w:color w:val="000000" w:themeColor="text1"/>
          <w:sz w:val="28"/>
          <w:szCs w:val="28"/>
          <w:lang w:val="en-US"/>
        </w:rPr>
      </w:pPr>
      <w:r w:rsidRPr="004F4D2E">
        <w:rPr>
          <w:rFonts w:ascii="Times New Roman" w:hAnsi="Times New Roman"/>
          <w:b/>
          <w:i/>
          <w:color w:val="000000" w:themeColor="text1"/>
          <w:sz w:val="28"/>
          <w:lang w:val="en-US"/>
        </w:rPr>
        <w:t>6. Monetary policy was managed proactively and flexibly, in lockstep with fiscal policy, to tame inflation, anchor macroeconomic stability, and fuel growth. Concurrently, the insurance market maintained a steady upward trajectory, while the securities market demonstrated resilient stability. Notably, total capital mobilization surged 45.8% YoY.</w:t>
      </w:r>
    </w:p>
    <w:p w14:paraId="5D352672" w14:textId="77777777" w:rsidR="00AB6596" w:rsidRPr="004F4D2E" w:rsidRDefault="00AB6596" w:rsidP="00AB6596">
      <w:pPr>
        <w:shd w:val="clear" w:color="auto" w:fill="FFFFFF"/>
        <w:spacing w:after="0" w:line="254" w:lineRule="auto"/>
        <w:ind w:firstLine="720"/>
        <w:jc w:val="both"/>
        <w:rPr>
          <w:rFonts w:ascii="Times New Roman" w:hAnsi="Times New Roman" w:cs="Times New Roman"/>
          <w:color w:val="000000" w:themeColor="text1"/>
          <w:spacing w:val="-4"/>
          <w:sz w:val="28"/>
          <w:szCs w:val="28"/>
          <w:lang w:val="en-US"/>
        </w:rPr>
      </w:pPr>
      <w:r w:rsidRPr="004F4D2E">
        <w:rPr>
          <w:rFonts w:ascii="Times New Roman" w:hAnsi="Times New Roman"/>
          <w:color w:val="000000" w:themeColor="text1"/>
          <w:sz w:val="28"/>
          <w:lang w:val="en-US"/>
        </w:rPr>
        <w:lastRenderedPageBreak/>
        <w:t>As of June 26</w:t>
      </w:r>
      <w:r w:rsidRPr="004F4D2E">
        <w:rPr>
          <w:rFonts w:ascii="Times New Roman" w:hAnsi="Times New Roman"/>
          <w:color w:val="000000" w:themeColor="text1"/>
          <w:sz w:val="28"/>
          <w:vertAlign w:val="superscript"/>
          <w:lang w:val="en-US"/>
        </w:rPr>
        <w:t>th</w:t>
      </w:r>
      <w:r w:rsidRPr="004F4D2E">
        <w:rPr>
          <w:rFonts w:ascii="Times New Roman" w:hAnsi="Times New Roman"/>
          <w:color w:val="000000" w:themeColor="text1"/>
          <w:sz w:val="28"/>
          <w:lang w:val="en-US"/>
        </w:rPr>
        <w:t xml:space="preserve">, 2026, the capital mobilization by credit institutions witnessed a YoY increase of 5.02% (the corresponding figure in 2025 was 6.11%), and credit growth of the economy reached 7.41% (the corresponding figure in 2025 was 8.3%). </w:t>
      </w:r>
    </w:p>
    <w:p w14:paraId="5B10CEEF" w14:textId="44A9A8F2" w:rsidR="00AB6596" w:rsidRPr="004F4D2E" w:rsidRDefault="00F94F6A" w:rsidP="00AB6596">
      <w:pPr>
        <w:shd w:val="clear" w:color="auto" w:fill="FFFFFF"/>
        <w:spacing w:after="0" w:line="254" w:lineRule="auto"/>
        <w:ind w:firstLine="720"/>
        <w:jc w:val="both"/>
        <w:rPr>
          <w:rFonts w:ascii="Times New Roman" w:hAnsi="Times New Roman" w:cs="Times New Roman"/>
          <w:color w:val="000000" w:themeColor="text1"/>
          <w:spacing w:val="4"/>
          <w:sz w:val="28"/>
          <w:szCs w:val="28"/>
          <w:lang w:val="en-US"/>
        </w:rPr>
      </w:pPr>
      <w:r>
        <w:rPr>
          <w:rFonts w:ascii="Times New Roman" w:hAnsi="Times New Roman"/>
          <w:color w:val="000000" w:themeColor="text1"/>
          <w:sz w:val="28"/>
          <w:lang w:val="en-US"/>
        </w:rPr>
        <w:t>In the first half of</w:t>
      </w:r>
      <w:r w:rsidR="00AB6596" w:rsidRPr="004F4D2E">
        <w:rPr>
          <w:rFonts w:ascii="Times New Roman" w:hAnsi="Times New Roman"/>
          <w:color w:val="000000" w:themeColor="text1"/>
          <w:sz w:val="28"/>
          <w:lang w:val="en-US"/>
        </w:rPr>
        <w:t xml:space="preserve"> 2026, total premium revenue across the insurance market was estimated to reach 117.9 trillion VND, a YoY rise of 2.2%; specifically: life insurance premium revenue was estimated at 68.8 trillion VND, down 4.5%, while the non-life insurance sector reached an estimated 49.1 trillion VND, up 13.5%.</w:t>
      </w:r>
    </w:p>
    <w:p w14:paraId="2EDF99C4" w14:textId="1DE78AA0" w:rsidR="00AB6596" w:rsidRPr="004F4D2E" w:rsidRDefault="00AB6596" w:rsidP="00AB6596">
      <w:pPr>
        <w:spacing w:after="0" w:line="254" w:lineRule="auto"/>
        <w:ind w:firstLine="720"/>
        <w:jc w:val="both"/>
        <w:rPr>
          <w:rFonts w:ascii="Times New Roman" w:hAnsi="Times New Roman" w:cs="Times New Roman"/>
          <w:color w:val="000000" w:themeColor="text1"/>
          <w:spacing w:val="2"/>
          <w:sz w:val="28"/>
          <w:szCs w:val="28"/>
          <w:lang w:val="en-US"/>
        </w:rPr>
      </w:pPr>
      <w:r w:rsidRPr="004F4D2E">
        <w:rPr>
          <w:rFonts w:ascii="Times New Roman" w:hAnsi="Times New Roman"/>
          <w:color w:val="000000" w:themeColor="text1"/>
          <w:sz w:val="28"/>
          <w:lang w:val="en-US"/>
        </w:rPr>
        <w:t xml:space="preserve">In the securities market, trading activity remained relatively stable </w:t>
      </w:r>
      <w:r w:rsidR="00F94F6A">
        <w:rPr>
          <w:rFonts w:ascii="Times New Roman" w:hAnsi="Times New Roman"/>
          <w:color w:val="000000" w:themeColor="text1"/>
          <w:sz w:val="28"/>
          <w:lang w:val="en-US"/>
        </w:rPr>
        <w:t>in the first half of</w:t>
      </w:r>
      <w:r w:rsidRPr="004F4D2E">
        <w:rPr>
          <w:rFonts w:ascii="Times New Roman" w:hAnsi="Times New Roman"/>
          <w:color w:val="000000" w:themeColor="text1"/>
          <w:sz w:val="28"/>
          <w:lang w:val="en-US"/>
        </w:rPr>
        <w:t xml:space="preserve"> 2026. This resilient performance was anchored by robust economic growth and improved business earnings, alongside pivotal policy reforms. Furthermore, the market's upgrade to a secondary emerging market status injected str</w:t>
      </w:r>
      <w:r w:rsidR="00F94F6A">
        <w:rPr>
          <w:rFonts w:ascii="Times New Roman" w:hAnsi="Times New Roman"/>
          <w:color w:val="000000" w:themeColor="text1"/>
          <w:sz w:val="28"/>
          <w:lang w:val="en-US"/>
        </w:rPr>
        <w:t>ong momentum, driving capital in the</w:t>
      </w:r>
      <w:r w:rsidRPr="004F4D2E">
        <w:rPr>
          <w:rFonts w:ascii="Times New Roman" w:hAnsi="Times New Roman"/>
          <w:color w:val="000000" w:themeColor="text1"/>
          <w:sz w:val="28"/>
          <w:lang w:val="en-US"/>
        </w:rPr>
        <w:t xml:space="preserve"> first half of 2026, total capital mobilization on the stock market (excluding private placement of bonds) was estimated at 173,753 billion VND, representing a YoY surge of 45.8%. In the stock market, as of June 30</w:t>
      </w:r>
      <w:r w:rsidRPr="004F4D2E">
        <w:rPr>
          <w:rFonts w:ascii="Times New Roman" w:hAnsi="Times New Roman"/>
          <w:color w:val="000000" w:themeColor="text1"/>
          <w:sz w:val="28"/>
          <w:vertAlign w:val="superscript"/>
          <w:lang w:val="en-US"/>
        </w:rPr>
        <w:t>th</w:t>
      </w:r>
      <w:r w:rsidRPr="004F4D2E">
        <w:rPr>
          <w:rFonts w:ascii="Times New Roman" w:hAnsi="Times New Roman"/>
          <w:color w:val="000000" w:themeColor="text1"/>
          <w:sz w:val="28"/>
          <w:lang w:val="en-US"/>
        </w:rPr>
        <w:t>, 2026, the VN-Index reached 1,860.01 points, representing a 4.23% increase compared to the end of 2025. Market capitalization of listed stocks reached 10,572.8 trillion VND (up 6.0% YoY).</w:t>
      </w:r>
    </w:p>
    <w:p w14:paraId="531AC01B" w14:textId="13823C52" w:rsidR="00AB6596" w:rsidRPr="004F4D2E" w:rsidRDefault="00AB6596" w:rsidP="00AB6596">
      <w:pPr>
        <w:spacing w:before="120" w:after="120" w:line="264" w:lineRule="auto"/>
        <w:ind w:firstLine="720"/>
        <w:jc w:val="both"/>
        <w:rPr>
          <w:rFonts w:ascii="Times New Roman" w:hAnsi="Times New Roman" w:cs="Times New Roman"/>
          <w:b/>
          <w:i/>
          <w:color w:val="000000" w:themeColor="text1"/>
          <w:sz w:val="28"/>
          <w:szCs w:val="28"/>
          <w:lang w:val="en-US"/>
          <w14:ligatures w14:val="standardContextual"/>
        </w:rPr>
      </w:pPr>
      <w:r w:rsidRPr="004F4D2E">
        <w:rPr>
          <w:rFonts w:ascii="Times New Roman" w:hAnsi="Times New Roman" w:cs="Times New Roman"/>
          <w:b/>
          <w:i/>
          <w:color w:val="000000" w:themeColor="text1"/>
          <w:sz w:val="28"/>
          <w:szCs w:val="28"/>
          <w:lang w:val="en-US"/>
          <w14:ligatures w14:val="standardContextual"/>
        </w:rPr>
        <w:t>7. Total disbursed</w:t>
      </w:r>
      <w:r w:rsidR="00F94F6A">
        <w:rPr>
          <w:rFonts w:ascii="Times New Roman" w:hAnsi="Times New Roman" w:cs="Times New Roman"/>
          <w:b/>
          <w:i/>
          <w:color w:val="000000" w:themeColor="text1"/>
          <w:sz w:val="28"/>
          <w:szCs w:val="28"/>
          <w:lang w:val="en-US"/>
          <w14:ligatures w14:val="standardContextual"/>
        </w:rPr>
        <w:t xml:space="preserve"> investment of the economy in the first half of</w:t>
      </w:r>
      <w:r w:rsidRPr="004F4D2E">
        <w:rPr>
          <w:rFonts w:ascii="Times New Roman" w:hAnsi="Times New Roman" w:cs="Times New Roman"/>
          <w:b/>
          <w:i/>
          <w:color w:val="000000" w:themeColor="text1"/>
          <w:sz w:val="28"/>
          <w:szCs w:val="28"/>
          <w:lang w:val="en-US"/>
          <w14:ligatures w14:val="standardContextual"/>
        </w:rPr>
        <w:t xml:space="preserve"> 2026, at current prices, was estimated at 1,807.8 trillion VND, a YoY increase of 12.9%, higher than th</w:t>
      </w:r>
      <w:r w:rsidR="00F94F6A">
        <w:rPr>
          <w:rFonts w:ascii="Times New Roman" w:hAnsi="Times New Roman" w:cs="Times New Roman"/>
          <w:b/>
          <w:i/>
          <w:color w:val="000000" w:themeColor="text1"/>
          <w:sz w:val="28"/>
          <w:szCs w:val="28"/>
          <w:lang w:val="en-US"/>
          <w14:ligatures w14:val="standardContextual"/>
        </w:rPr>
        <w:t>e growth of 10.5% recorded in the first half of</w:t>
      </w:r>
      <w:r w:rsidRPr="004F4D2E">
        <w:rPr>
          <w:rFonts w:ascii="Times New Roman" w:hAnsi="Times New Roman" w:cs="Times New Roman"/>
          <w:b/>
          <w:i/>
          <w:color w:val="000000" w:themeColor="text1"/>
          <w:sz w:val="28"/>
          <w:szCs w:val="28"/>
          <w:lang w:val="en-US"/>
          <w14:ligatures w14:val="standardContextual"/>
        </w:rPr>
        <w:t xml:space="preserve"> 2025, reflecting a continued expansion in investment activities, thereby contributing to enhance production capacity, improve business operations, and support economic growth during the first half of 2026. The disbursed foreign direct investment (FDI) in Viet Nam during this period was estimated at 13.03 billion USD, a YoY increase of 11.2%, marking the highest first-half level recorded since 2022.</w:t>
      </w:r>
    </w:p>
    <w:p w14:paraId="4448A5B9" w14:textId="6FACFD7E" w:rsidR="00AB6596" w:rsidRPr="004F4D2E" w:rsidRDefault="00FB61D1" w:rsidP="00AB6596">
      <w:pPr>
        <w:spacing w:after="0" w:line="264" w:lineRule="auto"/>
        <w:ind w:firstLine="720"/>
        <w:jc w:val="both"/>
        <w:rPr>
          <w:rFonts w:ascii="Times New Roman" w:hAnsi="Times New Roman" w:cs="Times New Roman"/>
          <w:iCs/>
          <w:color w:val="000000" w:themeColor="text1"/>
          <w:sz w:val="28"/>
          <w:szCs w:val="28"/>
          <w:lang w:val="en-US"/>
          <w14:ligatures w14:val="standardContextual"/>
        </w:rPr>
      </w:pPr>
      <w:r>
        <w:rPr>
          <w:rFonts w:ascii="Times New Roman" w:hAnsi="Times New Roman" w:cs="Times New Roman"/>
          <w:iCs/>
          <w:sz w:val="28"/>
          <w:szCs w:val="28"/>
          <w:lang w:val="en-US"/>
          <w14:ligatures w14:val="standardContextual"/>
        </w:rPr>
        <w:t xml:space="preserve">In the first half of </w:t>
      </w:r>
      <w:r w:rsidR="00AB6596" w:rsidRPr="004F4D2E">
        <w:rPr>
          <w:rFonts w:ascii="Times New Roman" w:hAnsi="Times New Roman" w:cs="Times New Roman"/>
          <w:iCs/>
          <w:sz w:val="28"/>
          <w:szCs w:val="28"/>
          <w:lang w:val="en-US"/>
          <w14:ligatures w14:val="standardContextual"/>
        </w:rPr>
        <w:t>2026, the total disbursed investment capital at current prices was estimated to reach 1,807.8 trillion VND, a YoY increase of 12.9%</w:t>
      </w:r>
      <w:r w:rsidR="00AB6596" w:rsidRPr="004F4D2E">
        <w:rPr>
          <w:rFonts w:ascii="Times New Roman" w:hAnsi="Times New Roman" w:cs="Times New Roman"/>
          <w:iCs/>
          <w:color w:val="000000" w:themeColor="text1"/>
          <w:sz w:val="28"/>
          <w:szCs w:val="28"/>
          <w:lang w:val="en-US"/>
        </w:rPr>
        <w:t xml:space="preserve"> (the figures of Q2 2026 were estimated at 1,059.5 trillion VND, up 14.1%). Of which</w:t>
      </w:r>
      <w:r w:rsidR="00AB6596" w:rsidRPr="004F4D2E">
        <w:rPr>
          <w:rFonts w:ascii="Times New Roman" w:hAnsi="Times New Roman" w:cs="Times New Roman"/>
          <w:iCs/>
          <w:sz w:val="28"/>
          <w:szCs w:val="28"/>
          <w:lang w:val="en-US"/>
          <w14:ligatures w14:val="standardContextual"/>
        </w:rPr>
        <w:t>: the state sector’s investment was at 508.3 trillion VND, accounting for 28.1% of the total investment and rising by 12.5%; the non-state sector’s investment reached 973.4 trillion VND, accounting for 53.8% and rising by 12.8%; and the FDI sector’s investment achieved 326.1 trillion VND, accounting for 18.1% and rising by 13.5%</w:t>
      </w:r>
      <w:r w:rsidR="00AB6596" w:rsidRPr="004F4D2E">
        <w:rPr>
          <w:rFonts w:ascii="Times New Roman" w:hAnsi="Times New Roman" w:cs="Times New Roman"/>
          <w:iCs/>
          <w:color w:val="000000" w:themeColor="text1"/>
          <w:sz w:val="28"/>
          <w:szCs w:val="28"/>
          <w:lang w:val="en-US"/>
          <w14:ligatures w14:val="standardContextual"/>
        </w:rPr>
        <w:t>.</w:t>
      </w:r>
    </w:p>
    <w:p w14:paraId="320A82D9" w14:textId="77777777" w:rsidR="00AB6596" w:rsidRPr="004F4D2E" w:rsidRDefault="00AB6596" w:rsidP="00AB6596">
      <w:pPr>
        <w:spacing w:after="0" w:line="264" w:lineRule="auto"/>
        <w:ind w:firstLine="720"/>
        <w:jc w:val="both"/>
        <w:rPr>
          <w:rFonts w:ascii="Times New Roman" w:hAnsi="Times New Roman" w:cs="Times New Roman"/>
          <w:iCs/>
          <w:color w:val="000000" w:themeColor="text1"/>
          <w:spacing w:val="-4"/>
          <w:sz w:val="28"/>
          <w:szCs w:val="28"/>
          <w:lang w:val="en-US"/>
        </w:rPr>
      </w:pPr>
      <w:r w:rsidRPr="004F4D2E">
        <w:rPr>
          <w:rFonts w:ascii="Times New Roman" w:hAnsi="Times New Roman" w:cs="Times New Roman"/>
          <w:i/>
          <w:iCs/>
          <w:sz w:val="28"/>
          <w:szCs w:val="28"/>
          <w:lang w:val="en-US"/>
          <w14:ligatures w14:val="standardContextual"/>
        </w:rPr>
        <w:t xml:space="preserve">Total inward foreign direct investment (FDI) in Viet Nam </w:t>
      </w:r>
      <w:r w:rsidRPr="004F4D2E">
        <w:rPr>
          <w:rFonts w:ascii="Times New Roman" w:hAnsi="Times New Roman" w:cs="Times New Roman"/>
          <w:i/>
          <w:iCs/>
          <w:sz w:val="28"/>
          <w:szCs w:val="28"/>
          <w:vertAlign w:val="superscript"/>
          <w:lang w:val="en-US"/>
          <w14:ligatures w14:val="standardContextual"/>
        </w:rPr>
        <w:footnoteReference w:id="18"/>
      </w:r>
      <w:r w:rsidRPr="004F4D2E">
        <w:rPr>
          <w:rFonts w:ascii="Times New Roman" w:hAnsi="Times New Roman" w:cs="Times New Roman"/>
          <w:i/>
          <w:iCs/>
          <w:sz w:val="28"/>
          <w:szCs w:val="28"/>
          <w:lang w:val="en-US"/>
          <w14:ligatures w14:val="standardContextual"/>
        </w:rPr>
        <w:t xml:space="preserve"> </w:t>
      </w:r>
      <w:r w:rsidRPr="004F4D2E">
        <w:rPr>
          <w:rFonts w:ascii="Times New Roman" w:hAnsi="Times New Roman" w:cs="Times New Roman"/>
          <w:iCs/>
          <w:sz w:val="28"/>
          <w:szCs w:val="28"/>
          <w:lang w:val="en-US"/>
          <w14:ligatures w14:val="standardContextual"/>
        </w:rPr>
        <w:t>as of June 30</w:t>
      </w:r>
      <w:r w:rsidRPr="004F4D2E">
        <w:rPr>
          <w:rFonts w:ascii="Times New Roman" w:hAnsi="Times New Roman" w:cs="Times New Roman"/>
          <w:iCs/>
          <w:sz w:val="28"/>
          <w:szCs w:val="28"/>
          <w:vertAlign w:val="superscript"/>
          <w:lang w:val="en-US"/>
          <w14:ligatures w14:val="standardContextual"/>
        </w:rPr>
        <w:t>th</w:t>
      </w:r>
      <w:r w:rsidRPr="004F4D2E">
        <w:rPr>
          <w:rFonts w:ascii="Times New Roman" w:hAnsi="Times New Roman" w:cs="Times New Roman"/>
          <w:iCs/>
          <w:sz w:val="28"/>
          <w:szCs w:val="28"/>
          <w:lang w:val="en-US"/>
          <w14:ligatures w14:val="standardContextual"/>
        </w:rPr>
        <w:t>, 2026, including: Newly registered capital, adjusted registered capital, and the value of capital contributions and purchasing shares by foreign investors reached 34.65 billion USD, a YoY upturn of 61.0%</w:t>
      </w:r>
      <w:r w:rsidRPr="004F4D2E">
        <w:rPr>
          <w:rFonts w:ascii="Times New Roman" w:hAnsi="Times New Roman" w:cs="Times New Roman"/>
          <w:iCs/>
          <w:color w:val="000000" w:themeColor="text1"/>
          <w:sz w:val="28"/>
          <w:szCs w:val="28"/>
          <w:lang w:val="en-US"/>
        </w:rPr>
        <w:t xml:space="preserve">. Specifically: </w:t>
      </w:r>
      <w:r w:rsidRPr="004F4D2E">
        <w:rPr>
          <w:rFonts w:ascii="Times New Roman" w:hAnsi="Times New Roman" w:cs="Times New Roman"/>
          <w:iCs/>
          <w:spacing w:val="-4"/>
          <w:sz w:val="28"/>
          <w:szCs w:val="28"/>
          <w:lang w:val="en-US"/>
          <w14:ligatures w14:val="standardContextual"/>
        </w:rPr>
        <w:t xml:space="preserve">2,013 projects were </w:t>
      </w:r>
      <w:r w:rsidRPr="004F4D2E">
        <w:rPr>
          <w:rFonts w:ascii="Times New Roman" w:hAnsi="Times New Roman" w:cs="Times New Roman"/>
          <w:iCs/>
          <w:spacing w:val="-4"/>
          <w:sz w:val="28"/>
          <w:szCs w:val="28"/>
          <w:lang w:val="en-US"/>
          <w14:ligatures w14:val="standardContextual"/>
        </w:rPr>
        <w:lastRenderedPageBreak/>
        <w:t>newly licensed with a total registered capital of 17.39 billion USD, representing a YoY increase of 1.3% in the number of projects and an upturns of 87.2% in terms of registered capital</w:t>
      </w:r>
      <w:r w:rsidRPr="004F4D2E">
        <w:rPr>
          <w:rFonts w:ascii="Times New Roman" w:hAnsi="Times New Roman" w:cs="Times New Roman"/>
          <w:iCs/>
          <w:color w:val="000000" w:themeColor="text1"/>
          <w:sz w:val="28"/>
          <w:szCs w:val="28"/>
          <w:lang w:val="en-US"/>
        </w:rPr>
        <w:t xml:space="preserve">; </w:t>
      </w:r>
      <w:r w:rsidRPr="004F4D2E">
        <w:rPr>
          <w:rFonts w:ascii="Times New Roman" w:hAnsi="Times New Roman" w:cs="Times New Roman"/>
          <w:iCs/>
          <w:sz w:val="28"/>
          <w:szCs w:val="28"/>
          <w:lang w:val="en-US"/>
          <w14:ligatures w14:val="standardContextual"/>
        </w:rPr>
        <w:t>541 projects that were licensed in previous years registered to adjust their investment capital to increase by 11.04 billion USD, a YoY increase of 23.5%; 1,446 turns of registered of capital contributions and purchasing shares by</w:t>
      </w:r>
      <w:r w:rsidRPr="004F4D2E">
        <w:rPr>
          <w:rFonts w:ascii="Times New Roman" w:hAnsi="Times New Roman" w:cs="Times New Roman"/>
          <w:iCs/>
          <w:sz w:val="28"/>
          <w:szCs w:val="28"/>
          <w:lang w:val="en-US"/>
        </w:rPr>
        <w:t xml:space="preserve"> foreign investors</w:t>
      </w:r>
      <w:r w:rsidRPr="004F4D2E">
        <w:rPr>
          <w:rFonts w:ascii="Times New Roman" w:hAnsi="Times New Roman" w:cs="Times New Roman"/>
          <w:iCs/>
          <w:sz w:val="28"/>
          <w:szCs w:val="28"/>
          <w:lang w:val="en-US"/>
          <w14:ligatures w14:val="standardContextual"/>
        </w:rPr>
        <w:t xml:space="preserve"> with a total capital contribution value of 6.22 billion USD, a year-on-year increase of 89.5%.</w:t>
      </w:r>
      <w:r w:rsidRPr="004F4D2E">
        <w:rPr>
          <w:rFonts w:ascii="Times New Roman" w:hAnsi="Times New Roman" w:cs="Times New Roman"/>
          <w:iCs/>
          <w:color w:val="000000" w:themeColor="text1"/>
          <w:sz w:val="28"/>
          <w:szCs w:val="28"/>
          <w:lang w:val="en-US"/>
        </w:rPr>
        <w:t xml:space="preserve"> </w:t>
      </w:r>
      <w:r w:rsidRPr="004F4D2E">
        <w:rPr>
          <w:rFonts w:ascii="Times New Roman" w:hAnsi="Times New Roman" w:cs="Times New Roman"/>
          <w:iCs/>
          <w:sz w:val="28"/>
          <w:szCs w:val="28"/>
          <w:lang w:val="en-US"/>
          <w14:ligatures w14:val="standardContextual"/>
        </w:rPr>
        <w:t xml:space="preserve">Of which, 413 turns of </w:t>
      </w:r>
      <w:r w:rsidRPr="004F4D2E">
        <w:rPr>
          <w:rFonts w:ascii="Times New Roman" w:hAnsi="Times New Roman" w:cs="Times New Roman"/>
          <w:iCs/>
          <w:sz w:val="28"/>
          <w:szCs w:val="28"/>
          <w:lang w:val="en-US"/>
        </w:rPr>
        <w:t xml:space="preserve">capital contribution and shares purchased increased the charter capital of enterprises with a capital contribution value of </w:t>
      </w:r>
      <w:r w:rsidRPr="004F4D2E">
        <w:rPr>
          <w:rFonts w:ascii="Times New Roman" w:hAnsi="Times New Roman" w:cs="Times New Roman"/>
          <w:iCs/>
          <w:sz w:val="28"/>
          <w:szCs w:val="28"/>
          <w:lang w:val="en-US"/>
          <w14:ligatures w14:val="standardContextual"/>
        </w:rPr>
        <w:t xml:space="preserve">2.15 billion USD, and 1,033 </w:t>
      </w:r>
      <w:r w:rsidRPr="004F4D2E">
        <w:rPr>
          <w:rFonts w:ascii="Times New Roman" w:hAnsi="Times New Roman" w:cs="Times New Roman"/>
          <w:iCs/>
          <w:sz w:val="28"/>
          <w:szCs w:val="28"/>
          <w:lang w:val="en-US"/>
        </w:rPr>
        <w:t>foreign investors re-bought domestic shares without making the charter capital increase with a value of</w:t>
      </w:r>
      <w:r w:rsidRPr="004F4D2E">
        <w:rPr>
          <w:rFonts w:ascii="Times New Roman" w:hAnsi="Times New Roman" w:cs="Times New Roman"/>
          <w:iCs/>
          <w:sz w:val="28"/>
          <w:szCs w:val="28"/>
          <w:lang w:val="en-US"/>
          <w14:ligatures w14:val="standardContextual"/>
        </w:rPr>
        <w:t xml:space="preserve"> 4.07 billion USD</w:t>
      </w:r>
      <w:r w:rsidRPr="004F4D2E">
        <w:rPr>
          <w:rFonts w:ascii="Times New Roman" w:hAnsi="Times New Roman" w:cs="Times New Roman"/>
          <w:iCs/>
          <w:color w:val="000000" w:themeColor="text1"/>
          <w:spacing w:val="-4"/>
          <w:sz w:val="28"/>
          <w:szCs w:val="28"/>
          <w:lang w:val="en-US"/>
        </w:rPr>
        <w:t>.</w:t>
      </w:r>
    </w:p>
    <w:p w14:paraId="584A9419" w14:textId="29F44503" w:rsidR="00AB6596" w:rsidRPr="004F4D2E" w:rsidRDefault="00AB6596" w:rsidP="00AB6596">
      <w:pPr>
        <w:spacing w:after="0" w:line="264" w:lineRule="auto"/>
        <w:ind w:firstLine="562"/>
        <w:jc w:val="both"/>
        <w:rPr>
          <w:rFonts w:ascii="Times New Roman" w:hAnsi="Times New Roman" w:cs="Times New Roman"/>
          <w:iCs/>
          <w:color w:val="000000" w:themeColor="text1"/>
          <w:sz w:val="28"/>
          <w:szCs w:val="28"/>
          <w:lang w:val="en-US"/>
        </w:rPr>
      </w:pPr>
      <w:r w:rsidRPr="004F4D2E">
        <w:rPr>
          <w:rFonts w:ascii="Times New Roman" w:hAnsi="Times New Roman" w:cs="Times New Roman"/>
          <w:i/>
          <w:iCs/>
          <w:sz w:val="28"/>
          <w:szCs w:val="28"/>
          <w:lang w:val="en-US"/>
          <w14:ligatures w14:val="standardContextual"/>
        </w:rPr>
        <w:t>Disbursed FDI in Viet Nam</w:t>
      </w:r>
      <w:r w:rsidR="00FB61D1">
        <w:rPr>
          <w:rFonts w:ascii="Times New Roman" w:hAnsi="Times New Roman" w:cs="Times New Roman"/>
          <w:sz w:val="28"/>
          <w:szCs w:val="28"/>
          <w:lang w:val="en-US"/>
          <w14:ligatures w14:val="standardContextual"/>
        </w:rPr>
        <w:t xml:space="preserve"> in the first half of</w:t>
      </w:r>
      <w:r w:rsidRPr="004F4D2E">
        <w:rPr>
          <w:rFonts w:ascii="Times New Roman" w:hAnsi="Times New Roman" w:cs="Times New Roman"/>
          <w:sz w:val="28"/>
          <w:szCs w:val="28"/>
          <w:lang w:val="en-US"/>
          <w14:ligatures w14:val="standardContextual"/>
        </w:rPr>
        <w:t xml:space="preserve"> 2026 was estimated at 13.03 billion USD, a YoY increase of 11.2%</w:t>
      </w:r>
      <w:r w:rsidRPr="004F4D2E">
        <w:rPr>
          <w:rFonts w:ascii="Times New Roman" w:hAnsi="Times New Roman" w:cs="Times New Roman"/>
          <w:iCs/>
          <w:color w:val="000000" w:themeColor="text1"/>
          <w:sz w:val="28"/>
          <w:szCs w:val="28"/>
          <w:lang w:val="en-US"/>
        </w:rPr>
        <w:t xml:space="preserve">. </w:t>
      </w:r>
    </w:p>
    <w:p w14:paraId="4020780C" w14:textId="59B58A54" w:rsidR="00AB6596" w:rsidRPr="004F4D2E" w:rsidRDefault="00FB61D1" w:rsidP="00AB6596">
      <w:pPr>
        <w:spacing w:before="120" w:after="0" w:line="264" w:lineRule="auto"/>
        <w:ind w:firstLine="562"/>
        <w:jc w:val="both"/>
        <w:rPr>
          <w:rFonts w:ascii="Times New Roman" w:hAnsi="Times New Roman" w:cs="Times New Roman"/>
          <w:b/>
          <w:i/>
          <w:color w:val="000000" w:themeColor="text1"/>
          <w:sz w:val="28"/>
          <w:szCs w:val="28"/>
          <w:lang w:val="en-US"/>
        </w:rPr>
      </w:pPr>
      <w:r>
        <w:rPr>
          <w:rFonts w:ascii="Times New Roman" w:hAnsi="Times New Roman"/>
          <w:b/>
          <w:i/>
          <w:color w:val="000000" w:themeColor="text1"/>
          <w:sz w:val="28"/>
          <w:lang w:val="en-US"/>
        </w:rPr>
        <w:t>8. State budget revenue in the first half of</w:t>
      </w:r>
      <w:r w:rsidR="00AB6596" w:rsidRPr="004F4D2E">
        <w:rPr>
          <w:rFonts w:ascii="Times New Roman" w:hAnsi="Times New Roman"/>
          <w:b/>
          <w:i/>
          <w:color w:val="000000" w:themeColor="text1"/>
          <w:sz w:val="28"/>
          <w:lang w:val="en-US"/>
        </w:rPr>
        <w:t xml:space="preserve"> 2026 was estimated to increase by 17.4% YoY. State budget expenditure edged up by an estimated 0.1% YoY, driven by strict curbs on current expenditures. Despite these cost-saving measures, the budget successfully met all requirements for socio-economic development, national defense, security, state management, payment of due debts, and timely payment to beneficiaries according to regulations.</w:t>
      </w:r>
    </w:p>
    <w:p w14:paraId="38AA2C97" w14:textId="1B087D25" w:rsidR="00AB6596" w:rsidRPr="004F4D2E" w:rsidRDefault="00AB6596" w:rsidP="00AB6596">
      <w:pPr>
        <w:spacing w:beforeLines="40" w:before="96" w:afterLines="40" w:after="96" w:line="264" w:lineRule="auto"/>
        <w:ind w:firstLine="562"/>
        <w:jc w:val="both"/>
        <w:rPr>
          <w:rFonts w:ascii="Times New Roman" w:hAnsi="Times New Roman" w:cs="Times New Roman"/>
          <w:color w:val="000000" w:themeColor="text1"/>
          <w:sz w:val="28"/>
          <w:szCs w:val="28"/>
          <w:lang w:val="en-US"/>
        </w:rPr>
      </w:pPr>
      <w:r w:rsidRPr="004F4D2E">
        <w:rPr>
          <w:rFonts w:ascii="Times New Roman" w:hAnsi="Times New Roman"/>
          <w:color w:val="000000" w:themeColor="text1"/>
          <w:sz w:val="28"/>
          <w:lang w:val="en-US"/>
        </w:rPr>
        <w:t>Total state budget revenue in June 2026 was estimated at 205.0 trillion VND. The total st</w:t>
      </w:r>
      <w:r w:rsidR="00FB61D1">
        <w:rPr>
          <w:rFonts w:ascii="Times New Roman" w:hAnsi="Times New Roman"/>
          <w:color w:val="000000" w:themeColor="text1"/>
          <w:sz w:val="28"/>
          <w:lang w:val="en-US"/>
        </w:rPr>
        <w:t>ate budget revenue accrued in the first half of</w:t>
      </w:r>
      <w:r w:rsidRPr="004F4D2E">
        <w:rPr>
          <w:rFonts w:ascii="Times New Roman" w:hAnsi="Times New Roman"/>
          <w:color w:val="000000" w:themeColor="text1"/>
          <w:sz w:val="28"/>
          <w:lang w:val="en-US"/>
        </w:rPr>
        <w:t xml:space="preserve"> 2026 was estimated at 1,568.2 trillion VND, reaching 62.0% of the annual estimate and going up by 17.4% YoY. Specifically: Domestic revenue was estimated at 1,352.7 trillion VND, reaching 61.5% of the annual estimate (up 16.5% YoY). Revenue from crude oil was estimated at 31.1 trillion VND, reaching 72.4% of the annual estimate (up 26.1.2% YoY). Budget revenue balancing from import and export was estimated 183.6 trillion VND, reaching 66.0% of the annual estimate (up 22.9% YoY).</w:t>
      </w:r>
    </w:p>
    <w:p w14:paraId="737D7A97" w14:textId="0B988D80" w:rsidR="00AB6596" w:rsidRPr="004F4D2E" w:rsidRDefault="00AB6596" w:rsidP="00AB6596">
      <w:pPr>
        <w:spacing w:beforeLines="40" w:before="96" w:afterLines="40" w:after="96" w:line="264" w:lineRule="auto"/>
        <w:ind w:firstLine="562"/>
        <w:jc w:val="both"/>
        <w:rPr>
          <w:rFonts w:ascii="Times New Roman" w:hAnsi="Times New Roman" w:cs="Times New Roman"/>
          <w:color w:val="000000" w:themeColor="text1"/>
          <w:sz w:val="28"/>
          <w:szCs w:val="28"/>
          <w:lang w:val="en-US"/>
        </w:rPr>
      </w:pPr>
      <w:r w:rsidRPr="004F4D2E">
        <w:rPr>
          <w:rFonts w:ascii="Times New Roman" w:hAnsi="Times New Roman"/>
          <w:color w:val="000000" w:themeColor="text1"/>
          <w:sz w:val="28"/>
          <w:lang w:val="en-US"/>
        </w:rPr>
        <w:t xml:space="preserve">Total state budget expenditure in June 2026 was estimated at 292.3 trillion VND. The accrued revenue </w:t>
      </w:r>
      <w:r w:rsidR="00FB61D1">
        <w:rPr>
          <w:rFonts w:ascii="Times New Roman" w:hAnsi="Times New Roman"/>
          <w:color w:val="000000" w:themeColor="text1"/>
          <w:sz w:val="28"/>
          <w:lang w:val="en-US"/>
        </w:rPr>
        <w:t>in the first half of</w:t>
      </w:r>
      <w:r w:rsidRPr="004F4D2E">
        <w:rPr>
          <w:rFonts w:ascii="Times New Roman" w:hAnsi="Times New Roman"/>
          <w:color w:val="000000" w:themeColor="text1"/>
          <w:sz w:val="28"/>
          <w:lang w:val="en-US"/>
        </w:rPr>
        <w:t xml:space="preserve"> 2026 was 1,149.1 trillion VND, reaching 36.4% of the annual estimate (up 0.1% YoY).</w:t>
      </w:r>
    </w:p>
    <w:p w14:paraId="2FD4D59D" w14:textId="46F8EE03" w:rsidR="00AB6596" w:rsidRPr="004F4D2E" w:rsidRDefault="00AB6596" w:rsidP="00AB6596">
      <w:pPr>
        <w:tabs>
          <w:tab w:val="left" w:pos="900"/>
          <w:tab w:val="left" w:pos="9475"/>
        </w:tabs>
        <w:spacing w:after="120" w:line="264" w:lineRule="auto"/>
        <w:ind w:firstLine="720"/>
        <w:jc w:val="both"/>
        <w:rPr>
          <w:rStyle w:val="Strong"/>
          <w:rFonts w:ascii="Times New Roman" w:hAnsi="Times New Roman"/>
          <w:i/>
          <w:color w:val="000000" w:themeColor="text1"/>
          <w:sz w:val="28"/>
          <w:szCs w:val="28"/>
          <w:lang w:val="en-US"/>
        </w:rPr>
      </w:pPr>
      <w:bookmarkStart w:id="2" w:name="_Hlk54593811"/>
      <w:r w:rsidRPr="004F4D2E">
        <w:rPr>
          <w:rFonts w:ascii="Times New Roman" w:hAnsi="Times New Roman" w:cs="Times New Roman"/>
          <w:b/>
          <w:i/>
          <w:iCs/>
          <w:color w:val="000000" w:themeColor="text1"/>
          <w:sz w:val="28"/>
          <w:szCs w:val="28"/>
          <w:lang w:val="en-US"/>
        </w:rPr>
        <w:t xml:space="preserve">9. </w:t>
      </w:r>
      <w:bookmarkStart w:id="3" w:name="_Hlk89176061"/>
      <w:bookmarkEnd w:id="2"/>
      <w:r w:rsidRPr="004F4D2E">
        <w:rPr>
          <w:rStyle w:val="Strong"/>
          <w:rFonts w:ascii="Times New Roman" w:hAnsi="Times New Roman"/>
          <w:i/>
          <w:iCs/>
          <w:color w:val="000000" w:themeColor="text1"/>
          <w:sz w:val="28"/>
          <w:szCs w:val="28"/>
          <w:lang w:val="en-US"/>
        </w:rPr>
        <w:t xml:space="preserve">Export and import of goods and service </w:t>
      </w:r>
      <w:r w:rsidRPr="004F4D2E">
        <w:rPr>
          <w:b/>
          <w:bCs/>
          <w:i/>
          <w:iCs/>
          <w:color w:val="000000" w:themeColor="text1"/>
          <w:vertAlign w:val="superscript"/>
          <w:lang w:val="en-US"/>
        </w:rPr>
        <w:footnoteReference w:id="19"/>
      </w:r>
      <w:r w:rsidRPr="004F4D2E">
        <w:rPr>
          <w:rStyle w:val="Strong"/>
          <w:i/>
          <w:color w:val="000000" w:themeColor="text1"/>
          <w:lang w:val="en-US"/>
        </w:rPr>
        <w:t xml:space="preserve"> </w:t>
      </w:r>
      <w:r w:rsidR="00FB61D1">
        <w:rPr>
          <w:rStyle w:val="Strong"/>
          <w:rFonts w:ascii="Times New Roman" w:hAnsi="Times New Roman"/>
          <w:i/>
          <w:iCs/>
          <w:color w:val="000000" w:themeColor="text1"/>
          <w:sz w:val="28"/>
          <w:szCs w:val="28"/>
          <w:lang w:val="en-US"/>
        </w:rPr>
        <w:t>in the first half of</w:t>
      </w:r>
      <w:r w:rsidRPr="004F4D2E">
        <w:rPr>
          <w:rStyle w:val="Strong"/>
          <w:rFonts w:ascii="Times New Roman" w:hAnsi="Times New Roman"/>
          <w:i/>
          <w:iCs/>
          <w:color w:val="000000" w:themeColor="text1"/>
          <w:sz w:val="28"/>
          <w:szCs w:val="28"/>
          <w:lang w:val="en-US"/>
        </w:rPr>
        <w:t xml:space="preserve"> 2026 recorded strong growth YoY, with many key export commodity groups posting solid increases</w:t>
      </w:r>
    </w:p>
    <w:bookmarkEnd w:id="3"/>
    <w:p w14:paraId="1313AB19" w14:textId="77777777" w:rsidR="00AB6596" w:rsidRPr="004F4D2E" w:rsidRDefault="00AB6596" w:rsidP="00AB6596">
      <w:pPr>
        <w:tabs>
          <w:tab w:val="num" w:pos="0"/>
          <w:tab w:val="left" w:pos="9475"/>
        </w:tabs>
        <w:spacing w:beforeLines="40" w:before="96" w:afterLines="40" w:after="96" w:line="264" w:lineRule="auto"/>
        <w:ind w:firstLine="567"/>
        <w:jc w:val="both"/>
        <w:rPr>
          <w:rFonts w:ascii="Times New Roman" w:hAnsi="Times New Roman" w:cs="Times New Roman"/>
          <w:bCs/>
          <w:color w:val="000000" w:themeColor="text1"/>
          <w:spacing w:val="-4"/>
          <w:sz w:val="28"/>
          <w:szCs w:val="28"/>
          <w:lang w:val="en-US"/>
        </w:rPr>
      </w:pPr>
      <w:r w:rsidRPr="004F4D2E">
        <w:rPr>
          <w:rFonts w:ascii="Times New Roman" w:hAnsi="Times New Roman" w:cs="Times New Roman"/>
          <w:b/>
          <w:bCs/>
          <w:i/>
          <w:iCs/>
          <w:color w:val="000000" w:themeColor="text1"/>
          <w:sz w:val="28"/>
          <w:szCs w:val="28"/>
          <w:lang w:val="en-US"/>
        </w:rPr>
        <w:t xml:space="preserve">a) </w:t>
      </w:r>
      <w:bookmarkStart w:id="4" w:name="_Hlk213089801"/>
      <w:r w:rsidRPr="004F4D2E">
        <w:rPr>
          <w:rFonts w:ascii="Times New Roman" w:eastAsiaTheme="majorEastAsia" w:hAnsi="Times New Roman" w:cs="Times New Roman"/>
          <w:b/>
          <w:bCs/>
          <w:i/>
          <w:sz w:val="28"/>
          <w:szCs w:val="28"/>
          <w:lang w:val="en-US"/>
        </w:rPr>
        <w:t>Export and import of goods</w:t>
      </w:r>
      <w:r w:rsidRPr="004F4D2E">
        <w:rPr>
          <w:rFonts w:ascii="Times New Roman Italic" w:hAnsi="Times New Roman Italic"/>
          <w:b/>
          <w:bCs/>
          <w:i/>
          <w:iCs/>
          <w:color w:val="000000" w:themeColor="text1"/>
          <w:vertAlign w:val="superscript"/>
          <w:lang w:val="en-US"/>
        </w:rPr>
        <w:footnoteReference w:id="20"/>
      </w:r>
      <w:bookmarkEnd w:id="4"/>
    </w:p>
    <w:p w14:paraId="7497A75C" w14:textId="26906033" w:rsidR="00AB6596" w:rsidRPr="004F4D2E" w:rsidRDefault="00AB6596" w:rsidP="00AB6596">
      <w:pPr>
        <w:spacing w:beforeLines="40" w:before="96" w:afterLines="40" w:after="96" w:line="264" w:lineRule="auto"/>
        <w:ind w:firstLine="562"/>
        <w:jc w:val="both"/>
        <w:rPr>
          <w:rFonts w:ascii="Times New Roman Bold Italic" w:hAnsi="Times New Roman Bold Italic" w:cs="Times New Roman"/>
          <w:b/>
          <w:i/>
          <w:color w:val="000000" w:themeColor="text1"/>
          <w:spacing w:val="4"/>
          <w:sz w:val="28"/>
          <w:szCs w:val="28"/>
          <w:lang w:val="en-US"/>
        </w:rPr>
      </w:pPr>
      <w:bookmarkStart w:id="5" w:name="_Hlk213089840"/>
      <w:r w:rsidRPr="004F4D2E">
        <w:rPr>
          <w:rFonts w:ascii="Times New Roman" w:hAnsi="Times New Roman" w:cs="Times New Roman"/>
          <w:b/>
          <w:i/>
          <w:color w:val="000000" w:themeColor="text1"/>
          <w:spacing w:val="2"/>
          <w:sz w:val="28"/>
          <w:szCs w:val="28"/>
          <w:lang w:val="en-US"/>
        </w:rPr>
        <w:lastRenderedPageBreak/>
        <w:t>In June 2026, the total export and import turnover of goods 104.22 billion USD, a MoM increase of 5.2% and a YoY inc</w:t>
      </w:r>
      <w:r w:rsidR="00FB61D1">
        <w:rPr>
          <w:rFonts w:ascii="Times New Roman" w:hAnsi="Times New Roman" w:cs="Times New Roman"/>
          <w:b/>
          <w:i/>
          <w:color w:val="000000" w:themeColor="text1"/>
          <w:spacing w:val="2"/>
          <w:sz w:val="28"/>
          <w:szCs w:val="28"/>
          <w:lang w:val="en-US"/>
        </w:rPr>
        <w:t>rease of 36.3%. Generally, in the first half of</w:t>
      </w:r>
      <w:r w:rsidRPr="004F4D2E">
        <w:rPr>
          <w:rFonts w:ascii="Times New Roman" w:hAnsi="Times New Roman" w:cs="Times New Roman"/>
          <w:b/>
          <w:i/>
          <w:color w:val="000000" w:themeColor="text1"/>
          <w:spacing w:val="2"/>
          <w:sz w:val="28"/>
          <w:szCs w:val="28"/>
          <w:lang w:val="en-US"/>
        </w:rPr>
        <w:t xml:space="preserve"> 2026, the total export and import turnover of goods reached 549.69 billion USD, rising by 27.1% YoY, of which exports increased by 21.0%; and imports increased by 3.4%</w:t>
      </w:r>
      <w:r w:rsidRPr="004F4D2E">
        <w:rPr>
          <w:rFonts w:ascii="Times New Roman Italic" w:hAnsi="Times New Roman Italic"/>
          <w:i/>
          <w:color w:val="000000" w:themeColor="text1"/>
          <w:spacing w:val="2"/>
          <w:vertAlign w:val="superscript"/>
          <w:lang w:val="en-US"/>
        </w:rPr>
        <w:footnoteReference w:id="21"/>
      </w:r>
      <w:bookmarkEnd w:id="5"/>
      <w:r w:rsidRPr="004F4D2E">
        <w:rPr>
          <w:rFonts w:ascii="Times New Roman" w:hAnsi="Times New Roman" w:cs="Times New Roman"/>
          <w:b/>
          <w:i/>
          <w:color w:val="000000" w:themeColor="text1"/>
          <w:spacing w:val="2"/>
          <w:sz w:val="28"/>
          <w:szCs w:val="28"/>
          <w:lang w:val="en-US"/>
        </w:rPr>
        <w:t>. The higher import growth rate relative to exports indicates that input demand in the economy continued to expand, while also reflecting the strong recovery of production activities, particularly in the foreign-invested sector. The trade balance of goods recorded a deficit of 16.65 billion USD</w:t>
      </w:r>
      <w:r w:rsidRPr="004F4D2E">
        <w:rPr>
          <w:rFonts w:ascii="Times New Roman Bold Italic" w:hAnsi="Times New Roman Bold Italic" w:cs="Times New Roman"/>
          <w:b/>
          <w:i/>
          <w:color w:val="000000" w:themeColor="text1"/>
          <w:spacing w:val="4"/>
          <w:sz w:val="28"/>
          <w:szCs w:val="28"/>
          <w:lang w:val="en-US"/>
        </w:rPr>
        <w:t>.</w:t>
      </w:r>
    </w:p>
    <w:p w14:paraId="78FC66FC" w14:textId="791C4A41" w:rsidR="00AB6596" w:rsidRPr="004F4D2E" w:rsidRDefault="00AB6596" w:rsidP="00AB6596">
      <w:pPr>
        <w:spacing w:beforeLines="40" w:before="96" w:afterLines="40" w:after="96" w:line="264" w:lineRule="auto"/>
        <w:ind w:firstLine="562"/>
        <w:jc w:val="both"/>
        <w:rPr>
          <w:rFonts w:ascii="Times New Roman" w:hAnsi="Times New Roman" w:cs="Times New Roman"/>
          <w:bCs/>
          <w:color w:val="000000" w:themeColor="text1"/>
          <w:sz w:val="28"/>
          <w:szCs w:val="28"/>
          <w:lang w:val="en-US"/>
        </w:rPr>
      </w:pPr>
      <w:r w:rsidRPr="004F4D2E">
        <w:rPr>
          <w:rFonts w:ascii="Times New Roman" w:hAnsi="Times New Roman" w:cs="Times New Roman"/>
          <w:bCs/>
          <w:sz w:val="28"/>
          <w:szCs w:val="28"/>
          <w:lang w:val="en-US"/>
        </w:rPr>
        <w:t>In June 2026, the export turnover of goods amounted to 50.79 billion USD, increasing by 8.2% MoM</w:t>
      </w:r>
      <w:r w:rsidRPr="004F4D2E">
        <w:rPr>
          <w:rFonts w:ascii="Times New Roman" w:hAnsi="Times New Roman" w:cs="Times New Roman"/>
          <w:bCs/>
          <w:color w:val="000000" w:themeColor="text1"/>
          <w:sz w:val="28"/>
          <w:szCs w:val="28"/>
          <w:lang w:val="en-US"/>
        </w:rPr>
        <w:t xml:space="preserve">. </w:t>
      </w:r>
      <w:r w:rsidRPr="004F4D2E">
        <w:rPr>
          <w:rFonts w:ascii="Times New Roman" w:hAnsi="Times New Roman" w:cs="Times New Roman"/>
          <w:bCs/>
          <w:sz w:val="28"/>
          <w:szCs w:val="28"/>
          <w:lang w:val="en-US"/>
        </w:rPr>
        <w:t>In Q2 2026, the export turnover reached 143.6 billion USD, going up 22.7% YoY and up 16.8% quarter-on-quarter (QoQ)</w:t>
      </w:r>
      <w:r w:rsidRPr="004F4D2E">
        <w:rPr>
          <w:rFonts w:ascii="Times New Roman" w:hAnsi="Times New Roman" w:cs="Times New Roman"/>
          <w:bCs/>
          <w:color w:val="000000" w:themeColor="text1"/>
          <w:sz w:val="28"/>
          <w:szCs w:val="28"/>
          <w:lang w:val="en-US"/>
        </w:rPr>
        <w:t xml:space="preserve">. </w:t>
      </w:r>
      <w:r w:rsidR="00FB61D1">
        <w:rPr>
          <w:rFonts w:ascii="Times New Roman" w:hAnsi="Times New Roman" w:cs="Times New Roman"/>
          <w:bCs/>
          <w:sz w:val="28"/>
          <w:szCs w:val="28"/>
          <w:lang w:val="en-US"/>
        </w:rPr>
        <w:t>Overall in the first half of</w:t>
      </w:r>
      <w:r w:rsidRPr="004F4D2E">
        <w:rPr>
          <w:rFonts w:ascii="Times New Roman" w:hAnsi="Times New Roman" w:cs="Times New Roman"/>
          <w:bCs/>
          <w:sz w:val="28"/>
          <w:szCs w:val="28"/>
          <w:lang w:val="en-US"/>
        </w:rPr>
        <w:t xml:space="preserve"> 2026, export turnover of goods reached 266.52 billion USD, up 21.0% YoY</w:t>
      </w:r>
      <w:r w:rsidRPr="004F4D2E">
        <w:rPr>
          <w:rFonts w:ascii="Times New Roman" w:hAnsi="Times New Roman" w:cs="Times New Roman"/>
          <w:bCs/>
          <w:color w:val="000000" w:themeColor="text1"/>
          <w:sz w:val="28"/>
          <w:szCs w:val="28"/>
          <w:lang w:val="en-US"/>
        </w:rPr>
        <w:t>.</w:t>
      </w:r>
    </w:p>
    <w:p w14:paraId="0607C76A" w14:textId="524915E8" w:rsidR="00AB6596" w:rsidRPr="004F4D2E" w:rsidRDefault="00AB6596" w:rsidP="00AB6596">
      <w:pPr>
        <w:spacing w:beforeLines="40" w:before="96" w:afterLines="40" w:after="96" w:line="264" w:lineRule="auto"/>
        <w:ind w:firstLine="562"/>
        <w:jc w:val="both"/>
        <w:rPr>
          <w:rFonts w:ascii="Times New Roman" w:hAnsi="Times New Roman" w:cs="Times New Roman"/>
          <w:bCs/>
          <w:color w:val="000000" w:themeColor="text1"/>
          <w:sz w:val="28"/>
          <w:szCs w:val="28"/>
          <w:lang w:val="en-US"/>
        </w:rPr>
      </w:pPr>
      <w:r w:rsidRPr="004F4D2E">
        <w:rPr>
          <w:rFonts w:ascii="Times New Roman" w:hAnsi="Times New Roman" w:cs="Times New Roman"/>
          <w:bCs/>
          <w:sz w:val="28"/>
          <w:szCs w:val="28"/>
          <w:lang w:val="en-US"/>
        </w:rPr>
        <w:t>Import turnover of goods in June 2026 reach 53.43 billion USD, a rise of 2.5% MoM</w:t>
      </w:r>
      <w:r w:rsidRPr="004F4D2E">
        <w:rPr>
          <w:rFonts w:ascii="Times New Roman" w:hAnsi="Times New Roman" w:cs="Times New Roman"/>
          <w:bCs/>
          <w:color w:val="000000" w:themeColor="text1"/>
          <w:sz w:val="28"/>
          <w:szCs w:val="28"/>
          <w:lang w:val="en-US"/>
        </w:rPr>
        <w:t>. In Q2 2026, the import turnover of goods reached 156.6 billion USD, a YoY surge of 39.1% and g</w:t>
      </w:r>
      <w:r w:rsidR="00FB61D1">
        <w:rPr>
          <w:rFonts w:ascii="Times New Roman" w:hAnsi="Times New Roman" w:cs="Times New Roman"/>
          <w:bCs/>
          <w:color w:val="000000" w:themeColor="text1"/>
          <w:sz w:val="28"/>
          <w:szCs w:val="28"/>
          <w:lang w:val="en-US"/>
        </w:rPr>
        <w:t>oing up 23.7% QoQ. Overall, in the first half of</w:t>
      </w:r>
      <w:r w:rsidRPr="004F4D2E">
        <w:rPr>
          <w:rFonts w:ascii="Times New Roman" w:hAnsi="Times New Roman" w:cs="Times New Roman"/>
          <w:bCs/>
          <w:color w:val="000000" w:themeColor="text1"/>
          <w:sz w:val="28"/>
          <w:szCs w:val="28"/>
          <w:lang w:val="en-US"/>
        </w:rPr>
        <w:t xml:space="preserve"> 2026, </w:t>
      </w:r>
      <w:r w:rsidRPr="004F4D2E">
        <w:rPr>
          <w:rFonts w:ascii="Times New Roman" w:hAnsi="Times New Roman" w:cs="Times New Roman"/>
          <w:bCs/>
          <w:sz w:val="28"/>
          <w:szCs w:val="28"/>
          <w:lang w:val="en-US"/>
        </w:rPr>
        <w:t xml:space="preserve">the import turnover of goods </w:t>
      </w:r>
      <w:r w:rsidRPr="004F4D2E">
        <w:rPr>
          <w:rFonts w:ascii="Times New Roman" w:hAnsi="Times New Roman" w:cs="Times New Roman"/>
          <w:bCs/>
          <w:color w:val="000000" w:themeColor="text1"/>
          <w:sz w:val="28"/>
          <w:szCs w:val="28"/>
          <w:lang w:val="en-US"/>
        </w:rPr>
        <w:t>reached US$283.17 billion, an increase of 33.4% YoY.</w:t>
      </w:r>
    </w:p>
    <w:p w14:paraId="7379D657" w14:textId="0A5BA749" w:rsidR="00AB6596" w:rsidRPr="004F4D2E" w:rsidRDefault="00AB6596" w:rsidP="00AB6596">
      <w:pPr>
        <w:spacing w:beforeLines="40" w:before="96" w:afterLines="40" w:after="96" w:line="264" w:lineRule="auto"/>
        <w:ind w:firstLine="562"/>
        <w:jc w:val="both"/>
        <w:rPr>
          <w:rFonts w:ascii="Times New Roman" w:hAnsi="Times New Roman" w:cs="Times New Roman"/>
          <w:iCs/>
          <w:color w:val="000000" w:themeColor="text1"/>
          <w:sz w:val="28"/>
          <w:szCs w:val="28"/>
          <w:lang w:val="en-US"/>
        </w:rPr>
      </w:pPr>
      <w:r w:rsidRPr="004F4D2E">
        <w:rPr>
          <w:rFonts w:ascii="Times New Roman" w:hAnsi="Times New Roman" w:cs="Times New Roman"/>
          <w:iCs/>
          <w:sz w:val="28"/>
          <w:szCs w:val="28"/>
          <w:lang w:val="en-US"/>
        </w:rPr>
        <w:t>According to preliminary data, the trade balance of goods</w:t>
      </w:r>
      <w:r w:rsidRPr="004F4D2E">
        <w:rPr>
          <w:rFonts w:ascii="Times New Roman" w:hAnsi="Times New Roman" w:cs="Times New Roman"/>
          <w:iCs/>
          <w:color w:val="000000" w:themeColor="text1"/>
          <w:spacing w:val="8"/>
          <w:sz w:val="28"/>
          <w:szCs w:val="28"/>
          <w:lang w:val="en-US"/>
        </w:rPr>
        <w:t xml:space="preserve"> </w:t>
      </w:r>
      <w:r w:rsidRPr="004F4D2E">
        <w:rPr>
          <w:rFonts w:ascii="Times New Roman" w:hAnsi="Times New Roman" w:cs="Times New Roman"/>
          <w:iCs/>
          <w:sz w:val="28"/>
          <w:szCs w:val="28"/>
          <w:lang w:val="en-US"/>
        </w:rPr>
        <w:t>in June recorded a deficit of</w:t>
      </w:r>
      <w:r w:rsidRPr="004F4D2E">
        <w:rPr>
          <w:rFonts w:ascii="Times New Roman" w:hAnsi="Times New Roman" w:cs="Times New Roman"/>
          <w:iCs/>
          <w:color w:val="000000" w:themeColor="text1"/>
          <w:sz w:val="28"/>
          <w:szCs w:val="28"/>
          <w:lang w:val="en-US"/>
        </w:rPr>
        <w:t xml:space="preserve"> 2.64 billion USD. </w:t>
      </w:r>
      <w:bookmarkStart w:id="6" w:name="_Hlk231309170"/>
      <w:r w:rsidR="00FB61D1">
        <w:rPr>
          <w:rFonts w:ascii="Times New Roman" w:hAnsi="Times New Roman" w:cs="Times New Roman"/>
          <w:iCs/>
          <w:sz w:val="28"/>
          <w:szCs w:val="28"/>
          <w:lang w:val="en-US"/>
        </w:rPr>
        <w:t>Overall, in the first half of</w:t>
      </w:r>
      <w:r w:rsidRPr="004F4D2E">
        <w:rPr>
          <w:rFonts w:ascii="Times New Roman" w:hAnsi="Times New Roman" w:cs="Times New Roman"/>
          <w:iCs/>
          <w:sz w:val="28"/>
          <w:szCs w:val="28"/>
          <w:lang w:val="en-US"/>
        </w:rPr>
        <w:t xml:space="preserve"> 2026, the trade balance of goods posted a deficit of 16.65 billion USD</w:t>
      </w:r>
      <w:r w:rsidRPr="004F4D2E">
        <w:rPr>
          <w:rFonts w:ascii="Times New Roman" w:hAnsi="Times New Roman" w:cs="Times New Roman"/>
          <w:iCs/>
          <w:color w:val="000000" w:themeColor="text1"/>
          <w:sz w:val="28"/>
          <w:szCs w:val="28"/>
          <w:vertAlign w:val="superscript"/>
          <w:lang w:val="en-US"/>
        </w:rPr>
        <w:footnoteReference w:id="22"/>
      </w:r>
      <w:r w:rsidRPr="004F4D2E">
        <w:rPr>
          <w:rFonts w:ascii="Times New Roman" w:hAnsi="Times New Roman" w:cs="Times New Roman"/>
          <w:iCs/>
          <w:color w:val="000000" w:themeColor="text1"/>
          <w:sz w:val="28"/>
          <w:szCs w:val="28"/>
          <w:lang w:val="en-US"/>
        </w:rPr>
        <w:t xml:space="preserve"> </w:t>
      </w:r>
      <w:bookmarkEnd w:id="6"/>
      <w:r w:rsidRPr="004F4D2E">
        <w:rPr>
          <w:rFonts w:ascii="Times New Roman" w:hAnsi="Times New Roman" w:cs="Times New Roman"/>
          <w:iCs/>
          <w:color w:val="000000" w:themeColor="text1"/>
          <w:sz w:val="28"/>
          <w:szCs w:val="28"/>
          <w:lang w:val="en-US"/>
        </w:rPr>
        <w:t>(</w:t>
      </w:r>
      <w:r w:rsidRPr="004F4D2E">
        <w:rPr>
          <w:rFonts w:ascii="Times New Roman" w:hAnsi="Times New Roman" w:cs="Times New Roman"/>
          <w:iCs/>
          <w:sz w:val="28"/>
          <w:szCs w:val="28"/>
          <w:lang w:val="en-US"/>
        </w:rPr>
        <w:t>a surplus of 7.95 billion USD in the same period last year</w:t>
      </w:r>
      <w:r w:rsidRPr="004F4D2E">
        <w:rPr>
          <w:rFonts w:ascii="Times New Roman" w:hAnsi="Times New Roman" w:cs="Times New Roman"/>
          <w:iCs/>
          <w:color w:val="000000" w:themeColor="text1"/>
          <w:sz w:val="28"/>
          <w:szCs w:val="28"/>
          <w:lang w:val="en-US"/>
        </w:rPr>
        <w:t>).</w:t>
      </w:r>
    </w:p>
    <w:p w14:paraId="2420C796" w14:textId="77777777" w:rsidR="00AB6596" w:rsidRPr="004F4D2E" w:rsidRDefault="00AB6596" w:rsidP="00AB6596">
      <w:pPr>
        <w:spacing w:beforeLines="40" w:before="96" w:afterLines="40" w:after="96" w:line="264" w:lineRule="auto"/>
        <w:ind w:firstLine="562"/>
        <w:jc w:val="both"/>
        <w:rPr>
          <w:rStyle w:val="Strong"/>
          <w:rFonts w:ascii="Times New Roman" w:hAnsi="Times New Roman"/>
          <w:i/>
          <w:color w:val="000000" w:themeColor="text1"/>
          <w:sz w:val="28"/>
          <w:szCs w:val="28"/>
          <w:lang w:val="en-US"/>
        </w:rPr>
      </w:pPr>
      <w:r w:rsidRPr="004F4D2E">
        <w:rPr>
          <w:rStyle w:val="Strong"/>
          <w:rFonts w:ascii="Times New Roman" w:hAnsi="Times New Roman"/>
          <w:i/>
          <w:color w:val="000000" w:themeColor="text1"/>
          <w:sz w:val="28"/>
          <w:szCs w:val="28"/>
          <w:lang w:val="en-US"/>
        </w:rPr>
        <w:t xml:space="preserve">b) </w:t>
      </w:r>
      <w:r w:rsidRPr="004F4D2E">
        <w:rPr>
          <w:rFonts w:ascii="Times New Roman" w:hAnsi="Times New Roman" w:cs="Times New Roman"/>
          <w:b/>
          <w:bCs/>
          <w:i/>
          <w:iCs/>
          <w:sz w:val="28"/>
          <w:szCs w:val="28"/>
          <w:lang w:val="en-US"/>
        </w:rPr>
        <w:t>Export and import of services</w:t>
      </w:r>
    </w:p>
    <w:p w14:paraId="18958243" w14:textId="158F3E70" w:rsidR="00AB6596" w:rsidRPr="004F4D2E" w:rsidRDefault="00FB61D1" w:rsidP="00AB6596">
      <w:pPr>
        <w:spacing w:before="40" w:after="40" w:line="264" w:lineRule="auto"/>
        <w:ind w:firstLine="567"/>
        <w:jc w:val="both"/>
        <w:rPr>
          <w:rFonts w:ascii="Times New Roman" w:hAnsi="Times New Roman" w:cs="Times New Roman"/>
          <w:iCs/>
          <w:color w:val="000000" w:themeColor="text1"/>
          <w:sz w:val="28"/>
          <w:szCs w:val="28"/>
          <w:lang w:val="en-US"/>
        </w:rPr>
      </w:pPr>
      <w:r>
        <w:rPr>
          <w:rFonts w:ascii="Times New Roman" w:hAnsi="Times New Roman" w:cs="Times New Roman"/>
          <w:iCs/>
          <w:sz w:val="28"/>
          <w:szCs w:val="28"/>
          <w:lang w:val="en-US"/>
        </w:rPr>
        <w:t>In the first half of</w:t>
      </w:r>
      <w:r w:rsidR="00AB6596" w:rsidRPr="004F4D2E">
        <w:rPr>
          <w:rFonts w:ascii="Times New Roman" w:hAnsi="Times New Roman" w:cs="Times New Roman"/>
          <w:iCs/>
          <w:sz w:val="28"/>
          <w:szCs w:val="28"/>
          <w:lang w:val="en-US"/>
        </w:rPr>
        <w:t xml:space="preserve"> 2026 cumulatively, export turnover of services was estimated at 17.42 billion USD, rising by 20.5% YoY</w:t>
      </w:r>
      <w:r w:rsidR="00AB6596" w:rsidRPr="004F4D2E">
        <w:rPr>
          <w:rFonts w:ascii="Times New Roman" w:hAnsi="Times New Roman" w:cs="Times New Roman"/>
          <w:iCs/>
          <w:color w:val="000000" w:themeColor="text1"/>
          <w:sz w:val="28"/>
          <w:szCs w:val="28"/>
          <w:lang w:val="en-US"/>
        </w:rPr>
        <w:t xml:space="preserve"> (</w:t>
      </w:r>
      <w:r w:rsidR="00AB6596" w:rsidRPr="004F4D2E">
        <w:rPr>
          <w:rFonts w:ascii="Times New Roman" w:hAnsi="Times New Roman" w:cs="Times New Roman"/>
          <w:iCs/>
          <w:sz w:val="28"/>
          <w:szCs w:val="28"/>
          <w:lang w:val="en-US"/>
        </w:rPr>
        <w:t>In the Q2 2026, the export turnover of services was estimated at 8.24 billion USD, a YoY increase of 20.5% and decreased by 10.3% QoQ</w:t>
      </w:r>
      <w:r w:rsidR="00AB6596" w:rsidRPr="004F4D2E">
        <w:rPr>
          <w:rFonts w:ascii="Times New Roman" w:hAnsi="Times New Roman" w:cs="Times New Roman"/>
          <w:iCs/>
          <w:color w:val="000000" w:themeColor="text1"/>
          <w:sz w:val="28"/>
          <w:szCs w:val="28"/>
          <w:lang w:val="en-US"/>
        </w:rPr>
        <w:t xml:space="preserve">), </w:t>
      </w:r>
      <w:r w:rsidR="00AB6596" w:rsidRPr="004F4D2E">
        <w:rPr>
          <w:rFonts w:ascii="Times New Roman" w:hAnsi="Times New Roman" w:cs="Times New Roman"/>
          <w:iCs/>
          <w:sz w:val="28"/>
          <w:szCs w:val="28"/>
          <w:lang w:val="en-US"/>
        </w:rPr>
        <w:t>of which tourism services reached 9.0 billion USD, growing by 18.1%; transport services reached 5.1 billion USD, surging by 34.0%</w:t>
      </w:r>
      <w:r w:rsidR="00AB6596" w:rsidRPr="004F4D2E">
        <w:rPr>
          <w:rFonts w:ascii="Times New Roman" w:hAnsi="Times New Roman" w:cs="Times New Roman"/>
          <w:iCs/>
          <w:color w:val="000000" w:themeColor="text1"/>
          <w:sz w:val="28"/>
          <w:szCs w:val="28"/>
          <w:lang w:val="en-US"/>
        </w:rPr>
        <w:t>.</w:t>
      </w:r>
    </w:p>
    <w:p w14:paraId="3AB303BB" w14:textId="44D4F071" w:rsidR="00AB6596" w:rsidRPr="004F4D2E" w:rsidRDefault="00FB61D1" w:rsidP="00AB6596">
      <w:pPr>
        <w:spacing w:before="40" w:after="40" w:line="264" w:lineRule="auto"/>
        <w:ind w:firstLine="567"/>
        <w:jc w:val="both"/>
        <w:rPr>
          <w:rFonts w:ascii="Times New Roman" w:hAnsi="Times New Roman" w:cs="Times New Roman"/>
          <w:iCs/>
          <w:color w:val="000000" w:themeColor="text1"/>
          <w:sz w:val="28"/>
          <w:szCs w:val="28"/>
          <w:lang w:val="en-US"/>
        </w:rPr>
      </w:pPr>
      <w:r>
        <w:rPr>
          <w:rFonts w:ascii="Times New Roman" w:hAnsi="Times New Roman" w:cs="Times New Roman"/>
          <w:iCs/>
          <w:sz w:val="28"/>
          <w:szCs w:val="28"/>
          <w:lang w:val="en-US"/>
        </w:rPr>
        <w:t>Import turnover of services in the first half of</w:t>
      </w:r>
      <w:r w:rsidR="00AB6596" w:rsidRPr="004F4D2E">
        <w:rPr>
          <w:rFonts w:ascii="Times New Roman" w:hAnsi="Times New Roman" w:cs="Times New Roman"/>
          <w:iCs/>
          <w:sz w:val="28"/>
          <w:szCs w:val="28"/>
          <w:lang w:val="en-US"/>
        </w:rPr>
        <w:t xml:space="preserve"> 2026 was estimated at 22.96 billion USD, rising by 19.4% YoY</w:t>
      </w:r>
      <w:r w:rsidR="00AB6596" w:rsidRPr="004F4D2E">
        <w:rPr>
          <w:rFonts w:ascii="Times New Roman" w:hAnsi="Times New Roman" w:cs="Times New Roman"/>
          <w:iCs/>
          <w:color w:val="000000" w:themeColor="text1"/>
          <w:sz w:val="28"/>
          <w:szCs w:val="28"/>
          <w:lang w:val="en-US"/>
        </w:rPr>
        <w:t xml:space="preserve"> (</w:t>
      </w:r>
      <w:r w:rsidR="00AB6596" w:rsidRPr="004F4D2E">
        <w:rPr>
          <w:rFonts w:ascii="Times New Roman" w:hAnsi="Times New Roman" w:cs="Times New Roman"/>
          <w:iCs/>
          <w:sz w:val="28"/>
          <w:szCs w:val="28"/>
          <w:lang w:val="en-US"/>
        </w:rPr>
        <w:t>in the Q2 2026, the import turnover of services was estimated at</w:t>
      </w:r>
      <w:r w:rsidR="00AB6596" w:rsidRPr="004F4D2E">
        <w:rPr>
          <w:rFonts w:ascii="Times New Roman" w:hAnsi="Times New Roman" w:cs="Times New Roman"/>
          <w:iCs/>
          <w:color w:val="000000" w:themeColor="text1"/>
          <w:sz w:val="28"/>
          <w:szCs w:val="28"/>
          <w:lang w:val="en-US"/>
        </w:rPr>
        <w:t xml:space="preserve"> 11.81 billion USD, </w:t>
      </w:r>
      <w:r w:rsidR="00AB6596" w:rsidRPr="004F4D2E">
        <w:rPr>
          <w:rFonts w:ascii="Times New Roman" w:hAnsi="Times New Roman" w:cs="Times New Roman"/>
          <w:iCs/>
          <w:sz w:val="28"/>
          <w:szCs w:val="28"/>
          <w:lang w:val="en-US"/>
        </w:rPr>
        <w:t>up 17.4% YoY</w:t>
      </w:r>
      <w:r w:rsidR="00AB6596" w:rsidRPr="004F4D2E">
        <w:rPr>
          <w:rFonts w:ascii="Times New Roman" w:hAnsi="Times New Roman" w:cs="Times New Roman"/>
          <w:iCs/>
          <w:color w:val="000000" w:themeColor="text1"/>
          <w:sz w:val="28"/>
          <w:szCs w:val="28"/>
          <w:lang w:val="en-US"/>
        </w:rPr>
        <w:t xml:space="preserve">), </w:t>
      </w:r>
      <w:r w:rsidR="00AB6596" w:rsidRPr="004F4D2E">
        <w:rPr>
          <w:rFonts w:ascii="Times New Roman" w:hAnsi="Times New Roman" w:cs="Times New Roman"/>
          <w:iCs/>
          <w:sz w:val="28"/>
          <w:szCs w:val="28"/>
          <w:lang w:val="en-US"/>
        </w:rPr>
        <w:t xml:space="preserve">of which transport </w:t>
      </w:r>
      <w:r w:rsidR="00AB6596" w:rsidRPr="004F4D2E">
        <w:rPr>
          <w:rFonts w:ascii="Times New Roman" w:hAnsi="Times New Roman" w:cs="Times New Roman"/>
          <w:iCs/>
          <w:sz w:val="28"/>
          <w:szCs w:val="28"/>
          <w:lang w:val="en-US"/>
        </w:rPr>
        <w:lastRenderedPageBreak/>
        <w:t>services reached 10.25 billion USD, growing by 32.2%; tourism services reached 8.05 billion USD, increasing by 12.7%</w:t>
      </w:r>
      <w:r w:rsidR="00AB6596" w:rsidRPr="004F4D2E">
        <w:rPr>
          <w:rFonts w:ascii="Times New Roman" w:hAnsi="Times New Roman" w:cs="Times New Roman"/>
          <w:iCs/>
          <w:color w:val="000000" w:themeColor="text1"/>
          <w:sz w:val="28"/>
          <w:szCs w:val="28"/>
          <w:lang w:val="en-US"/>
        </w:rPr>
        <w:t xml:space="preserve">. </w:t>
      </w:r>
    </w:p>
    <w:p w14:paraId="24FCFA5F" w14:textId="7881AD5B" w:rsidR="00E963E0" w:rsidRPr="004F4D2E" w:rsidRDefault="00AB6596" w:rsidP="00AB6596">
      <w:pPr>
        <w:spacing w:before="40" w:after="40" w:line="264" w:lineRule="auto"/>
        <w:ind w:firstLine="567"/>
        <w:jc w:val="both"/>
        <w:rPr>
          <w:rFonts w:ascii="Times New Roman" w:hAnsi="Times New Roman" w:cs="Times New Roman"/>
          <w:iCs/>
          <w:color w:val="000000" w:themeColor="text1"/>
          <w:sz w:val="28"/>
          <w:szCs w:val="28"/>
          <w:lang w:val="en-US"/>
        </w:rPr>
      </w:pPr>
      <w:r w:rsidRPr="004F4D2E">
        <w:rPr>
          <w:rFonts w:ascii="Times New Roman" w:hAnsi="Times New Roman" w:cs="Times New Roman"/>
          <w:iCs/>
          <w:sz w:val="28"/>
          <w:szCs w:val="28"/>
          <w:lang w:val="en-US"/>
        </w:rPr>
        <w:t>The trade deficit of services in H1 2026 was</w:t>
      </w:r>
      <w:r w:rsidRPr="004F4D2E">
        <w:rPr>
          <w:rFonts w:ascii="Times New Roman" w:hAnsi="Times New Roman" w:cs="Times New Roman"/>
          <w:iCs/>
          <w:color w:val="000000" w:themeColor="text1"/>
          <w:sz w:val="28"/>
          <w:szCs w:val="28"/>
          <w:lang w:val="en-US"/>
        </w:rPr>
        <w:t xml:space="preserve"> 5.4 billion USD.</w:t>
      </w:r>
    </w:p>
    <w:p w14:paraId="01A61750" w14:textId="1C6EEF79" w:rsidR="00293D3E" w:rsidRPr="004F4D2E" w:rsidRDefault="00D319BE" w:rsidP="00293D3E">
      <w:pPr>
        <w:pStyle w:val="NormalWeb"/>
        <w:spacing w:before="0" w:beforeAutospacing="0" w:after="120" w:afterAutospacing="0" w:line="264" w:lineRule="auto"/>
        <w:ind w:firstLine="562"/>
        <w:jc w:val="both"/>
        <w:rPr>
          <w:rFonts w:ascii="Times New Roman" w:hAnsi="Times New Roman" w:cs="Times New Roman"/>
          <w:b/>
          <w:i/>
          <w:color w:val="000000" w:themeColor="text1"/>
          <w:sz w:val="28"/>
          <w:szCs w:val="28"/>
        </w:rPr>
      </w:pPr>
      <w:r w:rsidRPr="004F4D2E">
        <w:rPr>
          <w:rFonts w:ascii="Times New Roman" w:hAnsi="Times New Roman" w:cs="Times New Roman"/>
          <w:b/>
          <w:i/>
          <w:iCs/>
          <w:color w:val="000000" w:themeColor="text1"/>
          <w:sz w:val="28"/>
          <w:szCs w:val="28"/>
        </w:rPr>
        <w:tab/>
      </w:r>
      <w:bookmarkStart w:id="7" w:name="_Hlk67815215"/>
      <w:r w:rsidR="00293D3E" w:rsidRPr="004F4D2E">
        <w:rPr>
          <w:rFonts w:ascii="Times New Roman" w:hAnsi="Times New Roman" w:cs="Times New Roman"/>
          <w:b/>
          <w:i/>
          <w:color w:val="000000" w:themeColor="text1"/>
          <w:sz w:val="28"/>
          <w:szCs w:val="28"/>
        </w:rPr>
        <w:t xml:space="preserve">10. The Consumer Price Index (CPI) in June 2026 witnessed a month-on-month decrease of 0.39%, mainly due to a decline in </w:t>
      </w:r>
      <w:r w:rsidR="008426FA" w:rsidRPr="004F4D2E">
        <w:rPr>
          <w:rFonts w:ascii="Times New Roman" w:hAnsi="Times New Roman" w:cs="Times New Roman"/>
          <w:b/>
          <w:i/>
          <w:color w:val="000000" w:themeColor="text1"/>
          <w:sz w:val="28"/>
          <w:szCs w:val="28"/>
        </w:rPr>
        <w:t>petroleum</w:t>
      </w:r>
      <w:r w:rsidR="00293D3E" w:rsidRPr="004F4D2E">
        <w:rPr>
          <w:rFonts w:ascii="Times New Roman" w:hAnsi="Times New Roman" w:cs="Times New Roman"/>
          <w:b/>
          <w:i/>
          <w:color w:val="000000" w:themeColor="text1"/>
          <w:sz w:val="28"/>
          <w:szCs w:val="28"/>
        </w:rPr>
        <w:t xml:space="preserve"> </w:t>
      </w:r>
      <w:r w:rsidR="008426FA" w:rsidRPr="004F4D2E">
        <w:rPr>
          <w:rFonts w:ascii="Times New Roman" w:hAnsi="Times New Roman" w:cs="Times New Roman"/>
          <w:b/>
          <w:i/>
          <w:color w:val="000000" w:themeColor="text1"/>
          <w:sz w:val="28"/>
          <w:szCs w:val="28"/>
        </w:rPr>
        <w:t>prices following global fuel price fluctuation</w:t>
      </w:r>
      <w:r w:rsidR="00293D3E" w:rsidRPr="004F4D2E">
        <w:rPr>
          <w:rFonts w:ascii="Times New Roman" w:hAnsi="Times New Roman" w:cs="Times New Roman"/>
          <w:b/>
          <w:i/>
          <w:color w:val="000000" w:themeColor="text1"/>
          <w:sz w:val="28"/>
          <w:szCs w:val="28"/>
        </w:rPr>
        <w:t>. The CPI in June possessed an increase of 3.21% compared to that in December 2025 and a year-on-year rise of 4.69%.</w:t>
      </w:r>
    </w:p>
    <w:p w14:paraId="5BD917FA" w14:textId="77777777" w:rsidR="00293D3E" w:rsidRPr="004F4D2E" w:rsidRDefault="00293D3E" w:rsidP="00293D3E">
      <w:pPr>
        <w:shd w:val="clear" w:color="auto" w:fill="FFFFFF"/>
        <w:spacing w:beforeLines="40" w:before="96" w:afterLines="40" w:after="96" w:line="264" w:lineRule="auto"/>
        <w:ind w:firstLine="562"/>
        <w:jc w:val="both"/>
        <w:rPr>
          <w:rFonts w:ascii="Times New Roman" w:hAnsi="Times New Roman" w:cs="Times New Roman"/>
          <w:bCs/>
          <w:i/>
          <w:iCs/>
          <w:color w:val="000000" w:themeColor="text1"/>
          <w:sz w:val="28"/>
          <w:szCs w:val="28"/>
          <w:lang w:val="en-US"/>
        </w:rPr>
      </w:pPr>
      <w:r w:rsidRPr="004F4D2E">
        <w:rPr>
          <w:rFonts w:ascii="Times New Roman" w:hAnsi="Times New Roman" w:cs="Times New Roman"/>
          <w:bCs/>
          <w:i/>
          <w:iCs/>
          <w:color w:val="000000" w:themeColor="text1"/>
          <w:sz w:val="28"/>
          <w:szCs w:val="28"/>
          <w:lang w:val="en-US"/>
        </w:rPr>
        <w:t xml:space="preserve">a) Consumer price index </w:t>
      </w:r>
    </w:p>
    <w:p w14:paraId="3279A957" w14:textId="4BA0FC04" w:rsidR="00293D3E" w:rsidRPr="004F4D2E" w:rsidRDefault="00293D3E" w:rsidP="00293D3E">
      <w:pPr>
        <w:pStyle w:val="NormalWeb"/>
        <w:spacing w:before="120" w:beforeAutospacing="0" w:after="0" w:afterAutospacing="0" w:line="264" w:lineRule="auto"/>
        <w:ind w:firstLine="562"/>
        <w:jc w:val="both"/>
        <w:rPr>
          <w:rFonts w:ascii="Times New Roman" w:hAnsi="Times New Roman" w:cs="Times New Roman"/>
          <w:color w:val="000000" w:themeColor="text1"/>
          <w:spacing w:val="2"/>
          <w:sz w:val="28"/>
          <w:szCs w:val="28"/>
        </w:rPr>
      </w:pPr>
      <w:r w:rsidRPr="004F4D2E">
        <w:rPr>
          <w:rFonts w:ascii="Times New Roman" w:hAnsi="Times New Roman" w:cs="Times New Roman"/>
          <w:color w:val="000000" w:themeColor="text1"/>
          <w:spacing w:val="2"/>
          <w:sz w:val="28"/>
          <w:szCs w:val="28"/>
        </w:rPr>
        <w:t xml:space="preserve">The CPI in June </w:t>
      </w:r>
      <w:r w:rsidR="000A7CC5" w:rsidRPr="004F4D2E">
        <w:rPr>
          <w:rFonts w:ascii="Times New Roman" w:hAnsi="Times New Roman" w:cs="Times New Roman"/>
          <w:color w:val="000000" w:themeColor="text1"/>
          <w:spacing w:val="2"/>
          <w:sz w:val="28"/>
          <w:szCs w:val="28"/>
        </w:rPr>
        <w:t>experienced</w:t>
      </w:r>
      <w:r w:rsidRPr="004F4D2E">
        <w:rPr>
          <w:rFonts w:ascii="Times New Roman" w:hAnsi="Times New Roman" w:cs="Times New Roman"/>
          <w:color w:val="000000" w:themeColor="text1"/>
          <w:spacing w:val="2"/>
          <w:sz w:val="28"/>
          <w:szCs w:val="28"/>
        </w:rPr>
        <w:t xml:space="preserve"> a </w:t>
      </w:r>
      <w:r w:rsidR="008426FA" w:rsidRPr="004F4D2E">
        <w:rPr>
          <w:rFonts w:ascii="Times New Roman" w:hAnsi="Times New Roman" w:cs="Times New Roman"/>
          <w:color w:val="000000" w:themeColor="text1"/>
          <w:spacing w:val="2"/>
          <w:sz w:val="28"/>
          <w:szCs w:val="28"/>
        </w:rPr>
        <w:t>MoM</w:t>
      </w:r>
      <w:r w:rsidRPr="004F4D2E">
        <w:rPr>
          <w:rFonts w:ascii="Times New Roman" w:hAnsi="Times New Roman" w:cs="Times New Roman"/>
          <w:color w:val="000000" w:themeColor="text1"/>
          <w:spacing w:val="2"/>
          <w:sz w:val="28"/>
          <w:szCs w:val="28"/>
        </w:rPr>
        <w:t xml:space="preserve"> contraction of 0.39%, of which: 4 groups of goods and services witnessed a decrease</w:t>
      </w:r>
      <w:r w:rsidR="008426FA" w:rsidRPr="004F4D2E">
        <w:rPr>
          <w:rFonts w:ascii="Times New Roman" w:hAnsi="Times New Roman" w:cs="Times New Roman"/>
          <w:color w:val="000000" w:themeColor="text1"/>
          <w:spacing w:val="2"/>
          <w:sz w:val="28"/>
          <w:szCs w:val="28"/>
        </w:rPr>
        <w:t>, whereas</w:t>
      </w:r>
      <w:r w:rsidRPr="004F4D2E">
        <w:rPr>
          <w:rFonts w:ascii="Times New Roman" w:hAnsi="Times New Roman" w:cs="Times New Roman"/>
          <w:color w:val="000000" w:themeColor="text1"/>
          <w:spacing w:val="2"/>
          <w:sz w:val="28"/>
          <w:szCs w:val="28"/>
        </w:rPr>
        <w:t xml:space="preserve"> 7 groups of goods and services saw an increase in CPI. The average CPI in Q2 2026 saw expansion of 5.25% compared to that the Q1 2025. The average CPI in the six months of 2026 experienced a </w:t>
      </w:r>
      <w:r w:rsidR="008426FA" w:rsidRPr="004F4D2E">
        <w:rPr>
          <w:rFonts w:ascii="Times New Roman" w:hAnsi="Times New Roman" w:cs="Times New Roman"/>
          <w:color w:val="000000" w:themeColor="text1"/>
          <w:spacing w:val="2"/>
          <w:sz w:val="28"/>
          <w:szCs w:val="28"/>
        </w:rPr>
        <w:t>YoY</w:t>
      </w:r>
      <w:r w:rsidRPr="004F4D2E">
        <w:rPr>
          <w:rFonts w:ascii="Times New Roman" w:hAnsi="Times New Roman" w:cs="Times New Roman"/>
          <w:color w:val="000000" w:themeColor="text1"/>
          <w:spacing w:val="2"/>
          <w:sz w:val="28"/>
          <w:szCs w:val="28"/>
        </w:rPr>
        <w:t xml:space="preserve"> soar of 4.38% </w:t>
      </w:r>
    </w:p>
    <w:p w14:paraId="0062338B" w14:textId="6BAAB02C" w:rsidR="00293D3E" w:rsidRPr="004F4D2E" w:rsidRDefault="00293D3E" w:rsidP="00293D3E">
      <w:pPr>
        <w:pStyle w:val="NormalWeb"/>
        <w:spacing w:before="0" w:beforeAutospacing="0" w:after="120" w:afterAutospacing="0" w:line="264" w:lineRule="auto"/>
        <w:ind w:firstLine="562"/>
        <w:jc w:val="both"/>
        <w:rPr>
          <w:rFonts w:ascii="Times New Roman" w:hAnsi="Times New Roman" w:cs="Times New Roman"/>
          <w:color w:val="000000" w:themeColor="text1"/>
          <w:sz w:val="28"/>
          <w:szCs w:val="28"/>
        </w:rPr>
      </w:pPr>
      <w:r w:rsidRPr="004F4D2E">
        <w:rPr>
          <w:rFonts w:ascii="Times New Roman" w:hAnsi="Times New Roman" w:cs="Times New Roman"/>
          <w:color w:val="000000" w:themeColor="text1"/>
          <w:sz w:val="28"/>
          <w:szCs w:val="28"/>
        </w:rPr>
        <w:t>Core inflation</w:t>
      </w:r>
      <w:r w:rsidRPr="004F4D2E">
        <w:rPr>
          <w:rStyle w:val="FootnoteReference"/>
          <w:rFonts w:ascii="Times New Roman" w:hAnsi="Times New Roman"/>
          <w:color w:val="000000" w:themeColor="text1"/>
          <w:sz w:val="28"/>
          <w:szCs w:val="28"/>
        </w:rPr>
        <w:footnoteReference w:id="23"/>
      </w:r>
      <w:r w:rsidRPr="004F4D2E">
        <w:rPr>
          <w:rFonts w:ascii="Times New Roman" w:hAnsi="Times New Roman" w:cs="Times New Roman"/>
          <w:color w:val="000000" w:themeColor="text1"/>
          <w:sz w:val="28"/>
          <w:szCs w:val="28"/>
        </w:rPr>
        <w:t xml:space="preserve"> in June possessed a </w:t>
      </w:r>
      <w:r w:rsidR="008426FA" w:rsidRPr="004F4D2E">
        <w:rPr>
          <w:rFonts w:ascii="Times New Roman" w:hAnsi="Times New Roman" w:cs="Times New Roman"/>
          <w:color w:val="000000" w:themeColor="text1"/>
          <w:sz w:val="28"/>
          <w:szCs w:val="28"/>
        </w:rPr>
        <w:t>MoM</w:t>
      </w:r>
      <w:r w:rsidRPr="004F4D2E">
        <w:rPr>
          <w:rFonts w:ascii="Times New Roman" w:hAnsi="Times New Roman" w:cs="Times New Roman"/>
          <w:color w:val="000000" w:themeColor="text1"/>
          <w:sz w:val="28"/>
          <w:szCs w:val="28"/>
        </w:rPr>
        <w:t xml:space="preserve"> increase of 0.14% and a </w:t>
      </w:r>
      <w:r w:rsidR="008426FA" w:rsidRPr="004F4D2E">
        <w:rPr>
          <w:rFonts w:ascii="Times New Roman" w:hAnsi="Times New Roman" w:cs="Times New Roman"/>
          <w:color w:val="000000" w:themeColor="text1"/>
          <w:sz w:val="28"/>
          <w:szCs w:val="28"/>
        </w:rPr>
        <w:t>YoY</w:t>
      </w:r>
      <w:r w:rsidRPr="004F4D2E">
        <w:rPr>
          <w:rFonts w:ascii="Times New Roman" w:hAnsi="Times New Roman" w:cs="Times New Roman"/>
          <w:color w:val="000000" w:themeColor="text1"/>
          <w:sz w:val="28"/>
          <w:szCs w:val="28"/>
        </w:rPr>
        <w:t xml:space="preserve"> rise of 4.50%. On average, the core inflation in the six months of 2026 recorded a </w:t>
      </w:r>
      <w:r w:rsidR="008426FA" w:rsidRPr="004F4D2E">
        <w:rPr>
          <w:rFonts w:ascii="Times New Roman" w:hAnsi="Times New Roman" w:cs="Times New Roman"/>
          <w:color w:val="000000" w:themeColor="text1"/>
          <w:sz w:val="28"/>
          <w:szCs w:val="28"/>
        </w:rPr>
        <w:t>YoY</w:t>
      </w:r>
      <w:r w:rsidRPr="004F4D2E">
        <w:rPr>
          <w:rFonts w:ascii="Times New Roman" w:hAnsi="Times New Roman" w:cs="Times New Roman"/>
          <w:color w:val="000000" w:themeColor="text1"/>
          <w:sz w:val="28"/>
          <w:szCs w:val="28"/>
        </w:rPr>
        <w:t xml:space="preserve"> soar of 4.12%, </w:t>
      </w:r>
      <w:r w:rsidRPr="004F4D2E">
        <w:rPr>
          <w:rFonts w:ascii="Times New Roman" w:hAnsi="Times New Roman" w:cs="Times New Roman"/>
          <w:sz w:val="28"/>
          <w:szCs w:val="28"/>
        </w:rPr>
        <w:t>lower than a surge of 4.38% in the overall CPI</w:t>
      </w:r>
      <w:r w:rsidRPr="004F4D2E">
        <w:rPr>
          <w:rStyle w:val="FootnoteReference"/>
          <w:rFonts w:ascii="Times New Roman" w:hAnsi="Times New Roman"/>
          <w:sz w:val="28"/>
          <w:szCs w:val="28"/>
        </w:rPr>
        <w:footnoteReference w:id="24"/>
      </w:r>
      <w:r w:rsidRPr="004F4D2E">
        <w:rPr>
          <w:rFonts w:ascii="Times New Roman" w:hAnsi="Times New Roman" w:cs="Times New Roman"/>
          <w:sz w:val="28"/>
          <w:szCs w:val="28"/>
        </w:rPr>
        <w:t>.</w:t>
      </w:r>
    </w:p>
    <w:p w14:paraId="5260132B" w14:textId="77777777" w:rsidR="00293D3E" w:rsidRPr="004F4D2E" w:rsidRDefault="00293D3E" w:rsidP="00293D3E">
      <w:pPr>
        <w:spacing w:beforeLines="40" w:before="96" w:afterLines="40" w:after="96" w:line="264" w:lineRule="auto"/>
        <w:ind w:firstLine="567"/>
        <w:jc w:val="both"/>
        <w:rPr>
          <w:rStyle w:val="a21"/>
          <w:rFonts w:ascii="Times New Roman" w:hAnsi="Times New Roman" w:cs="Times New Roman"/>
          <w:i/>
          <w:color w:val="000000" w:themeColor="text1"/>
          <w:sz w:val="28"/>
          <w:szCs w:val="28"/>
          <w:lang w:val="en-US"/>
        </w:rPr>
      </w:pPr>
      <w:r w:rsidRPr="004F4D2E">
        <w:rPr>
          <w:rStyle w:val="a21"/>
          <w:rFonts w:ascii="Times New Roman" w:hAnsi="Times New Roman" w:cs="Times New Roman"/>
          <w:i/>
          <w:color w:val="000000" w:themeColor="text1"/>
          <w:sz w:val="28"/>
          <w:szCs w:val="28"/>
          <w:lang w:val="en-US"/>
        </w:rPr>
        <w:t>b) US dollar price index</w:t>
      </w:r>
    </w:p>
    <w:p w14:paraId="2FB04846" w14:textId="77777777" w:rsidR="008426FA" w:rsidRPr="004F4D2E" w:rsidRDefault="00293D3E" w:rsidP="008426FA">
      <w:pPr>
        <w:spacing w:after="0" w:line="264" w:lineRule="auto"/>
        <w:ind w:firstLine="562"/>
        <w:jc w:val="both"/>
        <w:rPr>
          <w:rFonts w:ascii="Times New Roman" w:hAnsi="Times New Roman" w:cs="Times New Roman"/>
          <w:color w:val="000000" w:themeColor="text1"/>
          <w:spacing w:val="2"/>
          <w:sz w:val="28"/>
          <w:szCs w:val="28"/>
          <w:lang w:val="en-US"/>
        </w:rPr>
      </w:pPr>
      <w:r w:rsidRPr="004F4D2E">
        <w:rPr>
          <w:rFonts w:ascii="Times New Roman" w:hAnsi="Times New Roman" w:cs="Times New Roman"/>
          <w:color w:val="000000" w:themeColor="text1"/>
          <w:spacing w:val="2"/>
          <w:sz w:val="28"/>
          <w:szCs w:val="28"/>
          <w:lang w:val="en-US"/>
        </w:rPr>
        <w:t xml:space="preserve">The gold price index in June saw a </w:t>
      </w:r>
      <w:r w:rsidR="008426FA" w:rsidRPr="004F4D2E">
        <w:rPr>
          <w:rFonts w:ascii="Times New Roman" w:hAnsi="Times New Roman" w:cs="Times New Roman"/>
          <w:color w:val="000000" w:themeColor="text1"/>
          <w:spacing w:val="2"/>
          <w:sz w:val="28"/>
          <w:szCs w:val="28"/>
          <w:lang w:val="en-US"/>
        </w:rPr>
        <w:t>MoM</w:t>
      </w:r>
      <w:r w:rsidRPr="004F4D2E">
        <w:rPr>
          <w:rFonts w:ascii="Times New Roman" w:hAnsi="Times New Roman" w:cs="Times New Roman"/>
          <w:color w:val="000000" w:themeColor="text1"/>
          <w:spacing w:val="2"/>
          <w:sz w:val="28"/>
          <w:szCs w:val="28"/>
          <w:lang w:val="en-US"/>
        </w:rPr>
        <w:t xml:space="preserve"> reduction of 8.46%; a </w:t>
      </w:r>
      <w:r w:rsidR="008426FA" w:rsidRPr="004F4D2E">
        <w:rPr>
          <w:rFonts w:ascii="Times New Roman" w:hAnsi="Times New Roman" w:cs="Times New Roman"/>
          <w:color w:val="000000" w:themeColor="text1"/>
          <w:spacing w:val="2"/>
          <w:sz w:val="28"/>
          <w:szCs w:val="28"/>
          <w:lang w:val="en-US"/>
        </w:rPr>
        <w:t>YoY</w:t>
      </w:r>
      <w:r w:rsidRPr="004F4D2E">
        <w:rPr>
          <w:rFonts w:ascii="Times New Roman" w:hAnsi="Times New Roman" w:cs="Times New Roman"/>
          <w:color w:val="000000" w:themeColor="text1"/>
          <w:spacing w:val="2"/>
          <w:sz w:val="28"/>
          <w:szCs w:val="28"/>
          <w:lang w:val="en-US"/>
        </w:rPr>
        <w:t xml:space="preserve"> spike of 24.11%; a drop of 2.72% compared to that in December 2025. The average gold price index in the Q2 2026 recorded a </w:t>
      </w:r>
      <w:r w:rsidR="008426FA" w:rsidRPr="004F4D2E">
        <w:rPr>
          <w:rFonts w:ascii="Times New Roman" w:hAnsi="Times New Roman" w:cs="Times New Roman"/>
          <w:color w:val="000000" w:themeColor="text1"/>
          <w:spacing w:val="2"/>
          <w:sz w:val="28"/>
          <w:szCs w:val="28"/>
          <w:lang w:val="en-US"/>
        </w:rPr>
        <w:t>YoY</w:t>
      </w:r>
      <w:r w:rsidRPr="004F4D2E">
        <w:rPr>
          <w:rFonts w:ascii="Times New Roman" w:hAnsi="Times New Roman" w:cs="Times New Roman"/>
          <w:color w:val="000000" w:themeColor="text1"/>
          <w:spacing w:val="2"/>
          <w:sz w:val="28"/>
          <w:szCs w:val="28"/>
          <w:lang w:val="en-US"/>
        </w:rPr>
        <w:t xml:space="preserve"> surge of 36.84</w:t>
      </w:r>
      <w:r w:rsidRPr="004F4D2E">
        <w:rPr>
          <w:rFonts w:ascii="Times New Roman" w:hAnsi="Times New Roman" w:cs="Times New Roman"/>
          <w:sz w:val="28"/>
          <w:szCs w:val="28"/>
          <w:lang w:val="en-US"/>
        </w:rPr>
        <w:t xml:space="preserve">%; and the average gold price index in the six months of 2026 experienced a </w:t>
      </w:r>
      <w:r w:rsidR="008426FA" w:rsidRPr="004F4D2E">
        <w:rPr>
          <w:rFonts w:ascii="Times New Roman" w:hAnsi="Times New Roman" w:cs="Times New Roman"/>
          <w:sz w:val="28"/>
          <w:szCs w:val="28"/>
          <w:lang w:val="en-US"/>
        </w:rPr>
        <w:t>YoY</w:t>
      </w:r>
      <w:r w:rsidRPr="004F4D2E">
        <w:rPr>
          <w:rFonts w:ascii="Times New Roman" w:hAnsi="Times New Roman" w:cs="Times New Roman"/>
          <w:sz w:val="28"/>
          <w:szCs w:val="28"/>
          <w:lang w:val="en-US"/>
        </w:rPr>
        <w:t xml:space="preserve"> spike of 58.12%</w:t>
      </w:r>
      <w:r w:rsidR="008426FA" w:rsidRPr="004F4D2E">
        <w:rPr>
          <w:rFonts w:ascii="Times New Roman" w:hAnsi="Times New Roman" w:cs="Times New Roman"/>
          <w:color w:val="000000" w:themeColor="text1"/>
          <w:spacing w:val="2"/>
          <w:sz w:val="28"/>
          <w:szCs w:val="28"/>
          <w:lang w:val="en-US"/>
        </w:rPr>
        <w:t>.</w:t>
      </w:r>
    </w:p>
    <w:p w14:paraId="17D625C1" w14:textId="7874B0D1" w:rsidR="00A27091" w:rsidRPr="004F4D2E" w:rsidRDefault="00293D3E" w:rsidP="008426FA">
      <w:pPr>
        <w:spacing w:after="0" w:line="264" w:lineRule="auto"/>
        <w:ind w:firstLine="562"/>
        <w:jc w:val="both"/>
        <w:rPr>
          <w:rStyle w:val="a21"/>
          <w:rFonts w:ascii="Times New Roman" w:hAnsi="Times New Roman" w:cs="Times New Roman"/>
          <w:color w:val="000000" w:themeColor="text1"/>
          <w:spacing w:val="2"/>
          <w:sz w:val="28"/>
          <w:szCs w:val="28"/>
          <w:lang w:val="en-US"/>
        </w:rPr>
      </w:pPr>
      <w:r w:rsidRPr="004F4D2E">
        <w:rPr>
          <w:rStyle w:val="a21"/>
          <w:rFonts w:ascii="Times New Roman" w:hAnsi="Times New Roman" w:cs="Times New Roman"/>
          <w:color w:val="000000" w:themeColor="text1"/>
          <w:spacing w:val="2"/>
          <w:sz w:val="28"/>
          <w:szCs w:val="28"/>
          <w:lang w:val="en-US"/>
        </w:rPr>
        <w:t xml:space="preserve">The US dollar price index in June witnessed a </w:t>
      </w:r>
      <w:r w:rsidR="008426FA" w:rsidRPr="004F4D2E">
        <w:rPr>
          <w:rStyle w:val="a21"/>
          <w:rFonts w:ascii="Times New Roman" w:hAnsi="Times New Roman" w:cs="Times New Roman"/>
          <w:color w:val="000000" w:themeColor="text1"/>
          <w:spacing w:val="2"/>
          <w:sz w:val="28"/>
          <w:szCs w:val="28"/>
          <w:lang w:val="en-US"/>
        </w:rPr>
        <w:t>MoM</w:t>
      </w:r>
      <w:r w:rsidRPr="004F4D2E">
        <w:rPr>
          <w:rStyle w:val="a21"/>
          <w:rFonts w:ascii="Times New Roman" w:hAnsi="Times New Roman" w:cs="Times New Roman"/>
          <w:color w:val="000000" w:themeColor="text1"/>
          <w:spacing w:val="2"/>
          <w:sz w:val="28"/>
          <w:szCs w:val="28"/>
          <w:lang w:val="en-US"/>
        </w:rPr>
        <w:t xml:space="preserve"> soar of 0.11%; a </w:t>
      </w:r>
      <w:r w:rsidR="008426FA" w:rsidRPr="004F4D2E">
        <w:rPr>
          <w:rStyle w:val="a21"/>
          <w:rFonts w:ascii="Times New Roman" w:hAnsi="Times New Roman" w:cs="Times New Roman"/>
          <w:color w:val="000000" w:themeColor="text1"/>
          <w:spacing w:val="2"/>
          <w:sz w:val="28"/>
          <w:szCs w:val="28"/>
          <w:lang w:val="en-US"/>
        </w:rPr>
        <w:t>YoY</w:t>
      </w:r>
      <w:r w:rsidRPr="004F4D2E">
        <w:rPr>
          <w:rStyle w:val="a21"/>
          <w:rFonts w:ascii="Times New Roman" w:hAnsi="Times New Roman" w:cs="Times New Roman"/>
          <w:color w:val="000000" w:themeColor="text1"/>
          <w:spacing w:val="2"/>
          <w:sz w:val="28"/>
          <w:szCs w:val="28"/>
          <w:lang w:val="en-US"/>
        </w:rPr>
        <w:t xml:space="preserve"> expansion of 0.57%; a fall of 0.17% compared to the figure in December 2025; the average US dollar prices in Q2 2026 possessed a </w:t>
      </w:r>
      <w:r w:rsidR="008426FA" w:rsidRPr="004F4D2E">
        <w:rPr>
          <w:rStyle w:val="a21"/>
          <w:rFonts w:ascii="Times New Roman" w:hAnsi="Times New Roman" w:cs="Times New Roman"/>
          <w:color w:val="000000" w:themeColor="text1"/>
          <w:spacing w:val="2"/>
          <w:sz w:val="28"/>
          <w:szCs w:val="28"/>
          <w:lang w:val="en-US"/>
        </w:rPr>
        <w:t>YoY</w:t>
      </w:r>
      <w:r w:rsidRPr="004F4D2E">
        <w:rPr>
          <w:rStyle w:val="a21"/>
          <w:rFonts w:ascii="Times New Roman" w:hAnsi="Times New Roman" w:cs="Times New Roman"/>
          <w:color w:val="000000" w:themeColor="text1"/>
          <w:spacing w:val="2"/>
          <w:sz w:val="28"/>
          <w:szCs w:val="28"/>
          <w:lang w:val="en-US"/>
        </w:rPr>
        <w:t xml:space="preserve"> upturn of 0.93%; and the average US dollar prices in the six months of 2026 recorded a jump of 1.75%.</w:t>
      </w:r>
    </w:p>
    <w:bookmarkEnd w:id="7"/>
    <w:p w14:paraId="1AAC8A31" w14:textId="77777777" w:rsidR="00952E28" w:rsidRPr="004F4D2E" w:rsidRDefault="00952E28" w:rsidP="00952E28">
      <w:pPr>
        <w:spacing w:beforeLines="40" w:before="96" w:afterLines="40" w:after="96" w:line="264" w:lineRule="auto"/>
        <w:ind w:firstLine="562"/>
        <w:jc w:val="both"/>
        <w:rPr>
          <w:rFonts w:ascii="Times New Roman" w:hAnsi="Times New Roman" w:cs="Times New Roman"/>
          <w:b/>
          <w:color w:val="000000" w:themeColor="text1"/>
          <w:sz w:val="28"/>
          <w:szCs w:val="28"/>
          <w:lang w:val="en-US"/>
        </w:rPr>
      </w:pPr>
      <w:r w:rsidRPr="004F4D2E">
        <w:rPr>
          <w:rFonts w:ascii="Times New Roman" w:hAnsi="Times New Roman" w:cs="Times New Roman"/>
          <w:b/>
          <w:color w:val="000000" w:themeColor="text1"/>
          <w:sz w:val="28"/>
          <w:szCs w:val="28"/>
          <w:lang w:val="en-US"/>
        </w:rPr>
        <w:t>II. SOCIAL ISSUES</w:t>
      </w:r>
    </w:p>
    <w:p w14:paraId="683E3C73" w14:textId="77777777" w:rsidR="00952E28" w:rsidRPr="004F4D2E" w:rsidRDefault="00952E28" w:rsidP="00952E28">
      <w:pPr>
        <w:spacing w:before="120" w:after="0" w:line="252" w:lineRule="auto"/>
        <w:ind w:firstLine="562"/>
        <w:jc w:val="both"/>
        <w:rPr>
          <w:rFonts w:ascii="Times New Roman Bold Italic" w:hAnsi="Times New Roman Bold Italic" w:cs="Times New Roman"/>
          <w:b/>
          <w:i/>
          <w:iCs/>
          <w:color w:val="000000" w:themeColor="text1"/>
          <w:spacing w:val="2"/>
          <w:sz w:val="28"/>
          <w:szCs w:val="28"/>
          <w:lang w:val="en-US"/>
        </w:rPr>
      </w:pPr>
      <w:r w:rsidRPr="004F4D2E">
        <w:rPr>
          <w:rFonts w:ascii="Times New Roman Bold Italic" w:hAnsi="Times New Roman Bold Italic" w:cs="Times New Roman"/>
          <w:b/>
          <w:i/>
          <w:iCs/>
          <w:color w:val="000000" w:themeColor="text1"/>
          <w:spacing w:val="2"/>
          <w:sz w:val="28"/>
          <w:szCs w:val="28"/>
          <w:lang w:val="en-US"/>
        </w:rPr>
        <w:t>1. In the first half of 2026, the labour market developed stably. The size of the labour force, the number of employed persons, and the average income of employees all increased over the same period last year, reflecting that labour demand and production and business activities continued to be improved. The unemployment rate was maintained at 2.22%; the underemployment rate at working age was 1.65%, lower than that in the same period last year, showing that the labour market continued to witness positive improvements.</w:t>
      </w:r>
    </w:p>
    <w:p w14:paraId="36A1E447" w14:textId="276FC38D" w:rsidR="00952E28" w:rsidRPr="004F4D2E" w:rsidRDefault="00952E28" w:rsidP="00952E28">
      <w:pPr>
        <w:spacing w:after="0" w:line="252" w:lineRule="auto"/>
        <w:ind w:firstLine="562"/>
        <w:jc w:val="both"/>
        <w:rPr>
          <w:rFonts w:ascii="Times New Roman" w:hAnsi="Times New Roman" w:cs="Times New Roman"/>
          <w:iCs/>
          <w:color w:val="000000" w:themeColor="text1"/>
          <w:sz w:val="28"/>
          <w:szCs w:val="28"/>
          <w:lang w:val="en-US"/>
        </w:rPr>
      </w:pPr>
      <w:r w:rsidRPr="004F4D2E">
        <w:rPr>
          <w:rFonts w:ascii="Times New Roman" w:hAnsi="Times New Roman" w:cs="Times New Roman"/>
          <w:iCs/>
          <w:color w:val="000000" w:themeColor="text1"/>
          <w:sz w:val="28"/>
          <w:szCs w:val="28"/>
          <w:lang w:val="en-US"/>
        </w:rPr>
        <w:t xml:space="preserve">The labour force aged 15 and over in the country in Q2 2026 was estimated at 53.8 million persons, a </w:t>
      </w:r>
      <w:r w:rsidR="008426FA" w:rsidRPr="004F4D2E">
        <w:rPr>
          <w:rFonts w:ascii="Times New Roman" w:hAnsi="Times New Roman" w:cs="Times New Roman"/>
          <w:iCs/>
          <w:color w:val="000000" w:themeColor="text1"/>
          <w:sz w:val="28"/>
          <w:szCs w:val="28"/>
          <w:lang w:val="en-US"/>
        </w:rPr>
        <w:t>QoQ</w:t>
      </w:r>
      <w:r w:rsidRPr="004F4D2E">
        <w:rPr>
          <w:rFonts w:ascii="Times New Roman" w:hAnsi="Times New Roman" w:cs="Times New Roman"/>
          <w:iCs/>
          <w:color w:val="000000" w:themeColor="text1"/>
          <w:sz w:val="28"/>
          <w:szCs w:val="28"/>
          <w:lang w:val="en-US"/>
        </w:rPr>
        <w:t xml:space="preserve"> increase of 175.6 thousand persons and a </w:t>
      </w:r>
      <w:r w:rsidR="008426FA" w:rsidRPr="004F4D2E">
        <w:rPr>
          <w:rFonts w:ascii="Times New Roman" w:hAnsi="Times New Roman" w:cs="Times New Roman"/>
          <w:iCs/>
          <w:color w:val="000000" w:themeColor="text1"/>
          <w:sz w:val="28"/>
          <w:szCs w:val="28"/>
          <w:lang w:val="en-US"/>
        </w:rPr>
        <w:t>YoY</w:t>
      </w:r>
      <w:r w:rsidRPr="004F4D2E">
        <w:rPr>
          <w:rFonts w:ascii="Times New Roman" w:hAnsi="Times New Roman" w:cs="Times New Roman"/>
          <w:iCs/>
          <w:color w:val="000000" w:themeColor="text1"/>
          <w:sz w:val="28"/>
          <w:szCs w:val="28"/>
          <w:lang w:val="en-US"/>
        </w:rPr>
        <w:t xml:space="preserve"> </w:t>
      </w:r>
      <w:r w:rsidRPr="004F4D2E">
        <w:rPr>
          <w:rFonts w:ascii="Times New Roman" w:hAnsi="Times New Roman" w:cs="Times New Roman"/>
          <w:iCs/>
          <w:color w:val="000000" w:themeColor="text1"/>
          <w:sz w:val="28"/>
          <w:szCs w:val="28"/>
          <w:lang w:val="en-US"/>
        </w:rPr>
        <w:lastRenderedPageBreak/>
        <w:t xml:space="preserve">growth of 693.5 thousand persons. The proportion of employees with diplomas/certificates in Q2 2026 was 29.8%, 0.2 percentage points higher than the previous quarter and 0.7 percentage points higher than the same </w:t>
      </w:r>
      <w:r w:rsidR="00A511C3">
        <w:rPr>
          <w:rFonts w:ascii="Times New Roman" w:hAnsi="Times New Roman" w:cs="Times New Roman"/>
          <w:iCs/>
          <w:color w:val="000000" w:themeColor="text1"/>
          <w:sz w:val="28"/>
          <w:szCs w:val="28"/>
          <w:lang w:val="en-US"/>
        </w:rPr>
        <w:t>period last year. Generally, in</w:t>
      </w:r>
      <w:r w:rsidRPr="004F4D2E">
        <w:rPr>
          <w:rFonts w:ascii="Times New Roman" w:hAnsi="Times New Roman" w:cs="Times New Roman"/>
          <w:iCs/>
          <w:color w:val="000000" w:themeColor="text1"/>
          <w:sz w:val="28"/>
          <w:szCs w:val="28"/>
          <w:lang w:val="en-US"/>
        </w:rPr>
        <w:t xml:space="preserve"> the first half of 2026, the labour force aged 15 and over was 53.7 million persons, a </w:t>
      </w:r>
      <w:r w:rsidR="008426FA" w:rsidRPr="004F4D2E">
        <w:rPr>
          <w:rFonts w:ascii="Times New Roman" w:hAnsi="Times New Roman" w:cs="Times New Roman"/>
          <w:iCs/>
          <w:color w:val="000000" w:themeColor="text1"/>
          <w:sz w:val="28"/>
          <w:szCs w:val="28"/>
          <w:lang w:val="en-US"/>
        </w:rPr>
        <w:t>YoY</w:t>
      </w:r>
      <w:r w:rsidRPr="004F4D2E">
        <w:rPr>
          <w:rFonts w:ascii="Times New Roman" w:hAnsi="Times New Roman" w:cs="Times New Roman"/>
          <w:iCs/>
          <w:color w:val="000000" w:themeColor="text1"/>
          <w:sz w:val="28"/>
          <w:szCs w:val="28"/>
          <w:lang w:val="en-US"/>
        </w:rPr>
        <w:t xml:space="preserve"> increase of 690.7 thousand persons; the proportion of employees with diplomas/certificates reached 29.7%, 0.8 percentage points higher than the same period last year.</w:t>
      </w:r>
    </w:p>
    <w:p w14:paraId="7BBF4783" w14:textId="24086A0D" w:rsidR="00952E28" w:rsidRPr="004F4D2E" w:rsidRDefault="00952E28" w:rsidP="00952E28">
      <w:pPr>
        <w:spacing w:after="0" w:line="252" w:lineRule="auto"/>
        <w:ind w:firstLine="562"/>
        <w:jc w:val="both"/>
        <w:rPr>
          <w:rFonts w:ascii="Times New Roman" w:hAnsi="Times New Roman" w:cs="Times New Roman"/>
          <w:color w:val="000000" w:themeColor="text1"/>
          <w:sz w:val="28"/>
          <w:szCs w:val="28"/>
          <w:lang w:val="en-US"/>
        </w:rPr>
      </w:pPr>
      <w:r w:rsidRPr="004F4D2E">
        <w:rPr>
          <w:rFonts w:ascii="Times New Roman" w:hAnsi="Times New Roman" w:cs="Times New Roman"/>
          <w:color w:val="000000" w:themeColor="text1"/>
          <w:sz w:val="28"/>
          <w:szCs w:val="28"/>
          <w:lang w:val="en-US"/>
        </w:rPr>
        <w:t>The number of employed persons in Q2 2026 was estimated at 52.7 million persons, increasing by 170.2 thousand persons compared to the previous quarter and rising by 688.3 thousand persons over the same p</w:t>
      </w:r>
      <w:r w:rsidR="00A511C3">
        <w:rPr>
          <w:rFonts w:ascii="Times New Roman" w:hAnsi="Times New Roman" w:cs="Times New Roman"/>
          <w:color w:val="000000" w:themeColor="text1"/>
          <w:sz w:val="28"/>
          <w:szCs w:val="28"/>
          <w:lang w:val="en-US"/>
        </w:rPr>
        <w:t xml:space="preserve">eriod last year. Generally, in </w:t>
      </w:r>
      <w:r w:rsidRPr="004F4D2E">
        <w:rPr>
          <w:rFonts w:ascii="Times New Roman" w:hAnsi="Times New Roman" w:cs="Times New Roman"/>
          <w:color w:val="000000" w:themeColor="text1"/>
          <w:sz w:val="28"/>
          <w:szCs w:val="28"/>
          <w:lang w:val="en-US"/>
        </w:rPr>
        <w:t xml:space="preserve">the first half of 2026, the number of employed persons reached 52.6 million persons, a </w:t>
      </w:r>
      <w:r w:rsidR="008426FA" w:rsidRPr="004F4D2E">
        <w:rPr>
          <w:rFonts w:ascii="Times New Roman" w:hAnsi="Times New Roman" w:cs="Times New Roman"/>
          <w:color w:val="000000" w:themeColor="text1"/>
          <w:sz w:val="28"/>
          <w:szCs w:val="28"/>
          <w:lang w:val="en-US"/>
        </w:rPr>
        <w:t>YoY</w:t>
      </w:r>
      <w:r w:rsidRPr="004F4D2E">
        <w:rPr>
          <w:rFonts w:ascii="Times New Roman" w:hAnsi="Times New Roman" w:cs="Times New Roman"/>
          <w:color w:val="000000" w:themeColor="text1"/>
          <w:sz w:val="28"/>
          <w:szCs w:val="28"/>
          <w:lang w:val="en-US"/>
        </w:rPr>
        <w:t xml:space="preserve"> increase of 672.5 thousand persons.</w:t>
      </w:r>
    </w:p>
    <w:p w14:paraId="742776FB" w14:textId="77777777" w:rsidR="00952E28" w:rsidRPr="004F4D2E" w:rsidRDefault="00952E28" w:rsidP="00952E28">
      <w:pPr>
        <w:spacing w:after="0" w:line="252" w:lineRule="auto"/>
        <w:ind w:firstLine="562"/>
        <w:jc w:val="both"/>
        <w:rPr>
          <w:rFonts w:ascii="Times New Roman" w:hAnsi="Times New Roman" w:cs="Times New Roman"/>
          <w:iCs/>
          <w:color w:val="000000" w:themeColor="text1"/>
          <w:spacing w:val="2"/>
          <w:sz w:val="28"/>
          <w:szCs w:val="28"/>
          <w:lang w:val="en-US"/>
        </w:rPr>
      </w:pPr>
      <w:r w:rsidRPr="004F4D2E">
        <w:rPr>
          <w:rFonts w:ascii="Times New Roman" w:hAnsi="Times New Roman" w:cs="Times New Roman"/>
          <w:iCs/>
          <w:color w:val="000000" w:themeColor="text1"/>
          <w:spacing w:val="2"/>
          <w:sz w:val="28"/>
          <w:szCs w:val="28"/>
          <w:lang w:val="en-US"/>
        </w:rPr>
        <w:t>The underemployment rate at working age</w:t>
      </w:r>
      <w:r w:rsidRPr="004F4D2E">
        <w:rPr>
          <w:rStyle w:val="FootnoteReference"/>
          <w:rFonts w:ascii="Times New Roman" w:hAnsi="Times New Roman"/>
          <w:iCs/>
          <w:color w:val="000000" w:themeColor="text1"/>
          <w:spacing w:val="2"/>
          <w:sz w:val="28"/>
          <w:szCs w:val="28"/>
          <w:lang w:val="en-US"/>
        </w:rPr>
        <w:footnoteReference w:id="25"/>
      </w:r>
      <w:r w:rsidRPr="004F4D2E">
        <w:rPr>
          <w:rFonts w:ascii="Times New Roman" w:hAnsi="Times New Roman" w:cs="Times New Roman"/>
          <w:iCs/>
          <w:color w:val="000000" w:themeColor="text1"/>
          <w:spacing w:val="2"/>
          <w:sz w:val="28"/>
          <w:szCs w:val="28"/>
          <w:lang w:val="en-US"/>
        </w:rPr>
        <w:t xml:space="preserve"> in Q2 2026 was 1.62%, 0.05 percentage points lower than the previous quarter and 0.11 percentage points lower than the same period last year. Generally, for the first half of 2026, the underemployment rate at working age stood at 1.65%, 0.07 percentage points lower than the same period last year.</w:t>
      </w:r>
    </w:p>
    <w:p w14:paraId="290C67E8" w14:textId="7AE7D780" w:rsidR="00952E28" w:rsidRPr="004F4D2E" w:rsidRDefault="00952E28" w:rsidP="00952E28">
      <w:pPr>
        <w:spacing w:after="0" w:line="252" w:lineRule="auto"/>
        <w:ind w:firstLine="562"/>
        <w:jc w:val="both"/>
        <w:rPr>
          <w:rFonts w:ascii="Times New Roman" w:hAnsi="Times New Roman" w:cs="Times New Roman"/>
          <w:bCs/>
          <w:color w:val="000000" w:themeColor="text1"/>
          <w:sz w:val="28"/>
          <w:szCs w:val="28"/>
          <w:lang w:val="en-US"/>
        </w:rPr>
      </w:pPr>
      <w:r w:rsidRPr="004F4D2E">
        <w:rPr>
          <w:rFonts w:ascii="Times New Roman" w:hAnsi="Times New Roman" w:cs="Times New Roman"/>
          <w:bCs/>
          <w:color w:val="000000" w:themeColor="text1"/>
          <w:sz w:val="28"/>
          <w:szCs w:val="28"/>
          <w:lang w:val="en-US"/>
        </w:rPr>
        <w:t>The monthly average income per employee in Q2 2026 reached nearly 9.0 million VND/month, a decrease of 53 thousand VND compared to Q1 2026</w:t>
      </w:r>
      <w:r w:rsidRPr="004F4D2E">
        <w:rPr>
          <w:rStyle w:val="FootnoteReference"/>
          <w:rFonts w:ascii="Times New Roman" w:hAnsi="Times New Roman"/>
          <w:bCs/>
          <w:color w:val="000000" w:themeColor="text1"/>
          <w:sz w:val="28"/>
          <w:szCs w:val="28"/>
          <w:lang w:val="en-US"/>
        </w:rPr>
        <w:footnoteReference w:id="26"/>
      </w:r>
      <w:r w:rsidRPr="004F4D2E">
        <w:rPr>
          <w:rFonts w:ascii="Times New Roman" w:hAnsi="Times New Roman" w:cs="Times New Roman"/>
          <w:bCs/>
          <w:color w:val="000000" w:themeColor="text1"/>
          <w:sz w:val="28"/>
          <w:szCs w:val="28"/>
          <w:lang w:val="en-US"/>
        </w:rPr>
        <w:t xml:space="preserve"> and a </w:t>
      </w:r>
      <w:r w:rsidR="008426FA" w:rsidRPr="004F4D2E">
        <w:rPr>
          <w:rFonts w:ascii="Times New Roman" w:hAnsi="Times New Roman" w:cs="Times New Roman"/>
          <w:bCs/>
          <w:color w:val="000000" w:themeColor="text1"/>
          <w:sz w:val="28"/>
          <w:szCs w:val="28"/>
          <w:lang w:val="en-US"/>
        </w:rPr>
        <w:t>YoY</w:t>
      </w:r>
      <w:r w:rsidRPr="004F4D2E">
        <w:rPr>
          <w:rFonts w:ascii="Times New Roman" w:hAnsi="Times New Roman" w:cs="Times New Roman"/>
          <w:bCs/>
          <w:color w:val="000000" w:themeColor="text1"/>
          <w:sz w:val="28"/>
          <w:szCs w:val="28"/>
          <w:lang w:val="en-US"/>
        </w:rPr>
        <w:t xml:space="preserve"> growth of </w:t>
      </w:r>
      <w:r w:rsidR="00A511C3">
        <w:rPr>
          <w:rFonts w:ascii="Times New Roman" w:hAnsi="Times New Roman" w:cs="Times New Roman"/>
          <w:bCs/>
          <w:color w:val="000000" w:themeColor="text1"/>
          <w:sz w:val="28"/>
          <w:szCs w:val="28"/>
          <w:lang w:val="en-US"/>
        </w:rPr>
        <w:t>720 thousand VND. Generally, in the first half of</w:t>
      </w:r>
      <w:r w:rsidR="008426FA" w:rsidRPr="004F4D2E">
        <w:rPr>
          <w:rFonts w:ascii="Times New Roman" w:hAnsi="Times New Roman" w:cs="Times New Roman"/>
          <w:bCs/>
          <w:color w:val="000000" w:themeColor="text1"/>
          <w:sz w:val="28"/>
          <w:szCs w:val="28"/>
          <w:lang w:val="en-US"/>
        </w:rPr>
        <w:t xml:space="preserve"> 2026</w:t>
      </w:r>
      <w:r w:rsidRPr="004F4D2E">
        <w:rPr>
          <w:rFonts w:ascii="Times New Roman" w:hAnsi="Times New Roman" w:cs="Times New Roman"/>
          <w:bCs/>
          <w:color w:val="000000" w:themeColor="text1"/>
          <w:sz w:val="28"/>
          <w:szCs w:val="28"/>
          <w:lang w:val="en-US"/>
        </w:rPr>
        <w:t xml:space="preserve">, it reached nearly 9.0 million VND/month, a </w:t>
      </w:r>
      <w:r w:rsidR="008426FA" w:rsidRPr="004F4D2E">
        <w:rPr>
          <w:rFonts w:ascii="Times New Roman" w:hAnsi="Times New Roman" w:cs="Times New Roman"/>
          <w:bCs/>
          <w:color w:val="000000" w:themeColor="text1"/>
          <w:sz w:val="28"/>
          <w:szCs w:val="28"/>
          <w:lang w:val="en-US"/>
        </w:rPr>
        <w:t>YoY</w:t>
      </w:r>
      <w:r w:rsidRPr="004F4D2E">
        <w:rPr>
          <w:rFonts w:ascii="Times New Roman" w:hAnsi="Times New Roman" w:cs="Times New Roman"/>
          <w:bCs/>
          <w:color w:val="000000" w:themeColor="text1"/>
          <w:sz w:val="28"/>
          <w:szCs w:val="28"/>
          <w:lang w:val="en-US"/>
        </w:rPr>
        <w:t xml:space="preserve"> increase of 717 thousand VND.</w:t>
      </w:r>
    </w:p>
    <w:p w14:paraId="5BFAF856" w14:textId="346206A6" w:rsidR="00952E28" w:rsidRPr="004F4D2E" w:rsidRDefault="00952E28" w:rsidP="00952E28">
      <w:pPr>
        <w:overflowPunct w:val="0"/>
        <w:autoSpaceDE w:val="0"/>
        <w:autoSpaceDN w:val="0"/>
        <w:adjustRightInd w:val="0"/>
        <w:spacing w:after="0" w:line="252" w:lineRule="auto"/>
        <w:ind w:firstLine="562"/>
        <w:jc w:val="both"/>
        <w:rPr>
          <w:rFonts w:ascii="Times New Roman" w:eastAsia="Calibri" w:hAnsi="Times New Roman" w:cs="Times New Roman"/>
          <w:bCs/>
          <w:iCs/>
          <w:color w:val="000000" w:themeColor="text1"/>
          <w:spacing w:val="2"/>
          <w:sz w:val="28"/>
          <w:szCs w:val="28"/>
          <w:lang w:val="en-US"/>
        </w:rPr>
      </w:pPr>
      <w:r w:rsidRPr="004F4D2E">
        <w:rPr>
          <w:rFonts w:ascii="Times New Roman" w:eastAsia="Calibri" w:hAnsi="Times New Roman" w:cs="Times New Roman"/>
          <w:bCs/>
          <w:iCs/>
          <w:color w:val="000000" w:themeColor="text1"/>
          <w:spacing w:val="2"/>
          <w:sz w:val="28"/>
          <w:szCs w:val="28"/>
          <w:lang w:val="en-US"/>
        </w:rPr>
        <w:t>The unemployment rate at working age in Q2</w:t>
      </w:r>
      <w:r w:rsidR="00A511C3">
        <w:rPr>
          <w:rFonts w:ascii="Times New Roman" w:eastAsia="Calibri" w:hAnsi="Times New Roman" w:cs="Times New Roman"/>
          <w:bCs/>
          <w:iCs/>
          <w:color w:val="000000" w:themeColor="text1"/>
          <w:spacing w:val="2"/>
          <w:sz w:val="28"/>
          <w:szCs w:val="28"/>
          <w:lang w:val="en-US"/>
        </w:rPr>
        <w:t xml:space="preserve"> 2026 was 2.23%. Generally, in the first half of</w:t>
      </w:r>
      <w:r w:rsidR="008426FA" w:rsidRPr="004F4D2E">
        <w:rPr>
          <w:rFonts w:ascii="Times New Roman" w:eastAsia="Calibri" w:hAnsi="Times New Roman" w:cs="Times New Roman"/>
          <w:bCs/>
          <w:iCs/>
          <w:color w:val="000000" w:themeColor="text1"/>
          <w:spacing w:val="2"/>
          <w:sz w:val="28"/>
          <w:szCs w:val="28"/>
          <w:lang w:val="en-US"/>
        </w:rPr>
        <w:t xml:space="preserve"> 2026</w:t>
      </w:r>
      <w:r w:rsidRPr="004F4D2E">
        <w:rPr>
          <w:rFonts w:ascii="Times New Roman" w:eastAsia="Calibri" w:hAnsi="Times New Roman" w:cs="Times New Roman"/>
          <w:bCs/>
          <w:iCs/>
          <w:color w:val="000000" w:themeColor="text1"/>
          <w:spacing w:val="2"/>
          <w:sz w:val="28"/>
          <w:szCs w:val="28"/>
          <w:lang w:val="en-US"/>
        </w:rPr>
        <w:t xml:space="preserve">, the unemployment rate at working age was 2.22%, equivalent to the same period last year, of which the rate in </w:t>
      </w:r>
      <w:r w:rsidR="00A511C3">
        <w:rPr>
          <w:rFonts w:ascii="Times New Roman" w:eastAsia="Calibri" w:hAnsi="Times New Roman" w:cs="Times New Roman"/>
          <w:bCs/>
          <w:iCs/>
          <w:color w:val="000000" w:themeColor="text1"/>
          <w:spacing w:val="2"/>
          <w:sz w:val="28"/>
          <w:szCs w:val="28"/>
          <w:lang w:val="en-US"/>
        </w:rPr>
        <w:t xml:space="preserve">the </w:t>
      </w:r>
      <w:r w:rsidRPr="004F4D2E">
        <w:rPr>
          <w:rFonts w:ascii="Times New Roman" w:eastAsia="Calibri" w:hAnsi="Times New Roman" w:cs="Times New Roman"/>
          <w:bCs/>
          <w:iCs/>
          <w:color w:val="000000" w:themeColor="text1"/>
          <w:spacing w:val="2"/>
          <w:sz w:val="28"/>
          <w:szCs w:val="28"/>
          <w:lang w:val="en-US"/>
        </w:rPr>
        <w:t xml:space="preserve">urban areas was 2.47% and in </w:t>
      </w:r>
      <w:r w:rsidR="00A511C3">
        <w:rPr>
          <w:rFonts w:ascii="Times New Roman" w:eastAsia="Calibri" w:hAnsi="Times New Roman" w:cs="Times New Roman"/>
          <w:bCs/>
          <w:iCs/>
          <w:color w:val="000000" w:themeColor="text1"/>
          <w:spacing w:val="2"/>
          <w:sz w:val="28"/>
          <w:szCs w:val="28"/>
          <w:lang w:val="en-US"/>
        </w:rPr>
        <w:t xml:space="preserve">the </w:t>
      </w:r>
      <w:r w:rsidRPr="004F4D2E">
        <w:rPr>
          <w:rFonts w:ascii="Times New Roman" w:eastAsia="Calibri" w:hAnsi="Times New Roman" w:cs="Times New Roman"/>
          <w:bCs/>
          <w:iCs/>
          <w:color w:val="000000" w:themeColor="text1"/>
          <w:spacing w:val="2"/>
          <w:sz w:val="28"/>
          <w:szCs w:val="28"/>
          <w:lang w:val="en-US"/>
        </w:rPr>
        <w:t>rural areas was 2.05%.</w:t>
      </w:r>
    </w:p>
    <w:p w14:paraId="4615D8E7" w14:textId="5B087A2B" w:rsidR="00952E28" w:rsidRPr="004F4D2E" w:rsidRDefault="00952E28" w:rsidP="00952E28">
      <w:pPr>
        <w:tabs>
          <w:tab w:val="left" w:pos="851"/>
        </w:tabs>
        <w:spacing w:beforeLines="40" w:before="96" w:afterLines="40" w:after="96" w:line="252" w:lineRule="auto"/>
        <w:ind w:firstLine="562"/>
        <w:jc w:val="both"/>
        <w:rPr>
          <w:rFonts w:ascii="Times New Roman" w:hAnsi="Times New Roman" w:cs="Times New Roman"/>
          <w:b/>
          <w:bCs/>
          <w:i/>
          <w:iCs/>
          <w:snapToGrid w:val="0"/>
          <w:color w:val="000000" w:themeColor="text1"/>
          <w:sz w:val="28"/>
          <w:szCs w:val="28"/>
          <w:lang w:val="en-US"/>
        </w:rPr>
      </w:pPr>
      <w:r w:rsidRPr="004F4D2E">
        <w:rPr>
          <w:rStyle w:val="normalchar"/>
          <w:rFonts w:ascii="Times New Roman" w:hAnsi="Times New Roman"/>
          <w:b/>
          <w:i/>
          <w:color w:val="000000" w:themeColor="text1"/>
          <w:sz w:val="28"/>
          <w:szCs w:val="28"/>
          <w:lang w:val="en-US"/>
        </w:rPr>
        <w:t xml:space="preserve">   2. </w:t>
      </w:r>
      <w:r w:rsidRPr="004F4D2E">
        <w:rPr>
          <w:rFonts w:ascii="Times New Roman" w:hAnsi="Times New Roman" w:cs="Times New Roman"/>
          <w:b/>
          <w:i/>
          <w:iCs/>
          <w:color w:val="000000" w:themeColor="text1"/>
          <w:sz w:val="28"/>
          <w:szCs w:val="28"/>
          <w:lang w:val="en-US"/>
        </w:rPr>
        <w:t>People</w:t>
      </w:r>
      <w:r w:rsidR="008426FA" w:rsidRPr="004F4D2E">
        <w:rPr>
          <w:rFonts w:ascii="Times New Roman" w:hAnsi="Times New Roman" w:cs="Times New Roman"/>
          <w:b/>
          <w:i/>
          <w:iCs/>
          <w:color w:val="000000" w:themeColor="text1"/>
          <w:sz w:val="28"/>
          <w:szCs w:val="28"/>
          <w:lang w:val="en-US"/>
        </w:rPr>
        <w:t>’</w:t>
      </w:r>
      <w:r w:rsidRPr="004F4D2E">
        <w:rPr>
          <w:rFonts w:ascii="Times New Roman" w:hAnsi="Times New Roman" w:cs="Times New Roman"/>
          <w:b/>
          <w:i/>
          <w:iCs/>
          <w:color w:val="000000" w:themeColor="text1"/>
          <w:sz w:val="28"/>
          <w:szCs w:val="28"/>
          <w:lang w:val="en-US"/>
        </w:rPr>
        <w:t>s living conditions and social security</w:t>
      </w:r>
    </w:p>
    <w:p w14:paraId="4F2EF1B4" w14:textId="002DADB5" w:rsidR="00952E28" w:rsidRPr="004F4D2E" w:rsidRDefault="00952E28" w:rsidP="00952E28">
      <w:pPr>
        <w:spacing w:after="0" w:line="252" w:lineRule="auto"/>
        <w:ind w:firstLine="720"/>
        <w:jc w:val="both"/>
        <w:rPr>
          <w:rFonts w:ascii="Times New Roman" w:hAnsi="Times New Roman" w:cs="Times New Roman"/>
          <w:bCs/>
          <w:snapToGrid w:val="0"/>
          <w:color w:val="000000" w:themeColor="text1"/>
          <w:sz w:val="28"/>
          <w:szCs w:val="28"/>
          <w:lang w:val="en-US"/>
        </w:rPr>
      </w:pPr>
      <w:r w:rsidRPr="004F4D2E">
        <w:rPr>
          <w:rFonts w:ascii="Times New Roman" w:hAnsi="Times New Roman" w:cs="Times New Roman"/>
          <w:bCs/>
          <w:snapToGrid w:val="0"/>
          <w:color w:val="000000" w:themeColor="text1"/>
          <w:sz w:val="28"/>
          <w:szCs w:val="28"/>
          <w:lang w:val="en-US"/>
        </w:rPr>
        <w:t>The liv</w:t>
      </w:r>
      <w:r w:rsidR="00A511C3">
        <w:rPr>
          <w:rFonts w:ascii="Times New Roman" w:hAnsi="Times New Roman" w:cs="Times New Roman"/>
          <w:bCs/>
          <w:snapToGrid w:val="0"/>
          <w:color w:val="000000" w:themeColor="text1"/>
          <w:sz w:val="28"/>
          <w:szCs w:val="28"/>
          <w:lang w:val="en-US"/>
        </w:rPr>
        <w:t>ing conditions of households in the first half of</w:t>
      </w:r>
      <w:r w:rsidR="008426FA" w:rsidRPr="004F4D2E">
        <w:rPr>
          <w:rFonts w:ascii="Times New Roman" w:hAnsi="Times New Roman" w:cs="Times New Roman"/>
          <w:bCs/>
          <w:snapToGrid w:val="0"/>
          <w:color w:val="000000" w:themeColor="text1"/>
          <w:sz w:val="28"/>
          <w:szCs w:val="28"/>
          <w:lang w:val="en-US"/>
        </w:rPr>
        <w:t xml:space="preserve"> 2026</w:t>
      </w:r>
      <w:r w:rsidRPr="004F4D2E">
        <w:rPr>
          <w:rFonts w:ascii="Times New Roman" w:hAnsi="Times New Roman" w:cs="Times New Roman"/>
          <w:bCs/>
          <w:snapToGrid w:val="0"/>
          <w:color w:val="000000" w:themeColor="text1"/>
          <w:sz w:val="28"/>
          <w:szCs w:val="28"/>
          <w:lang w:val="en-US"/>
        </w:rPr>
        <w:t xml:space="preserve"> were improved compared to the same period last year. The proportion of households reporting an increase in income in Q2 2026 compared to the same period in 2025 was 29.8%; the percentage of households with unchanged income was 66.7%; and the proportion of households with decreased or undetermined income was 3.5%. Compared to Q1 2026, the percentage of households with increased income decreased by 2.0 percentage points; unchanged income grew by 2.7 percentage points; and decreased or undetermined income reduced by 0.7 percentage points. Compared to Q2 2025, the proportion of households with rising income declined by 3.0 percentage points; unchanged income rose by 2.9 percentage points; and decreased or undetermined income increased by 0.1 percentage points.</w:t>
      </w:r>
    </w:p>
    <w:p w14:paraId="56FB73C9" w14:textId="13A0B90D" w:rsidR="00952E28" w:rsidRPr="004F4D2E" w:rsidRDefault="00952E28" w:rsidP="00952E28">
      <w:pPr>
        <w:spacing w:after="0" w:line="252" w:lineRule="auto"/>
        <w:ind w:firstLine="720"/>
        <w:jc w:val="both"/>
        <w:rPr>
          <w:rFonts w:ascii="Times New Roman" w:hAnsi="Times New Roman" w:cs="Times New Roman"/>
          <w:bCs/>
          <w:snapToGrid w:val="0"/>
          <w:color w:val="000000" w:themeColor="text1"/>
          <w:spacing w:val="2"/>
          <w:sz w:val="28"/>
          <w:szCs w:val="28"/>
          <w:lang w:val="en-US"/>
        </w:rPr>
      </w:pPr>
      <w:r w:rsidRPr="004F4D2E">
        <w:rPr>
          <w:rFonts w:ascii="Times New Roman" w:hAnsi="Times New Roman" w:cs="Times New Roman"/>
          <w:bCs/>
          <w:snapToGrid w:val="0"/>
          <w:color w:val="000000" w:themeColor="text1"/>
          <w:spacing w:val="2"/>
          <w:sz w:val="28"/>
          <w:szCs w:val="28"/>
          <w:lang w:val="en-US"/>
        </w:rPr>
        <w:lastRenderedPageBreak/>
        <w:t>As of June 22</w:t>
      </w:r>
      <w:r w:rsidRPr="004F4D2E">
        <w:rPr>
          <w:rFonts w:ascii="Times New Roman" w:hAnsi="Times New Roman" w:cs="Times New Roman"/>
          <w:bCs/>
          <w:snapToGrid w:val="0"/>
          <w:color w:val="000000" w:themeColor="text1"/>
          <w:spacing w:val="2"/>
          <w:sz w:val="28"/>
          <w:szCs w:val="28"/>
          <w:vertAlign w:val="superscript"/>
          <w:lang w:val="en-US"/>
        </w:rPr>
        <w:t>nd</w:t>
      </w:r>
      <w:r w:rsidRPr="004F4D2E">
        <w:rPr>
          <w:rFonts w:ascii="Times New Roman" w:hAnsi="Times New Roman" w:cs="Times New Roman"/>
          <w:bCs/>
          <w:snapToGrid w:val="0"/>
          <w:color w:val="000000" w:themeColor="text1"/>
          <w:spacing w:val="2"/>
          <w:sz w:val="28"/>
          <w:szCs w:val="28"/>
          <w:lang w:val="en-US"/>
        </w:rPr>
        <w:t>, 2026</w:t>
      </w:r>
      <w:r w:rsidRPr="004F4D2E">
        <w:rPr>
          <w:rStyle w:val="FootnoteReference"/>
          <w:rFonts w:ascii="Times New Roman" w:hAnsi="Times New Roman"/>
          <w:bCs/>
          <w:snapToGrid w:val="0"/>
          <w:color w:val="000000" w:themeColor="text1"/>
          <w:spacing w:val="2"/>
          <w:sz w:val="28"/>
          <w:szCs w:val="28"/>
          <w:lang w:val="en-US"/>
        </w:rPr>
        <w:footnoteReference w:id="27"/>
      </w:r>
      <w:r w:rsidRPr="004F4D2E">
        <w:rPr>
          <w:rFonts w:ascii="Times New Roman" w:hAnsi="Times New Roman" w:cs="Times New Roman"/>
          <w:bCs/>
          <w:snapToGrid w:val="0"/>
          <w:color w:val="000000" w:themeColor="text1"/>
          <w:spacing w:val="2"/>
          <w:sz w:val="28"/>
          <w:szCs w:val="28"/>
          <w:lang w:val="en-US"/>
        </w:rPr>
        <w:t xml:space="preserve">, central and local leaders, authorities, sectors, organizations, and donors visited, encouraged, and presented gifts to target groups with the total social security support for all groups reaching more than 46.7 trillion VND, an increase of over 9.4 trillion VND (a growth of 25.2%) compared to the same period last year. Details for specific target groups were as follows: support for national devotees and their relatives reached more than 22.1 trillion VND, a </w:t>
      </w:r>
      <w:r w:rsidR="008426FA" w:rsidRPr="004F4D2E">
        <w:rPr>
          <w:rFonts w:ascii="Times New Roman" w:hAnsi="Times New Roman" w:cs="Times New Roman"/>
          <w:bCs/>
          <w:snapToGrid w:val="0"/>
          <w:color w:val="000000" w:themeColor="text1"/>
          <w:spacing w:val="2"/>
          <w:sz w:val="28"/>
          <w:szCs w:val="28"/>
          <w:lang w:val="en-US"/>
        </w:rPr>
        <w:t>YoY</w:t>
      </w:r>
      <w:r w:rsidRPr="004F4D2E">
        <w:rPr>
          <w:rFonts w:ascii="Times New Roman" w:hAnsi="Times New Roman" w:cs="Times New Roman"/>
          <w:bCs/>
          <w:snapToGrid w:val="0"/>
          <w:color w:val="000000" w:themeColor="text1"/>
          <w:spacing w:val="2"/>
          <w:sz w:val="28"/>
          <w:szCs w:val="28"/>
          <w:lang w:val="en-US"/>
        </w:rPr>
        <w:t xml:space="preserve"> rise of 14.9%; support for social protection beneficiaries under Decree No. 20/2021/ND-CP was over 21.9 trillion VND, a growth of 45.8%; support for poor households, near-poor households, households in difficult circumstances, and social policy households reached more than 2.5 trillion VND, a decrease of 8.3%; other sudden and unusual support in localities amounted to nearly 199.3 billion VND, a decline of 38.9%. There were nearly 35.7 million health insurance cards, free medical examination and treatment cards/books issued to beneficiaries, a </w:t>
      </w:r>
      <w:r w:rsidR="008426FA" w:rsidRPr="004F4D2E">
        <w:rPr>
          <w:rFonts w:ascii="Times New Roman" w:hAnsi="Times New Roman" w:cs="Times New Roman"/>
          <w:bCs/>
          <w:snapToGrid w:val="0"/>
          <w:color w:val="000000" w:themeColor="text1"/>
          <w:spacing w:val="2"/>
          <w:sz w:val="28"/>
          <w:szCs w:val="28"/>
          <w:lang w:val="en-US"/>
        </w:rPr>
        <w:t>YoY</w:t>
      </w:r>
      <w:r w:rsidRPr="004F4D2E">
        <w:rPr>
          <w:rFonts w:ascii="Times New Roman" w:hAnsi="Times New Roman" w:cs="Times New Roman"/>
          <w:bCs/>
          <w:snapToGrid w:val="0"/>
          <w:color w:val="000000" w:themeColor="text1"/>
          <w:spacing w:val="2"/>
          <w:sz w:val="28"/>
          <w:szCs w:val="28"/>
          <w:lang w:val="en-US"/>
        </w:rPr>
        <w:t xml:space="preserve"> increase of 34.5%.</w:t>
      </w:r>
    </w:p>
    <w:p w14:paraId="0795C75B" w14:textId="77777777" w:rsidR="00952E28" w:rsidRPr="004F4D2E" w:rsidRDefault="00952E28" w:rsidP="00952E28">
      <w:pPr>
        <w:pStyle w:val="BodyTextIndent"/>
        <w:tabs>
          <w:tab w:val="left" w:pos="0"/>
          <w:tab w:val="left" w:pos="720"/>
        </w:tabs>
        <w:spacing w:line="252" w:lineRule="auto"/>
        <w:ind w:firstLine="720"/>
        <w:rPr>
          <w:rFonts w:ascii="Times New Roman" w:hAnsi="Times New Roman" w:cs="Times New Roman"/>
          <w:bCs/>
          <w:snapToGrid w:val="0"/>
          <w:color w:val="000000" w:themeColor="text1"/>
        </w:rPr>
      </w:pPr>
      <w:r w:rsidRPr="004F4D2E">
        <w:rPr>
          <w:rFonts w:ascii="Times New Roman" w:hAnsi="Times New Roman" w:cs="Times New Roman"/>
          <w:bCs/>
          <w:snapToGrid w:val="0"/>
          <w:color w:val="000000" w:themeColor="text1"/>
        </w:rPr>
        <w:t>In the first half of this year (as of June 25</w:t>
      </w:r>
      <w:r w:rsidRPr="004F4D2E">
        <w:rPr>
          <w:rFonts w:ascii="Times New Roman" w:hAnsi="Times New Roman" w:cs="Times New Roman"/>
          <w:bCs/>
          <w:snapToGrid w:val="0"/>
          <w:color w:val="000000" w:themeColor="text1"/>
          <w:vertAlign w:val="superscript"/>
        </w:rPr>
        <w:t>th</w:t>
      </w:r>
      <w:r w:rsidRPr="004F4D2E">
        <w:rPr>
          <w:rFonts w:ascii="Times New Roman" w:hAnsi="Times New Roman" w:cs="Times New Roman"/>
          <w:bCs/>
          <w:snapToGrid w:val="0"/>
          <w:color w:val="000000" w:themeColor="text1"/>
        </w:rPr>
        <w:t>, 2026), the Government provided about 17.9 thousand tons of rice to the people, of which: nearly 9.1 thousand tons for hunger relief during the Lunar New Year for 604.6 thousand persons; more than 8.2 thousand tons for pre-harvest hunger relief for 547.2 thousand persons; and over 604 tons for natural disaster and flood recovery for 40.3 thousand persons.</w:t>
      </w:r>
    </w:p>
    <w:p w14:paraId="2B48D418" w14:textId="719A4827" w:rsidR="00634A56" w:rsidRPr="004F4D2E" w:rsidRDefault="00952E28" w:rsidP="00952E28">
      <w:pPr>
        <w:spacing w:after="0" w:line="252" w:lineRule="auto"/>
        <w:ind w:firstLine="720"/>
        <w:jc w:val="both"/>
        <w:rPr>
          <w:rFonts w:ascii="Times New Roman" w:hAnsi="Times New Roman" w:cs="Times New Roman"/>
          <w:color w:val="000000" w:themeColor="text1"/>
          <w:sz w:val="28"/>
          <w:szCs w:val="28"/>
          <w:lang w:val="en-US"/>
        </w:rPr>
      </w:pPr>
      <w:r w:rsidRPr="004F4D2E">
        <w:rPr>
          <w:rFonts w:ascii="Times New Roman" w:hAnsi="Times New Roman" w:cs="Times New Roman"/>
          <w:color w:val="000000" w:themeColor="text1"/>
          <w:sz w:val="28"/>
          <w:szCs w:val="28"/>
          <w:lang w:val="en-US"/>
        </w:rPr>
        <w:t>Regarding gratitude to national devotees, the “500-day-and-night campaign to accelerate the search, collection, and identification of martyrs’ remains” towards the 80</w:t>
      </w:r>
      <w:r w:rsidRPr="004F4D2E">
        <w:rPr>
          <w:rFonts w:ascii="Times New Roman" w:hAnsi="Times New Roman" w:cs="Times New Roman"/>
          <w:color w:val="000000" w:themeColor="text1"/>
          <w:sz w:val="28"/>
          <w:szCs w:val="28"/>
          <w:vertAlign w:val="superscript"/>
          <w:lang w:val="en-US"/>
        </w:rPr>
        <w:t>th</w:t>
      </w:r>
      <w:r w:rsidRPr="004F4D2E">
        <w:rPr>
          <w:rFonts w:ascii="Times New Roman" w:hAnsi="Times New Roman" w:cs="Times New Roman"/>
          <w:color w:val="000000" w:themeColor="text1"/>
          <w:sz w:val="28"/>
          <w:szCs w:val="28"/>
          <w:lang w:val="en-US"/>
        </w:rPr>
        <w:t xml:space="preserve"> anniversary of Invalids and Martyrs’ Day (July 27</w:t>
      </w:r>
      <w:r w:rsidRPr="004F4D2E">
        <w:rPr>
          <w:rFonts w:ascii="Times New Roman" w:hAnsi="Times New Roman" w:cs="Times New Roman"/>
          <w:color w:val="000000" w:themeColor="text1"/>
          <w:sz w:val="28"/>
          <w:szCs w:val="28"/>
          <w:vertAlign w:val="superscript"/>
          <w:lang w:val="en-US"/>
        </w:rPr>
        <w:t>th</w:t>
      </w:r>
      <w:r w:rsidRPr="004F4D2E">
        <w:rPr>
          <w:rFonts w:ascii="Times New Roman" w:hAnsi="Times New Roman" w:cs="Times New Roman"/>
          <w:color w:val="000000" w:themeColor="text1"/>
          <w:sz w:val="28"/>
          <w:szCs w:val="28"/>
          <w:lang w:val="en-US"/>
        </w:rPr>
        <w:t>, 1947 - July 27</w:t>
      </w:r>
      <w:r w:rsidRPr="004F4D2E">
        <w:rPr>
          <w:rFonts w:ascii="Times New Roman" w:hAnsi="Times New Roman" w:cs="Times New Roman"/>
          <w:color w:val="000000" w:themeColor="text1"/>
          <w:sz w:val="28"/>
          <w:szCs w:val="28"/>
          <w:vertAlign w:val="superscript"/>
          <w:lang w:val="en-US"/>
        </w:rPr>
        <w:t>th</w:t>
      </w:r>
      <w:r w:rsidR="002D0314">
        <w:rPr>
          <w:rFonts w:ascii="Times New Roman" w:hAnsi="Times New Roman" w:cs="Times New Roman"/>
          <w:color w:val="000000" w:themeColor="text1"/>
          <w:sz w:val="28"/>
          <w:szCs w:val="28"/>
          <w:lang w:val="en-US"/>
        </w:rPr>
        <w:t>, 2027) was</w:t>
      </w:r>
      <w:r w:rsidRPr="004F4D2E">
        <w:rPr>
          <w:rFonts w:ascii="Times New Roman" w:hAnsi="Times New Roman" w:cs="Times New Roman"/>
          <w:color w:val="000000" w:themeColor="text1"/>
          <w:sz w:val="28"/>
          <w:szCs w:val="28"/>
          <w:lang w:val="en-US"/>
        </w:rPr>
        <w:t xml:space="preserve"> being drastically deployed by authorities at all levels, sectors, units, and localities. According to a report by the Ministry of National Defence at the review conference for the first half and task deployment for the remaining half of 2026 hosted by the National Steering Committee for the search, collection, and identification of </w:t>
      </w:r>
      <w:r w:rsidR="008426FA" w:rsidRPr="004F4D2E">
        <w:rPr>
          <w:rFonts w:ascii="Times New Roman" w:hAnsi="Times New Roman" w:cs="Times New Roman"/>
          <w:color w:val="000000" w:themeColor="text1"/>
          <w:sz w:val="28"/>
          <w:szCs w:val="28"/>
          <w:lang w:val="en-US"/>
        </w:rPr>
        <w:t>martyrs’ remains, 1,255 martyrs’</w:t>
      </w:r>
      <w:r w:rsidRPr="004F4D2E">
        <w:rPr>
          <w:rFonts w:ascii="Times New Roman" w:hAnsi="Times New Roman" w:cs="Times New Roman"/>
          <w:color w:val="000000" w:themeColor="text1"/>
          <w:sz w:val="28"/>
          <w:szCs w:val="28"/>
          <w:lang w:val="en-US"/>
        </w:rPr>
        <w:t xml:space="preserve"> remains were successfully searched for and collected during the first half of the year; concurrently, biological sampling for unidentified remains was ca</w:t>
      </w:r>
      <w:r w:rsidR="008426FA" w:rsidRPr="004F4D2E">
        <w:rPr>
          <w:rFonts w:ascii="Times New Roman" w:hAnsi="Times New Roman" w:cs="Times New Roman"/>
          <w:color w:val="000000" w:themeColor="text1"/>
          <w:sz w:val="28"/>
          <w:szCs w:val="28"/>
          <w:lang w:val="en-US"/>
        </w:rPr>
        <w:t>rried out across 12,127 martyrs’</w:t>
      </w:r>
      <w:r w:rsidRPr="004F4D2E">
        <w:rPr>
          <w:rFonts w:ascii="Times New Roman" w:hAnsi="Times New Roman" w:cs="Times New Roman"/>
          <w:color w:val="000000" w:themeColor="text1"/>
          <w:sz w:val="28"/>
          <w:szCs w:val="28"/>
          <w:lang w:val="en-US"/>
        </w:rPr>
        <w:t xml:space="preserve"> graves</w:t>
      </w:r>
      <w:r w:rsidRPr="004F4D2E">
        <w:rPr>
          <w:rStyle w:val="FootnoteReference"/>
          <w:rFonts w:ascii="Times New Roman" w:hAnsi="Times New Roman"/>
          <w:color w:val="000000" w:themeColor="text1"/>
          <w:sz w:val="28"/>
          <w:szCs w:val="28"/>
          <w:lang w:val="en-US"/>
        </w:rPr>
        <w:footnoteReference w:id="28"/>
      </w:r>
      <w:r w:rsidRPr="004F4D2E">
        <w:rPr>
          <w:rFonts w:ascii="Times New Roman" w:hAnsi="Times New Roman" w:cs="Times New Roman"/>
          <w:color w:val="000000" w:themeColor="text1"/>
          <w:sz w:val="28"/>
          <w:szCs w:val="28"/>
          <w:lang w:val="en-US"/>
        </w:rPr>
        <w:t>. In addition, the Party and the State continue to deploy social security policies to support national devotees and their relatives on the occasion of the 79</w:t>
      </w:r>
      <w:r w:rsidRPr="004F4D2E">
        <w:rPr>
          <w:rFonts w:ascii="Times New Roman" w:hAnsi="Times New Roman" w:cs="Times New Roman"/>
          <w:color w:val="000000" w:themeColor="text1"/>
          <w:sz w:val="28"/>
          <w:szCs w:val="28"/>
          <w:vertAlign w:val="superscript"/>
          <w:lang w:val="en-US"/>
        </w:rPr>
        <w:t>th</w:t>
      </w:r>
      <w:r w:rsidRPr="004F4D2E">
        <w:rPr>
          <w:rFonts w:ascii="Times New Roman" w:hAnsi="Times New Roman" w:cs="Times New Roman"/>
          <w:color w:val="000000" w:themeColor="text1"/>
          <w:sz w:val="28"/>
          <w:szCs w:val="28"/>
          <w:lang w:val="en-US"/>
        </w:rPr>
        <w:t xml:space="preserve"> anniversary of Invalids and Martyrs’ Day (27</w:t>
      </w:r>
      <w:r w:rsidRPr="004F4D2E">
        <w:rPr>
          <w:rFonts w:ascii="Times New Roman" w:hAnsi="Times New Roman" w:cs="Times New Roman"/>
          <w:color w:val="000000" w:themeColor="text1"/>
          <w:sz w:val="28"/>
          <w:szCs w:val="28"/>
          <w:vertAlign w:val="superscript"/>
          <w:lang w:val="en-US"/>
        </w:rPr>
        <w:t>th</w:t>
      </w:r>
      <w:r w:rsidRPr="004F4D2E">
        <w:rPr>
          <w:rFonts w:ascii="Times New Roman" w:hAnsi="Times New Roman" w:cs="Times New Roman"/>
          <w:color w:val="000000" w:themeColor="text1"/>
          <w:sz w:val="28"/>
          <w:szCs w:val="28"/>
          <w:lang w:val="en-US"/>
        </w:rPr>
        <w:t xml:space="preserve"> July 1947 - 27</w:t>
      </w:r>
      <w:r w:rsidRPr="004F4D2E">
        <w:rPr>
          <w:rFonts w:ascii="Times New Roman" w:hAnsi="Times New Roman" w:cs="Times New Roman"/>
          <w:color w:val="000000" w:themeColor="text1"/>
          <w:sz w:val="28"/>
          <w:szCs w:val="28"/>
          <w:vertAlign w:val="superscript"/>
          <w:lang w:val="en-US"/>
        </w:rPr>
        <w:t>th</w:t>
      </w:r>
      <w:r w:rsidRPr="004F4D2E">
        <w:rPr>
          <w:rFonts w:ascii="Times New Roman" w:hAnsi="Times New Roman" w:cs="Times New Roman"/>
          <w:color w:val="000000" w:themeColor="text1"/>
          <w:sz w:val="28"/>
          <w:szCs w:val="28"/>
          <w:lang w:val="en-US"/>
        </w:rPr>
        <w:t xml:space="preserve"> July 2026)</w:t>
      </w:r>
      <w:r w:rsidRPr="004F4D2E">
        <w:rPr>
          <w:rStyle w:val="FootnoteReference"/>
          <w:rFonts w:ascii="Times New Roman" w:hAnsi="Times New Roman"/>
          <w:color w:val="000000" w:themeColor="text1"/>
          <w:sz w:val="28"/>
          <w:szCs w:val="28"/>
          <w:lang w:val="en-US"/>
        </w:rPr>
        <w:footnoteReference w:id="29"/>
      </w:r>
      <w:r w:rsidRPr="004F4D2E">
        <w:rPr>
          <w:rFonts w:ascii="Times New Roman" w:hAnsi="Times New Roman" w:cs="Times New Roman"/>
          <w:color w:val="000000" w:themeColor="text1"/>
          <w:sz w:val="28"/>
          <w:szCs w:val="28"/>
          <w:lang w:val="en-US"/>
        </w:rPr>
        <w:t>.</w:t>
      </w:r>
    </w:p>
    <w:p w14:paraId="6B9E17F8" w14:textId="77777777" w:rsidR="00E03741" w:rsidRPr="004F4D2E" w:rsidRDefault="00E03741" w:rsidP="00E03741">
      <w:pPr>
        <w:spacing w:beforeLines="40" w:before="96" w:afterLines="40" w:after="96" w:line="252" w:lineRule="auto"/>
        <w:ind w:firstLine="562"/>
        <w:jc w:val="both"/>
        <w:rPr>
          <w:rFonts w:ascii="Times New Roman" w:hAnsi="Times New Roman" w:cs="Times New Roman"/>
          <w:b/>
          <w:i/>
          <w:sz w:val="28"/>
          <w:szCs w:val="28"/>
          <w:lang w:val="en-US"/>
        </w:rPr>
      </w:pPr>
      <w:r w:rsidRPr="004F4D2E">
        <w:rPr>
          <w:rFonts w:ascii="Times New Roman" w:hAnsi="Times New Roman" w:cs="Times New Roman"/>
          <w:b/>
          <w:i/>
          <w:sz w:val="28"/>
          <w:szCs w:val="28"/>
          <w:lang w:val="en-US"/>
        </w:rPr>
        <w:t>3. Education and training</w:t>
      </w:r>
      <w:r w:rsidRPr="004F4D2E">
        <w:rPr>
          <w:rStyle w:val="FootnoteReference"/>
          <w:rFonts w:ascii="Times New Roman" w:hAnsi="Times New Roman"/>
          <w:b/>
          <w:i/>
          <w:sz w:val="28"/>
          <w:szCs w:val="28"/>
          <w:lang w:val="en-US"/>
        </w:rPr>
        <w:footnoteReference w:id="30"/>
      </w:r>
    </w:p>
    <w:p w14:paraId="2B0A62D5" w14:textId="77777777" w:rsidR="00E03741" w:rsidRPr="004F4D2E" w:rsidRDefault="00E03741" w:rsidP="00E03741">
      <w:pPr>
        <w:spacing w:after="0" w:line="252" w:lineRule="auto"/>
        <w:ind w:firstLine="562"/>
        <w:jc w:val="both"/>
        <w:rPr>
          <w:rFonts w:ascii="Times New Roman" w:hAnsi="Times New Roman" w:cs="Times New Roman"/>
          <w:sz w:val="28"/>
          <w:szCs w:val="28"/>
          <w:lang w:val="en-US"/>
        </w:rPr>
      </w:pPr>
      <w:r w:rsidRPr="004F4D2E">
        <w:rPr>
          <w:rStyle w:val="normalchar"/>
          <w:rFonts w:ascii="Times New Roman" w:hAnsi="Times New Roman"/>
          <w:sz w:val="28"/>
          <w:szCs w:val="28"/>
          <w:lang w:val="en-US"/>
        </w:rPr>
        <w:lastRenderedPageBreak/>
        <w:t>As of June 30</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2026, there were 14,820 preschools, 25,067 general education schools, including: 11,678 primary schools, 8,124 lower secondary schools, 2,245 upper secondary schools, and 3,020 multi-level general education schools nationwide</w:t>
      </w:r>
      <w:r w:rsidRPr="004F4D2E">
        <w:rPr>
          <w:rFonts w:ascii="Times New Roman" w:hAnsi="Times New Roman" w:cs="Times New Roman"/>
          <w:sz w:val="28"/>
          <w:szCs w:val="28"/>
          <w:lang w:val="en-US"/>
        </w:rPr>
        <w:t>.</w:t>
      </w:r>
    </w:p>
    <w:p w14:paraId="04DAE948" w14:textId="77777777" w:rsidR="008426FA" w:rsidRPr="004F4D2E" w:rsidRDefault="00E03741" w:rsidP="008426FA">
      <w:pPr>
        <w:spacing w:after="0" w:line="252" w:lineRule="auto"/>
        <w:ind w:firstLine="562"/>
        <w:jc w:val="both"/>
        <w:rPr>
          <w:rFonts w:ascii="Times New Roman" w:hAnsi="Times New Roman" w:cs="Times New Roman"/>
          <w:sz w:val="28"/>
          <w:szCs w:val="28"/>
          <w:lang w:val="en-US"/>
        </w:rPr>
      </w:pPr>
      <w:r w:rsidRPr="004F4D2E">
        <w:rPr>
          <w:rFonts w:ascii="Times New Roman" w:hAnsi="Times New Roman"/>
          <w:sz w:val="28"/>
          <w:lang w:val="en-US"/>
        </w:rPr>
        <w:t xml:space="preserve">In the school year 2025-2026, </w:t>
      </w:r>
      <w:r w:rsidRPr="004F4D2E">
        <w:rPr>
          <w:rStyle w:val="normalchar"/>
          <w:rFonts w:ascii="Times New Roman" w:hAnsi="Times New Roman"/>
          <w:sz w:val="28"/>
          <w:szCs w:val="28"/>
          <w:lang w:val="en-US"/>
        </w:rPr>
        <w:t>the number of preschools teachers was 372 thousand teachers. The number of classroom teachers of general education was 829.8 thousand teachers, including: 392.2 thousand primary school teachers, 295.5 thousand lower secondary school teachers, and 142.1 thousand upper secondary school teachers</w:t>
      </w:r>
      <w:r w:rsidRPr="004F4D2E">
        <w:rPr>
          <w:rFonts w:ascii="Times New Roman" w:hAnsi="Times New Roman" w:cs="Times New Roman"/>
          <w:sz w:val="28"/>
          <w:szCs w:val="28"/>
          <w:lang w:val="en-US"/>
        </w:rPr>
        <w:t>.</w:t>
      </w:r>
    </w:p>
    <w:p w14:paraId="4485CAC5" w14:textId="6C654A29" w:rsidR="00E03741" w:rsidRPr="004F4D2E" w:rsidRDefault="00E03741" w:rsidP="008426FA">
      <w:pPr>
        <w:spacing w:after="0" w:line="252" w:lineRule="auto"/>
        <w:ind w:firstLine="562"/>
        <w:jc w:val="both"/>
        <w:rPr>
          <w:rStyle w:val="normalchar"/>
          <w:rFonts w:ascii="Times New Roman" w:hAnsi="Times New Roman"/>
          <w:sz w:val="28"/>
          <w:szCs w:val="28"/>
          <w:lang w:val="en-US"/>
        </w:rPr>
      </w:pPr>
      <w:r w:rsidRPr="004F4D2E">
        <w:rPr>
          <w:rStyle w:val="normalchar"/>
          <w:rFonts w:ascii="Times New Roman" w:hAnsi="Times New Roman"/>
          <w:sz w:val="28"/>
          <w:szCs w:val="28"/>
          <w:lang w:val="en-US"/>
        </w:rPr>
        <w:t>Also in the school year 2025-2026, there were 4.85 million children of preschools nationwide; 18.5 million pupils of general education, including: 8.64 million primary school pupils, 6.93 million lower secondary school pupils, and 2.90 million upper secondary school pupils.</w:t>
      </w:r>
    </w:p>
    <w:p w14:paraId="5BC0C886" w14:textId="77777777" w:rsidR="00E03741" w:rsidRPr="004F4D2E" w:rsidRDefault="00E03741" w:rsidP="00E03741">
      <w:pPr>
        <w:spacing w:after="120" w:line="257" w:lineRule="auto"/>
        <w:ind w:firstLine="720"/>
        <w:jc w:val="both"/>
        <w:rPr>
          <w:rFonts w:ascii="Times New Roman" w:hAnsi="Times New Roman" w:cs="Times New Roman"/>
          <w:sz w:val="28"/>
          <w:szCs w:val="28"/>
          <w:lang w:val="en-US"/>
        </w:rPr>
      </w:pPr>
      <w:r w:rsidRPr="004F4D2E">
        <w:rPr>
          <w:rFonts w:ascii="Times New Roman" w:hAnsi="Times New Roman" w:cs="Times New Roman"/>
          <w:sz w:val="28"/>
          <w:szCs w:val="28"/>
          <w:lang w:val="en-US"/>
        </w:rPr>
        <w:t>The 2026 Upper Secondary School Graduation Exam was successfully conducted as scheduled, ensuring safety and integrity while largely achieving its intended objectives. A total of 1,213,695 candidates sat the exam, representing an attendance rate of 99.18%. The exam was administered at 2,478 examination sites with 54,409 examination rooms nationwide</w:t>
      </w:r>
      <w:r w:rsidRPr="004F4D2E">
        <w:rPr>
          <w:rStyle w:val="normalchar"/>
          <w:rFonts w:ascii="Times New Roman" w:hAnsi="Times New Roman"/>
          <w:sz w:val="28"/>
          <w:szCs w:val="28"/>
          <w:lang w:val="en-US"/>
        </w:rPr>
        <w:t>.</w:t>
      </w:r>
    </w:p>
    <w:p w14:paraId="0DD9982C" w14:textId="77777777" w:rsidR="00E03741" w:rsidRPr="004F4D2E" w:rsidRDefault="00E03741" w:rsidP="00E03741">
      <w:pPr>
        <w:spacing w:beforeLines="40" w:before="96" w:afterLines="40" w:after="96" w:line="252" w:lineRule="auto"/>
        <w:ind w:firstLine="567"/>
        <w:jc w:val="both"/>
        <w:rPr>
          <w:rFonts w:ascii="Times New Roman" w:hAnsi="Times New Roman" w:cs="Times New Roman"/>
          <w:b/>
          <w:bCs/>
          <w:i/>
          <w:sz w:val="28"/>
          <w:szCs w:val="28"/>
          <w:lang w:val="en-US"/>
        </w:rPr>
      </w:pPr>
      <w:r w:rsidRPr="004F4D2E">
        <w:rPr>
          <w:rStyle w:val="normalchar"/>
          <w:rFonts w:ascii="Times New Roman" w:hAnsi="Times New Roman"/>
          <w:b/>
          <w:i/>
          <w:sz w:val="28"/>
          <w:szCs w:val="28"/>
          <w:lang w:val="en-US"/>
        </w:rPr>
        <w:t>4. Epidemic and food poisoning</w:t>
      </w:r>
      <w:r w:rsidRPr="004F4D2E">
        <w:rPr>
          <w:rStyle w:val="FootnoteReference"/>
          <w:rFonts w:ascii="Times New Roman" w:hAnsi="Times New Roman"/>
          <w:b/>
          <w:i/>
          <w:sz w:val="28"/>
          <w:szCs w:val="28"/>
          <w:lang w:val="en-US"/>
        </w:rPr>
        <w:footnoteReference w:id="31"/>
      </w:r>
    </w:p>
    <w:p w14:paraId="6FAF7B24" w14:textId="77777777" w:rsidR="00E03741" w:rsidRPr="004F4D2E" w:rsidRDefault="00E03741" w:rsidP="00E03741">
      <w:pPr>
        <w:spacing w:after="0" w:line="252" w:lineRule="auto"/>
        <w:ind w:firstLine="720"/>
        <w:jc w:val="both"/>
        <w:rPr>
          <w:rFonts w:ascii="Times New Roman" w:hAnsi="Times New Roman" w:cs="Times New Roman"/>
          <w:sz w:val="28"/>
          <w:szCs w:val="28"/>
          <w:lang w:val="en-US"/>
        </w:rPr>
      </w:pPr>
      <w:r w:rsidRPr="004F4D2E">
        <w:rPr>
          <w:rFonts w:ascii="Times New Roman" w:hAnsi="Times New Roman" w:cs="Times New Roman"/>
          <w:sz w:val="28"/>
          <w:szCs w:val="28"/>
          <w:lang w:val="en-US"/>
        </w:rPr>
        <w:t xml:space="preserve">Overall, from the beginning of the year to date, there were over 55.2 thousand cases of dengue fever (7 deaths); 54.8 thousand cases of hand, foot and mouth disease (10 deaths); </w:t>
      </w:r>
      <w:r w:rsidRPr="004F4D2E">
        <w:rPr>
          <w:rFonts w:ascii="Times New Roman" w:hAnsi="Times New Roman" w:cs="Times New Roman"/>
          <w:iCs/>
          <w:snapToGrid w:val="0"/>
          <w:sz w:val="28"/>
          <w:szCs w:val="28"/>
          <w:lang w:val="en-US"/>
        </w:rPr>
        <w:t xml:space="preserve">4,393 </w:t>
      </w:r>
      <w:r w:rsidRPr="004F4D2E">
        <w:rPr>
          <w:rFonts w:ascii="Times New Roman" w:hAnsi="Times New Roman" w:cs="Times New Roman"/>
          <w:sz w:val="28"/>
          <w:szCs w:val="28"/>
          <w:lang w:val="en-US"/>
        </w:rPr>
        <w:t>cases of rash fever suspected of measles; 154 cases of viral encephalitis (1 death); 31 cases of meningococcal meningitis (4 deaths); and 34 deaths from rabies in the whole country.</w:t>
      </w:r>
    </w:p>
    <w:p w14:paraId="3A1405E5" w14:textId="77777777" w:rsidR="00E03741" w:rsidRPr="004F4D2E" w:rsidRDefault="00E03741" w:rsidP="00E03741">
      <w:pPr>
        <w:spacing w:after="120" w:line="257" w:lineRule="auto"/>
        <w:ind w:firstLine="720"/>
        <w:jc w:val="both"/>
        <w:rPr>
          <w:rFonts w:ascii="Times New Roman" w:hAnsi="Times New Roman" w:cs="Times New Roman"/>
          <w:sz w:val="28"/>
          <w:szCs w:val="28"/>
          <w:lang w:val="en-US"/>
        </w:rPr>
      </w:pPr>
      <w:r w:rsidRPr="004F4D2E">
        <w:rPr>
          <w:rFonts w:ascii="Times New Roman" w:hAnsi="Times New Roman" w:cs="Times New Roman"/>
          <w:sz w:val="28"/>
          <w:szCs w:val="28"/>
          <w:lang w:val="en-US"/>
        </w:rPr>
        <w:t>As of June 17</w:t>
      </w:r>
      <w:r w:rsidRPr="004F4D2E">
        <w:rPr>
          <w:rFonts w:ascii="Times New Roman" w:hAnsi="Times New Roman" w:cs="Times New Roman"/>
          <w:sz w:val="28"/>
          <w:szCs w:val="28"/>
          <w:vertAlign w:val="superscript"/>
          <w:lang w:val="en-US"/>
        </w:rPr>
        <w:t>th</w:t>
      </w:r>
      <w:r w:rsidRPr="004F4D2E">
        <w:rPr>
          <w:rFonts w:ascii="Times New Roman" w:hAnsi="Times New Roman" w:cs="Times New Roman"/>
          <w:sz w:val="28"/>
          <w:szCs w:val="28"/>
          <w:lang w:val="en-US"/>
        </w:rPr>
        <w:t xml:space="preserve">, 2026, the total number of people living with HIV nationwide was </w:t>
      </w:r>
      <w:r w:rsidRPr="004F4D2E">
        <w:rPr>
          <w:rFonts w:ascii="Times New Roman" w:hAnsi="Times New Roman" w:cs="Times New Roman"/>
          <w:iCs/>
          <w:snapToGrid w:val="0"/>
          <w:sz w:val="28"/>
          <w:szCs w:val="28"/>
          <w:lang w:val="en-US"/>
        </w:rPr>
        <w:t xml:space="preserve">256.8 </w:t>
      </w:r>
      <w:r w:rsidRPr="004F4D2E">
        <w:rPr>
          <w:rFonts w:ascii="Times New Roman" w:hAnsi="Times New Roman" w:cs="Times New Roman"/>
          <w:sz w:val="28"/>
          <w:szCs w:val="28"/>
          <w:lang w:val="en-US"/>
        </w:rPr>
        <w:t xml:space="preserve">thousand persons; the number of deaths from HIV/AIDS was </w:t>
      </w:r>
      <w:r w:rsidRPr="004F4D2E">
        <w:rPr>
          <w:rFonts w:ascii="Times New Roman" w:hAnsi="Times New Roman" w:cs="Times New Roman"/>
          <w:iCs/>
          <w:snapToGrid w:val="0"/>
          <w:sz w:val="28"/>
          <w:szCs w:val="28"/>
          <w:lang w:val="en-US"/>
        </w:rPr>
        <w:t xml:space="preserve">118.9 </w:t>
      </w:r>
      <w:r w:rsidRPr="004F4D2E">
        <w:rPr>
          <w:rFonts w:ascii="Times New Roman" w:hAnsi="Times New Roman" w:cs="Times New Roman"/>
          <w:sz w:val="28"/>
          <w:szCs w:val="28"/>
          <w:lang w:val="en-US"/>
        </w:rPr>
        <w:t xml:space="preserve">thousand persons. </w:t>
      </w:r>
    </w:p>
    <w:p w14:paraId="2D32F8BC" w14:textId="7F9EBD9B" w:rsidR="00E03741" w:rsidRPr="004F4D2E" w:rsidRDefault="00E03741" w:rsidP="00E03741">
      <w:pPr>
        <w:spacing w:after="120" w:line="257" w:lineRule="auto"/>
        <w:ind w:firstLine="720"/>
        <w:jc w:val="both"/>
        <w:rPr>
          <w:rFonts w:ascii="Times New Roman" w:hAnsi="Times New Roman" w:cs="Times New Roman"/>
          <w:sz w:val="28"/>
          <w:szCs w:val="28"/>
          <w:lang w:val="en-US"/>
        </w:rPr>
      </w:pPr>
      <w:r w:rsidRPr="004F4D2E">
        <w:rPr>
          <w:rFonts w:ascii="Times New Roman" w:hAnsi="Times New Roman" w:cs="Times New Roman"/>
          <w:sz w:val="28"/>
          <w:szCs w:val="28"/>
          <w:lang w:val="en-US"/>
        </w:rPr>
        <w:t xml:space="preserve">Regarding food poisoning, in June, there were 11 </w:t>
      </w:r>
      <w:r w:rsidRPr="004F4D2E">
        <w:rPr>
          <w:rFonts w:ascii="Times New Roman" w:hAnsi="Times New Roman" w:cs="Times New Roman"/>
          <w:spacing w:val="-4"/>
          <w:sz w:val="28"/>
          <w:szCs w:val="28"/>
          <w:lang w:val="en-US"/>
        </w:rPr>
        <w:t xml:space="preserve">cases of poisoning, causing </w:t>
      </w:r>
      <w:r w:rsidRPr="004F4D2E">
        <w:rPr>
          <w:rFonts w:ascii="Times New Roman" w:hAnsi="Times New Roman" w:cs="Times New Roman"/>
          <w:sz w:val="28"/>
          <w:szCs w:val="28"/>
          <w:lang w:val="en-US"/>
        </w:rPr>
        <w:t xml:space="preserve">462 persons poisoned (2 deaths). Overall, in </w:t>
      </w:r>
      <w:r w:rsidR="008426FA" w:rsidRPr="004F4D2E">
        <w:rPr>
          <w:rFonts w:ascii="Times New Roman" w:hAnsi="Times New Roman" w:cs="Times New Roman"/>
          <w:sz w:val="28"/>
          <w:szCs w:val="28"/>
          <w:lang w:val="en-US"/>
        </w:rPr>
        <w:t>H1 2026</w:t>
      </w:r>
      <w:r w:rsidRPr="004F4D2E">
        <w:rPr>
          <w:rFonts w:ascii="Times New Roman" w:hAnsi="Times New Roman" w:cs="Times New Roman"/>
          <w:sz w:val="28"/>
          <w:szCs w:val="28"/>
          <w:lang w:val="en-US"/>
        </w:rPr>
        <w:t xml:space="preserve"> (from December 18</w:t>
      </w:r>
      <w:r w:rsidRPr="004F4D2E">
        <w:rPr>
          <w:rFonts w:ascii="Times New Roman" w:hAnsi="Times New Roman" w:cs="Times New Roman"/>
          <w:sz w:val="28"/>
          <w:szCs w:val="28"/>
          <w:vertAlign w:val="superscript"/>
          <w:lang w:val="en-US"/>
        </w:rPr>
        <w:t>th</w:t>
      </w:r>
      <w:r w:rsidRPr="004F4D2E">
        <w:rPr>
          <w:rFonts w:ascii="Times New Roman" w:hAnsi="Times New Roman" w:cs="Times New Roman"/>
          <w:sz w:val="28"/>
          <w:szCs w:val="28"/>
          <w:lang w:val="en-US"/>
        </w:rPr>
        <w:t>, 2025 to June 17</w:t>
      </w:r>
      <w:r w:rsidRPr="004F4D2E">
        <w:rPr>
          <w:rFonts w:ascii="Times New Roman" w:hAnsi="Times New Roman" w:cs="Times New Roman"/>
          <w:sz w:val="28"/>
          <w:szCs w:val="28"/>
          <w:vertAlign w:val="superscript"/>
          <w:lang w:val="en-US"/>
        </w:rPr>
        <w:t>th</w:t>
      </w:r>
      <w:r w:rsidRPr="004F4D2E">
        <w:rPr>
          <w:rFonts w:ascii="Times New Roman" w:hAnsi="Times New Roman" w:cs="Times New Roman"/>
          <w:sz w:val="28"/>
          <w:szCs w:val="28"/>
          <w:lang w:val="en-US"/>
        </w:rPr>
        <w:t>, 2026), there were 47 cases with 1,866 persons poisoned (7 deaths) nationwide.</w:t>
      </w:r>
    </w:p>
    <w:p w14:paraId="177D1645" w14:textId="77777777" w:rsidR="00E03741" w:rsidRPr="004F4D2E" w:rsidRDefault="00E03741" w:rsidP="00E03741">
      <w:pPr>
        <w:spacing w:beforeLines="40" w:before="96" w:afterLines="40" w:after="96" w:line="252" w:lineRule="auto"/>
        <w:ind w:firstLine="567"/>
        <w:jc w:val="both"/>
        <w:rPr>
          <w:rStyle w:val="normalchar"/>
          <w:rFonts w:ascii="Times New Roman Bold Italic" w:hAnsi="Times New Roman Bold Italic"/>
          <w:b/>
          <w:i/>
          <w:spacing w:val="2"/>
          <w:sz w:val="28"/>
          <w:szCs w:val="28"/>
          <w:lang w:val="en-US"/>
        </w:rPr>
      </w:pPr>
      <w:r w:rsidRPr="004F4D2E">
        <w:rPr>
          <w:rStyle w:val="normalchar"/>
          <w:rFonts w:ascii="Times New Roman Bold Italic" w:hAnsi="Times New Roman Bold Italic"/>
          <w:b/>
          <w:i/>
          <w:spacing w:val="2"/>
          <w:sz w:val="28"/>
          <w:szCs w:val="28"/>
          <w:lang w:val="en-US"/>
        </w:rPr>
        <w:t xml:space="preserve">5. </w:t>
      </w:r>
      <w:r w:rsidRPr="004F4D2E">
        <w:rPr>
          <w:rFonts w:ascii="Times New Roman Bold Italic" w:hAnsi="Times New Roman Bold Italic" w:cs="Times New Roman"/>
          <w:b/>
          <w:i/>
          <w:spacing w:val="2"/>
          <w:sz w:val="28"/>
          <w:szCs w:val="28"/>
          <w:lang w:val="en-US"/>
        </w:rPr>
        <w:t>The preservation and promotion of cultural values continued to receive due attention; mass sports activities were maintained, while elite sports recorded several notable achievements</w:t>
      </w:r>
    </w:p>
    <w:p w14:paraId="34CC23F8" w14:textId="77777777" w:rsidR="00E03741" w:rsidRPr="004F4D2E" w:rsidRDefault="00E03741" w:rsidP="00E03741">
      <w:pPr>
        <w:spacing w:before="60" w:after="60" w:line="264" w:lineRule="auto"/>
        <w:ind w:firstLine="567"/>
        <w:jc w:val="both"/>
        <w:rPr>
          <w:rFonts w:ascii="Times New Roman" w:hAnsi="Times New Roman" w:cs="Times New Roman"/>
          <w:sz w:val="28"/>
          <w:szCs w:val="28"/>
          <w:lang w:val="en-US"/>
        </w:rPr>
      </w:pPr>
      <w:r w:rsidRPr="004F4D2E">
        <w:rPr>
          <w:rFonts w:ascii="Times New Roman" w:hAnsi="Times New Roman" w:cs="Times New Roman"/>
          <w:sz w:val="28"/>
          <w:szCs w:val="28"/>
          <w:lang w:val="en-US"/>
        </w:rPr>
        <w:t>In Q2 2026, a wide range of cultural activities were held nationwide in connection with major national holidays and the preservation and promotion of</w:t>
      </w:r>
      <w:r w:rsidRPr="004F4D2E">
        <w:rPr>
          <w:rStyle w:val="normalchar"/>
          <w:rFonts w:ascii="Times New Roman" w:hAnsi="Times New Roman"/>
          <w:sz w:val="28"/>
          <w:szCs w:val="28"/>
          <w:lang w:val="en-US"/>
        </w:rPr>
        <w:t xml:space="preserve"> the values of the nation's cultural heritage</w:t>
      </w:r>
      <w:r w:rsidRPr="004F4D2E">
        <w:rPr>
          <w:rFonts w:ascii="Times New Roman" w:hAnsi="Times New Roman" w:cs="Times New Roman"/>
          <w:sz w:val="28"/>
          <w:szCs w:val="28"/>
          <w:lang w:val="en-US"/>
        </w:rPr>
        <w:t>. A highlight of the quarter was a series of activities marking the Viet Nam Ethnic Groups' Culture Day (April 19</w:t>
      </w:r>
      <w:r w:rsidRPr="004F4D2E">
        <w:rPr>
          <w:rFonts w:ascii="Times New Roman" w:hAnsi="Times New Roman" w:cs="Times New Roman"/>
          <w:sz w:val="28"/>
          <w:szCs w:val="28"/>
          <w:vertAlign w:val="superscript"/>
          <w:lang w:val="en-US"/>
        </w:rPr>
        <w:t>th</w:t>
      </w:r>
      <w:r w:rsidRPr="004F4D2E">
        <w:rPr>
          <w:rFonts w:ascii="Times New Roman" w:hAnsi="Times New Roman" w:cs="Times New Roman"/>
          <w:sz w:val="28"/>
          <w:szCs w:val="28"/>
          <w:lang w:val="en-US"/>
        </w:rPr>
        <w:t xml:space="preserve">) at the Viet Nam National Village for Ethnic Culture and Tourism, along with </w:t>
      </w:r>
      <w:r w:rsidRPr="004F4D2E">
        <w:rPr>
          <w:rFonts w:ascii="Times New Roman" w:hAnsi="Times New Roman" w:cs="Times New Roman"/>
          <w:sz w:val="28"/>
          <w:szCs w:val="28"/>
          <w:lang w:val="en-US"/>
        </w:rPr>
        <w:lastRenderedPageBreak/>
        <w:t>commemorative activities for the Liberation of the South Day (April 30</w:t>
      </w:r>
      <w:r w:rsidRPr="004F4D2E">
        <w:rPr>
          <w:rFonts w:ascii="Times New Roman" w:hAnsi="Times New Roman" w:cs="Times New Roman"/>
          <w:sz w:val="28"/>
          <w:szCs w:val="28"/>
          <w:vertAlign w:val="superscript"/>
          <w:lang w:val="en-US"/>
        </w:rPr>
        <w:t>th</w:t>
      </w:r>
      <w:r w:rsidRPr="004F4D2E">
        <w:rPr>
          <w:rFonts w:ascii="Times New Roman" w:hAnsi="Times New Roman" w:cs="Times New Roman"/>
          <w:sz w:val="28"/>
          <w:szCs w:val="28"/>
          <w:lang w:val="en-US"/>
        </w:rPr>
        <w:t>) and International Workers’ Day (May 1</w:t>
      </w:r>
      <w:r w:rsidRPr="004F4D2E">
        <w:rPr>
          <w:rFonts w:ascii="Times New Roman" w:hAnsi="Times New Roman" w:cs="Times New Roman"/>
          <w:sz w:val="28"/>
          <w:szCs w:val="28"/>
          <w:vertAlign w:val="superscript"/>
          <w:lang w:val="en-US"/>
        </w:rPr>
        <w:t>st</w:t>
      </w:r>
      <w:r w:rsidRPr="004F4D2E">
        <w:rPr>
          <w:rFonts w:ascii="Times New Roman" w:hAnsi="Times New Roman" w:cs="Times New Roman"/>
          <w:sz w:val="28"/>
          <w:szCs w:val="28"/>
          <w:lang w:val="en-US"/>
        </w:rPr>
        <w:t>). In addition, a number of other cultural activities were also organized nationwide</w:t>
      </w:r>
      <w:r w:rsidRPr="004F4D2E">
        <w:rPr>
          <w:rStyle w:val="FootnoteReference"/>
          <w:rFonts w:ascii="Times New Roman" w:hAnsi="Times New Roman"/>
          <w:spacing w:val="2"/>
          <w:sz w:val="28"/>
          <w:szCs w:val="28"/>
          <w:lang w:val="en-US"/>
        </w:rPr>
        <w:footnoteReference w:id="32"/>
      </w:r>
      <w:r w:rsidRPr="004F4D2E">
        <w:rPr>
          <w:rFonts w:ascii="Times New Roman" w:hAnsi="Times New Roman" w:cs="Times New Roman"/>
          <w:sz w:val="28"/>
          <w:szCs w:val="28"/>
          <w:lang w:val="en-US"/>
        </w:rPr>
        <w:t>.</w:t>
      </w:r>
    </w:p>
    <w:p w14:paraId="168C9ED6" w14:textId="77777777" w:rsidR="00E03741" w:rsidRPr="004F4D2E" w:rsidRDefault="00E03741" w:rsidP="00E03741">
      <w:pPr>
        <w:spacing w:after="120" w:line="257" w:lineRule="auto"/>
        <w:ind w:firstLine="720"/>
        <w:jc w:val="both"/>
        <w:rPr>
          <w:rFonts w:ascii="Times New Roman" w:hAnsi="Times New Roman" w:cs="Times New Roman"/>
          <w:sz w:val="28"/>
          <w:szCs w:val="28"/>
          <w:lang w:val="en-US"/>
        </w:rPr>
      </w:pPr>
      <w:r w:rsidRPr="004F4D2E">
        <w:rPr>
          <w:rFonts w:ascii="Times New Roman" w:hAnsi="Times New Roman" w:cs="Times New Roman"/>
          <w:i/>
          <w:sz w:val="28"/>
          <w:szCs w:val="28"/>
          <w:lang w:val="en-US"/>
        </w:rPr>
        <w:t xml:space="preserve">Regarding elite sports, </w:t>
      </w:r>
      <w:r w:rsidRPr="004F4D2E">
        <w:rPr>
          <w:rFonts w:ascii="Times New Roman" w:hAnsi="Times New Roman" w:cs="Times New Roman"/>
          <w:iCs/>
          <w:sz w:val="28"/>
          <w:szCs w:val="28"/>
          <w:lang w:val="en-US"/>
        </w:rPr>
        <w:t>a number of sporting events took place in Q2 2026, including:</w:t>
      </w:r>
      <w:r w:rsidRPr="004F4D2E">
        <w:rPr>
          <w:rStyle w:val="normalchar"/>
          <w:rFonts w:ascii="Times New Roman" w:hAnsi="Times New Roman"/>
          <w:sz w:val="28"/>
          <w:szCs w:val="28"/>
          <w:lang w:val="en-US"/>
        </w:rPr>
        <w:t xml:space="preserve"> the U17 Viet Nam national football team's championship title at the 2026 ASEAN U17 Championship, held in Indonesia from April 11</w:t>
      </w:r>
      <w:r w:rsidRPr="004F4D2E">
        <w:rPr>
          <w:rStyle w:val="normalchar"/>
          <w:rFonts w:ascii="Times New Roman" w:hAnsi="Times New Roman"/>
          <w:sz w:val="28"/>
          <w:szCs w:val="28"/>
          <w:vertAlign w:val="superscript"/>
          <w:lang w:val="en-US"/>
        </w:rPr>
        <w:t xml:space="preserve">th </w:t>
      </w:r>
      <w:r w:rsidRPr="004F4D2E">
        <w:rPr>
          <w:rStyle w:val="normalchar"/>
          <w:rFonts w:ascii="Times New Roman" w:hAnsi="Times New Roman"/>
          <w:sz w:val="28"/>
          <w:szCs w:val="28"/>
          <w:lang w:val="en-US"/>
        </w:rPr>
        <w:t>to April 23</w:t>
      </w:r>
      <w:r w:rsidRPr="004F4D2E">
        <w:rPr>
          <w:rStyle w:val="normalchar"/>
          <w:rFonts w:ascii="Times New Roman" w:hAnsi="Times New Roman"/>
          <w:sz w:val="28"/>
          <w:szCs w:val="28"/>
          <w:vertAlign w:val="superscript"/>
          <w:lang w:val="en-US"/>
        </w:rPr>
        <w:t>rd</w:t>
      </w:r>
      <w:r w:rsidRPr="004F4D2E">
        <w:rPr>
          <w:rStyle w:val="normalchar"/>
          <w:rFonts w:ascii="Times New Roman" w:hAnsi="Times New Roman"/>
          <w:sz w:val="28"/>
          <w:szCs w:val="28"/>
          <w:lang w:val="en-US"/>
        </w:rPr>
        <w:t>; the National Strong Teams Kickboxing Championship, held in Ha Noi from April 2</w:t>
      </w:r>
      <w:r w:rsidRPr="004F4D2E">
        <w:rPr>
          <w:rStyle w:val="normalchar"/>
          <w:rFonts w:ascii="Times New Roman" w:hAnsi="Times New Roman"/>
          <w:sz w:val="28"/>
          <w:szCs w:val="28"/>
          <w:vertAlign w:val="superscript"/>
          <w:lang w:val="en-US"/>
        </w:rPr>
        <w:t>nd</w:t>
      </w:r>
      <w:r w:rsidRPr="004F4D2E">
        <w:rPr>
          <w:rStyle w:val="normalchar"/>
          <w:rFonts w:ascii="Times New Roman" w:hAnsi="Times New Roman"/>
          <w:sz w:val="28"/>
          <w:szCs w:val="28"/>
          <w:lang w:val="en-US"/>
        </w:rPr>
        <w:t xml:space="preserve"> to April 11</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the National Elite Shuttlecock Championship, held in Hue from April 18</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xml:space="preserve"> to April 23</w:t>
      </w:r>
      <w:r w:rsidRPr="004F4D2E">
        <w:rPr>
          <w:rStyle w:val="normalchar"/>
          <w:rFonts w:ascii="Times New Roman" w:hAnsi="Times New Roman"/>
          <w:sz w:val="28"/>
          <w:szCs w:val="28"/>
          <w:vertAlign w:val="superscript"/>
          <w:lang w:val="en-US"/>
        </w:rPr>
        <w:t>rd</w:t>
      </w:r>
      <w:r w:rsidRPr="004F4D2E">
        <w:rPr>
          <w:rStyle w:val="normalchar"/>
          <w:rFonts w:ascii="Times New Roman" w:hAnsi="Times New Roman"/>
          <w:sz w:val="28"/>
          <w:szCs w:val="28"/>
          <w:lang w:val="en-US"/>
        </w:rPr>
        <w:t>; and the Ho Chi Minh City Television Cycling Cup, held from April 3</w:t>
      </w:r>
      <w:r w:rsidRPr="004F4D2E">
        <w:rPr>
          <w:rStyle w:val="normalchar"/>
          <w:rFonts w:ascii="Times New Roman" w:hAnsi="Times New Roman"/>
          <w:sz w:val="28"/>
          <w:szCs w:val="28"/>
          <w:vertAlign w:val="superscript"/>
          <w:lang w:val="en-US"/>
        </w:rPr>
        <w:t xml:space="preserve">rd </w:t>
      </w:r>
      <w:r w:rsidRPr="004F4D2E">
        <w:rPr>
          <w:rStyle w:val="normalchar"/>
          <w:rFonts w:ascii="Times New Roman" w:hAnsi="Times New Roman"/>
          <w:sz w:val="28"/>
          <w:szCs w:val="28"/>
          <w:lang w:val="en-US"/>
        </w:rPr>
        <w:t>to April 30</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The U17 Viet Nam national football team also qualified for the FIFA U-17 World Cup Qatar 2026. Meanwhile, the Viet Nam national judo team finished first overall at the Southeast Asian Judo Championship, held in Bac Ninh from May 19</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xml:space="preserve"> to May 24</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and two athletes from the Viet Nam national taekwondo team secured qualification for ASIAD 2026. In addition, several national championships were organized, including the National Club Weightlifting Championship, held in Ninh Binh from May 16</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xml:space="preserve"> to May 24</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the National Age Group Swimming and Diving Championships, held in Dong Thap from May 20th to May 30</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 and the National 2×2 Beach Volleyball Championship, held in Da Nang from May 1</w:t>
      </w:r>
      <w:r w:rsidRPr="004F4D2E">
        <w:rPr>
          <w:rStyle w:val="normalchar"/>
          <w:rFonts w:ascii="Times New Roman" w:hAnsi="Times New Roman"/>
          <w:sz w:val="28"/>
          <w:szCs w:val="28"/>
          <w:vertAlign w:val="superscript"/>
          <w:lang w:val="en-US"/>
        </w:rPr>
        <w:t>st</w:t>
      </w:r>
      <w:r w:rsidRPr="004F4D2E">
        <w:rPr>
          <w:rStyle w:val="normalchar"/>
          <w:rFonts w:ascii="Times New Roman" w:hAnsi="Times New Roman"/>
          <w:sz w:val="28"/>
          <w:szCs w:val="28"/>
          <w:lang w:val="en-US"/>
        </w:rPr>
        <w:t xml:space="preserve"> to May 9</w:t>
      </w:r>
      <w:r w:rsidRPr="004F4D2E">
        <w:rPr>
          <w:rStyle w:val="normalchar"/>
          <w:rFonts w:ascii="Times New Roman" w:hAnsi="Times New Roman"/>
          <w:sz w:val="28"/>
          <w:szCs w:val="28"/>
          <w:vertAlign w:val="superscript"/>
          <w:lang w:val="en-US"/>
        </w:rPr>
        <w:t>th</w:t>
      </w:r>
      <w:r w:rsidRPr="004F4D2E">
        <w:rPr>
          <w:rStyle w:val="normalchar"/>
          <w:rFonts w:ascii="Times New Roman" w:hAnsi="Times New Roman"/>
          <w:sz w:val="28"/>
          <w:szCs w:val="28"/>
          <w:lang w:val="en-US"/>
        </w:rPr>
        <w:t>.</w:t>
      </w:r>
    </w:p>
    <w:p w14:paraId="2BB644FF" w14:textId="063727CB" w:rsidR="00E03741" w:rsidRPr="004F4D2E" w:rsidRDefault="00E03741" w:rsidP="00E03741">
      <w:pPr>
        <w:spacing w:beforeLines="40" w:before="96" w:afterLines="40" w:after="96" w:line="252" w:lineRule="auto"/>
        <w:ind w:firstLine="567"/>
        <w:jc w:val="both"/>
        <w:rPr>
          <w:rFonts w:ascii="Times New Roman" w:hAnsi="Times New Roman" w:cs="Times New Roman"/>
          <w:b/>
          <w:i/>
          <w:spacing w:val="-4"/>
          <w:sz w:val="28"/>
          <w:szCs w:val="28"/>
          <w:lang w:val="en-US"/>
        </w:rPr>
      </w:pPr>
      <w:r w:rsidRPr="004F4D2E">
        <w:rPr>
          <w:rStyle w:val="normalchar"/>
          <w:rFonts w:ascii="Times New Roman" w:hAnsi="Times New Roman"/>
          <w:b/>
          <w:i/>
          <w:spacing w:val="-4"/>
          <w:sz w:val="28"/>
          <w:szCs w:val="28"/>
          <w:lang w:val="en-US"/>
        </w:rPr>
        <w:t>6</w:t>
      </w:r>
      <w:r w:rsidRPr="004F4D2E">
        <w:rPr>
          <w:rStyle w:val="normalchar"/>
          <w:rFonts w:ascii="Times New Roman Bold Italic" w:hAnsi="Times New Roman Bold Italic"/>
          <w:b/>
          <w:i/>
          <w:spacing w:val="-4"/>
          <w:sz w:val="28"/>
          <w:szCs w:val="28"/>
          <w:lang w:val="en-US"/>
        </w:rPr>
        <w:t xml:space="preserve">. </w:t>
      </w:r>
      <w:r w:rsidRPr="004F4D2E">
        <w:rPr>
          <w:rFonts w:ascii="Times New Roman Bold Italic" w:hAnsi="Times New Roman Bold Italic" w:cs="Times New Roman"/>
          <w:b/>
          <w:i/>
          <w:spacing w:val="-4"/>
          <w:sz w:val="28"/>
          <w:szCs w:val="28"/>
          <w:lang w:val="en-US"/>
        </w:rPr>
        <w:t xml:space="preserve">In June and </w:t>
      </w:r>
      <w:r w:rsidR="002D0314">
        <w:rPr>
          <w:rFonts w:ascii="Times New Roman Bold Italic" w:hAnsi="Times New Roman Bold Italic" w:cs="Times New Roman"/>
          <w:b/>
          <w:i/>
          <w:spacing w:val="-4"/>
          <w:sz w:val="28"/>
          <w:szCs w:val="28"/>
          <w:lang w:val="en-US"/>
        </w:rPr>
        <w:t>the first half of</w:t>
      </w:r>
      <w:r w:rsidR="008426FA" w:rsidRPr="004F4D2E">
        <w:rPr>
          <w:rFonts w:ascii="Times New Roman Bold Italic" w:hAnsi="Times New Roman Bold Italic" w:cs="Times New Roman"/>
          <w:b/>
          <w:i/>
          <w:spacing w:val="-4"/>
          <w:sz w:val="28"/>
          <w:szCs w:val="28"/>
          <w:lang w:val="en-US"/>
        </w:rPr>
        <w:t xml:space="preserve"> 2026</w:t>
      </w:r>
      <w:r w:rsidRPr="004F4D2E">
        <w:rPr>
          <w:rFonts w:ascii="Times New Roman Bold Italic" w:hAnsi="Times New Roman Bold Italic" w:cs="Times New Roman"/>
          <w:b/>
          <w:i/>
          <w:spacing w:val="-4"/>
          <w:sz w:val="28"/>
          <w:szCs w:val="28"/>
          <w:lang w:val="en-US"/>
        </w:rPr>
        <w:t>, the numbers of traffic accidents</w:t>
      </w:r>
      <w:r w:rsidRPr="004F4D2E">
        <w:rPr>
          <w:rFonts w:ascii="Times New Roman Bold Italic" w:hAnsi="Times New Roman Bold Italic" w:cs="Times New Roman"/>
          <w:b/>
          <w:i/>
          <w:iCs/>
          <w:spacing w:val="-4"/>
          <w:sz w:val="28"/>
          <w:szCs w:val="28"/>
          <w:vertAlign w:val="superscript"/>
          <w:lang w:val="en-US"/>
        </w:rPr>
        <w:footnoteReference w:id="33"/>
      </w:r>
      <w:r w:rsidRPr="004F4D2E">
        <w:rPr>
          <w:rFonts w:ascii="Times New Roman Bold Italic" w:hAnsi="Times New Roman Bold Italic" w:cs="Times New Roman"/>
          <w:b/>
          <w:i/>
          <w:spacing w:val="-4"/>
          <w:sz w:val="28"/>
          <w:szCs w:val="28"/>
          <w:lang w:val="en-US"/>
        </w:rPr>
        <w:t>, deaths, and injuries all decreased compared to the same period last year</w:t>
      </w:r>
      <w:r w:rsidRPr="004F4D2E">
        <w:rPr>
          <w:rFonts w:ascii="Times New Roman" w:hAnsi="Times New Roman" w:cs="Times New Roman"/>
          <w:b/>
          <w:i/>
          <w:spacing w:val="-4"/>
          <w:sz w:val="28"/>
          <w:szCs w:val="28"/>
          <w:lang w:val="en-US"/>
        </w:rPr>
        <w:t xml:space="preserve"> </w:t>
      </w:r>
    </w:p>
    <w:p w14:paraId="0A81A888" w14:textId="77777777" w:rsidR="00E03741" w:rsidRPr="004F4D2E" w:rsidRDefault="00E03741" w:rsidP="00E03741">
      <w:pPr>
        <w:tabs>
          <w:tab w:val="left" w:pos="426"/>
          <w:tab w:val="left" w:pos="900"/>
        </w:tabs>
        <w:spacing w:after="0" w:line="252" w:lineRule="auto"/>
        <w:ind w:firstLine="720"/>
        <w:jc w:val="both"/>
        <w:rPr>
          <w:rStyle w:val="normalchar"/>
          <w:rFonts w:ascii="Times New Roman" w:hAnsi="Times New Roman"/>
          <w:b/>
          <w:i/>
          <w:sz w:val="28"/>
          <w:szCs w:val="28"/>
          <w:lang w:val="en-US"/>
        </w:rPr>
      </w:pPr>
      <w:r w:rsidRPr="004F4D2E">
        <w:rPr>
          <w:rFonts w:ascii="Times New Roman" w:eastAsia="Calibri" w:hAnsi="Times New Roman" w:cs="Times New Roman"/>
          <w:sz w:val="28"/>
          <w:szCs w:val="28"/>
          <w:lang w:val="en-US"/>
        </w:rPr>
        <w:t xml:space="preserve">In June (from </w:t>
      </w:r>
      <w:r w:rsidRPr="004F4D2E">
        <w:rPr>
          <w:rFonts w:ascii="Times New Roman" w:hAnsi="Times New Roman" w:cs="Times New Roman"/>
          <w:sz w:val="28"/>
          <w:szCs w:val="28"/>
          <w:lang w:val="en-US"/>
        </w:rPr>
        <w:t>May 15</w:t>
      </w:r>
      <w:r w:rsidRPr="004F4D2E">
        <w:rPr>
          <w:rFonts w:ascii="Times New Roman" w:hAnsi="Times New Roman" w:cs="Times New Roman"/>
          <w:sz w:val="28"/>
          <w:szCs w:val="28"/>
          <w:vertAlign w:val="superscript"/>
          <w:lang w:val="en-US"/>
        </w:rPr>
        <w:t>th</w:t>
      </w:r>
      <w:r w:rsidRPr="004F4D2E">
        <w:rPr>
          <w:rFonts w:ascii="Times New Roman" w:hAnsi="Times New Roman" w:cs="Times New Roman"/>
          <w:sz w:val="28"/>
          <w:szCs w:val="28"/>
          <w:lang w:val="en-US"/>
        </w:rPr>
        <w:t xml:space="preserve"> to June 14</w:t>
      </w:r>
      <w:r w:rsidRPr="004F4D2E">
        <w:rPr>
          <w:rFonts w:ascii="Times New Roman" w:hAnsi="Times New Roman" w:cs="Times New Roman"/>
          <w:sz w:val="28"/>
          <w:szCs w:val="28"/>
          <w:vertAlign w:val="superscript"/>
          <w:lang w:val="en-US"/>
        </w:rPr>
        <w:t>th</w:t>
      </w:r>
      <w:r w:rsidRPr="004F4D2E">
        <w:rPr>
          <w:rFonts w:ascii="Times New Roman" w:hAnsi="Times New Roman" w:cs="Times New Roman"/>
          <w:sz w:val="28"/>
          <w:szCs w:val="28"/>
          <w:lang w:val="en-US"/>
        </w:rPr>
        <w:t>, 2026</w:t>
      </w:r>
      <w:r w:rsidRPr="004F4D2E">
        <w:rPr>
          <w:rFonts w:ascii="Times New Roman" w:eastAsia="Calibri" w:hAnsi="Times New Roman" w:cs="Times New Roman"/>
          <w:sz w:val="28"/>
          <w:szCs w:val="28"/>
          <w:lang w:val="en-US"/>
        </w:rPr>
        <w:t xml:space="preserve">), there were </w:t>
      </w:r>
      <w:r w:rsidRPr="004F4D2E">
        <w:rPr>
          <w:rFonts w:ascii="Times New Roman" w:hAnsi="Times New Roman" w:cs="Times New Roman"/>
          <w:sz w:val="28"/>
          <w:szCs w:val="28"/>
          <w:lang w:val="en-US"/>
        </w:rPr>
        <w:t xml:space="preserve">1,273 </w:t>
      </w:r>
      <w:r w:rsidRPr="004F4D2E">
        <w:rPr>
          <w:rFonts w:ascii="Times New Roman" w:eastAsia="Calibri" w:hAnsi="Times New Roman" w:cs="Times New Roman"/>
          <w:sz w:val="28"/>
          <w:szCs w:val="28"/>
          <w:lang w:val="en-US"/>
        </w:rPr>
        <w:t>traffic accidents nationwide</w:t>
      </w:r>
      <w:r w:rsidRPr="004F4D2E">
        <w:rPr>
          <w:rFonts w:ascii="Times New Roman" w:hAnsi="Times New Roman" w:cs="Times New Roman"/>
          <w:sz w:val="28"/>
          <w:szCs w:val="28"/>
          <w:lang w:val="en-US"/>
        </w:rPr>
        <w:t xml:space="preserve">, causing 786 deaths and 747 injuries. </w:t>
      </w:r>
      <w:r w:rsidRPr="004F4D2E">
        <w:rPr>
          <w:rFonts w:ascii="Times New Roman" w:eastAsia="Calibri" w:hAnsi="Times New Roman" w:cs="Times New Roman"/>
          <w:sz w:val="28"/>
          <w:szCs w:val="28"/>
          <w:lang w:val="en-US"/>
        </w:rPr>
        <w:t>Compared to the figures of the same period in 2025</w:t>
      </w:r>
      <w:r w:rsidRPr="004F4D2E">
        <w:rPr>
          <w:rFonts w:ascii="Times New Roman" w:hAnsi="Times New Roman" w:cs="Times New Roman"/>
          <w:sz w:val="28"/>
          <w:szCs w:val="28"/>
          <w:lang w:val="en-US"/>
        </w:rPr>
        <w:t xml:space="preserve">, </w:t>
      </w:r>
      <w:r w:rsidRPr="004F4D2E">
        <w:rPr>
          <w:rFonts w:ascii="Times New Roman" w:eastAsia="Calibri" w:hAnsi="Times New Roman" w:cs="Times New Roman"/>
          <w:sz w:val="28"/>
          <w:szCs w:val="28"/>
          <w:lang w:val="en-US"/>
        </w:rPr>
        <w:t>the number of accidents, deaths, and injuries decreased</w:t>
      </w:r>
      <w:r w:rsidRPr="004F4D2E">
        <w:rPr>
          <w:rFonts w:ascii="Times New Roman" w:hAnsi="Times New Roman" w:cs="Times New Roman"/>
          <w:sz w:val="28"/>
          <w:szCs w:val="28"/>
          <w:lang w:val="en-US"/>
        </w:rPr>
        <w:t xml:space="preserve"> by 15.1%, 12.6%, and 20.4%, respectively.</w:t>
      </w:r>
    </w:p>
    <w:p w14:paraId="2B2B1E3B" w14:textId="21853C2B" w:rsidR="00E03741" w:rsidRPr="004F4D2E" w:rsidRDefault="00E03741" w:rsidP="00E03741">
      <w:pPr>
        <w:tabs>
          <w:tab w:val="left" w:pos="567"/>
        </w:tabs>
        <w:spacing w:after="120" w:line="264" w:lineRule="auto"/>
        <w:ind w:firstLine="720"/>
        <w:jc w:val="both"/>
        <w:rPr>
          <w:rFonts w:ascii="Times New Roman" w:hAnsi="Times New Roman" w:cs="Times New Roman"/>
          <w:spacing w:val="-4"/>
          <w:sz w:val="28"/>
          <w:szCs w:val="28"/>
          <w:lang w:val="en-US"/>
        </w:rPr>
      </w:pPr>
      <w:r w:rsidRPr="004F4D2E">
        <w:rPr>
          <w:rFonts w:ascii="Times New Roman" w:hAnsi="Times New Roman" w:cs="Times New Roman"/>
          <w:spacing w:val="-4"/>
          <w:sz w:val="28"/>
          <w:szCs w:val="28"/>
          <w:lang w:val="en-US"/>
        </w:rPr>
        <w:t xml:space="preserve">In </w:t>
      </w:r>
      <w:r w:rsidR="002D0314">
        <w:rPr>
          <w:rFonts w:ascii="Times New Roman" w:hAnsi="Times New Roman" w:cs="Times New Roman"/>
          <w:spacing w:val="-4"/>
          <w:sz w:val="28"/>
          <w:szCs w:val="28"/>
          <w:lang w:val="en-US"/>
        </w:rPr>
        <w:t>the first half of</w:t>
      </w:r>
      <w:r w:rsidR="008426FA" w:rsidRPr="004F4D2E">
        <w:rPr>
          <w:rFonts w:ascii="Times New Roman" w:hAnsi="Times New Roman" w:cs="Times New Roman"/>
          <w:spacing w:val="-4"/>
          <w:sz w:val="28"/>
          <w:szCs w:val="28"/>
          <w:lang w:val="en-US"/>
        </w:rPr>
        <w:t xml:space="preserve"> 2026</w:t>
      </w:r>
      <w:r w:rsidRPr="004F4D2E">
        <w:rPr>
          <w:rFonts w:ascii="Times New Roman" w:hAnsi="Times New Roman" w:cs="Times New Roman"/>
          <w:spacing w:val="-4"/>
          <w:sz w:val="28"/>
          <w:szCs w:val="28"/>
          <w:lang w:val="en-US"/>
        </w:rPr>
        <w:t xml:space="preserve">, there were 7,755 </w:t>
      </w:r>
      <w:r w:rsidRPr="004F4D2E">
        <w:rPr>
          <w:rFonts w:ascii="Times New Roman" w:eastAsia="Calibri" w:hAnsi="Times New Roman" w:cs="Times New Roman"/>
          <w:sz w:val="28"/>
          <w:szCs w:val="28"/>
          <w:lang w:val="en-US"/>
        </w:rPr>
        <w:t>traffic accidents nationwide</w:t>
      </w:r>
      <w:r w:rsidR="000A7CC5" w:rsidRPr="004F4D2E">
        <w:rPr>
          <w:rFonts w:ascii="Times New Roman" w:hAnsi="Times New Roman" w:cs="Times New Roman"/>
          <w:spacing w:val="-4"/>
          <w:sz w:val="28"/>
          <w:szCs w:val="28"/>
          <w:lang w:val="en-US"/>
        </w:rPr>
        <w:t>, causing</w:t>
      </w:r>
      <w:r w:rsidRPr="004F4D2E">
        <w:rPr>
          <w:rFonts w:ascii="Times New Roman" w:eastAsia="Calibri" w:hAnsi="Times New Roman" w:cs="Times New Roman"/>
          <w:sz w:val="28"/>
          <w:szCs w:val="28"/>
          <w:lang w:val="en-US"/>
        </w:rPr>
        <w:t xml:space="preserve"> </w:t>
      </w:r>
      <w:r w:rsidRPr="004F4D2E">
        <w:rPr>
          <w:rFonts w:ascii="Times New Roman" w:hAnsi="Times New Roman" w:cs="Times New Roman"/>
          <w:spacing w:val="-4"/>
          <w:sz w:val="28"/>
          <w:szCs w:val="28"/>
          <w:lang w:val="en-US"/>
        </w:rPr>
        <w:t xml:space="preserve">4,832 deaths and 4,509 injuries. </w:t>
      </w:r>
      <w:r w:rsidRPr="004F4D2E">
        <w:rPr>
          <w:rFonts w:ascii="Times New Roman" w:eastAsia="Calibri" w:hAnsi="Times New Roman" w:cs="Times New Roman"/>
          <w:sz w:val="28"/>
          <w:szCs w:val="28"/>
          <w:lang w:val="en-US"/>
        </w:rPr>
        <w:t>Compared to the figures of the same period last year</w:t>
      </w:r>
      <w:r w:rsidRPr="004F4D2E">
        <w:rPr>
          <w:rFonts w:ascii="Times New Roman" w:hAnsi="Times New Roman" w:cs="Times New Roman"/>
          <w:spacing w:val="-4"/>
          <w:sz w:val="28"/>
          <w:szCs w:val="28"/>
          <w:lang w:val="en-US"/>
        </w:rPr>
        <w:t xml:space="preserve">, </w:t>
      </w:r>
      <w:r w:rsidRPr="004F4D2E">
        <w:rPr>
          <w:rFonts w:ascii="Times New Roman" w:eastAsia="Calibri" w:hAnsi="Times New Roman" w:cs="Times New Roman"/>
          <w:sz w:val="28"/>
          <w:szCs w:val="28"/>
          <w:lang w:val="en-US"/>
        </w:rPr>
        <w:t xml:space="preserve">the number of traffic accidents cases, deaths, and injuries decreased </w:t>
      </w:r>
      <w:r w:rsidRPr="004F4D2E">
        <w:rPr>
          <w:rFonts w:ascii="Times New Roman" w:hAnsi="Times New Roman" w:cs="Times New Roman"/>
          <w:spacing w:val="-4"/>
          <w:sz w:val="28"/>
          <w:szCs w:val="28"/>
          <w:lang w:val="en-US"/>
        </w:rPr>
        <w:t xml:space="preserve">by 17.6%, 9.3%, and 27.6 %, </w:t>
      </w:r>
      <w:r w:rsidRPr="004F4D2E">
        <w:rPr>
          <w:rFonts w:ascii="Times New Roman" w:hAnsi="Times New Roman" w:cs="Times New Roman"/>
          <w:sz w:val="28"/>
          <w:szCs w:val="28"/>
          <w:lang w:val="en-US"/>
        </w:rPr>
        <w:t>respectively</w:t>
      </w:r>
      <w:r w:rsidR="002D0314">
        <w:rPr>
          <w:rFonts w:ascii="Times New Roman" w:hAnsi="Times New Roman" w:cs="Times New Roman"/>
          <w:spacing w:val="-4"/>
          <w:sz w:val="28"/>
          <w:szCs w:val="28"/>
          <w:lang w:val="en-US"/>
        </w:rPr>
        <w:t>. On average, in the first half of</w:t>
      </w:r>
      <w:r w:rsidRPr="004F4D2E">
        <w:rPr>
          <w:rFonts w:ascii="Times New Roman" w:hAnsi="Times New Roman" w:cs="Times New Roman"/>
          <w:spacing w:val="-4"/>
          <w:sz w:val="28"/>
          <w:szCs w:val="28"/>
          <w:lang w:val="en-US"/>
        </w:rPr>
        <w:t xml:space="preserve"> </w:t>
      </w:r>
      <w:r w:rsidR="008426FA" w:rsidRPr="004F4D2E">
        <w:rPr>
          <w:rFonts w:ascii="Times New Roman" w:hAnsi="Times New Roman" w:cs="Times New Roman"/>
          <w:spacing w:val="-4"/>
          <w:sz w:val="28"/>
          <w:szCs w:val="28"/>
          <w:lang w:val="en-US"/>
        </w:rPr>
        <w:t>2026</w:t>
      </w:r>
      <w:r w:rsidRPr="004F4D2E">
        <w:rPr>
          <w:rFonts w:ascii="Times New Roman" w:hAnsi="Times New Roman" w:cs="Times New Roman"/>
          <w:spacing w:val="-4"/>
          <w:sz w:val="28"/>
          <w:szCs w:val="28"/>
          <w:lang w:val="en-US"/>
        </w:rPr>
        <w:t xml:space="preserve">, </w:t>
      </w:r>
      <w:r w:rsidRPr="004F4D2E">
        <w:rPr>
          <w:rFonts w:ascii="Times New Roman" w:eastAsia="Calibri" w:hAnsi="Times New Roman" w:cs="Times New Roman"/>
          <w:sz w:val="28"/>
          <w:szCs w:val="28"/>
          <w:lang w:val="en-US"/>
        </w:rPr>
        <w:t xml:space="preserve">there were </w:t>
      </w:r>
      <w:r w:rsidRPr="004F4D2E">
        <w:rPr>
          <w:rFonts w:ascii="Times New Roman" w:hAnsi="Times New Roman" w:cs="Times New Roman"/>
          <w:spacing w:val="-4"/>
          <w:sz w:val="28"/>
          <w:szCs w:val="28"/>
          <w:lang w:val="en-US"/>
        </w:rPr>
        <w:t xml:space="preserve">43 traffic </w:t>
      </w:r>
      <w:r w:rsidRPr="004F4D2E">
        <w:rPr>
          <w:rFonts w:ascii="Times New Roman" w:eastAsia="Calibri" w:hAnsi="Times New Roman" w:cs="Times New Roman"/>
          <w:sz w:val="28"/>
          <w:szCs w:val="28"/>
          <w:lang w:val="en-US"/>
        </w:rPr>
        <w:t xml:space="preserve">accidents occurred a day, causing </w:t>
      </w:r>
      <w:r w:rsidRPr="004F4D2E">
        <w:rPr>
          <w:rFonts w:ascii="Times New Roman" w:hAnsi="Times New Roman" w:cs="Times New Roman"/>
          <w:spacing w:val="-4"/>
          <w:sz w:val="28"/>
          <w:szCs w:val="28"/>
          <w:lang w:val="en-US"/>
        </w:rPr>
        <w:t>27 deaths and 25 injuries.</w:t>
      </w:r>
    </w:p>
    <w:p w14:paraId="30339972" w14:textId="77777777" w:rsidR="00E03741" w:rsidRPr="004F4D2E" w:rsidRDefault="00E03741" w:rsidP="00E03741">
      <w:pPr>
        <w:spacing w:beforeLines="40" w:before="96" w:afterLines="40" w:after="96" w:line="252" w:lineRule="auto"/>
        <w:ind w:firstLine="562"/>
        <w:jc w:val="both"/>
        <w:rPr>
          <w:rStyle w:val="normalchar"/>
          <w:rFonts w:ascii="Times New Roman" w:hAnsi="Times New Roman"/>
          <w:b/>
          <w:i/>
          <w:sz w:val="28"/>
          <w:szCs w:val="28"/>
          <w:lang w:val="en-US"/>
        </w:rPr>
      </w:pPr>
      <w:r w:rsidRPr="004F4D2E">
        <w:rPr>
          <w:rStyle w:val="normalchar"/>
          <w:rFonts w:ascii="Times New Roman" w:hAnsi="Times New Roman"/>
          <w:b/>
          <w:i/>
          <w:sz w:val="28"/>
          <w:szCs w:val="28"/>
          <w:lang w:val="en-US"/>
        </w:rPr>
        <w:t xml:space="preserve">7. </w:t>
      </w:r>
      <w:r w:rsidRPr="004F4D2E">
        <w:rPr>
          <w:rFonts w:ascii="Times New Roman" w:hAnsi="Times New Roman" w:cs="Times New Roman"/>
          <w:b/>
          <w:i/>
          <w:sz w:val="28"/>
          <w:szCs w:val="28"/>
          <w:lang w:val="en-US"/>
        </w:rPr>
        <w:t xml:space="preserve">Natural disasters, environmental pollution, fires and explosions had a significant impact on people’s lives in several localities </w:t>
      </w:r>
    </w:p>
    <w:p w14:paraId="4692865A" w14:textId="52374DCF" w:rsidR="00E03741" w:rsidRPr="004F4D2E" w:rsidRDefault="00E03741" w:rsidP="00E03741">
      <w:pPr>
        <w:pStyle w:val="Normal11"/>
        <w:spacing w:before="0" w:beforeAutospacing="0" w:after="120" w:afterAutospacing="0" w:line="264" w:lineRule="auto"/>
        <w:ind w:firstLine="720"/>
        <w:jc w:val="both"/>
        <w:rPr>
          <w:rFonts w:ascii="Times New Roman" w:hAnsi="Times New Roman" w:cs="Times New Roman"/>
          <w:sz w:val="28"/>
          <w:szCs w:val="28"/>
        </w:rPr>
      </w:pPr>
      <w:r w:rsidRPr="004F4D2E">
        <w:rPr>
          <w:rFonts w:ascii="Times New Roman" w:eastAsia="Calibri" w:hAnsi="Times New Roman" w:cs="Times New Roman"/>
          <w:i/>
          <w:sz w:val="28"/>
          <w:szCs w:val="28"/>
        </w:rPr>
        <w:lastRenderedPageBreak/>
        <w:t>Disaster-induced loss</w:t>
      </w:r>
      <w:r w:rsidRPr="004F4D2E">
        <w:rPr>
          <w:rStyle w:val="FootnoteReference"/>
          <w:rFonts w:ascii="Times New Roman" w:eastAsia="Calibri" w:hAnsi="Times New Roman"/>
          <w:bCs/>
          <w:sz w:val="28"/>
          <w:szCs w:val="28"/>
        </w:rPr>
        <w:footnoteReference w:id="34"/>
      </w:r>
      <w:r w:rsidRPr="004F4D2E">
        <w:rPr>
          <w:rFonts w:ascii="Times New Roman" w:eastAsia="Calibri" w:hAnsi="Times New Roman" w:cs="Times New Roman"/>
          <w:sz w:val="28"/>
          <w:szCs w:val="28"/>
        </w:rPr>
        <w:t xml:space="preserve">: </w:t>
      </w:r>
      <w:r w:rsidRPr="004F4D2E">
        <w:rPr>
          <w:rFonts w:ascii="Times New Roman" w:hAnsi="Times New Roman" w:cs="Times New Roman"/>
          <w:sz w:val="28"/>
          <w:szCs w:val="28"/>
        </w:rPr>
        <w:t xml:space="preserve">In </w:t>
      </w:r>
      <w:r w:rsidR="002D0314">
        <w:rPr>
          <w:rFonts w:ascii="Times New Roman" w:hAnsi="Times New Roman" w:cs="Times New Roman"/>
          <w:sz w:val="28"/>
          <w:szCs w:val="28"/>
        </w:rPr>
        <w:t>the first half of</w:t>
      </w:r>
      <w:r w:rsidR="008426FA" w:rsidRPr="004F4D2E">
        <w:rPr>
          <w:rFonts w:ascii="Times New Roman" w:hAnsi="Times New Roman" w:cs="Times New Roman"/>
          <w:sz w:val="28"/>
          <w:szCs w:val="28"/>
        </w:rPr>
        <w:t xml:space="preserve"> 2026</w:t>
      </w:r>
      <w:r w:rsidRPr="004F4D2E">
        <w:rPr>
          <w:rFonts w:ascii="Times New Roman" w:hAnsi="Times New Roman" w:cs="Times New Roman"/>
          <w:sz w:val="28"/>
          <w:szCs w:val="28"/>
        </w:rPr>
        <w:t xml:space="preserve">, natural disasters caused 28 deaths and missing persons, 65 injuries; damaged 31.9 thousands of hectares of rice and other crops; destroyed, swept away, or damaged more than 6,900 houses. The total property losses caused by natural disasters in </w:t>
      </w:r>
      <w:r w:rsidR="002D0314">
        <w:rPr>
          <w:rFonts w:ascii="Times New Roman" w:hAnsi="Times New Roman" w:cs="Times New Roman"/>
          <w:sz w:val="28"/>
          <w:szCs w:val="28"/>
        </w:rPr>
        <w:t>the first half of</w:t>
      </w:r>
      <w:r w:rsidR="008426FA" w:rsidRPr="004F4D2E">
        <w:rPr>
          <w:rFonts w:ascii="Times New Roman" w:hAnsi="Times New Roman" w:cs="Times New Roman"/>
          <w:sz w:val="28"/>
          <w:szCs w:val="28"/>
        </w:rPr>
        <w:t xml:space="preserve"> 2026</w:t>
      </w:r>
      <w:r w:rsidRPr="004F4D2E">
        <w:rPr>
          <w:rFonts w:ascii="Times New Roman" w:hAnsi="Times New Roman" w:cs="Times New Roman"/>
          <w:sz w:val="28"/>
          <w:szCs w:val="28"/>
        </w:rPr>
        <w:t xml:space="preserve"> were estimated at 1,123.1 billion VND, a </w:t>
      </w:r>
      <w:r w:rsidR="008426FA" w:rsidRPr="004F4D2E">
        <w:rPr>
          <w:rFonts w:ascii="Times New Roman" w:hAnsi="Times New Roman" w:cs="Times New Roman"/>
          <w:sz w:val="28"/>
          <w:szCs w:val="28"/>
        </w:rPr>
        <w:t>YoY</w:t>
      </w:r>
      <w:r w:rsidRPr="004F4D2E">
        <w:rPr>
          <w:rFonts w:ascii="Times New Roman" w:hAnsi="Times New Roman" w:cs="Times New Roman"/>
          <w:sz w:val="28"/>
          <w:szCs w:val="28"/>
        </w:rPr>
        <w:t xml:space="preserve"> decrease of 43.1%. Natural disasters in June caused 9 deaths and missing persons, 18 injuries; damaged nearly 777 hectares of rice and crops; destroyed, swept away, or damaged 728 houses; total property losses caused by natural disasters in the month was 184.3 billion VND, a </w:t>
      </w:r>
      <w:r w:rsidR="008426FA" w:rsidRPr="004F4D2E">
        <w:rPr>
          <w:rFonts w:ascii="Times New Roman" w:hAnsi="Times New Roman" w:cs="Times New Roman"/>
          <w:sz w:val="28"/>
          <w:szCs w:val="28"/>
        </w:rPr>
        <w:t>YoY</w:t>
      </w:r>
      <w:r w:rsidRPr="004F4D2E">
        <w:rPr>
          <w:rFonts w:ascii="Times New Roman" w:hAnsi="Times New Roman" w:cs="Times New Roman"/>
          <w:sz w:val="28"/>
          <w:szCs w:val="28"/>
        </w:rPr>
        <w:t xml:space="preserve"> decrease of 88.1%.</w:t>
      </w:r>
    </w:p>
    <w:p w14:paraId="7E38FFA9" w14:textId="6EEB81BA" w:rsidR="00E03741" w:rsidRPr="004F4D2E" w:rsidRDefault="00E03741" w:rsidP="00E03741">
      <w:pPr>
        <w:tabs>
          <w:tab w:val="left" w:pos="426"/>
          <w:tab w:val="left" w:pos="900"/>
        </w:tabs>
        <w:spacing w:after="0" w:line="252" w:lineRule="auto"/>
        <w:ind w:firstLine="720"/>
        <w:jc w:val="both"/>
        <w:rPr>
          <w:rFonts w:ascii="Times New Roman" w:eastAsia="Calibri" w:hAnsi="Times New Roman" w:cs="Times New Roman"/>
          <w:sz w:val="28"/>
          <w:szCs w:val="28"/>
          <w:lang w:val="en-US"/>
        </w:rPr>
      </w:pPr>
      <w:r w:rsidRPr="004F4D2E">
        <w:rPr>
          <w:rFonts w:ascii="Times New Roman" w:eastAsia="Calibri" w:hAnsi="Times New Roman" w:cs="Times New Roman"/>
          <w:i/>
          <w:sz w:val="28"/>
          <w:szCs w:val="28"/>
          <w:lang w:val="en-US"/>
        </w:rPr>
        <w:t>Environmental protection</w:t>
      </w:r>
      <w:r w:rsidRPr="004F4D2E">
        <w:rPr>
          <w:rStyle w:val="FootnoteReference"/>
          <w:rFonts w:ascii="Times New Roman" w:eastAsia="Calibri" w:hAnsi="Times New Roman"/>
          <w:sz w:val="28"/>
          <w:szCs w:val="28"/>
          <w:lang w:val="en-US"/>
        </w:rPr>
        <w:footnoteReference w:id="35"/>
      </w:r>
      <w:r w:rsidRPr="004F4D2E">
        <w:rPr>
          <w:rFonts w:ascii="Times New Roman" w:eastAsia="Calibri" w:hAnsi="Times New Roman" w:cs="Times New Roman"/>
          <w:sz w:val="28"/>
          <w:szCs w:val="28"/>
          <w:lang w:val="en-US"/>
        </w:rPr>
        <w:t xml:space="preserve">: in </w:t>
      </w:r>
      <w:r w:rsidR="002D0314">
        <w:rPr>
          <w:rFonts w:ascii="Times New Roman" w:eastAsia="Calibri" w:hAnsi="Times New Roman" w:cs="Times New Roman"/>
          <w:sz w:val="28"/>
          <w:szCs w:val="28"/>
          <w:lang w:val="en-US"/>
        </w:rPr>
        <w:t>the first half of</w:t>
      </w:r>
      <w:r w:rsidR="008426FA" w:rsidRPr="004F4D2E">
        <w:rPr>
          <w:rFonts w:ascii="Times New Roman" w:eastAsia="Calibri" w:hAnsi="Times New Roman" w:cs="Times New Roman"/>
          <w:sz w:val="28"/>
          <w:szCs w:val="28"/>
          <w:lang w:val="en-US"/>
        </w:rPr>
        <w:t xml:space="preserve"> 2026</w:t>
      </w:r>
      <w:r w:rsidRPr="004F4D2E">
        <w:rPr>
          <w:rFonts w:ascii="Times New Roman" w:eastAsia="Calibri" w:hAnsi="Times New Roman" w:cs="Times New Roman"/>
          <w:sz w:val="28"/>
          <w:szCs w:val="28"/>
          <w:lang w:val="en-US"/>
        </w:rPr>
        <w:t xml:space="preserve">, authorities detected 9,640 cases of environmental violations, </w:t>
      </w:r>
      <w:r w:rsidRPr="004F4D2E">
        <w:rPr>
          <w:rFonts w:ascii="Times New Roman" w:hAnsi="Times New Roman" w:cs="Times New Roman"/>
          <w:sz w:val="28"/>
          <w:szCs w:val="28"/>
          <w:lang w:val="en-US"/>
        </w:rPr>
        <w:t xml:space="preserve">of which, </w:t>
      </w:r>
      <w:r w:rsidRPr="004F4D2E">
        <w:rPr>
          <w:rFonts w:ascii="Times New Roman" w:eastAsia="Calibri" w:hAnsi="Times New Roman" w:cs="Times New Roman"/>
          <w:sz w:val="28"/>
          <w:szCs w:val="28"/>
          <w:lang w:val="en-US"/>
        </w:rPr>
        <w:t xml:space="preserve">7,824 cases were </w:t>
      </w:r>
      <w:r w:rsidRPr="004F4D2E">
        <w:rPr>
          <w:rFonts w:ascii="Times New Roman" w:hAnsi="Times New Roman" w:cs="Times New Roman"/>
          <w:sz w:val="28"/>
          <w:szCs w:val="28"/>
          <w:lang w:val="en-US"/>
        </w:rPr>
        <w:t>addressed</w:t>
      </w:r>
      <w:r w:rsidRPr="004F4D2E">
        <w:rPr>
          <w:rFonts w:ascii="Times New Roman" w:eastAsia="Calibri" w:hAnsi="Times New Roman" w:cs="Times New Roman"/>
          <w:sz w:val="28"/>
          <w:szCs w:val="28"/>
          <w:lang w:val="en-US"/>
        </w:rPr>
        <w:t xml:space="preserve"> with total fines of 144.5 billion VND, representing a </w:t>
      </w:r>
      <w:r w:rsidR="008426FA" w:rsidRPr="004F4D2E">
        <w:rPr>
          <w:rFonts w:ascii="Times New Roman" w:eastAsia="Calibri" w:hAnsi="Times New Roman" w:cs="Times New Roman"/>
          <w:sz w:val="28"/>
          <w:szCs w:val="28"/>
          <w:lang w:val="en-US"/>
        </w:rPr>
        <w:t>YoY</w:t>
      </w:r>
      <w:r w:rsidRPr="004F4D2E">
        <w:rPr>
          <w:rFonts w:ascii="Times New Roman" w:eastAsia="Calibri" w:hAnsi="Times New Roman" w:cs="Times New Roman"/>
          <w:sz w:val="28"/>
          <w:szCs w:val="28"/>
          <w:lang w:val="en-US"/>
        </w:rPr>
        <w:t xml:space="preserve"> increase of 25.0%.</w:t>
      </w:r>
    </w:p>
    <w:p w14:paraId="6BB4F5D8" w14:textId="5CB5CC1F" w:rsidR="00E03741" w:rsidRPr="004F4D2E" w:rsidRDefault="00E03741" w:rsidP="00E03741">
      <w:pPr>
        <w:tabs>
          <w:tab w:val="left" w:pos="426"/>
          <w:tab w:val="left" w:pos="900"/>
        </w:tabs>
        <w:spacing w:after="120" w:line="264" w:lineRule="auto"/>
        <w:ind w:firstLine="720"/>
        <w:jc w:val="both"/>
        <w:rPr>
          <w:rFonts w:ascii="Times New Roman" w:eastAsia="Calibri" w:hAnsi="Times New Roman" w:cs="Times New Roman"/>
          <w:spacing w:val="-2"/>
          <w:sz w:val="28"/>
          <w:szCs w:val="28"/>
          <w:lang w:val="en-US"/>
        </w:rPr>
      </w:pPr>
      <w:r w:rsidRPr="004F4D2E">
        <w:rPr>
          <w:rFonts w:ascii="Times New Roman" w:eastAsia="Calibri" w:hAnsi="Times New Roman" w:cs="Times New Roman"/>
          <w:i/>
          <w:sz w:val="28"/>
          <w:szCs w:val="28"/>
          <w:lang w:val="en-US"/>
        </w:rPr>
        <w:t>Fire and explosion</w:t>
      </w:r>
      <w:r w:rsidRPr="004F4D2E">
        <w:rPr>
          <w:rStyle w:val="FootnoteReference"/>
          <w:rFonts w:ascii="Times New Roman" w:eastAsia="Calibri" w:hAnsi="Times New Roman"/>
          <w:spacing w:val="-4"/>
          <w:sz w:val="28"/>
          <w:szCs w:val="28"/>
          <w:lang w:val="en-US"/>
        </w:rPr>
        <w:footnoteReference w:id="36"/>
      </w:r>
      <w:r w:rsidRPr="004F4D2E">
        <w:rPr>
          <w:rFonts w:ascii="Times New Roman" w:eastAsia="Calibri" w:hAnsi="Times New Roman" w:cs="Times New Roman"/>
          <w:sz w:val="28"/>
          <w:szCs w:val="28"/>
          <w:lang w:val="en-US"/>
        </w:rPr>
        <w:t xml:space="preserve">: </w:t>
      </w:r>
      <w:r w:rsidRPr="004F4D2E">
        <w:rPr>
          <w:rFonts w:ascii="Times New Roman" w:eastAsia="Calibri" w:hAnsi="Times New Roman" w:cs="Times New Roman"/>
          <w:spacing w:val="-2"/>
          <w:sz w:val="28"/>
          <w:szCs w:val="28"/>
          <w:lang w:val="en-US"/>
        </w:rPr>
        <w:t>During the month (from May 15</w:t>
      </w:r>
      <w:r w:rsidRPr="004F4D2E">
        <w:rPr>
          <w:rFonts w:ascii="Times New Roman" w:eastAsia="Calibri" w:hAnsi="Times New Roman" w:cs="Times New Roman"/>
          <w:spacing w:val="-2"/>
          <w:sz w:val="28"/>
          <w:szCs w:val="28"/>
          <w:vertAlign w:val="superscript"/>
          <w:lang w:val="en-US"/>
        </w:rPr>
        <w:t>th</w:t>
      </w:r>
      <w:r w:rsidRPr="004F4D2E">
        <w:rPr>
          <w:rFonts w:ascii="Times New Roman" w:eastAsia="Calibri" w:hAnsi="Times New Roman" w:cs="Times New Roman"/>
          <w:spacing w:val="-2"/>
          <w:sz w:val="28"/>
          <w:szCs w:val="28"/>
          <w:lang w:val="en-US"/>
        </w:rPr>
        <w:t xml:space="preserve"> to June 14</w:t>
      </w:r>
      <w:r w:rsidRPr="004F4D2E">
        <w:rPr>
          <w:rFonts w:ascii="Times New Roman" w:eastAsia="Calibri" w:hAnsi="Times New Roman" w:cs="Times New Roman"/>
          <w:spacing w:val="-2"/>
          <w:sz w:val="28"/>
          <w:szCs w:val="28"/>
          <w:vertAlign w:val="superscript"/>
          <w:lang w:val="en-US"/>
        </w:rPr>
        <w:t>th</w:t>
      </w:r>
      <w:r w:rsidRPr="004F4D2E">
        <w:rPr>
          <w:rFonts w:ascii="Times New Roman" w:eastAsia="Calibri" w:hAnsi="Times New Roman" w:cs="Times New Roman"/>
          <w:spacing w:val="-2"/>
          <w:sz w:val="28"/>
          <w:szCs w:val="28"/>
          <w:lang w:val="en-US"/>
        </w:rPr>
        <w:t xml:space="preserve">, 2026), 272 cases of fire and explosion occurred nationwide, </w:t>
      </w:r>
      <w:r w:rsidRPr="004F4D2E">
        <w:rPr>
          <w:rFonts w:ascii="Times New Roman" w:eastAsia="Calibri" w:hAnsi="Times New Roman" w:cs="Times New Roman"/>
          <w:sz w:val="28"/>
          <w:szCs w:val="28"/>
          <w:lang w:val="en-US"/>
        </w:rPr>
        <w:t xml:space="preserve">causing </w:t>
      </w:r>
      <w:r w:rsidRPr="004F4D2E">
        <w:rPr>
          <w:rFonts w:ascii="Times New Roman" w:eastAsia="Calibri" w:hAnsi="Times New Roman" w:cs="Times New Roman"/>
          <w:spacing w:val="-2"/>
          <w:sz w:val="28"/>
          <w:szCs w:val="28"/>
          <w:lang w:val="en-US"/>
        </w:rPr>
        <w:t xml:space="preserve">4 deaths and 8 injuries, with an estimated </w:t>
      </w:r>
      <w:r w:rsidRPr="004F4D2E">
        <w:rPr>
          <w:rFonts w:ascii="Times New Roman" w:eastAsia="Calibri" w:hAnsi="Times New Roman" w:cs="Times New Roman"/>
          <w:sz w:val="28"/>
          <w:szCs w:val="28"/>
          <w:lang w:val="en-US"/>
        </w:rPr>
        <w:t>losses</w:t>
      </w:r>
      <w:r w:rsidRPr="004F4D2E">
        <w:rPr>
          <w:rFonts w:ascii="Times New Roman" w:eastAsia="Calibri" w:hAnsi="Times New Roman" w:cs="Times New Roman"/>
          <w:spacing w:val="-2"/>
          <w:sz w:val="28"/>
          <w:szCs w:val="28"/>
          <w:lang w:val="en-US"/>
        </w:rPr>
        <w:t xml:space="preserve"> of 186.6 billion VND, nearly 2.8 times higher than the previous month and nearly 8.2 times higher than the same period last year. Overall, in </w:t>
      </w:r>
      <w:r w:rsidR="002D0314">
        <w:rPr>
          <w:rFonts w:ascii="Times New Roman" w:eastAsia="Calibri" w:hAnsi="Times New Roman" w:cs="Times New Roman"/>
          <w:spacing w:val="-2"/>
          <w:sz w:val="28"/>
          <w:szCs w:val="28"/>
          <w:lang w:val="en-US"/>
        </w:rPr>
        <w:t>the first half of</w:t>
      </w:r>
      <w:r w:rsidR="008426FA" w:rsidRPr="004F4D2E">
        <w:rPr>
          <w:rFonts w:ascii="Times New Roman" w:eastAsia="Calibri" w:hAnsi="Times New Roman" w:cs="Times New Roman"/>
          <w:spacing w:val="-2"/>
          <w:sz w:val="28"/>
          <w:szCs w:val="28"/>
          <w:lang w:val="en-US"/>
        </w:rPr>
        <w:t xml:space="preserve"> 2026</w:t>
      </w:r>
      <w:r w:rsidRPr="004F4D2E">
        <w:rPr>
          <w:rFonts w:ascii="Times New Roman" w:eastAsia="Calibri" w:hAnsi="Times New Roman" w:cs="Times New Roman"/>
          <w:spacing w:val="-2"/>
          <w:sz w:val="28"/>
          <w:szCs w:val="28"/>
          <w:lang w:val="en-US"/>
        </w:rPr>
        <w:t xml:space="preserve">, there were 1,517 cases of fire and explosion nationwide, causing 54 deaths and 69 injuries, with estimated damages of 534.5 billion VND, </w:t>
      </w:r>
      <w:r w:rsidRPr="004F4D2E">
        <w:rPr>
          <w:rFonts w:ascii="Times New Roman" w:eastAsia="Calibri" w:hAnsi="Times New Roman" w:cs="Times New Roman"/>
          <w:sz w:val="28"/>
          <w:szCs w:val="28"/>
          <w:lang w:val="en-US"/>
        </w:rPr>
        <w:t xml:space="preserve">representing a </w:t>
      </w:r>
      <w:r w:rsidR="008426FA" w:rsidRPr="004F4D2E">
        <w:rPr>
          <w:rFonts w:ascii="Times New Roman" w:eastAsia="Calibri" w:hAnsi="Times New Roman" w:cs="Times New Roman"/>
          <w:sz w:val="28"/>
          <w:szCs w:val="28"/>
          <w:lang w:val="en-US"/>
        </w:rPr>
        <w:t>YoY</w:t>
      </w:r>
      <w:r w:rsidRPr="004F4D2E">
        <w:rPr>
          <w:rFonts w:ascii="Times New Roman" w:eastAsia="Calibri" w:hAnsi="Times New Roman" w:cs="Times New Roman"/>
          <w:sz w:val="28"/>
          <w:szCs w:val="28"/>
          <w:lang w:val="en-US"/>
        </w:rPr>
        <w:t xml:space="preserve"> </w:t>
      </w:r>
      <w:r w:rsidRPr="004F4D2E">
        <w:rPr>
          <w:rFonts w:ascii="Times New Roman" w:eastAsia="Calibri" w:hAnsi="Times New Roman" w:cs="Times New Roman"/>
          <w:spacing w:val="-2"/>
          <w:sz w:val="28"/>
          <w:szCs w:val="28"/>
          <w:lang w:val="en-US"/>
        </w:rPr>
        <w:t xml:space="preserve">increase of 98.9%. </w:t>
      </w:r>
    </w:p>
    <w:p w14:paraId="753ED47C" w14:textId="18485EA0" w:rsidR="00097926" w:rsidRPr="004F4D2E" w:rsidRDefault="00E03741" w:rsidP="00E03741">
      <w:pPr>
        <w:spacing w:beforeLines="40" w:before="96" w:afterLines="40" w:after="96" w:line="269" w:lineRule="auto"/>
        <w:ind w:firstLine="567"/>
        <w:jc w:val="center"/>
        <w:rPr>
          <w:rFonts w:ascii="Times New Roman" w:hAnsi="Times New Roman" w:cs="Times New Roman"/>
          <w:i/>
          <w:color w:val="000000" w:themeColor="text1"/>
          <w:sz w:val="28"/>
          <w:szCs w:val="28"/>
          <w:lang w:val="en-US"/>
        </w:rPr>
      </w:pPr>
      <w:r w:rsidRPr="004F4D2E">
        <w:rPr>
          <w:rFonts w:ascii="Times New Roman" w:hAnsi="Times New Roman" w:cs="Times New Roman"/>
          <w:b/>
          <w:color w:val="000000" w:themeColor="text1"/>
          <w:sz w:val="28"/>
          <w:szCs w:val="28"/>
          <w:lang w:val="en-US"/>
        </w:rPr>
        <w:t xml:space="preserve">                              NATIONAL STATISTICS OFFICE OF VIET NAM</w:t>
      </w:r>
    </w:p>
    <w:sectPr w:rsidR="00097926" w:rsidRPr="004F4D2E"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81D28" w14:textId="77777777" w:rsidR="00CF7CEB" w:rsidRDefault="00CF7CEB" w:rsidP="00140F6C">
      <w:pPr>
        <w:spacing w:after="0" w:line="240" w:lineRule="auto"/>
        <w:rPr>
          <w:rFonts w:cs="Times New Roman"/>
        </w:rPr>
      </w:pPr>
      <w:r>
        <w:rPr>
          <w:rFonts w:cs="Times New Roman"/>
        </w:rPr>
        <w:separator/>
      </w:r>
    </w:p>
  </w:endnote>
  <w:endnote w:type="continuationSeparator" w:id="0">
    <w:p w14:paraId="5A21BD37" w14:textId="77777777" w:rsidR="00CF7CEB" w:rsidRDefault="00CF7CEB"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7AB90" w14:textId="77777777" w:rsidR="00FA1B36" w:rsidRPr="0061177B" w:rsidRDefault="00FA1B36" w:rsidP="006B1758">
    <w:pPr>
      <w:pStyle w:val="Footer"/>
      <w:ind w:right="360"/>
      <w:rPr>
        <w:rFonts w:cs="Times New Roman"/>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24CD1" w14:textId="77777777" w:rsidR="00CF7CEB" w:rsidRDefault="00CF7CEB" w:rsidP="00140F6C">
      <w:pPr>
        <w:spacing w:after="0" w:line="240" w:lineRule="auto"/>
        <w:rPr>
          <w:rFonts w:cs="Times New Roman"/>
        </w:rPr>
      </w:pPr>
      <w:r>
        <w:rPr>
          <w:rFonts w:cs="Times New Roman"/>
        </w:rPr>
        <w:separator/>
      </w:r>
    </w:p>
  </w:footnote>
  <w:footnote w:type="continuationSeparator" w:id="0">
    <w:p w14:paraId="788A681A" w14:textId="77777777" w:rsidR="00CF7CEB" w:rsidRDefault="00CF7CEB" w:rsidP="00140F6C">
      <w:pPr>
        <w:spacing w:after="0" w:line="240" w:lineRule="auto"/>
        <w:rPr>
          <w:rFonts w:cs="Times New Roman"/>
        </w:rPr>
      </w:pPr>
      <w:r>
        <w:rPr>
          <w:rFonts w:cs="Times New Roman"/>
        </w:rPr>
        <w:continuationSeparator/>
      </w:r>
    </w:p>
  </w:footnote>
  <w:footnote w:id="1">
    <w:p w14:paraId="462714D6" w14:textId="4297B500" w:rsidR="00FA1B36" w:rsidRPr="004F4D2E" w:rsidRDefault="00FA1B36" w:rsidP="004F358C">
      <w:pPr>
        <w:pStyle w:val="FootnoteText"/>
        <w:ind w:left="198" w:hanging="198"/>
        <w:jc w:val="both"/>
        <w:rPr>
          <w:rFonts w:ascii="Times New Roman" w:hAnsi="Times New Roman" w:cs="Times New Roman"/>
          <w:lang w:val="en-US"/>
        </w:rPr>
      </w:pPr>
      <w:r w:rsidRPr="00C02868">
        <w:rPr>
          <w:rStyle w:val="FootnoteReference"/>
          <w:rFonts w:ascii="Times New Roman" w:hAnsi="Times New Roman"/>
        </w:rPr>
        <w:footnoteRef/>
      </w:r>
      <w:r w:rsidRPr="00C02868">
        <w:rPr>
          <w:rFonts w:ascii="Times New Roman" w:hAnsi="Times New Roman" w:cs="Times New Roman"/>
        </w:rPr>
        <w:t xml:space="preserve"> </w:t>
      </w:r>
      <w:r w:rsidR="00B72D47" w:rsidRPr="00B72D47">
        <w:rPr>
          <w:rFonts w:ascii="Times New Roman" w:hAnsi="Times New Roman" w:cs="Times New Roman"/>
        </w:rPr>
        <w:t xml:space="preserve">Press </w:t>
      </w:r>
      <w:r w:rsidR="00B72D47" w:rsidRPr="004F4D2E">
        <w:rPr>
          <w:rFonts w:ascii="Times New Roman" w:hAnsi="Times New Roman" w:cs="Times New Roman"/>
          <w:lang w:val="en-US"/>
        </w:rPr>
        <w:t>releases and Infographics on the socio-economic situation in the second quarter of 2026 were published on the website of the National Statistics Office (</w:t>
      </w:r>
      <w:hyperlink r:id="rId1" w:history="1">
        <w:r w:rsidR="00B72D47" w:rsidRPr="004F4D2E">
          <w:rPr>
            <w:rStyle w:val="Hyperlink"/>
            <w:rFonts w:ascii="Times New Roman" w:hAnsi="Times New Roman" w:cs="Times New Roman"/>
            <w:lang w:val="en-US"/>
          </w:rPr>
          <w:t>https://www.nso.gov.vn</w:t>
        </w:r>
      </w:hyperlink>
      <w:r w:rsidR="00B72D47" w:rsidRPr="004F4D2E">
        <w:rPr>
          <w:rFonts w:ascii="Times New Roman" w:hAnsi="Times New Roman" w:cs="Times New Roman"/>
          <w:lang w:val="en-US"/>
        </w:rPr>
        <w:t>)</w:t>
      </w:r>
      <w:r w:rsidRPr="004F4D2E">
        <w:rPr>
          <w:rFonts w:ascii="Times New Roman" w:hAnsi="Times New Roman" w:cs="Times New Roman"/>
          <w:lang w:val="en-US"/>
        </w:rPr>
        <w:t>.</w:t>
      </w:r>
    </w:p>
  </w:footnote>
  <w:footnote w:id="2">
    <w:p w14:paraId="1ADD51AC" w14:textId="77777777" w:rsidR="007814C7" w:rsidRPr="004F4D2E" w:rsidRDefault="007814C7" w:rsidP="007814C7">
      <w:pPr>
        <w:pStyle w:val="FootnoteText"/>
        <w:spacing w:after="40"/>
        <w:ind w:left="142" w:hanging="142"/>
        <w:jc w:val="both"/>
        <w:rPr>
          <w:rFonts w:ascii="Times New Roman" w:hAnsi="Times New Roman" w:cs="Times New Roman"/>
          <w:lang w:val="en-US"/>
        </w:rPr>
      </w:pPr>
      <w:r w:rsidRPr="004F4D2E">
        <w:rPr>
          <w:rStyle w:val="FootnoteReference"/>
          <w:rFonts w:ascii="Times New Roman" w:hAnsi="Times New Roman"/>
          <w:lang w:val="en-US"/>
        </w:rPr>
        <w:footnoteRef/>
      </w:r>
      <w:r w:rsidRPr="004F4D2E">
        <w:rPr>
          <w:rFonts w:ascii="Times New Roman" w:hAnsi="Times New Roman" w:cs="Times New Roman"/>
          <w:lang w:val="en-US"/>
        </w:rPr>
        <w:t xml:space="preserve"> IMF (April 2026), “World Economic Outlook: Global economy in the shadow of war”, </w:t>
      </w:r>
      <w:r w:rsidRPr="004F4D2E">
        <w:rPr>
          <w:rStyle w:val="Hyperlink"/>
          <w:rFonts w:ascii="Times New Roman" w:hAnsi="Times New Roman" w:cs="Times New Roman"/>
          <w:color w:val="auto"/>
          <w:lang w:val="en-US"/>
        </w:rPr>
        <w:t>https://www.imf.org/en/publications/weo/issues/2026/04/14/world-economic-outlook-april-2026</w:t>
      </w:r>
      <w:r w:rsidRPr="004F4D2E">
        <w:rPr>
          <w:rFonts w:ascii="Times New Roman" w:hAnsi="Times New Roman" w:cs="Times New Roman"/>
          <w:lang w:val="en-US"/>
        </w:rPr>
        <w:t xml:space="preserve">, accessed 25 June 2026. </w:t>
      </w:r>
    </w:p>
  </w:footnote>
  <w:footnote w:id="3">
    <w:p w14:paraId="379300E3" w14:textId="77777777" w:rsidR="007814C7" w:rsidRPr="004F4D2E" w:rsidRDefault="007814C7" w:rsidP="007814C7">
      <w:pPr>
        <w:pStyle w:val="FootnoteText"/>
        <w:spacing w:after="40"/>
        <w:ind w:left="142" w:hanging="142"/>
        <w:jc w:val="both"/>
        <w:rPr>
          <w:rFonts w:ascii="Times New Roman" w:hAnsi="Times New Roman" w:cs="Times New Roman"/>
          <w:lang w:val="en-US"/>
        </w:rPr>
      </w:pPr>
      <w:r w:rsidRPr="004F4D2E">
        <w:rPr>
          <w:rStyle w:val="FootnoteReference"/>
          <w:rFonts w:ascii="Times New Roman" w:hAnsi="Times New Roman"/>
          <w:lang w:val="en-US"/>
        </w:rPr>
        <w:footnoteRef/>
      </w:r>
      <w:r w:rsidRPr="004F4D2E">
        <w:rPr>
          <w:rFonts w:ascii="Times New Roman" w:hAnsi="Times New Roman" w:cs="Times New Roman"/>
          <w:lang w:val="en-US"/>
        </w:rPr>
        <w:t xml:space="preserve"> UN (May 2026), “World Economic Situation and Prospects 2026, Mid-year update”, </w:t>
      </w:r>
      <w:r w:rsidRPr="004F4D2E">
        <w:rPr>
          <w:rStyle w:val="Hyperlink"/>
          <w:rFonts w:ascii="Times New Roman" w:hAnsi="Times New Roman" w:cs="Times New Roman"/>
          <w:color w:val="auto"/>
          <w:lang w:val="en-US"/>
        </w:rPr>
        <w:t>https://desapublications.un.org/publications/world-economic-situation-and-prospects-mid-2026</w:t>
      </w:r>
      <w:r w:rsidRPr="004F4D2E">
        <w:rPr>
          <w:rFonts w:ascii="Times New Roman" w:hAnsi="Times New Roman" w:cs="Times New Roman"/>
          <w:lang w:val="en-US"/>
        </w:rPr>
        <w:t>, accessed 25 June 2026.</w:t>
      </w:r>
    </w:p>
  </w:footnote>
  <w:footnote w:id="4">
    <w:p w14:paraId="1D95D04B" w14:textId="77777777" w:rsidR="007814C7" w:rsidRPr="004F4D2E" w:rsidRDefault="007814C7" w:rsidP="007814C7">
      <w:pPr>
        <w:pStyle w:val="FootnoteText"/>
        <w:spacing w:after="40"/>
        <w:ind w:left="142" w:hanging="142"/>
        <w:jc w:val="both"/>
        <w:rPr>
          <w:rFonts w:ascii="Times New Roman" w:hAnsi="Times New Roman" w:cs="Times New Roman"/>
          <w:lang w:val="en-US"/>
        </w:rPr>
      </w:pPr>
      <w:r w:rsidRPr="004F4D2E">
        <w:rPr>
          <w:rStyle w:val="FootnoteReference"/>
          <w:rFonts w:ascii="Times New Roman" w:hAnsi="Times New Roman"/>
          <w:lang w:val="en-US"/>
        </w:rPr>
        <w:footnoteRef/>
      </w:r>
      <w:r w:rsidRPr="004F4D2E">
        <w:rPr>
          <w:rFonts w:ascii="Times New Roman" w:hAnsi="Times New Roman" w:cs="Times New Roman"/>
          <w:lang w:val="en-US"/>
        </w:rPr>
        <w:t xml:space="preserve"> FR (June 2026), “Global Economic Outlook - June 2026: Growth despite geopolitical uncertainties”, </w:t>
      </w:r>
      <w:r w:rsidRPr="004F4D2E">
        <w:rPr>
          <w:rStyle w:val="Hyperlink"/>
          <w:rFonts w:ascii="Times New Roman" w:hAnsi="Times New Roman" w:cs="Times New Roman"/>
          <w:color w:val="auto"/>
          <w:lang w:val="en-US"/>
        </w:rPr>
        <w:t>https://www.fitchratings.com/research/sovereigns/global-economic-outlook-june-2026-04-06-2026</w:t>
      </w:r>
      <w:r w:rsidRPr="004F4D2E">
        <w:rPr>
          <w:rFonts w:ascii="Times New Roman" w:hAnsi="Times New Roman" w:cs="Times New Roman"/>
          <w:lang w:val="en-US"/>
        </w:rPr>
        <w:t xml:space="preserve">, </w:t>
      </w:r>
      <w:r w:rsidRPr="004F4D2E">
        <w:rPr>
          <w:rFonts w:ascii="Times New Roman" w:hAnsi="Times New Roman" w:cs="Times New Roman"/>
          <w:lang w:val="en-US"/>
        </w:rPr>
        <w:br/>
        <w:t>accessed 25 June 2026.</w:t>
      </w:r>
    </w:p>
  </w:footnote>
  <w:footnote w:id="5">
    <w:p w14:paraId="1764A032" w14:textId="77777777" w:rsidR="007814C7" w:rsidRPr="004F4D2E" w:rsidRDefault="007814C7" w:rsidP="007814C7">
      <w:pPr>
        <w:pStyle w:val="FootnoteText"/>
        <w:spacing w:after="40"/>
        <w:ind w:left="142" w:hanging="142"/>
        <w:jc w:val="both"/>
        <w:rPr>
          <w:rFonts w:ascii="Times New Roman" w:hAnsi="Times New Roman" w:cs="Times New Roman"/>
          <w:lang w:val="en-US"/>
        </w:rPr>
      </w:pPr>
      <w:r w:rsidRPr="004F4D2E">
        <w:rPr>
          <w:rStyle w:val="FootnoteReference"/>
          <w:rFonts w:ascii="Times New Roman" w:hAnsi="Times New Roman"/>
          <w:lang w:val="en-US"/>
        </w:rPr>
        <w:footnoteRef/>
      </w:r>
      <w:r w:rsidRPr="004F4D2E">
        <w:rPr>
          <w:rFonts w:ascii="Times New Roman" w:hAnsi="Times New Roman" w:cs="Times New Roman"/>
          <w:lang w:val="en-US"/>
        </w:rPr>
        <w:t xml:space="preserve"> OECD (June 2026), “OECD Economic Outlook: Under Pressure”, </w:t>
      </w:r>
      <w:r w:rsidRPr="004F4D2E">
        <w:rPr>
          <w:rStyle w:val="Hyperlink"/>
          <w:rFonts w:ascii="Times New Roman" w:hAnsi="Times New Roman" w:cs="Times New Roman"/>
          <w:color w:val="auto"/>
          <w:spacing w:val="-6"/>
          <w:lang w:val="en-US"/>
        </w:rPr>
        <w:t>https://www.oecd.org/en/publications/oecd-economic-outlook-volume-2026-issue-1_2d1956f0-en.html</w:t>
      </w:r>
      <w:r w:rsidRPr="004F4D2E">
        <w:rPr>
          <w:rFonts w:ascii="Times New Roman" w:hAnsi="Times New Roman" w:cs="Times New Roman"/>
          <w:spacing w:val="-6"/>
          <w:lang w:val="en-US"/>
        </w:rPr>
        <w:t xml:space="preserve">, </w:t>
      </w:r>
      <w:r w:rsidRPr="004F4D2E">
        <w:rPr>
          <w:rFonts w:ascii="Times New Roman" w:hAnsi="Times New Roman" w:cs="Times New Roman"/>
          <w:lang w:val="en-US"/>
        </w:rPr>
        <w:t xml:space="preserve">accessed 25 June 2026. </w:t>
      </w:r>
    </w:p>
  </w:footnote>
  <w:footnote w:id="6">
    <w:p w14:paraId="0A625491" w14:textId="77777777" w:rsidR="007814C7" w:rsidRPr="004F4D2E" w:rsidRDefault="007814C7" w:rsidP="007814C7">
      <w:pPr>
        <w:pStyle w:val="FootnoteText"/>
        <w:spacing w:after="40"/>
        <w:ind w:left="142" w:hanging="142"/>
        <w:jc w:val="both"/>
        <w:rPr>
          <w:rFonts w:ascii="Times New Roman" w:hAnsi="Times New Roman" w:cs="Times New Roman"/>
          <w:lang w:val="en-US"/>
        </w:rPr>
      </w:pPr>
      <w:r w:rsidRPr="004F4D2E">
        <w:rPr>
          <w:rStyle w:val="FootnoteReference"/>
          <w:rFonts w:ascii="Times New Roman" w:hAnsi="Times New Roman"/>
          <w:lang w:val="en-US"/>
        </w:rPr>
        <w:footnoteRef/>
      </w:r>
      <w:r w:rsidRPr="004F4D2E">
        <w:rPr>
          <w:rFonts w:ascii="Times New Roman" w:hAnsi="Times New Roman" w:cs="Times New Roman"/>
          <w:lang w:val="en-US"/>
        </w:rPr>
        <w:t xml:space="preserve"> WB (June 2026), “Global Economic Prospects: </w:t>
      </w:r>
      <w:r w:rsidRPr="004F4D2E">
        <w:rPr>
          <w:rStyle w:val="rynqvb"/>
          <w:rFonts w:ascii="Times New Roman" w:hAnsi="Times New Roman" w:cs="Times New Roman"/>
          <w:lang w:val="en-US"/>
        </w:rPr>
        <w:t>Navigating a Cloudy Outlook</w:t>
      </w:r>
      <w:r w:rsidRPr="004F4D2E">
        <w:rPr>
          <w:rFonts w:ascii="Times New Roman" w:hAnsi="Times New Roman" w:cs="Times New Roman"/>
          <w:lang w:val="en-US"/>
        </w:rPr>
        <w:t>”, https</w:t>
      </w:r>
      <w:r w:rsidRPr="004F4D2E">
        <w:rPr>
          <w:rStyle w:val="Hyperlink"/>
          <w:rFonts w:ascii="Times New Roman" w:hAnsi="Times New Roman" w:cs="Times New Roman"/>
          <w:color w:val="auto"/>
          <w:lang w:val="en-US"/>
        </w:rPr>
        <w:t>://openknowledge.worldbank.org/bitstreams/8e6bcf71-89a1-443b-bbe9-6c39a496d7ab/download</w:t>
      </w:r>
      <w:r w:rsidRPr="004F4D2E">
        <w:rPr>
          <w:rFonts w:ascii="Times New Roman" w:hAnsi="Times New Roman" w:cs="Times New Roman"/>
          <w:lang w:val="en-US"/>
        </w:rPr>
        <w:t>, accessed 25 June 2026.</w:t>
      </w:r>
    </w:p>
  </w:footnote>
  <w:footnote w:id="7">
    <w:p w14:paraId="7952ED34" w14:textId="77777777" w:rsidR="007814C7" w:rsidRPr="000A7CC5" w:rsidRDefault="007814C7" w:rsidP="007814C7">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AMRO (</w:t>
      </w:r>
      <w:r>
        <w:rPr>
          <w:rFonts w:ascii="Times New Roman" w:hAnsi="Times New Roman" w:cs="Times New Roman"/>
          <w:lang w:val="en-US"/>
        </w:rPr>
        <w:t xml:space="preserve">June </w:t>
      </w:r>
      <w:r w:rsidRPr="00350A48">
        <w:rPr>
          <w:rFonts w:ascii="Times New Roman" w:hAnsi="Times New Roman" w:cs="Times New Roman"/>
          <w:lang w:val="en-US"/>
        </w:rPr>
        <w:t>2026), “</w:t>
      </w:r>
      <w:r w:rsidRPr="002C41D1">
        <w:rPr>
          <w:rFonts w:ascii="Times New Roman" w:hAnsi="Times New Roman" w:cs="Times New Roman"/>
          <w:lang w:val="en-US"/>
        </w:rPr>
        <w:t xml:space="preserve">Interim </w:t>
      </w:r>
      <w:r w:rsidRPr="000A7CC5">
        <w:rPr>
          <w:rFonts w:ascii="Times New Roman" w:hAnsi="Times New Roman" w:cs="Times New Roman"/>
          <w:lang w:val="en-US"/>
        </w:rPr>
        <w:t xml:space="preserve">Update of the ASEAN+3 Regional Economic Outlook”, </w:t>
      </w:r>
      <w:hyperlink r:id="rId2" w:history="1">
        <w:r w:rsidRPr="000A7CC5">
          <w:rPr>
            <w:rStyle w:val="Hyperlink"/>
            <w:rFonts w:ascii="Times New Roman" w:hAnsi="Times New Roman" w:cs="Times New Roman"/>
            <w:color w:val="auto"/>
            <w:lang w:val="en-US"/>
          </w:rPr>
          <w:t>https://amro-</w:t>
        </w:r>
      </w:hyperlink>
      <w:r w:rsidRPr="000A7CC5">
        <w:rPr>
          <w:rStyle w:val="Hyperlink"/>
          <w:rFonts w:ascii="Times New Roman" w:hAnsi="Times New Roman" w:cs="Times New Roman"/>
          <w:color w:val="auto"/>
          <w:lang w:val="en-US"/>
        </w:rPr>
        <w:t xml:space="preserve">  asia.org/asean3-regional-economic-outlook-areo/</w:t>
      </w:r>
      <w:r w:rsidRPr="000A7CC5">
        <w:rPr>
          <w:rFonts w:ascii="Times New Roman" w:hAnsi="Times New Roman" w:cs="Times New Roman"/>
          <w:lang w:val="en-US"/>
        </w:rPr>
        <w:t>, accessed 25 June 2026.</w:t>
      </w:r>
    </w:p>
  </w:footnote>
  <w:footnote w:id="8">
    <w:p w14:paraId="7D62DC5F" w14:textId="77777777" w:rsidR="007814C7" w:rsidRPr="000A7CC5" w:rsidRDefault="007814C7" w:rsidP="007814C7">
      <w:pPr>
        <w:spacing w:after="40" w:line="240" w:lineRule="auto"/>
        <w:ind w:left="142" w:hanging="142"/>
        <w:jc w:val="both"/>
        <w:rPr>
          <w:rFonts w:ascii="Times New Roman" w:hAnsi="Times New Roman" w:cs="Times New Roman"/>
          <w:sz w:val="20"/>
          <w:szCs w:val="20"/>
          <w:lang w:val="en-US"/>
        </w:rPr>
      </w:pPr>
      <w:r w:rsidRPr="000A7CC5">
        <w:rPr>
          <w:rStyle w:val="FootnoteReference"/>
          <w:rFonts w:ascii="Times New Roman" w:hAnsi="Times New Roman"/>
          <w:sz w:val="20"/>
          <w:szCs w:val="20"/>
          <w:lang w:val="en-US"/>
        </w:rPr>
        <w:footnoteRef/>
      </w:r>
      <w:r w:rsidRPr="000A7CC5">
        <w:rPr>
          <w:rFonts w:ascii="Times New Roman" w:hAnsi="Times New Roman" w:cs="Times New Roman"/>
          <w:sz w:val="20"/>
          <w:szCs w:val="20"/>
          <w:lang w:val="en-US"/>
        </w:rPr>
        <w:t xml:space="preserve"> ADB and AMRO both forecasted Vietnam's economic growth in 2026 at 7.2%; projecti</w:t>
      </w:r>
      <w:r>
        <w:rPr>
          <w:rFonts w:ascii="Times New Roman" w:hAnsi="Times New Roman" w:cs="Times New Roman"/>
          <w:sz w:val="20"/>
          <w:szCs w:val="20"/>
          <w:lang w:val="en-US"/>
        </w:rPr>
        <w:t>on of IMF, WB, and OECD on Viet N</w:t>
      </w:r>
      <w:r w:rsidRPr="000A7CC5">
        <w:rPr>
          <w:rFonts w:ascii="Times New Roman" w:hAnsi="Times New Roman" w:cs="Times New Roman"/>
          <w:sz w:val="20"/>
          <w:szCs w:val="20"/>
          <w:lang w:val="en-US"/>
        </w:rPr>
        <w:t>am’s economic growth reached 7.1%, 6.8%, 6.5%, respectively.</w:t>
      </w:r>
    </w:p>
  </w:footnote>
  <w:footnote w:id="9">
    <w:p w14:paraId="54AD2BB6" w14:textId="77777777" w:rsidR="007814C7" w:rsidRPr="00350A48" w:rsidRDefault="007814C7" w:rsidP="007814C7">
      <w:pPr>
        <w:pStyle w:val="FootnoteText"/>
        <w:spacing w:after="40"/>
        <w:ind w:left="142" w:hanging="142"/>
        <w:jc w:val="both"/>
        <w:rPr>
          <w:rFonts w:ascii="Times New Roman" w:hAnsi="Times New Roman" w:cs="Times New Roman"/>
          <w:lang w:val="en-US"/>
        </w:rPr>
      </w:pPr>
      <w:r w:rsidRPr="000A7CC5">
        <w:rPr>
          <w:rStyle w:val="FootnoteReference"/>
          <w:rFonts w:ascii="Times New Roman" w:hAnsi="Times New Roman"/>
          <w:lang w:val="en-US"/>
        </w:rPr>
        <w:footnoteRef/>
      </w:r>
      <w:r w:rsidRPr="000A7CC5">
        <w:rPr>
          <w:rFonts w:ascii="Times New Roman" w:hAnsi="Times New Roman" w:cs="Times New Roman"/>
          <w:lang w:val="en-US"/>
        </w:rPr>
        <w:t xml:space="preserve"> Gross domestic product at constant prices was calculated using the base year</w:t>
      </w:r>
      <w:r>
        <w:rPr>
          <w:rFonts w:ascii="Times New Roman" w:hAnsi="Times New Roman" w:cs="Times New Roman"/>
        </w:rPr>
        <w:t xml:space="preserve"> 2020</w:t>
      </w:r>
      <w:r w:rsidRPr="00350A48">
        <w:rPr>
          <w:rFonts w:ascii="Times New Roman" w:hAnsi="Times New Roman" w:cs="Times New Roman"/>
          <w:lang w:val="vi-VN"/>
        </w:rPr>
        <w:t>.</w:t>
      </w:r>
    </w:p>
  </w:footnote>
  <w:footnote w:id="10">
    <w:p w14:paraId="1272C10F" w14:textId="77777777" w:rsidR="007814C7" w:rsidRPr="00F85648" w:rsidRDefault="007814C7" w:rsidP="007814C7">
      <w:pPr>
        <w:pStyle w:val="FootnoteText"/>
        <w:ind w:left="198" w:hanging="198"/>
        <w:jc w:val="both"/>
        <w:rPr>
          <w:rFonts w:ascii="Times New Roman" w:hAnsi="Times New Roman" w:cs="Times New Roman"/>
          <w:lang w:val="en-US"/>
        </w:rPr>
      </w:pPr>
      <w:r w:rsidRPr="00F85648">
        <w:rPr>
          <w:rStyle w:val="FootnoteReference"/>
          <w:rFonts w:ascii="Times New Roman" w:hAnsi="Times New Roman"/>
        </w:rPr>
        <w:footnoteRef/>
      </w:r>
      <w:r w:rsidRPr="00F85648">
        <w:rPr>
          <w:rFonts w:ascii="Times New Roman" w:hAnsi="Times New Roman" w:cs="Times New Roman"/>
        </w:rPr>
        <w:t xml:space="preserve"> </w:t>
      </w:r>
      <w:r>
        <w:rPr>
          <w:rFonts w:ascii="Times New Roman" w:hAnsi="Times New Roman" w:cs="Times New Roman"/>
        </w:rPr>
        <w:t xml:space="preserve">Due to </w:t>
      </w:r>
      <w:r w:rsidRPr="001A228D">
        <w:rPr>
          <w:rFonts w:ascii="Times New Roman" w:hAnsi="Times New Roman" w:cs="Times New Roman"/>
          <w:bCs/>
          <w:iCs/>
          <w:color w:val="000000" w:themeColor="text1"/>
          <w:spacing w:val="-2"/>
          <w:lang w:val="pt-BR"/>
        </w:rPr>
        <w:t>localities convert</w:t>
      </w:r>
      <w:r>
        <w:rPr>
          <w:rFonts w:ascii="Times New Roman" w:hAnsi="Times New Roman" w:cs="Times New Roman"/>
          <w:bCs/>
          <w:iCs/>
          <w:color w:val="000000" w:themeColor="text1"/>
          <w:spacing w:val="-2"/>
          <w:lang w:val="pt-BR"/>
        </w:rPr>
        <w:t>ed</w:t>
      </w:r>
      <w:r w:rsidRPr="001A228D">
        <w:rPr>
          <w:rFonts w:ascii="Times New Roman" w:hAnsi="Times New Roman" w:cs="Times New Roman"/>
          <w:bCs/>
          <w:iCs/>
          <w:color w:val="000000" w:themeColor="text1"/>
          <w:spacing w:val="-2"/>
          <w:lang w:val="pt-BR"/>
        </w:rPr>
        <w:t xml:space="preserve"> inefficient rice land to other crops and livestock </w:t>
      </w:r>
      <w:r>
        <w:rPr>
          <w:rFonts w:ascii="Times New Roman" w:hAnsi="Times New Roman" w:cs="Times New Roman"/>
          <w:bCs/>
          <w:iCs/>
          <w:color w:val="000000" w:themeColor="text1"/>
          <w:spacing w:val="-2"/>
          <w:lang w:val="pt-BR"/>
        </w:rPr>
        <w:t xml:space="preserve">for </w:t>
      </w:r>
      <w:r w:rsidRPr="001A228D">
        <w:rPr>
          <w:rFonts w:ascii="Times New Roman" w:hAnsi="Times New Roman" w:cs="Times New Roman"/>
          <w:bCs/>
          <w:iCs/>
          <w:color w:val="000000" w:themeColor="text1"/>
          <w:spacing w:val="-2"/>
          <w:lang w:val="pt-BR"/>
        </w:rPr>
        <w:t>higher economic value, or converting to non-agricultural land (for the construction of public works, industrial zones, commercial and service land, etc.).</w:t>
      </w:r>
    </w:p>
  </w:footnote>
  <w:footnote w:id="11">
    <w:p w14:paraId="57650B0E" w14:textId="77777777" w:rsidR="007814C7" w:rsidRPr="00B56F51" w:rsidRDefault="007814C7" w:rsidP="007814C7">
      <w:pPr>
        <w:pStyle w:val="FootnoteText"/>
        <w:spacing w:after="40"/>
        <w:ind w:left="198" w:hanging="198"/>
        <w:jc w:val="both"/>
        <w:rPr>
          <w:rFonts w:ascii="Times New Roman" w:hAnsi="Times New Roman" w:cs="Times New Roman"/>
          <w:lang w:val="sv-SE"/>
        </w:rPr>
      </w:pPr>
      <w:r w:rsidRPr="0004275D">
        <w:rPr>
          <w:rStyle w:val="FootnoteReference"/>
          <w:rFonts w:ascii="Times New Roman" w:hAnsi="Times New Roman"/>
          <w:b/>
        </w:rPr>
        <w:footnoteRef/>
      </w:r>
      <w:r w:rsidRPr="0004275D">
        <w:rPr>
          <w:rFonts w:ascii="Times New Roman" w:hAnsi="Times New Roman" w:cs="Times New Roman"/>
          <w:b/>
        </w:rPr>
        <w:t xml:space="preserve"> </w:t>
      </w:r>
      <w:r w:rsidRPr="003C433F">
        <w:t xml:space="preserve"> </w:t>
      </w:r>
      <w:r w:rsidRPr="003C433F">
        <w:rPr>
          <w:rFonts w:ascii="Times New Roman" w:hAnsi="Times New Roman" w:cs="Times New Roman"/>
        </w:rPr>
        <w:t>Due to low economic efficiency, the area for natural grazing</w:t>
      </w:r>
      <w:r>
        <w:rPr>
          <w:rFonts w:ascii="Times New Roman" w:hAnsi="Times New Roman" w:cs="Times New Roman"/>
        </w:rPr>
        <w:t xml:space="preserve"> was </w:t>
      </w:r>
      <w:r w:rsidRPr="003C433F">
        <w:rPr>
          <w:rFonts w:ascii="Times New Roman" w:hAnsi="Times New Roman" w:cs="Times New Roman"/>
        </w:rPr>
        <w:t>shrinking, the supply of green fodder</w:t>
      </w:r>
      <w:r>
        <w:rPr>
          <w:rFonts w:ascii="Times New Roman" w:hAnsi="Times New Roman" w:cs="Times New Roman"/>
        </w:rPr>
        <w:t xml:space="preserve"> was narrowed</w:t>
      </w:r>
      <w:r w:rsidRPr="003C433F">
        <w:rPr>
          <w:rFonts w:ascii="Times New Roman" w:hAnsi="Times New Roman" w:cs="Times New Roman"/>
        </w:rPr>
        <w:t>, while the price of animal feed remains high.</w:t>
      </w:r>
    </w:p>
  </w:footnote>
  <w:footnote w:id="12">
    <w:p w14:paraId="5A65F12D" w14:textId="77777777" w:rsidR="007814C7" w:rsidRPr="00B76F1F" w:rsidRDefault="007814C7" w:rsidP="007814C7">
      <w:pPr>
        <w:pStyle w:val="FootnoteText"/>
        <w:spacing w:after="40"/>
        <w:ind w:left="198" w:hanging="198"/>
        <w:jc w:val="both"/>
        <w:rPr>
          <w:rFonts w:ascii="Times New Roman" w:hAnsi="Times New Roman" w:cs="Times New Roman"/>
        </w:rPr>
      </w:pPr>
      <w:r w:rsidRPr="00B76F1F">
        <w:rPr>
          <w:rStyle w:val="FootnoteReference"/>
          <w:rFonts w:ascii="Times New Roman" w:hAnsi="Times New Roman"/>
        </w:rPr>
        <w:footnoteRef/>
      </w:r>
      <w:r w:rsidRPr="00B76F1F">
        <w:rPr>
          <w:rFonts w:ascii="Times New Roman" w:hAnsi="Times New Roman" w:cs="Times New Roman"/>
        </w:rPr>
        <w:t xml:space="preserve"> </w:t>
      </w:r>
      <w:r>
        <w:rPr>
          <w:rFonts w:ascii="Times New Roman" w:hAnsi="Times New Roman" w:cs="Times New Roman"/>
        </w:rPr>
        <w:t>Figures released by</w:t>
      </w:r>
      <w:r w:rsidRPr="00E836BD">
        <w:t xml:space="preserve"> </w:t>
      </w:r>
      <w:r w:rsidRPr="00E836BD">
        <w:rPr>
          <w:rFonts w:ascii="Times New Roman" w:hAnsi="Times New Roman" w:cs="Times New Roman"/>
        </w:rPr>
        <w:t>Ministry of Agriculture and Environment as of June 15, 2026.</w:t>
      </w:r>
      <w:r>
        <w:rPr>
          <w:rFonts w:ascii="Times New Roman" w:hAnsi="Times New Roman" w:cs="Times New Roman"/>
        </w:rPr>
        <w:t xml:space="preserve"> </w:t>
      </w:r>
    </w:p>
  </w:footnote>
  <w:footnote w:id="13">
    <w:p w14:paraId="549D6D9E" w14:textId="2B426153" w:rsidR="00AB6596" w:rsidRPr="005A7318" w:rsidRDefault="00AB6596" w:rsidP="00AB6596">
      <w:pPr>
        <w:pStyle w:val="FootnoteText"/>
        <w:spacing w:after="60"/>
        <w:ind w:left="198" w:hanging="198"/>
        <w:jc w:val="both"/>
        <w:rPr>
          <w:rFonts w:ascii="Times New Roman" w:hAnsi="Times New Roman" w:cs="Times New Roman"/>
          <w:lang w:val="vi-VN"/>
        </w:rPr>
      </w:pPr>
      <w:r w:rsidRPr="005A7318">
        <w:rPr>
          <w:rStyle w:val="FootnoteReference"/>
          <w:rFonts w:ascii="Times New Roman" w:hAnsi="Times New Roman"/>
        </w:rPr>
        <w:footnoteRef/>
      </w:r>
      <w:r w:rsidRPr="005A7318">
        <w:rPr>
          <w:rFonts w:ascii="Times New Roman" w:hAnsi="Times New Roman" w:cs="Times New Roman"/>
        </w:rPr>
        <w:t xml:space="preserve"> </w:t>
      </w:r>
      <w:r w:rsidRPr="00AB6596">
        <w:rPr>
          <w:rFonts w:ascii="Times New Roman" w:hAnsi="Times New Roman" w:cs="Times New Roman"/>
        </w:rPr>
        <w:t xml:space="preserve">The </w:t>
      </w:r>
      <w:r>
        <w:rPr>
          <w:rFonts w:ascii="Times New Roman" w:hAnsi="Times New Roman" w:cs="Times New Roman"/>
        </w:rPr>
        <w:t>IIP</w:t>
      </w:r>
      <w:r w:rsidRPr="00AB6596">
        <w:rPr>
          <w:rFonts w:ascii="Times New Roman" w:hAnsi="Times New Roman" w:cs="Times New Roman"/>
        </w:rPr>
        <w:t xml:space="preserve"> for the first six months of the years 2019-2026 compared to the same period of the previous year </w:t>
      </w:r>
      <w:r>
        <w:rPr>
          <w:rFonts w:ascii="Times New Roman" w:hAnsi="Times New Roman" w:cs="Times New Roman"/>
        </w:rPr>
        <w:t>were</w:t>
      </w:r>
      <w:r w:rsidRPr="00AB6596">
        <w:rPr>
          <w:rFonts w:ascii="Times New Roman" w:hAnsi="Times New Roman" w:cs="Times New Roman"/>
        </w:rPr>
        <w:t xml:space="preserve">: </w:t>
      </w:r>
      <w:r>
        <w:rPr>
          <w:rFonts w:ascii="Times New Roman" w:hAnsi="Times New Roman" w:cs="Times New Roman"/>
        </w:rPr>
        <w:t>+</w:t>
      </w:r>
      <w:r w:rsidRPr="00AB6596">
        <w:rPr>
          <w:rFonts w:ascii="Times New Roman" w:hAnsi="Times New Roman" w:cs="Times New Roman"/>
        </w:rPr>
        <w:t xml:space="preserve">9.4%; </w:t>
      </w:r>
      <w:r>
        <w:rPr>
          <w:rFonts w:ascii="Times New Roman" w:hAnsi="Times New Roman" w:cs="Times New Roman"/>
        </w:rPr>
        <w:t>+</w:t>
      </w:r>
      <w:r w:rsidRPr="00AB6596">
        <w:rPr>
          <w:rFonts w:ascii="Times New Roman" w:hAnsi="Times New Roman" w:cs="Times New Roman"/>
        </w:rPr>
        <w:t xml:space="preserve">2.8%; </w:t>
      </w:r>
      <w:r>
        <w:rPr>
          <w:rFonts w:ascii="Times New Roman" w:hAnsi="Times New Roman" w:cs="Times New Roman"/>
        </w:rPr>
        <w:t>+</w:t>
      </w:r>
      <w:r w:rsidRPr="00AB6596">
        <w:rPr>
          <w:rFonts w:ascii="Times New Roman" w:hAnsi="Times New Roman" w:cs="Times New Roman"/>
        </w:rPr>
        <w:t xml:space="preserve">9.0%; </w:t>
      </w:r>
      <w:r>
        <w:rPr>
          <w:rFonts w:ascii="Times New Roman" w:hAnsi="Times New Roman" w:cs="Times New Roman"/>
        </w:rPr>
        <w:t>+</w:t>
      </w:r>
      <w:r w:rsidRPr="00AB6596">
        <w:rPr>
          <w:rFonts w:ascii="Times New Roman" w:hAnsi="Times New Roman" w:cs="Times New Roman"/>
        </w:rPr>
        <w:t xml:space="preserve">8.4%; -1.4%; </w:t>
      </w:r>
      <w:r>
        <w:rPr>
          <w:rFonts w:ascii="Times New Roman" w:hAnsi="Times New Roman" w:cs="Times New Roman"/>
        </w:rPr>
        <w:t>+</w:t>
      </w:r>
      <w:r w:rsidRPr="00AB6596">
        <w:rPr>
          <w:rFonts w:ascii="Times New Roman" w:hAnsi="Times New Roman" w:cs="Times New Roman"/>
        </w:rPr>
        <w:t xml:space="preserve">8.0%; </w:t>
      </w:r>
      <w:r>
        <w:rPr>
          <w:rFonts w:ascii="Times New Roman" w:hAnsi="Times New Roman" w:cs="Times New Roman"/>
        </w:rPr>
        <w:t>+</w:t>
      </w:r>
      <w:r w:rsidRPr="00AB6596">
        <w:rPr>
          <w:rFonts w:ascii="Times New Roman" w:hAnsi="Times New Roman" w:cs="Times New Roman"/>
        </w:rPr>
        <w:t xml:space="preserve">8.7%; and </w:t>
      </w:r>
      <w:r>
        <w:rPr>
          <w:rFonts w:ascii="Times New Roman" w:hAnsi="Times New Roman" w:cs="Times New Roman"/>
        </w:rPr>
        <w:t>+</w:t>
      </w:r>
      <w:r w:rsidRPr="00AB6596">
        <w:rPr>
          <w:rFonts w:ascii="Times New Roman" w:hAnsi="Times New Roman" w:cs="Times New Roman"/>
        </w:rPr>
        <w:t>10.8%, respectively.</w:t>
      </w:r>
    </w:p>
  </w:footnote>
  <w:footnote w:id="14">
    <w:p w14:paraId="13E22411" w14:textId="77777777" w:rsidR="007814C7" w:rsidRPr="00350A48" w:rsidRDefault="007814C7" w:rsidP="007814C7">
      <w:pPr>
        <w:pStyle w:val="FootnoteText"/>
        <w:spacing w:after="40"/>
        <w:ind w:left="198" w:hanging="198"/>
        <w:jc w:val="both"/>
        <w:rPr>
          <w:rFonts w:ascii="Times New Roman" w:hAnsi="Times New Roman" w:cs="Times New Roman"/>
          <w:lang w:val="en-US"/>
        </w:rPr>
      </w:pPr>
      <w:r w:rsidRPr="00350A48">
        <w:rPr>
          <w:rStyle w:val="FootnoteReference"/>
        </w:rPr>
        <w:footnoteRef/>
      </w:r>
      <w:r w:rsidRPr="00350A48">
        <w:rPr>
          <w:rFonts w:ascii="Times New Roman" w:hAnsi="Times New Roman" w:cs="Times New Roman"/>
        </w:rPr>
        <w:t xml:space="preserve">Corresponding index for Q1/2026: </w:t>
      </w:r>
      <w:r w:rsidRPr="00350A48">
        <w:rPr>
          <w:rFonts w:ascii="Times New Roman" w:hAnsi="Times New Roman" w:cs="Times New Roman"/>
          <w:lang w:val="en-US"/>
        </w:rPr>
        <w:t xml:space="preserve">69.9 % </w:t>
      </w:r>
      <w:r w:rsidRPr="00350A48">
        <w:rPr>
          <w:rFonts w:ascii="Times New Roman" w:hAnsi="Times New Roman" w:cs="Times New Roman"/>
        </w:rPr>
        <w:t xml:space="preserve">of </w:t>
      </w:r>
      <w:r>
        <w:rPr>
          <w:rFonts w:ascii="Times New Roman" w:hAnsi="Times New Roman" w:cs="Times New Roman"/>
        </w:rPr>
        <w:t>enterprises</w:t>
      </w:r>
      <w:r w:rsidRPr="00350A48">
        <w:rPr>
          <w:rFonts w:ascii="Times New Roman" w:hAnsi="Times New Roman" w:cs="Times New Roman"/>
        </w:rPr>
        <w:t xml:space="preserve"> assessed </w:t>
      </w:r>
      <w:r w:rsidRPr="00350A48">
        <w:rPr>
          <w:rFonts w:ascii="Times New Roman" w:hAnsi="Times New Roman" w:cs="Times New Roman"/>
          <w:lang w:val="vi-VN"/>
        </w:rPr>
        <w:t xml:space="preserve">better </w:t>
      </w:r>
      <w:r>
        <w:rPr>
          <w:rFonts w:ascii="Times New Roman" w:hAnsi="Times New Roman" w:cs="Times New Roman"/>
        </w:rPr>
        <w:t>and remain</w:t>
      </w:r>
      <w:r w:rsidRPr="00350A48">
        <w:rPr>
          <w:rFonts w:ascii="Times New Roman" w:hAnsi="Times New Roman" w:cs="Times New Roman"/>
        </w:rPr>
        <w:t xml:space="preserve"> </w:t>
      </w:r>
      <w:r w:rsidRPr="00350A48">
        <w:rPr>
          <w:rFonts w:ascii="Times New Roman" w:hAnsi="Times New Roman" w:cs="Times New Roman"/>
          <w:lang w:val="vi-VN"/>
        </w:rPr>
        <w:t xml:space="preserve">stable </w:t>
      </w:r>
      <w:r w:rsidRPr="00350A48">
        <w:rPr>
          <w:rFonts w:ascii="Times New Roman" w:hAnsi="Times New Roman" w:cs="Times New Roman"/>
        </w:rPr>
        <w:t xml:space="preserve">(23.8% </w:t>
      </w:r>
      <w:r>
        <w:rPr>
          <w:rFonts w:ascii="Times New Roman" w:hAnsi="Times New Roman" w:cs="Times New Roman"/>
          <w:lang w:val="en-US"/>
        </w:rPr>
        <w:t>better</w:t>
      </w:r>
      <w:r w:rsidRPr="00350A48">
        <w:rPr>
          <w:rFonts w:ascii="Times New Roman" w:hAnsi="Times New Roman" w:cs="Times New Roman"/>
          <w:lang w:val="vi-VN"/>
        </w:rPr>
        <w:t xml:space="preserve"> </w:t>
      </w:r>
      <w:r w:rsidRPr="00350A48">
        <w:rPr>
          <w:rFonts w:ascii="Times New Roman" w:hAnsi="Times New Roman" w:cs="Times New Roman"/>
        </w:rPr>
        <w:t xml:space="preserve">and </w:t>
      </w:r>
      <w:r w:rsidRPr="00350A48">
        <w:rPr>
          <w:rFonts w:ascii="Times New Roman" w:hAnsi="Times New Roman" w:cs="Times New Roman"/>
          <w:lang w:val="vi-VN"/>
        </w:rPr>
        <w:t xml:space="preserve">46.1% </w:t>
      </w:r>
      <w:r w:rsidRPr="00350A48">
        <w:rPr>
          <w:rFonts w:ascii="Times New Roman" w:hAnsi="Times New Roman" w:cs="Times New Roman"/>
        </w:rPr>
        <w:t xml:space="preserve">remained </w:t>
      </w:r>
      <w:r w:rsidRPr="00350A48">
        <w:rPr>
          <w:rFonts w:ascii="Times New Roman" w:hAnsi="Times New Roman" w:cs="Times New Roman"/>
          <w:lang w:val="vi-VN"/>
        </w:rPr>
        <w:t>stable</w:t>
      </w:r>
      <w:r w:rsidRPr="00350A48">
        <w:rPr>
          <w:rFonts w:ascii="Times New Roman" w:hAnsi="Times New Roman" w:cs="Times New Roman"/>
        </w:rPr>
        <w:t xml:space="preserve">); </w:t>
      </w:r>
      <w:r w:rsidRPr="00350A48">
        <w:rPr>
          <w:rFonts w:ascii="Times New Roman" w:hAnsi="Times New Roman" w:cs="Times New Roman"/>
          <w:lang w:val="vi-VN"/>
        </w:rPr>
        <w:t xml:space="preserve">30.1 </w:t>
      </w:r>
      <w:r w:rsidRPr="00350A48">
        <w:rPr>
          <w:rFonts w:ascii="Times New Roman" w:hAnsi="Times New Roman" w:cs="Times New Roman"/>
        </w:rPr>
        <w:t xml:space="preserve">% of </w:t>
      </w:r>
      <w:r w:rsidRPr="006701E9">
        <w:rPr>
          <w:rFonts w:ascii="Times New Roman" w:hAnsi="Times New Roman" w:cs="Times New Roman"/>
        </w:rPr>
        <w:t>enterprises</w:t>
      </w:r>
      <w:r w:rsidRPr="00350A48">
        <w:rPr>
          <w:rFonts w:ascii="Times New Roman" w:hAnsi="Times New Roman" w:cs="Times New Roman"/>
        </w:rPr>
        <w:t xml:space="preserve"> assessed it as more difficult.</w:t>
      </w:r>
    </w:p>
  </w:footnote>
  <w:footnote w:id="15">
    <w:p w14:paraId="26AB867F" w14:textId="77777777" w:rsidR="00AB6596" w:rsidRPr="005A7318" w:rsidRDefault="00AB6596" w:rsidP="00AB6596">
      <w:pPr>
        <w:pStyle w:val="FootnoteText"/>
        <w:spacing w:after="60"/>
        <w:ind w:left="198" w:hanging="198"/>
        <w:jc w:val="both"/>
        <w:rPr>
          <w:rFonts w:ascii="Times New Roman" w:hAnsi="Times New Roman" w:cs="Times New Roman"/>
          <w:lang w:val="vi-VN"/>
        </w:rPr>
      </w:pPr>
      <w:r w:rsidRPr="005A7318">
        <w:rPr>
          <w:rStyle w:val="FootnoteReference"/>
          <w:rFonts w:ascii="Times New Roman" w:hAnsi="Times New Roman"/>
        </w:rPr>
        <w:footnoteRef/>
      </w:r>
      <w:r w:rsidRPr="005A7318">
        <w:rPr>
          <w:rFonts w:ascii="Times New Roman" w:hAnsi="Times New Roman" w:cs="Times New Roman"/>
          <w:spacing w:val="2"/>
          <w:lang w:val="vi-VN"/>
        </w:rPr>
        <w:t xml:space="preserve"> </w:t>
      </w:r>
      <w:r w:rsidRPr="00444A14">
        <w:rPr>
          <w:rFonts w:ascii="Times New Roman" w:hAnsi="Times New Roman" w:cs="Times New Roman"/>
          <w:spacing w:val="-4"/>
          <w:lang w:val="vi-VN"/>
        </w:rPr>
        <w:t>According to a report from the Department of Border Gate, the Border Guard Command, the Ministry of National Defense, and the Immigration Department, the Ministry of Public Security</w:t>
      </w:r>
      <w:r w:rsidRPr="005A7318">
        <w:rPr>
          <w:rFonts w:ascii="Times New Roman" w:hAnsi="Times New Roman" w:cs="Times New Roman"/>
          <w:lang w:val="vi-VN"/>
        </w:rPr>
        <w:t>.</w:t>
      </w:r>
    </w:p>
  </w:footnote>
  <w:footnote w:id="16">
    <w:p w14:paraId="1D5379CD" w14:textId="77777777" w:rsidR="00AB6596" w:rsidRPr="005A7318" w:rsidRDefault="00AB6596" w:rsidP="00AB6596">
      <w:pPr>
        <w:pStyle w:val="FootnoteText"/>
        <w:spacing w:after="60"/>
        <w:ind w:left="198" w:hanging="198"/>
        <w:rPr>
          <w:rFonts w:ascii="Times New Roman" w:hAnsi="Times New Roman" w:cs="Times New Roman"/>
          <w:lang w:val="vi-VN"/>
        </w:rPr>
      </w:pPr>
      <w:r w:rsidRPr="005A7318">
        <w:rPr>
          <w:rStyle w:val="FootnoteReference"/>
          <w:rFonts w:ascii="Times New Roman" w:hAnsi="Times New Roman"/>
        </w:rPr>
        <w:footnoteRef/>
      </w:r>
      <w:r w:rsidRPr="005A7318">
        <w:rPr>
          <w:rFonts w:ascii="Times New Roman" w:hAnsi="Times New Roman" w:cs="Times New Roman"/>
        </w:rPr>
        <w:t xml:space="preserve"> </w:t>
      </w:r>
      <w:r w:rsidRPr="00444A14">
        <w:rPr>
          <w:rFonts w:ascii="Times New Roman" w:hAnsi="Times New Roman" w:cs="Times New Roman"/>
          <w:lang w:val="vi-VN"/>
        </w:rPr>
        <w:t xml:space="preserve">The reporting period was from </w:t>
      </w:r>
      <w:r>
        <w:rPr>
          <w:rFonts w:ascii="Times New Roman" w:hAnsi="Times New Roman" w:cs="Times New Roman"/>
          <w:lang w:val="en-US"/>
        </w:rPr>
        <w:t>May</w:t>
      </w:r>
      <w:r w:rsidRPr="00444A14">
        <w:rPr>
          <w:rFonts w:ascii="Times New Roman" w:hAnsi="Times New Roman" w:cs="Times New Roman"/>
          <w:lang w:val="vi-VN"/>
        </w:rPr>
        <w:t xml:space="preserve"> 26</w:t>
      </w:r>
      <w:r w:rsidRPr="00444A14">
        <w:rPr>
          <w:rFonts w:ascii="Times New Roman" w:hAnsi="Times New Roman" w:cs="Times New Roman"/>
          <w:vertAlign w:val="superscript"/>
          <w:lang w:val="en-US"/>
        </w:rPr>
        <w:t>th</w:t>
      </w:r>
      <w:r w:rsidRPr="00444A14">
        <w:rPr>
          <w:rFonts w:ascii="Times New Roman" w:hAnsi="Times New Roman" w:cs="Times New Roman"/>
          <w:lang w:val="vi-VN"/>
        </w:rPr>
        <w:t xml:space="preserve">, 2026 to </w:t>
      </w:r>
      <w:r>
        <w:rPr>
          <w:rFonts w:ascii="Times New Roman" w:hAnsi="Times New Roman" w:cs="Times New Roman"/>
          <w:lang w:val="en-US"/>
        </w:rPr>
        <w:t>June</w:t>
      </w:r>
      <w:r w:rsidRPr="00444A14">
        <w:rPr>
          <w:rFonts w:ascii="Times New Roman" w:hAnsi="Times New Roman" w:cs="Times New Roman"/>
          <w:lang w:val="vi-VN"/>
        </w:rPr>
        <w:t xml:space="preserve"> 25</w:t>
      </w:r>
      <w:r w:rsidRPr="00444A14">
        <w:rPr>
          <w:rFonts w:ascii="Times New Roman" w:hAnsi="Times New Roman" w:cs="Times New Roman"/>
          <w:vertAlign w:val="superscript"/>
          <w:lang w:val="en-US"/>
        </w:rPr>
        <w:t>th</w:t>
      </w:r>
      <w:r w:rsidRPr="00444A14">
        <w:rPr>
          <w:rFonts w:ascii="Times New Roman" w:hAnsi="Times New Roman" w:cs="Times New Roman"/>
          <w:lang w:val="vi-VN"/>
        </w:rPr>
        <w:t>, 2026</w:t>
      </w:r>
      <w:r w:rsidRPr="005A7318">
        <w:rPr>
          <w:rFonts w:ascii="Times New Roman" w:hAnsi="Times New Roman" w:cs="Times New Roman"/>
          <w:lang w:val="vi-VN"/>
        </w:rPr>
        <w:t>.</w:t>
      </w:r>
    </w:p>
  </w:footnote>
  <w:footnote w:id="17">
    <w:p w14:paraId="267461C6" w14:textId="77777777" w:rsidR="00AB6596" w:rsidRPr="00A15761" w:rsidRDefault="00AB6596" w:rsidP="00AB6596">
      <w:pPr>
        <w:spacing w:after="40" w:line="240" w:lineRule="auto"/>
        <w:ind w:left="142" w:hanging="142"/>
        <w:jc w:val="both"/>
        <w:rPr>
          <w:rFonts w:ascii="Times New Roman" w:hAnsi="Times New Roman" w:cs="Times New Roman"/>
          <w:lang w:val="nl-NL"/>
        </w:rPr>
      </w:pPr>
      <w:r w:rsidRPr="00A15761">
        <w:rPr>
          <w:rStyle w:val="FootnoteReference"/>
          <w:rFonts w:ascii="Times New Roman" w:hAnsi="Times New Roman"/>
          <w:sz w:val="20"/>
          <w:szCs w:val="20"/>
        </w:rPr>
        <w:footnoteRef/>
      </w:r>
      <w:r w:rsidRPr="00A15761">
        <w:rPr>
          <w:rFonts w:ascii="Times New Roman" w:hAnsi="Times New Roman" w:cs="Times New Roman"/>
          <w:sz w:val="20"/>
          <w:szCs w:val="20"/>
          <w:lang w:val="nl-NL"/>
        </w:rPr>
        <w:t xml:space="preserve"> </w:t>
      </w:r>
      <w:r w:rsidRPr="005138C1">
        <w:rPr>
          <w:rFonts w:ascii="Times New Roman" w:hAnsi="Times New Roman" w:cs="Times New Roman"/>
          <w:sz w:val="20"/>
          <w:szCs w:val="20"/>
          <w:lang w:val="vi-VN"/>
        </w:rPr>
        <w:t>A Vietnamese citizen leaves the territory of Viet</w:t>
      </w:r>
      <w:r>
        <w:rPr>
          <w:rFonts w:ascii="Times New Roman" w:hAnsi="Times New Roman" w:cs="Times New Roman"/>
          <w:sz w:val="20"/>
          <w:szCs w:val="20"/>
          <w:lang w:val="en-US"/>
        </w:rPr>
        <w:t xml:space="preserve"> N</w:t>
      </w:r>
      <w:r w:rsidRPr="005138C1">
        <w:rPr>
          <w:rFonts w:ascii="Times New Roman" w:hAnsi="Times New Roman" w:cs="Times New Roman"/>
          <w:sz w:val="20"/>
          <w:szCs w:val="20"/>
          <w:lang w:val="vi-VN"/>
        </w:rPr>
        <w:t>am through a border gate of Viet Nam</w:t>
      </w:r>
      <w:r w:rsidRPr="00A15761">
        <w:rPr>
          <w:rFonts w:ascii="Times New Roman" w:hAnsi="Times New Roman" w:cs="Times New Roman"/>
          <w:sz w:val="20"/>
          <w:szCs w:val="20"/>
          <w:lang w:val="nl-NL"/>
        </w:rPr>
        <w:t xml:space="preserve">. </w:t>
      </w:r>
    </w:p>
  </w:footnote>
  <w:footnote w:id="18">
    <w:p w14:paraId="59D7BA86" w14:textId="77777777" w:rsidR="00AB6596" w:rsidRPr="00350A48" w:rsidRDefault="00AB6596" w:rsidP="00AB6596">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Pr>
          <w:rFonts w:ascii="Times New Roman" w:hAnsi="Times New Roman" w:cs="Times New Roman"/>
          <w:lang w:val="vi-VN"/>
        </w:rPr>
        <w:t>As the report of Foreign Investment Department, Ministry of Finance, received on 2rd July 2026</w:t>
      </w:r>
      <w:r w:rsidRPr="00350A48">
        <w:rPr>
          <w:rFonts w:ascii="Times New Roman" w:hAnsi="Times New Roman" w:cs="Times New Roman"/>
          <w:lang w:val="vi-VN"/>
        </w:rPr>
        <w:t>.</w:t>
      </w:r>
    </w:p>
  </w:footnote>
  <w:footnote w:id="19">
    <w:p w14:paraId="441B9F77" w14:textId="77777777" w:rsidR="00AB6596" w:rsidRPr="006D4158" w:rsidRDefault="00AB6596" w:rsidP="004D4FEC">
      <w:pPr>
        <w:pStyle w:val="FootnoteText"/>
        <w:jc w:val="both"/>
        <w:rPr>
          <w:rFonts w:ascii="Times New Roman" w:hAnsi="Times New Roman" w:cs="Times New Roman"/>
          <w:lang w:val="en-IN"/>
        </w:rPr>
      </w:pPr>
      <w:r w:rsidRPr="006D4158">
        <w:rPr>
          <w:rStyle w:val="FootnoteReference"/>
          <w:rFonts w:ascii="Times New Roman" w:hAnsi="Times New Roman"/>
        </w:rPr>
        <w:footnoteRef/>
      </w:r>
      <w:r w:rsidRPr="006D4158">
        <w:rPr>
          <w:rFonts w:ascii="Times New Roman" w:hAnsi="Times New Roman" w:cs="Times New Roman"/>
          <w:lang w:val="vi-VN"/>
        </w:rPr>
        <w:t xml:space="preserve"> </w:t>
      </w:r>
      <w:r w:rsidRPr="00D61843">
        <w:rPr>
          <w:rFonts w:ascii="Times New Roman" w:hAnsi="Times New Roman" w:cs="Times New Roman"/>
          <w:lang w:val="en-IN"/>
        </w:rPr>
        <w:t>The value of export turnover was calculated at FOB price and import turnover was calculated at CIF price (including transportation and insurance costs of imported goods)</w:t>
      </w:r>
      <w:r w:rsidRPr="006D4158">
        <w:rPr>
          <w:rFonts w:ascii="Times New Roman" w:hAnsi="Times New Roman" w:cs="Times New Roman"/>
          <w:lang w:val="vi-VN"/>
        </w:rPr>
        <w:t>.</w:t>
      </w:r>
    </w:p>
  </w:footnote>
  <w:footnote w:id="20">
    <w:p w14:paraId="72C16A93" w14:textId="77777777" w:rsidR="00AB6596" w:rsidRPr="004D4FEC" w:rsidRDefault="00AB6596" w:rsidP="004D4FEC">
      <w:pPr>
        <w:spacing w:after="0" w:line="240" w:lineRule="auto"/>
        <w:jc w:val="both"/>
        <w:rPr>
          <w:rFonts w:ascii="Times New Roman" w:hAnsi="Times New Roman" w:cs="Times New Roman"/>
          <w:sz w:val="20"/>
          <w:szCs w:val="20"/>
          <w:lang w:val="en-IN"/>
        </w:rPr>
      </w:pPr>
      <w:r w:rsidRPr="006D4158">
        <w:rPr>
          <w:rStyle w:val="FootnoteReference"/>
          <w:rFonts w:ascii="Times New Roman" w:hAnsi="Times New Roman"/>
          <w:sz w:val="20"/>
          <w:szCs w:val="20"/>
        </w:rPr>
        <w:footnoteRef/>
      </w:r>
      <w:r w:rsidRPr="006D4158">
        <w:rPr>
          <w:rFonts w:ascii="Times New Roman" w:hAnsi="Times New Roman" w:cs="Times New Roman"/>
          <w:spacing w:val="-2"/>
          <w:sz w:val="20"/>
          <w:szCs w:val="20"/>
        </w:rPr>
        <w:t xml:space="preserve"> </w:t>
      </w:r>
      <w:r w:rsidRPr="004D4FEC">
        <w:rPr>
          <w:rFonts w:ascii="Times New Roman" w:hAnsi="Times New Roman" w:cs="Times New Roman"/>
          <w:sz w:val="20"/>
          <w:szCs w:val="20"/>
          <w:lang w:val="en-IN"/>
        </w:rPr>
        <w:t>Preliminary data on exports and imports of goods in May 2026 provided by the Viet Nam Customs on July 2nd, 2026.</w:t>
      </w:r>
    </w:p>
  </w:footnote>
  <w:footnote w:id="21">
    <w:p w14:paraId="01227B26" w14:textId="77777777" w:rsidR="00AB6596" w:rsidRPr="004D4FEC" w:rsidRDefault="00AB6596" w:rsidP="004D4FEC">
      <w:pPr>
        <w:pStyle w:val="FootnoteText"/>
        <w:jc w:val="both"/>
        <w:rPr>
          <w:rFonts w:ascii="Times New Roman" w:hAnsi="Times New Roman" w:cs="Times New Roman"/>
          <w:lang w:val="en-IN"/>
        </w:rPr>
      </w:pPr>
      <w:r w:rsidRPr="006D4158">
        <w:rPr>
          <w:rStyle w:val="FootnoteReference"/>
          <w:rFonts w:ascii="Times New Roman" w:hAnsi="Times New Roman"/>
        </w:rPr>
        <w:footnoteRef/>
      </w:r>
      <w:r w:rsidRPr="006D4158">
        <w:rPr>
          <w:rFonts w:ascii="Times New Roman" w:hAnsi="Times New Roman" w:cs="Times New Roman"/>
          <w:lang w:val="vi-VN"/>
        </w:rPr>
        <w:t xml:space="preserve"> </w:t>
      </w:r>
      <w:r w:rsidRPr="004D4FEC">
        <w:rPr>
          <w:rFonts w:ascii="Times New Roman" w:hAnsi="Times New Roman" w:cs="Times New Roman"/>
          <w:lang w:val="en-IN"/>
        </w:rPr>
        <w:t>The total export and import turnover of goods in six months of 2025 amounted to 432.41 billion USD, going up 16.2% year-on-year, of which exports reached 220.18 billion USD, increasing by 14.6%; imports reached 212.23 billion USD, increasing by 17,9%.</w:t>
      </w:r>
    </w:p>
  </w:footnote>
  <w:footnote w:id="22">
    <w:p w14:paraId="22DB0A18" w14:textId="77777777" w:rsidR="00AB6596" w:rsidRPr="006D4158" w:rsidRDefault="00AB6596" w:rsidP="00AB6596">
      <w:pPr>
        <w:pStyle w:val="FootnoteText"/>
        <w:spacing w:after="60"/>
        <w:jc w:val="both"/>
        <w:rPr>
          <w:rFonts w:ascii="Times New Roman" w:hAnsi="Times New Roman" w:cs="Times New Roman"/>
        </w:rPr>
      </w:pPr>
      <w:r w:rsidRPr="005A7318">
        <w:rPr>
          <w:rStyle w:val="FootnoteReference"/>
        </w:rPr>
        <w:footnoteRef/>
      </w:r>
      <w:r w:rsidRPr="005A7318">
        <w:t xml:space="preserve"> </w:t>
      </w:r>
      <w:r w:rsidRPr="006E6EF6">
        <w:rPr>
          <w:rFonts w:ascii="Times New Roman" w:hAnsi="Times New Roman" w:cs="Times New Roman"/>
          <w:spacing w:val="-2"/>
        </w:rPr>
        <w:t xml:space="preserve">Commodity groups with high import deficits: </w:t>
      </w:r>
      <w:r w:rsidRPr="001A6E58">
        <w:rPr>
          <w:rFonts w:ascii="Times New Roman" w:hAnsi="Times New Roman" w:cs="Times New Roman"/>
          <w:spacing w:val="-2"/>
        </w:rPr>
        <w:t>Electronic goods, computers and their parts</w:t>
      </w:r>
      <w:r w:rsidRPr="006E6EF6">
        <w:rPr>
          <w:rFonts w:ascii="Times New Roman" w:hAnsi="Times New Roman" w:cs="Times New Roman"/>
          <w:spacing w:val="-2"/>
        </w:rPr>
        <w:t xml:space="preserve"> 38.9 billion USD; petroleum products 5.2 billion USD; plastic materials 5.0 billion USD; coal of all kinds 4.5 billion USD; other base metals 4.4 billion USD; crude oil 3.9 billion USD; chemicals 3.2 billion USD; ch</w:t>
      </w:r>
      <w:r>
        <w:rPr>
          <w:rFonts w:ascii="Times New Roman" w:hAnsi="Times New Roman" w:cs="Times New Roman"/>
          <w:spacing w:val="-2"/>
        </w:rPr>
        <w:t>emical products 2.9 billion USD</w:t>
      </w:r>
      <w:r w:rsidRPr="006D4158">
        <w:rPr>
          <w:rFonts w:ascii="Times New Roman" w:hAnsi="Times New Roman" w:cs="Times New Roman"/>
          <w:spacing w:val="-2"/>
        </w:rPr>
        <w:t>.</w:t>
      </w:r>
    </w:p>
  </w:footnote>
  <w:footnote w:id="23">
    <w:p w14:paraId="3BD480FD" w14:textId="77777777" w:rsidR="00293D3E" w:rsidRPr="00EF7BEA" w:rsidRDefault="00293D3E" w:rsidP="00293D3E">
      <w:pPr>
        <w:pStyle w:val="FootnoteText"/>
        <w:jc w:val="both"/>
        <w:rPr>
          <w:rFonts w:ascii="Times New Roman" w:hAnsi="Times New Roman" w:cs="Times New Roman"/>
          <w:lang w:val="en-US"/>
        </w:rPr>
      </w:pPr>
      <w:r w:rsidRPr="00EF7BEA">
        <w:rPr>
          <w:rStyle w:val="FootnoteReference"/>
          <w:rFonts w:ascii="Times New Roman" w:hAnsi="Times New Roman"/>
        </w:rPr>
        <w:footnoteRef/>
      </w:r>
      <w:r w:rsidRPr="00EF7BEA">
        <w:rPr>
          <w:rFonts w:ascii="Times New Roman" w:hAnsi="Times New Roman" w:cs="Times New Roman"/>
        </w:rPr>
        <w:t xml:space="preserve"> The CPI after excluding the prices of fresh food, foodstuff, energy, and State-managed goods, which include healthcare and education services.  </w:t>
      </w:r>
    </w:p>
  </w:footnote>
  <w:footnote w:id="24">
    <w:p w14:paraId="62653EA7" w14:textId="131C6432" w:rsidR="00293D3E" w:rsidRPr="00F4011A" w:rsidRDefault="00293D3E" w:rsidP="00293D3E">
      <w:pPr>
        <w:pStyle w:val="FootnoteText"/>
        <w:rPr>
          <w:rFonts w:ascii="Times New Roman" w:hAnsi="Times New Roman" w:cs="Times New Roman"/>
          <w:lang w:val="en-US"/>
        </w:rPr>
      </w:pPr>
      <w:r w:rsidRPr="00F4011A">
        <w:rPr>
          <w:rStyle w:val="FootnoteReference"/>
          <w:rFonts w:ascii="Times New Roman" w:hAnsi="Times New Roman"/>
        </w:rPr>
        <w:footnoteRef/>
      </w:r>
      <w:r w:rsidRPr="00F4011A">
        <w:rPr>
          <w:rFonts w:ascii="Times New Roman" w:hAnsi="Times New Roman" w:cs="Times New Roman"/>
        </w:rPr>
        <w:t xml:space="preserve"> The main reason was the significant fluctuations in prices of </w:t>
      </w:r>
      <w:r w:rsidR="004D4FEC">
        <w:rPr>
          <w:rFonts w:ascii="Times New Roman" w:hAnsi="Times New Roman" w:cs="Times New Roman"/>
        </w:rPr>
        <w:t>petroleum</w:t>
      </w:r>
      <w:r w:rsidRPr="00F4011A">
        <w:rPr>
          <w:rFonts w:ascii="Times New Roman" w:hAnsi="Times New Roman" w:cs="Times New Roman"/>
        </w:rPr>
        <w:t>, gas, and food that caused an increase in the overall CPI, were excluded from the calculation of core inflation.</w:t>
      </w:r>
    </w:p>
  </w:footnote>
  <w:footnote w:id="25">
    <w:p w14:paraId="5DB2F9AC" w14:textId="77777777" w:rsidR="00952E28" w:rsidRPr="006F40E5" w:rsidRDefault="00952E28" w:rsidP="00952E28">
      <w:pPr>
        <w:pStyle w:val="FootnoteText"/>
        <w:rPr>
          <w:lang w:val="en-US"/>
        </w:rPr>
      </w:pPr>
      <w:r>
        <w:rPr>
          <w:rStyle w:val="FootnoteReference"/>
        </w:rPr>
        <w:footnoteRef/>
      </w:r>
      <w:r>
        <w:t xml:space="preserve"> </w:t>
      </w:r>
      <w:r w:rsidRPr="00A32988">
        <w:rPr>
          <w:rFonts w:ascii="Times New Roman" w:hAnsi="Times New Roman" w:cs="Times New Roman"/>
          <w:shd w:val="clear" w:color="auto" w:fill="FFFFFF"/>
          <w:lang w:val="vi-VN"/>
        </w:rPr>
        <w:t>Underemployed persons at working age include employed persons who want to work overtime; are willing to work overtime; and actually work less than 35 hours/week.</w:t>
      </w:r>
    </w:p>
  </w:footnote>
  <w:footnote w:id="26">
    <w:p w14:paraId="36212F2D" w14:textId="77777777" w:rsidR="00952E28" w:rsidRPr="00F34C1D" w:rsidRDefault="00952E28" w:rsidP="00952E28">
      <w:pPr>
        <w:pStyle w:val="FootnoteText"/>
        <w:rPr>
          <w:lang w:val="en-US"/>
        </w:rPr>
      </w:pPr>
      <w:r>
        <w:rPr>
          <w:rStyle w:val="FootnoteReference"/>
        </w:rPr>
        <w:footnoteRef/>
      </w:r>
      <w:r>
        <w:t xml:space="preserve"> </w:t>
      </w:r>
      <w:r>
        <w:rPr>
          <w:rFonts w:ascii="Times New Roman" w:hAnsi="Times New Roman" w:cs="Times New Roman"/>
          <w:shd w:val="clear" w:color="auto" w:fill="FFFFFF"/>
          <w:lang w:val="vi-VN"/>
        </w:rPr>
        <w:t xml:space="preserve">This is because in </w:t>
      </w:r>
      <w:r w:rsidRPr="005723EB">
        <w:rPr>
          <w:rFonts w:ascii="Times New Roman" w:hAnsi="Times New Roman" w:cs="Times New Roman"/>
          <w:shd w:val="clear" w:color="auto" w:fill="FFFFFF"/>
          <w:lang w:val="vi-VN"/>
        </w:rPr>
        <w:t>Q1, workers received additional income from Tet (New Year) bonuses.</w:t>
      </w:r>
    </w:p>
  </w:footnote>
  <w:footnote w:id="27">
    <w:p w14:paraId="321B9635" w14:textId="77777777" w:rsidR="00952E28" w:rsidRPr="00C96CC7" w:rsidRDefault="00952E28" w:rsidP="00952E28">
      <w:pPr>
        <w:pStyle w:val="FootnoteText"/>
        <w:rPr>
          <w:lang w:val="en-US"/>
        </w:rPr>
      </w:pPr>
      <w:r>
        <w:rPr>
          <w:rStyle w:val="FootnoteReference"/>
        </w:rPr>
        <w:footnoteRef/>
      </w:r>
      <w:r>
        <w:t xml:space="preserve"> </w:t>
      </w:r>
      <w:r w:rsidRPr="00C96CC7">
        <w:rPr>
          <w:rFonts w:ascii="Times New Roman" w:hAnsi="Times New Roman" w:cs="Times New Roman"/>
          <w:bCs/>
        </w:rPr>
        <w:t>According to local reports.</w:t>
      </w:r>
    </w:p>
  </w:footnote>
  <w:footnote w:id="28">
    <w:p w14:paraId="675E4652" w14:textId="77777777" w:rsidR="00952E28" w:rsidRPr="00813471" w:rsidRDefault="00952E28" w:rsidP="00952E28">
      <w:pPr>
        <w:pStyle w:val="FootnoteText"/>
        <w:rPr>
          <w:lang w:val="en-US"/>
        </w:rPr>
      </w:pPr>
      <w:r>
        <w:rPr>
          <w:rStyle w:val="FootnoteReference"/>
        </w:rPr>
        <w:footnoteRef/>
      </w:r>
      <w:r>
        <w:t xml:space="preserve"> </w:t>
      </w:r>
      <w:r w:rsidRPr="009460AE">
        <w:rPr>
          <w:rFonts w:ascii="Times New Roman" w:hAnsi="Times New Roman" w:cs="Times New Roman"/>
        </w:rPr>
        <w:t>https://baochinhphu.vn/quyet-tam-tim-kiem-quy-tap-3000-hai-cot-liet-si-trong-nam-2026-102260625130946331.htm</w:t>
      </w:r>
      <w:r w:rsidRPr="00350A48">
        <w:rPr>
          <w:rFonts w:ascii="Times New Roman" w:hAnsi="Times New Roman" w:cs="Times New Roman"/>
        </w:rPr>
        <w:t xml:space="preserve"> (</w:t>
      </w:r>
      <w:r w:rsidRPr="000524C5">
        <w:rPr>
          <w:rFonts w:ascii="Times New Roman" w:hAnsi="Times New Roman" w:cs="Times New Roman"/>
        </w:rPr>
        <w:t xml:space="preserve">accessed </w:t>
      </w:r>
      <w:r>
        <w:rPr>
          <w:rFonts w:ascii="Times New Roman" w:hAnsi="Times New Roman" w:cs="Times New Roman"/>
        </w:rPr>
        <w:t xml:space="preserve">at 17:30, on </w:t>
      </w:r>
      <w:r w:rsidRPr="000524C5">
        <w:rPr>
          <w:rFonts w:ascii="Times New Roman" w:hAnsi="Times New Roman" w:cs="Times New Roman"/>
        </w:rPr>
        <w:t>27</w:t>
      </w:r>
      <w:r w:rsidRPr="000524C5">
        <w:rPr>
          <w:rFonts w:ascii="Times New Roman" w:hAnsi="Times New Roman" w:cs="Times New Roman"/>
          <w:vertAlign w:val="superscript"/>
        </w:rPr>
        <w:t>t</w:t>
      </w:r>
      <w:r>
        <w:rPr>
          <w:rFonts w:ascii="Times New Roman" w:hAnsi="Times New Roman" w:cs="Times New Roman"/>
          <w:vertAlign w:val="superscript"/>
        </w:rPr>
        <w:t xml:space="preserve">h </w:t>
      </w:r>
      <w:r w:rsidRPr="000524C5">
        <w:rPr>
          <w:rFonts w:ascii="Times New Roman" w:hAnsi="Times New Roman" w:cs="Times New Roman"/>
        </w:rPr>
        <w:t>June 2026</w:t>
      </w:r>
      <w:r w:rsidRPr="00350A48">
        <w:rPr>
          <w:rFonts w:ascii="Times New Roman" w:hAnsi="Times New Roman" w:cs="Times New Roman"/>
        </w:rPr>
        <w:t>)</w:t>
      </w:r>
    </w:p>
  </w:footnote>
  <w:footnote w:id="29">
    <w:p w14:paraId="26BC942D" w14:textId="77777777" w:rsidR="00952E28" w:rsidRPr="00C85504" w:rsidRDefault="00952E28" w:rsidP="00952E28">
      <w:pPr>
        <w:pStyle w:val="FootnoteText"/>
        <w:rPr>
          <w:lang w:val="en-US"/>
        </w:rPr>
      </w:pPr>
      <w:r>
        <w:rPr>
          <w:rStyle w:val="FootnoteReference"/>
        </w:rPr>
        <w:footnoteRef/>
      </w:r>
      <w:r>
        <w:t xml:space="preserve"> </w:t>
      </w:r>
      <w:r w:rsidRPr="00BA79E0">
        <w:rPr>
          <w:rFonts w:ascii="Times New Roman" w:hAnsi="Times New Roman" w:cs="Times New Roman"/>
        </w:rPr>
        <w:t>On 11</w:t>
      </w:r>
      <w:r>
        <w:rPr>
          <w:rFonts w:ascii="Times New Roman" w:hAnsi="Times New Roman" w:cs="Times New Roman"/>
          <w:vertAlign w:val="superscript"/>
        </w:rPr>
        <w:t>th</w:t>
      </w:r>
      <w:r w:rsidRPr="00BA79E0">
        <w:rPr>
          <w:rFonts w:ascii="Times New Roman" w:hAnsi="Times New Roman" w:cs="Times New Roman"/>
        </w:rPr>
        <w:t xml:space="preserve"> June 2026, the State President issued Decision No. 885/QĐ-CTN on presenting gifts on the occasion of the 79</w:t>
      </w:r>
      <w:r w:rsidRPr="00BA79E0">
        <w:rPr>
          <w:rFonts w:ascii="Times New Roman" w:hAnsi="Times New Roman" w:cs="Times New Roman"/>
          <w:vertAlign w:val="superscript"/>
        </w:rPr>
        <w:t>th</w:t>
      </w:r>
      <w:r w:rsidRPr="00BA79E0">
        <w:rPr>
          <w:rFonts w:ascii="Times New Roman" w:hAnsi="Times New Roman" w:cs="Times New Roman"/>
        </w:rPr>
        <w:t xml:space="preserve"> anniversary of Invalids and Martyrs' Day (27</w:t>
      </w:r>
      <w:r>
        <w:rPr>
          <w:rFonts w:ascii="Times New Roman" w:hAnsi="Times New Roman" w:cs="Times New Roman"/>
          <w:vertAlign w:val="superscript"/>
        </w:rPr>
        <w:t>th</w:t>
      </w:r>
      <w:r>
        <w:rPr>
          <w:rFonts w:ascii="Times New Roman" w:hAnsi="Times New Roman" w:cs="Times New Roman"/>
        </w:rPr>
        <w:t xml:space="preserve"> July 1947 -</w:t>
      </w:r>
      <w:r w:rsidRPr="00BA79E0">
        <w:rPr>
          <w:rFonts w:ascii="Times New Roman" w:hAnsi="Times New Roman" w:cs="Times New Roman"/>
        </w:rPr>
        <w:t xml:space="preserve"> 27</w:t>
      </w:r>
      <w:r>
        <w:rPr>
          <w:rFonts w:ascii="Times New Roman" w:hAnsi="Times New Roman" w:cs="Times New Roman"/>
          <w:vertAlign w:val="superscript"/>
        </w:rPr>
        <w:t>th</w:t>
      </w:r>
      <w:r w:rsidRPr="00BA79E0">
        <w:rPr>
          <w:rFonts w:ascii="Times New Roman" w:hAnsi="Times New Roman" w:cs="Times New Roman"/>
        </w:rPr>
        <w:t xml:space="preserve"> July 2026), with two gift levels of 600,000 VND and 300,000 VND designated for eligible recipients. The Ministry of Home Affairs submitted a draft proposal to adjust and increase the standard allowance to 3,012,000 VND (an 8% increase from the previous level of 2,789,000 VND), effective from 1</w:t>
      </w:r>
      <w:r>
        <w:rPr>
          <w:rFonts w:ascii="Times New Roman" w:hAnsi="Times New Roman" w:cs="Times New Roman"/>
          <w:vertAlign w:val="superscript"/>
        </w:rPr>
        <w:t>st</w:t>
      </w:r>
      <w:r w:rsidRPr="00BA79E0">
        <w:rPr>
          <w:rFonts w:ascii="Times New Roman" w:hAnsi="Times New Roman" w:cs="Times New Roman"/>
        </w:rPr>
        <w:t xml:space="preserve"> July 2026. Accordingly, monthly allowances and subsidies for </w:t>
      </w:r>
      <w:r>
        <w:rPr>
          <w:rFonts w:ascii="Times New Roman" w:hAnsi="Times New Roman" w:cs="Times New Roman"/>
        </w:rPr>
        <w:t>national devotees and their relatives</w:t>
      </w:r>
      <w:r w:rsidRPr="00BA79E0">
        <w:rPr>
          <w:rFonts w:ascii="Times New Roman" w:hAnsi="Times New Roman" w:cs="Times New Roman"/>
        </w:rPr>
        <w:t xml:space="preserve"> will be increased to ensure their well-being.</w:t>
      </w:r>
    </w:p>
  </w:footnote>
  <w:footnote w:id="30">
    <w:p w14:paraId="2B62DD0B" w14:textId="77777777" w:rsidR="00E03741" w:rsidRPr="00A27091" w:rsidRDefault="00E03741" w:rsidP="00E03741">
      <w:pPr>
        <w:pStyle w:val="FootnoteText"/>
        <w:rPr>
          <w:color w:val="000000" w:themeColor="text1"/>
          <w:lang w:val="vi-VN"/>
        </w:rPr>
      </w:pPr>
      <w:r w:rsidRPr="00DE4050">
        <w:rPr>
          <w:rStyle w:val="FootnoteReference"/>
          <w:rFonts w:ascii="Times New Roman" w:hAnsi="Times New Roman"/>
          <w:color w:val="000000" w:themeColor="text1"/>
        </w:rPr>
        <w:footnoteRef/>
      </w:r>
      <w:r w:rsidRPr="00DE4050">
        <w:rPr>
          <w:rFonts w:ascii="Times New Roman" w:hAnsi="Times New Roman" w:cs="Times New Roman"/>
          <w:color w:val="000000" w:themeColor="text1"/>
        </w:rPr>
        <w:t xml:space="preserve"> </w:t>
      </w:r>
      <w:r w:rsidRPr="00744B80">
        <w:rPr>
          <w:rFonts w:ascii="Times New Roman" w:hAnsi="Times New Roman" w:cs="Times New Roman"/>
          <w:color w:val="000000" w:themeColor="text1"/>
        </w:rPr>
        <w:t>According to estimates from the Ministry of Education and Training (MoET)</w:t>
      </w:r>
      <w:r>
        <w:rPr>
          <w:rFonts w:ascii="Times New Roman" w:hAnsi="Times New Roman" w:cs="Times New Roman"/>
          <w:color w:val="000000" w:themeColor="text1"/>
        </w:rPr>
        <w:t xml:space="preserve">. </w:t>
      </w:r>
    </w:p>
  </w:footnote>
  <w:footnote w:id="31">
    <w:p w14:paraId="0AC6BC53" w14:textId="77777777" w:rsidR="00E03741" w:rsidRPr="001B2442" w:rsidRDefault="00E03741" w:rsidP="00E03741">
      <w:pPr>
        <w:pStyle w:val="FootnoteText"/>
        <w:rPr>
          <w:lang w:val="de-DE"/>
        </w:rPr>
      </w:pPr>
      <w:r w:rsidRPr="005031DA">
        <w:rPr>
          <w:rStyle w:val="FootnoteReference"/>
          <w:rFonts w:ascii="Times New Roman" w:hAnsi="Times New Roman"/>
        </w:rPr>
        <w:footnoteRef/>
      </w:r>
      <w:r w:rsidRPr="005031DA">
        <w:rPr>
          <w:rFonts w:ascii="Times New Roman" w:hAnsi="Times New Roman" w:cs="Times New Roman"/>
          <w:lang w:val="de-DE"/>
        </w:rPr>
        <w:t xml:space="preserve"> </w:t>
      </w:r>
      <w:r w:rsidRPr="00977517">
        <w:rPr>
          <w:rFonts w:ascii="Times New Roman" w:hAnsi="Times New Roman" w:cs="Times New Roman"/>
          <w:lang w:val="de-DE"/>
        </w:rPr>
        <w:t>According to the report of the Ministry of Health</w:t>
      </w:r>
      <w:r>
        <w:rPr>
          <w:rFonts w:ascii="Times New Roman" w:hAnsi="Times New Roman" w:cs="Times New Roman"/>
          <w:lang w:val="de-DE"/>
        </w:rPr>
        <w:t>.</w:t>
      </w:r>
    </w:p>
  </w:footnote>
  <w:footnote w:id="32">
    <w:p w14:paraId="05338104" w14:textId="77777777" w:rsidR="00E03741" w:rsidRPr="000A7CC5" w:rsidRDefault="00E03741" w:rsidP="00E03741">
      <w:pPr>
        <w:pStyle w:val="FootnoteText"/>
        <w:spacing w:after="40"/>
        <w:ind w:left="198" w:hanging="198"/>
        <w:jc w:val="both"/>
        <w:rPr>
          <w:rFonts w:ascii="Times New Roman" w:hAnsi="Times New Roman" w:cs="Times New Roman"/>
        </w:rPr>
      </w:pPr>
      <w:r w:rsidRPr="00B76F1F">
        <w:rPr>
          <w:rStyle w:val="FootnoteReference"/>
          <w:rFonts w:ascii="Times New Roman" w:hAnsi="Times New Roman"/>
        </w:rPr>
        <w:footnoteRef/>
      </w:r>
      <w:r w:rsidRPr="00B76F1F">
        <w:rPr>
          <w:rFonts w:ascii="Times New Roman" w:hAnsi="Times New Roman" w:cs="Times New Roman"/>
        </w:rPr>
        <w:t xml:space="preserve"> </w:t>
      </w:r>
      <w:r w:rsidRPr="000A7CC5">
        <w:rPr>
          <w:rFonts w:ascii="Times New Roman" w:hAnsi="Times New Roman" w:cs="Times New Roman"/>
        </w:rPr>
        <w:t xml:space="preserve">These included the series of traditional craft experience activities in Ha Noi Old Quarter; exhibitions such as “The Story of Vietnamese Lacquer”, “The Flow of Vietnamese Lacquer: From Heritage to Contemporary Art”, and “Born from Dó”; the “Weaving New Colours from Old Traditions” event held at the Ha Noi Museum; large-scale programmes such as Symphony of the Nation and Echoes of the Fatherland; activities marking the Hung Kings' Commemoration Day and the Ancestral Land Culture and Tourism Week; the Sen Village Festival in Nghe An, the Sen (Lotus) Festival in Dong Thap, the Hai Phong Red Flamboyant Flower Festival, and the Ninh Binh Tourism Week. </w:t>
      </w:r>
    </w:p>
  </w:footnote>
  <w:footnote w:id="33">
    <w:p w14:paraId="23E92729" w14:textId="77777777" w:rsidR="00E03741" w:rsidRPr="00B76F1F" w:rsidRDefault="00E03741" w:rsidP="00E03741">
      <w:pPr>
        <w:pStyle w:val="FootnoteText"/>
        <w:spacing w:after="40"/>
        <w:ind w:left="198" w:hanging="198"/>
        <w:jc w:val="both"/>
        <w:rPr>
          <w:rFonts w:ascii="Times New Roman" w:hAnsi="Times New Roman" w:cs="Times New Roman"/>
          <w:lang w:val="vi-VN"/>
        </w:rPr>
      </w:pPr>
      <w:r w:rsidRPr="000A7CC5">
        <w:rPr>
          <w:rStyle w:val="FootnoteReference"/>
          <w:rFonts w:ascii="Times New Roman" w:hAnsi="Times New Roman"/>
        </w:rPr>
        <w:footnoteRef/>
      </w:r>
      <w:r w:rsidRPr="000A7CC5">
        <w:rPr>
          <w:rFonts w:ascii="Times New Roman" w:hAnsi="Times New Roman" w:cs="Times New Roman"/>
          <w:lang w:val="vi-VN"/>
        </w:rPr>
        <w:t xml:space="preserve"> According to a quick report from the Office of the </w:t>
      </w:r>
      <w:r>
        <w:rPr>
          <w:rFonts w:ascii="Times New Roman" w:hAnsi="Times New Roman" w:cs="Times New Roman"/>
          <w:lang w:val="vi-VN"/>
        </w:rPr>
        <w:t>Ministry of Public Security and the Viet</w:t>
      </w:r>
      <w:r>
        <w:rPr>
          <w:rFonts w:ascii="Times New Roman" w:hAnsi="Times New Roman" w:cs="Times New Roman"/>
          <w:lang w:val="en-US"/>
        </w:rPr>
        <w:t xml:space="preserve"> N</w:t>
      </w:r>
      <w:r>
        <w:rPr>
          <w:rFonts w:ascii="Times New Roman" w:hAnsi="Times New Roman" w:cs="Times New Roman"/>
          <w:lang w:val="vi-VN"/>
        </w:rPr>
        <w:t xml:space="preserve">am Maritime and Waterways Administration (Ministry of Construction) on </w:t>
      </w:r>
      <w:r>
        <w:rPr>
          <w:rFonts w:ascii="Times New Roman" w:hAnsi="Times New Roman" w:cs="Times New Roman"/>
          <w:lang w:val="en-US"/>
        </w:rPr>
        <w:t>June</w:t>
      </w:r>
      <w:r>
        <w:rPr>
          <w:rFonts w:ascii="Times New Roman" w:hAnsi="Times New Roman" w:cs="Times New Roman"/>
          <w:lang w:val="vi-VN"/>
        </w:rPr>
        <w:t xml:space="preserve"> 2</w:t>
      </w:r>
      <w:r>
        <w:rPr>
          <w:rFonts w:ascii="Times New Roman" w:hAnsi="Times New Roman" w:cs="Times New Roman"/>
          <w:lang w:val="en-US"/>
        </w:rPr>
        <w:t>3</w:t>
      </w:r>
      <w:r>
        <w:rPr>
          <w:rFonts w:ascii="Times New Roman" w:hAnsi="Times New Roman" w:cs="Times New Roman"/>
          <w:vertAlign w:val="superscript"/>
          <w:lang w:val="en-US"/>
        </w:rPr>
        <w:t>rd</w:t>
      </w:r>
      <w:r>
        <w:rPr>
          <w:rFonts w:ascii="Times New Roman" w:hAnsi="Times New Roman" w:cs="Times New Roman"/>
          <w:lang w:val="vi-VN"/>
        </w:rPr>
        <w:t>, 202</w:t>
      </w:r>
      <w:r>
        <w:rPr>
          <w:rFonts w:ascii="Times New Roman" w:hAnsi="Times New Roman" w:cs="Times New Roman"/>
          <w:lang w:val="en-US"/>
        </w:rPr>
        <w:t>6</w:t>
      </w:r>
      <w:r w:rsidRPr="00B76F1F">
        <w:rPr>
          <w:rFonts w:ascii="Times New Roman" w:hAnsi="Times New Roman" w:cs="Times New Roman"/>
          <w:lang w:val="vi-VN"/>
        </w:rPr>
        <w:t>.</w:t>
      </w:r>
    </w:p>
  </w:footnote>
  <w:footnote w:id="34">
    <w:p w14:paraId="429005EB" w14:textId="77777777" w:rsidR="00E03741" w:rsidRPr="005A7318" w:rsidRDefault="00E03741" w:rsidP="00E03741">
      <w:pPr>
        <w:pStyle w:val="FootnoteText"/>
        <w:spacing w:after="60"/>
        <w:ind w:left="198" w:hanging="198"/>
        <w:jc w:val="both"/>
        <w:rPr>
          <w:rFonts w:ascii="Times New Roman" w:hAnsi="Times New Roman" w:cs="Times New Roman"/>
        </w:rPr>
      </w:pPr>
      <w:r w:rsidRPr="005A7318">
        <w:rPr>
          <w:rStyle w:val="FootnoteReference"/>
          <w:rFonts w:ascii="Times New Roman" w:hAnsi="Times New Roman"/>
        </w:rPr>
        <w:footnoteRef/>
      </w:r>
      <w:r w:rsidRPr="005A7318">
        <w:rPr>
          <w:rFonts w:ascii="Times New Roman" w:hAnsi="Times New Roman" w:cs="Times New Roman"/>
        </w:rPr>
        <w:t xml:space="preserve"> </w:t>
      </w:r>
      <w:r>
        <w:rPr>
          <w:rFonts w:ascii="Times New Roman" w:hAnsi="Times New Roman" w:cs="Times New Roman"/>
          <w:color w:val="000000" w:themeColor="text1"/>
          <w:spacing w:val="-2"/>
        </w:rPr>
        <w:t xml:space="preserve">Compiled </w:t>
      </w:r>
      <w:r>
        <w:rPr>
          <w:rFonts w:ascii="Times New Roman" w:hAnsi="Times New Roman" w:cs="Times New Roman"/>
          <w:color w:val="000000" w:themeColor="text1"/>
        </w:rPr>
        <w:t>from reports submitted by</w:t>
      </w:r>
      <w:r w:rsidRPr="00E72006">
        <w:rPr>
          <w:rFonts w:ascii="Times New Roman" w:hAnsi="Times New Roman" w:cs="Times New Roman"/>
          <w:color w:val="000000" w:themeColor="text1"/>
        </w:rPr>
        <w:t xml:space="preserve"> 34 </w:t>
      </w:r>
      <w:r>
        <w:rPr>
          <w:rFonts w:ascii="Times New Roman" w:hAnsi="Times New Roman" w:cs="Times New Roman"/>
          <w:color w:val="000000" w:themeColor="text1"/>
        </w:rPr>
        <w:t>Provincial Departments of Agriculture and Environment</w:t>
      </w:r>
      <w:r>
        <w:rPr>
          <w:rFonts w:ascii="Times New Roman" w:hAnsi="Times New Roman" w:cs="Times New Roman"/>
          <w:color w:val="000000" w:themeColor="text1"/>
          <w:spacing w:val="-2"/>
        </w:rPr>
        <w:t>, reporting period from May 22</w:t>
      </w:r>
      <w:r>
        <w:rPr>
          <w:rFonts w:ascii="Times New Roman" w:hAnsi="Times New Roman" w:cs="Times New Roman"/>
          <w:color w:val="000000" w:themeColor="text1"/>
          <w:spacing w:val="-2"/>
          <w:vertAlign w:val="superscript"/>
        </w:rPr>
        <w:t>nd</w:t>
      </w:r>
      <w:r>
        <w:rPr>
          <w:rFonts w:ascii="Times New Roman" w:hAnsi="Times New Roman" w:cs="Times New Roman"/>
          <w:color w:val="000000" w:themeColor="text1"/>
          <w:spacing w:val="-2"/>
        </w:rPr>
        <w:t xml:space="preserve"> to June 23</w:t>
      </w:r>
      <w:r>
        <w:rPr>
          <w:rFonts w:ascii="Times New Roman" w:hAnsi="Times New Roman" w:cs="Times New Roman"/>
          <w:color w:val="000000" w:themeColor="text1"/>
          <w:spacing w:val="-2"/>
          <w:vertAlign w:val="superscript"/>
        </w:rPr>
        <w:t>rd</w:t>
      </w:r>
      <w:r>
        <w:rPr>
          <w:rFonts w:ascii="Times New Roman" w:hAnsi="Times New Roman" w:cs="Times New Roman"/>
          <w:color w:val="000000" w:themeColor="text1"/>
          <w:spacing w:val="-2"/>
        </w:rPr>
        <w:t>, 2026</w:t>
      </w:r>
      <w:r w:rsidRPr="005A7318">
        <w:rPr>
          <w:rFonts w:ascii="Times New Roman" w:hAnsi="Times New Roman" w:cs="Times New Roman"/>
        </w:rPr>
        <w:t>.</w:t>
      </w:r>
    </w:p>
  </w:footnote>
  <w:footnote w:id="35">
    <w:p w14:paraId="2A3FE0CA" w14:textId="77777777" w:rsidR="00E03741" w:rsidRPr="005A7318" w:rsidRDefault="00E03741" w:rsidP="00E03741">
      <w:pPr>
        <w:pStyle w:val="FootnoteText"/>
        <w:spacing w:after="60"/>
        <w:ind w:left="198" w:hanging="198"/>
        <w:jc w:val="both"/>
        <w:rPr>
          <w:rFonts w:ascii="Times New Roman" w:hAnsi="Times New Roman" w:cs="Times New Roman"/>
          <w:lang w:val="en-US"/>
        </w:rPr>
      </w:pPr>
      <w:r w:rsidRPr="005A7318">
        <w:rPr>
          <w:rStyle w:val="FootnoteReference"/>
          <w:rFonts w:ascii="Times New Roman" w:hAnsi="Times New Roman"/>
        </w:rPr>
        <w:footnoteRef/>
      </w:r>
      <w:r w:rsidRPr="005A7318">
        <w:rPr>
          <w:rFonts w:ascii="Times New Roman" w:hAnsi="Times New Roman" w:cs="Times New Roman"/>
        </w:rPr>
        <w:t xml:space="preserve"> </w:t>
      </w:r>
      <w:r>
        <w:rPr>
          <w:rFonts w:ascii="Times New Roman" w:hAnsi="Times New Roman" w:cs="Times New Roman"/>
          <w:color w:val="000000" w:themeColor="text1"/>
        </w:rPr>
        <w:t>According to data compiled by Provincial and centrally-governed cities Statistics Offices from the reports of Provincial Departments of Agriculture and Environment and Provincial Police Departments</w:t>
      </w:r>
      <w:r w:rsidRPr="005A7318">
        <w:rPr>
          <w:rFonts w:ascii="Times New Roman" w:hAnsi="Times New Roman" w:cs="Times New Roman"/>
          <w:lang w:val="de-DE"/>
        </w:rPr>
        <w:t>.</w:t>
      </w:r>
    </w:p>
  </w:footnote>
  <w:footnote w:id="36">
    <w:p w14:paraId="6F9F65BE" w14:textId="77777777" w:rsidR="00E03741" w:rsidRPr="00B76F1F" w:rsidRDefault="00E03741" w:rsidP="00E03741">
      <w:pPr>
        <w:pStyle w:val="FootnoteText"/>
        <w:spacing w:after="40"/>
        <w:ind w:left="198" w:hanging="198"/>
        <w:jc w:val="both"/>
        <w:rPr>
          <w:rFonts w:ascii="Times New Roman" w:hAnsi="Times New Roman" w:cs="Times New Roman"/>
          <w:lang w:val="vi-VN"/>
        </w:rPr>
      </w:pPr>
      <w:r w:rsidRPr="00B76F1F">
        <w:rPr>
          <w:rStyle w:val="FootnoteReference"/>
          <w:rFonts w:ascii="Times New Roman" w:hAnsi="Times New Roman"/>
        </w:rPr>
        <w:footnoteRef/>
      </w:r>
      <w:r w:rsidRPr="00B76F1F">
        <w:rPr>
          <w:rFonts w:ascii="Times New Roman" w:hAnsi="Times New Roman" w:cs="Times New Roman"/>
          <w:lang w:val="vi-VN"/>
        </w:rPr>
        <w:t xml:space="preserve"> </w:t>
      </w:r>
      <w:r>
        <w:rPr>
          <w:rFonts w:ascii="Times New Roman" w:hAnsi="Times New Roman" w:cs="Times New Roman"/>
          <w:color w:val="000000" w:themeColor="text1"/>
        </w:rPr>
        <w:t>According to a quick report from the Ministry of Public Security dated June 23</w:t>
      </w:r>
      <w:r>
        <w:rPr>
          <w:rFonts w:ascii="Times New Roman" w:hAnsi="Times New Roman" w:cs="Times New Roman"/>
          <w:color w:val="000000" w:themeColor="text1"/>
          <w:vertAlign w:val="superscript"/>
        </w:rPr>
        <w:t>rd</w:t>
      </w:r>
      <w:r>
        <w:rPr>
          <w:rFonts w:ascii="Times New Roman" w:hAnsi="Times New Roman" w:cs="Times New Roman"/>
          <w:color w:val="000000" w:themeColor="text1"/>
        </w:rPr>
        <w:t>, 2026</w:t>
      </w:r>
      <w:r w:rsidRPr="00B76F1F">
        <w:rPr>
          <w:rFonts w:ascii="Times New Roman" w:hAnsi="Times New Roman" w:cs="Times New Roman"/>
          <w:lang w:val="vi-V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EDC3" w14:textId="382778A7" w:rsidR="00FA1B36" w:rsidRPr="00913143" w:rsidRDefault="00FA1B36" w:rsidP="006B1758">
    <w:pPr>
      <w:pStyle w:val="Header"/>
      <w:framePr w:wrap="auto" w:vAnchor="text" w:hAnchor="margin" w:xAlign="center" w:y="1"/>
      <w:rPr>
        <w:rStyle w:val="PageNumber"/>
        <w:rFonts w:ascii="Times New Roman" w:hAnsi="Times New Roman"/>
        <w:sz w:val="26"/>
        <w:szCs w:val="26"/>
      </w:rPr>
    </w:pPr>
    <w:r w:rsidRPr="00913143">
      <w:rPr>
        <w:rStyle w:val="PageNumber"/>
        <w:rFonts w:ascii="Times New Roman" w:hAnsi="Times New Roman"/>
        <w:sz w:val="26"/>
        <w:szCs w:val="26"/>
      </w:rPr>
      <w:fldChar w:fldCharType="begin"/>
    </w:r>
    <w:r w:rsidRPr="00913143">
      <w:rPr>
        <w:rStyle w:val="PageNumber"/>
        <w:rFonts w:ascii="Times New Roman" w:hAnsi="Times New Roman"/>
        <w:sz w:val="26"/>
        <w:szCs w:val="26"/>
      </w:rPr>
      <w:instrText xml:space="preserve">PAGE  </w:instrText>
    </w:r>
    <w:r w:rsidRPr="00913143">
      <w:rPr>
        <w:rStyle w:val="PageNumber"/>
        <w:rFonts w:ascii="Times New Roman" w:hAnsi="Times New Roman"/>
        <w:sz w:val="26"/>
        <w:szCs w:val="26"/>
      </w:rPr>
      <w:fldChar w:fldCharType="separate"/>
    </w:r>
    <w:r w:rsidR="00BD70F0">
      <w:rPr>
        <w:rStyle w:val="PageNumber"/>
        <w:rFonts w:ascii="Times New Roman" w:hAnsi="Times New Roman"/>
        <w:noProof/>
        <w:sz w:val="26"/>
        <w:szCs w:val="26"/>
      </w:rPr>
      <w:t>17</w:t>
    </w:r>
    <w:r w:rsidRPr="00913143">
      <w:rPr>
        <w:rStyle w:val="PageNumber"/>
        <w:rFonts w:ascii="Times New Roman" w:hAnsi="Times New Roman"/>
        <w:sz w:val="26"/>
        <w:szCs w:val="26"/>
      </w:rPr>
      <w:fldChar w:fldCharType="end"/>
    </w:r>
  </w:p>
  <w:p w14:paraId="2A6E332C" w14:textId="77777777" w:rsidR="00FA1B36" w:rsidRDefault="00FA1B36">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122"/>
    <w:rsid w:val="00002626"/>
    <w:rsid w:val="00003A1F"/>
    <w:rsid w:val="00004203"/>
    <w:rsid w:val="0000550B"/>
    <w:rsid w:val="00005AE0"/>
    <w:rsid w:val="00005AF6"/>
    <w:rsid w:val="00005E0C"/>
    <w:rsid w:val="0000637E"/>
    <w:rsid w:val="00007290"/>
    <w:rsid w:val="000072FC"/>
    <w:rsid w:val="000076AF"/>
    <w:rsid w:val="000079ED"/>
    <w:rsid w:val="0001081E"/>
    <w:rsid w:val="00010BB1"/>
    <w:rsid w:val="00010F94"/>
    <w:rsid w:val="00012302"/>
    <w:rsid w:val="00012D5D"/>
    <w:rsid w:val="00014131"/>
    <w:rsid w:val="0001431E"/>
    <w:rsid w:val="0001653B"/>
    <w:rsid w:val="00016A14"/>
    <w:rsid w:val="000205E1"/>
    <w:rsid w:val="0002230C"/>
    <w:rsid w:val="000236B9"/>
    <w:rsid w:val="00023730"/>
    <w:rsid w:val="0002377A"/>
    <w:rsid w:val="000237E9"/>
    <w:rsid w:val="00024928"/>
    <w:rsid w:val="000313AD"/>
    <w:rsid w:val="00033536"/>
    <w:rsid w:val="00033ACE"/>
    <w:rsid w:val="00033F17"/>
    <w:rsid w:val="00034D85"/>
    <w:rsid w:val="00034F2D"/>
    <w:rsid w:val="00036172"/>
    <w:rsid w:val="000376EB"/>
    <w:rsid w:val="00037EBF"/>
    <w:rsid w:val="00040201"/>
    <w:rsid w:val="00040D5E"/>
    <w:rsid w:val="0004275D"/>
    <w:rsid w:val="000428A3"/>
    <w:rsid w:val="00044564"/>
    <w:rsid w:val="00047EB0"/>
    <w:rsid w:val="0005026A"/>
    <w:rsid w:val="00050A78"/>
    <w:rsid w:val="000514BD"/>
    <w:rsid w:val="00051CE8"/>
    <w:rsid w:val="00051E94"/>
    <w:rsid w:val="0005236F"/>
    <w:rsid w:val="00053265"/>
    <w:rsid w:val="00053528"/>
    <w:rsid w:val="0005354B"/>
    <w:rsid w:val="000538B3"/>
    <w:rsid w:val="00054BF4"/>
    <w:rsid w:val="0005564F"/>
    <w:rsid w:val="00055768"/>
    <w:rsid w:val="0005584C"/>
    <w:rsid w:val="000563F2"/>
    <w:rsid w:val="00056B62"/>
    <w:rsid w:val="00057AFE"/>
    <w:rsid w:val="00060D9D"/>
    <w:rsid w:val="00061C5E"/>
    <w:rsid w:val="00061E98"/>
    <w:rsid w:val="00062F56"/>
    <w:rsid w:val="000632D1"/>
    <w:rsid w:val="00063FD9"/>
    <w:rsid w:val="00064F41"/>
    <w:rsid w:val="00066342"/>
    <w:rsid w:val="000677EB"/>
    <w:rsid w:val="000678B2"/>
    <w:rsid w:val="00070AB9"/>
    <w:rsid w:val="00071ED2"/>
    <w:rsid w:val="00073019"/>
    <w:rsid w:val="0007337D"/>
    <w:rsid w:val="00073A43"/>
    <w:rsid w:val="00074BD1"/>
    <w:rsid w:val="00074F91"/>
    <w:rsid w:val="00075034"/>
    <w:rsid w:val="00075D36"/>
    <w:rsid w:val="00076A0D"/>
    <w:rsid w:val="00077440"/>
    <w:rsid w:val="00077FBC"/>
    <w:rsid w:val="000813EC"/>
    <w:rsid w:val="000829FF"/>
    <w:rsid w:val="000832C3"/>
    <w:rsid w:val="000842F6"/>
    <w:rsid w:val="00084521"/>
    <w:rsid w:val="00090301"/>
    <w:rsid w:val="00091B4A"/>
    <w:rsid w:val="000925D9"/>
    <w:rsid w:val="0009272E"/>
    <w:rsid w:val="00092D7F"/>
    <w:rsid w:val="00093B2F"/>
    <w:rsid w:val="000958DA"/>
    <w:rsid w:val="00095EA4"/>
    <w:rsid w:val="000976AE"/>
    <w:rsid w:val="00097926"/>
    <w:rsid w:val="00097A20"/>
    <w:rsid w:val="000A089F"/>
    <w:rsid w:val="000A0C71"/>
    <w:rsid w:val="000A1588"/>
    <w:rsid w:val="000A19BF"/>
    <w:rsid w:val="000A1DE1"/>
    <w:rsid w:val="000A2028"/>
    <w:rsid w:val="000A4BFE"/>
    <w:rsid w:val="000A5FFB"/>
    <w:rsid w:val="000A65ED"/>
    <w:rsid w:val="000A7907"/>
    <w:rsid w:val="000A79C2"/>
    <w:rsid w:val="000A7CC5"/>
    <w:rsid w:val="000B173B"/>
    <w:rsid w:val="000B280C"/>
    <w:rsid w:val="000B2A22"/>
    <w:rsid w:val="000B2DAB"/>
    <w:rsid w:val="000B33F6"/>
    <w:rsid w:val="000B7B53"/>
    <w:rsid w:val="000C016B"/>
    <w:rsid w:val="000C0F5B"/>
    <w:rsid w:val="000C19B1"/>
    <w:rsid w:val="000C19C2"/>
    <w:rsid w:val="000C1AFC"/>
    <w:rsid w:val="000C270E"/>
    <w:rsid w:val="000C39E4"/>
    <w:rsid w:val="000C3A72"/>
    <w:rsid w:val="000C3B2B"/>
    <w:rsid w:val="000C41F7"/>
    <w:rsid w:val="000C57B9"/>
    <w:rsid w:val="000C5E1D"/>
    <w:rsid w:val="000D28E4"/>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27"/>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4040"/>
    <w:rsid w:val="000F46C3"/>
    <w:rsid w:val="000F655B"/>
    <w:rsid w:val="000F6D48"/>
    <w:rsid w:val="000F6FF6"/>
    <w:rsid w:val="000F7B15"/>
    <w:rsid w:val="000F7DF2"/>
    <w:rsid w:val="0010001A"/>
    <w:rsid w:val="001008FE"/>
    <w:rsid w:val="001023CE"/>
    <w:rsid w:val="00102D0F"/>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4C0"/>
    <w:rsid w:val="00121590"/>
    <w:rsid w:val="00121AB4"/>
    <w:rsid w:val="001220DD"/>
    <w:rsid w:val="001252BD"/>
    <w:rsid w:val="00127194"/>
    <w:rsid w:val="0013094D"/>
    <w:rsid w:val="00130E7F"/>
    <w:rsid w:val="00131D2B"/>
    <w:rsid w:val="00133EAA"/>
    <w:rsid w:val="001343D3"/>
    <w:rsid w:val="00134B4A"/>
    <w:rsid w:val="001378E0"/>
    <w:rsid w:val="00137C9A"/>
    <w:rsid w:val="0014036D"/>
    <w:rsid w:val="00140B38"/>
    <w:rsid w:val="00140E07"/>
    <w:rsid w:val="00140F6C"/>
    <w:rsid w:val="00141B87"/>
    <w:rsid w:val="001425FD"/>
    <w:rsid w:val="00142BE0"/>
    <w:rsid w:val="00142DA8"/>
    <w:rsid w:val="001430E1"/>
    <w:rsid w:val="0014323D"/>
    <w:rsid w:val="0014459C"/>
    <w:rsid w:val="00144A29"/>
    <w:rsid w:val="00144F7C"/>
    <w:rsid w:val="00145054"/>
    <w:rsid w:val="00146FDE"/>
    <w:rsid w:val="00150ADE"/>
    <w:rsid w:val="00150B92"/>
    <w:rsid w:val="001518AA"/>
    <w:rsid w:val="00151E23"/>
    <w:rsid w:val="00152F6B"/>
    <w:rsid w:val="00154181"/>
    <w:rsid w:val="001541D9"/>
    <w:rsid w:val="00157091"/>
    <w:rsid w:val="001602EC"/>
    <w:rsid w:val="00160712"/>
    <w:rsid w:val="001608BD"/>
    <w:rsid w:val="001614AF"/>
    <w:rsid w:val="001615F9"/>
    <w:rsid w:val="00162B6E"/>
    <w:rsid w:val="001644E8"/>
    <w:rsid w:val="00164852"/>
    <w:rsid w:val="00164EC6"/>
    <w:rsid w:val="0016501B"/>
    <w:rsid w:val="001651D1"/>
    <w:rsid w:val="00167FC5"/>
    <w:rsid w:val="00170081"/>
    <w:rsid w:val="001706A3"/>
    <w:rsid w:val="00170BCE"/>
    <w:rsid w:val="00172979"/>
    <w:rsid w:val="00172A01"/>
    <w:rsid w:val="001730E9"/>
    <w:rsid w:val="00174075"/>
    <w:rsid w:val="001745F2"/>
    <w:rsid w:val="00174C68"/>
    <w:rsid w:val="0017700B"/>
    <w:rsid w:val="001772E0"/>
    <w:rsid w:val="00180553"/>
    <w:rsid w:val="00183934"/>
    <w:rsid w:val="00183A90"/>
    <w:rsid w:val="00183C10"/>
    <w:rsid w:val="0018553E"/>
    <w:rsid w:val="001859C1"/>
    <w:rsid w:val="00185E3C"/>
    <w:rsid w:val="0018650F"/>
    <w:rsid w:val="00186DFF"/>
    <w:rsid w:val="0019027E"/>
    <w:rsid w:val="00191684"/>
    <w:rsid w:val="00191876"/>
    <w:rsid w:val="001919F1"/>
    <w:rsid w:val="00191D87"/>
    <w:rsid w:val="0019386E"/>
    <w:rsid w:val="001950AD"/>
    <w:rsid w:val="001968F8"/>
    <w:rsid w:val="001A0220"/>
    <w:rsid w:val="001A05F5"/>
    <w:rsid w:val="001A1B20"/>
    <w:rsid w:val="001A26D2"/>
    <w:rsid w:val="001A2C20"/>
    <w:rsid w:val="001A51B7"/>
    <w:rsid w:val="001A6382"/>
    <w:rsid w:val="001A68A9"/>
    <w:rsid w:val="001A719F"/>
    <w:rsid w:val="001B02AB"/>
    <w:rsid w:val="001B0C76"/>
    <w:rsid w:val="001B2442"/>
    <w:rsid w:val="001B6FE4"/>
    <w:rsid w:val="001C06C8"/>
    <w:rsid w:val="001C09CE"/>
    <w:rsid w:val="001C1087"/>
    <w:rsid w:val="001C147A"/>
    <w:rsid w:val="001C216B"/>
    <w:rsid w:val="001C243B"/>
    <w:rsid w:val="001C2B9A"/>
    <w:rsid w:val="001C373B"/>
    <w:rsid w:val="001C3C0F"/>
    <w:rsid w:val="001C5B2B"/>
    <w:rsid w:val="001C5C1A"/>
    <w:rsid w:val="001C6A86"/>
    <w:rsid w:val="001C6EC2"/>
    <w:rsid w:val="001D14BE"/>
    <w:rsid w:val="001D1B1E"/>
    <w:rsid w:val="001D2307"/>
    <w:rsid w:val="001D2840"/>
    <w:rsid w:val="001D3415"/>
    <w:rsid w:val="001D45A7"/>
    <w:rsid w:val="001D67B9"/>
    <w:rsid w:val="001D6F9B"/>
    <w:rsid w:val="001D7200"/>
    <w:rsid w:val="001E1534"/>
    <w:rsid w:val="001E191A"/>
    <w:rsid w:val="001E1C5F"/>
    <w:rsid w:val="001E3339"/>
    <w:rsid w:val="001E4D83"/>
    <w:rsid w:val="001E5422"/>
    <w:rsid w:val="001E544B"/>
    <w:rsid w:val="001E55EC"/>
    <w:rsid w:val="001E5980"/>
    <w:rsid w:val="001E68FB"/>
    <w:rsid w:val="001F032E"/>
    <w:rsid w:val="001F13F4"/>
    <w:rsid w:val="001F1910"/>
    <w:rsid w:val="001F33FE"/>
    <w:rsid w:val="001F4B3F"/>
    <w:rsid w:val="001F67B3"/>
    <w:rsid w:val="001F74FF"/>
    <w:rsid w:val="002028A1"/>
    <w:rsid w:val="002028AC"/>
    <w:rsid w:val="00202DC8"/>
    <w:rsid w:val="002032BA"/>
    <w:rsid w:val="0020358C"/>
    <w:rsid w:val="00203D6D"/>
    <w:rsid w:val="00204518"/>
    <w:rsid w:val="0020501E"/>
    <w:rsid w:val="002050D7"/>
    <w:rsid w:val="00205EBD"/>
    <w:rsid w:val="002062C3"/>
    <w:rsid w:val="0020670B"/>
    <w:rsid w:val="002069AC"/>
    <w:rsid w:val="00210176"/>
    <w:rsid w:val="0021194F"/>
    <w:rsid w:val="00211A13"/>
    <w:rsid w:val="00211AE6"/>
    <w:rsid w:val="002124FC"/>
    <w:rsid w:val="00212A13"/>
    <w:rsid w:val="0022074F"/>
    <w:rsid w:val="0022078F"/>
    <w:rsid w:val="00220ED7"/>
    <w:rsid w:val="00221D5D"/>
    <w:rsid w:val="00222A2D"/>
    <w:rsid w:val="00223B69"/>
    <w:rsid w:val="002244A2"/>
    <w:rsid w:val="00224D01"/>
    <w:rsid w:val="00225605"/>
    <w:rsid w:val="0022589D"/>
    <w:rsid w:val="002267D6"/>
    <w:rsid w:val="00226E92"/>
    <w:rsid w:val="00227769"/>
    <w:rsid w:val="00232112"/>
    <w:rsid w:val="00232376"/>
    <w:rsid w:val="00232B1F"/>
    <w:rsid w:val="002330FC"/>
    <w:rsid w:val="00233DC8"/>
    <w:rsid w:val="00233DED"/>
    <w:rsid w:val="00234CEB"/>
    <w:rsid w:val="00234E46"/>
    <w:rsid w:val="002353B8"/>
    <w:rsid w:val="00235CFB"/>
    <w:rsid w:val="00236D06"/>
    <w:rsid w:val="00237683"/>
    <w:rsid w:val="002378B0"/>
    <w:rsid w:val="002402AA"/>
    <w:rsid w:val="002406A9"/>
    <w:rsid w:val="0024070F"/>
    <w:rsid w:val="002422ED"/>
    <w:rsid w:val="002430E6"/>
    <w:rsid w:val="00243A47"/>
    <w:rsid w:val="002456CF"/>
    <w:rsid w:val="00246AD1"/>
    <w:rsid w:val="00246D94"/>
    <w:rsid w:val="00247504"/>
    <w:rsid w:val="00247F17"/>
    <w:rsid w:val="00250AD3"/>
    <w:rsid w:val="00251007"/>
    <w:rsid w:val="00251CAD"/>
    <w:rsid w:val="00252D93"/>
    <w:rsid w:val="00253A8E"/>
    <w:rsid w:val="0025403A"/>
    <w:rsid w:val="00254FD8"/>
    <w:rsid w:val="00255187"/>
    <w:rsid w:val="0025628E"/>
    <w:rsid w:val="0025668B"/>
    <w:rsid w:val="00256D83"/>
    <w:rsid w:val="0026137E"/>
    <w:rsid w:val="0026314E"/>
    <w:rsid w:val="00263303"/>
    <w:rsid w:val="002633DB"/>
    <w:rsid w:val="00263487"/>
    <w:rsid w:val="00264B79"/>
    <w:rsid w:val="00267A45"/>
    <w:rsid w:val="002704F1"/>
    <w:rsid w:val="002736DB"/>
    <w:rsid w:val="00273771"/>
    <w:rsid w:val="002747EE"/>
    <w:rsid w:val="00275DED"/>
    <w:rsid w:val="00277A16"/>
    <w:rsid w:val="00277DAB"/>
    <w:rsid w:val="00280283"/>
    <w:rsid w:val="00280E6B"/>
    <w:rsid w:val="002813C4"/>
    <w:rsid w:val="00282017"/>
    <w:rsid w:val="002845EE"/>
    <w:rsid w:val="002852AA"/>
    <w:rsid w:val="0028604A"/>
    <w:rsid w:val="00286420"/>
    <w:rsid w:val="002868CD"/>
    <w:rsid w:val="00286F0D"/>
    <w:rsid w:val="002877C3"/>
    <w:rsid w:val="00293AA2"/>
    <w:rsid w:val="00293D3E"/>
    <w:rsid w:val="00294C32"/>
    <w:rsid w:val="00294E99"/>
    <w:rsid w:val="00296196"/>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AE9"/>
    <w:rsid w:val="002A2CE9"/>
    <w:rsid w:val="002A3A06"/>
    <w:rsid w:val="002A3EEB"/>
    <w:rsid w:val="002A4466"/>
    <w:rsid w:val="002A4B27"/>
    <w:rsid w:val="002A510B"/>
    <w:rsid w:val="002A5175"/>
    <w:rsid w:val="002A5A90"/>
    <w:rsid w:val="002A60AC"/>
    <w:rsid w:val="002A6EE4"/>
    <w:rsid w:val="002B0DB7"/>
    <w:rsid w:val="002B19CA"/>
    <w:rsid w:val="002B1A19"/>
    <w:rsid w:val="002B1FED"/>
    <w:rsid w:val="002B21D7"/>
    <w:rsid w:val="002B2B7C"/>
    <w:rsid w:val="002B3609"/>
    <w:rsid w:val="002B4673"/>
    <w:rsid w:val="002B46B3"/>
    <w:rsid w:val="002B4D0F"/>
    <w:rsid w:val="002B4DDB"/>
    <w:rsid w:val="002B4F83"/>
    <w:rsid w:val="002B50D6"/>
    <w:rsid w:val="002B7477"/>
    <w:rsid w:val="002C256F"/>
    <w:rsid w:val="002C308A"/>
    <w:rsid w:val="002C30BD"/>
    <w:rsid w:val="002C3155"/>
    <w:rsid w:val="002C3DF8"/>
    <w:rsid w:val="002C419A"/>
    <w:rsid w:val="002C42AE"/>
    <w:rsid w:val="002C4CA1"/>
    <w:rsid w:val="002C501E"/>
    <w:rsid w:val="002C5898"/>
    <w:rsid w:val="002C666B"/>
    <w:rsid w:val="002D0314"/>
    <w:rsid w:val="002D08B5"/>
    <w:rsid w:val="002D0A16"/>
    <w:rsid w:val="002D0DE3"/>
    <w:rsid w:val="002D0E70"/>
    <w:rsid w:val="002D1F22"/>
    <w:rsid w:val="002D2A74"/>
    <w:rsid w:val="002D38A3"/>
    <w:rsid w:val="002D504D"/>
    <w:rsid w:val="002D5153"/>
    <w:rsid w:val="002D533D"/>
    <w:rsid w:val="002D5CDD"/>
    <w:rsid w:val="002D61DD"/>
    <w:rsid w:val="002D7FF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0F14"/>
    <w:rsid w:val="002F1496"/>
    <w:rsid w:val="002F1C71"/>
    <w:rsid w:val="002F1DF2"/>
    <w:rsid w:val="002F20B9"/>
    <w:rsid w:val="002F2A63"/>
    <w:rsid w:val="002F2E88"/>
    <w:rsid w:val="002F3218"/>
    <w:rsid w:val="002F71EF"/>
    <w:rsid w:val="002F787B"/>
    <w:rsid w:val="00300297"/>
    <w:rsid w:val="00300469"/>
    <w:rsid w:val="00301147"/>
    <w:rsid w:val="00301177"/>
    <w:rsid w:val="0030185D"/>
    <w:rsid w:val="003029C8"/>
    <w:rsid w:val="00303782"/>
    <w:rsid w:val="00303F1B"/>
    <w:rsid w:val="0030543B"/>
    <w:rsid w:val="003114DC"/>
    <w:rsid w:val="0031201A"/>
    <w:rsid w:val="003124EC"/>
    <w:rsid w:val="00312DAD"/>
    <w:rsid w:val="00312FC1"/>
    <w:rsid w:val="003132B8"/>
    <w:rsid w:val="0031346C"/>
    <w:rsid w:val="00313CF7"/>
    <w:rsid w:val="00313FA0"/>
    <w:rsid w:val="003152E5"/>
    <w:rsid w:val="00315729"/>
    <w:rsid w:val="00315C2D"/>
    <w:rsid w:val="00316096"/>
    <w:rsid w:val="00316F42"/>
    <w:rsid w:val="00317105"/>
    <w:rsid w:val="00317B5D"/>
    <w:rsid w:val="00321481"/>
    <w:rsid w:val="00321EDE"/>
    <w:rsid w:val="003226DC"/>
    <w:rsid w:val="0032450B"/>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BF3"/>
    <w:rsid w:val="00345F52"/>
    <w:rsid w:val="00346E27"/>
    <w:rsid w:val="00347624"/>
    <w:rsid w:val="00351BC5"/>
    <w:rsid w:val="00351E89"/>
    <w:rsid w:val="00352E2F"/>
    <w:rsid w:val="003552B0"/>
    <w:rsid w:val="00356693"/>
    <w:rsid w:val="00357ACC"/>
    <w:rsid w:val="00361F1B"/>
    <w:rsid w:val="00362AD6"/>
    <w:rsid w:val="00363077"/>
    <w:rsid w:val="00363201"/>
    <w:rsid w:val="00363557"/>
    <w:rsid w:val="00363E70"/>
    <w:rsid w:val="00364B0C"/>
    <w:rsid w:val="00366D46"/>
    <w:rsid w:val="003673E4"/>
    <w:rsid w:val="00367790"/>
    <w:rsid w:val="00370026"/>
    <w:rsid w:val="00370621"/>
    <w:rsid w:val="00370980"/>
    <w:rsid w:val="00371E4D"/>
    <w:rsid w:val="00372565"/>
    <w:rsid w:val="0037346A"/>
    <w:rsid w:val="00373713"/>
    <w:rsid w:val="00373FBD"/>
    <w:rsid w:val="00374730"/>
    <w:rsid w:val="0037554E"/>
    <w:rsid w:val="00375B27"/>
    <w:rsid w:val="003760C3"/>
    <w:rsid w:val="0037744A"/>
    <w:rsid w:val="003807CF"/>
    <w:rsid w:val="00380B9A"/>
    <w:rsid w:val="00381CA2"/>
    <w:rsid w:val="00381D0F"/>
    <w:rsid w:val="0038256B"/>
    <w:rsid w:val="003825CE"/>
    <w:rsid w:val="00382FCD"/>
    <w:rsid w:val="00383816"/>
    <w:rsid w:val="00383ACA"/>
    <w:rsid w:val="00383EE5"/>
    <w:rsid w:val="003858CB"/>
    <w:rsid w:val="003865C6"/>
    <w:rsid w:val="00386E60"/>
    <w:rsid w:val="00391212"/>
    <w:rsid w:val="00391BA8"/>
    <w:rsid w:val="00391BF6"/>
    <w:rsid w:val="00391E3A"/>
    <w:rsid w:val="003923E9"/>
    <w:rsid w:val="0039281C"/>
    <w:rsid w:val="003936D4"/>
    <w:rsid w:val="00393E41"/>
    <w:rsid w:val="00393E5A"/>
    <w:rsid w:val="003978A3"/>
    <w:rsid w:val="0039793D"/>
    <w:rsid w:val="00397A54"/>
    <w:rsid w:val="00397AAE"/>
    <w:rsid w:val="003A062B"/>
    <w:rsid w:val="003A15BB"/>
    <w:rsid w:val="003A184C"/>
    <w:rsid w:val="003A243F"/>
    <w:rsid w:val="003A271D"/>
    <w:rsid w:val="003A297B"/>
    <w:rsid w:val="003A41CB"/>
    <w:rsid w:val="003A457F"/>
    <w:rsid w:val="003A6675"/>
    <w:rsid w:val="003A6B62"/>
    <w:rsid w:val="003A7335"/>
    <w:rsid w:val="003B1A1A"/>
    <w:rsid w:val="003B2AAB"/>
    <w:rsid w:val="003B4A5E"/>
    <w:rsid w:val="003B5B87"/>
    <w:rsid w:val="003B60B9"/>
    <w:rsid w:val="003B73B8"/>
    <w:rsid w:val="003B755A"/>
    <w:rsid w:val="003B7F26"/>
    <w:rsid w:val="003C028C"/>
    <w:rsid w:val="003C1136"/>
    <w:rsid w:val="003C11AE"/>
    <w:rsid w:val="003C22F6"/>
    <w:rsid w:val="003C2C12"/>
    <w:rsid w:val="003C385D"/>
    <w:rsid w:val="003C4279"/>
    <w:rsid w:val="003C47D4"/>
    <w:rsid w:val="003C5407"/>
    <w:rsid w:val="003C6199"/>
    <w:rsid w:val="003C6F35"/>
    <w:rsid w:val="003C7205"/>
    <w:rsid w:val="003D050E"/>
    <w:rsid w:val="003D21A2"/>
    <w:rsid w:val="003D2349"/>
    <w:rsid w:val="003D2E54"/>
    <w:rsid w:val="003D49B5"/>
    <w:rsid w:val="003D50BB"/>
    <w:rsid w:val="003D7A6E"/>
    <w:rsid w:val="003E0412"/>
    <w:rsid w:val="003E09AF"/>
    <w:rsid w:val="003E0D95"/>
    <w:rsid w:val="003E4144"/>
    <w:rsid w:val="003E4D75"/>
    <w:rsid w:val="003E4FEA"/>
    <w:rsid w:val="003E55F4"/>
    <w:rsid w:val="003E58C5"/>
    <w:rsid w:val="003E5B85"/>
    <w:rsid w:val="003E6B3E"/>
    <w:rsid w:val="003F3530"/>
    <w:rsid w:val="003F4F87"/>
    <w:rsid w:val="003F53F9"/>
    <w:rsid w:val="003F63C2"/>
    <w:rsid w:val="004001B0"/>
    <w:rsid w:val="00400CD7"/>
    <w:rsid w:val="00401492"/>
    <w:rsid w:val="0040229B"/>
    <w:rsid w:val="0040242E"/>
    <w:rsid w:val="00402EDE"/>
    <w:rsid w:val="00403267"/>
    <w:rsid w:val="00403E85"/>
    <w:rsid w:val="00404BFF"/>
    <w:rsid w:val="00405403"/>
    <w:rsid w:val="00406BFC"/>
    <w:rsid w:val="00406E64"/>
    <w:rsid w:val="00406F4B"/>
    <w:rsid w:val="00407006"/>
    <w:rsid w:val="00410381"/>
    <w:rsid w:val="0041045F"/>
    <w:rsid w:val="00411690"/>
    <w:rsid w:val="00411B5C"/>
    <w:rsid w:val="004122C7"/>
    <w:rsid w:val="00412A8F"/>
    <w:rsid w:val="00412D1C"/>
    <w:rsid w:val="00414750"/>
    <w:rsid w:val="00417779"/>
    <w:rsid w:val="00417B11"/>
    <w:rsid w:val="00420112"/>
    <w:rsid w:val="0042033A"/>
    <w:rsid w:val="00422C9A"/>
    <w:rsid w:val="00424013"/>
    <w:rsid w:val="0042459C"/>
    <w:rsid w:val="00424649"/>
    <w:rsid w:val="00424A87"/>
    <w:rsid w:val="00424B24"/>
    <w:rsid w:val="00426213"/>
    <w:rsid w:val="004263DF"/>
    <w:rsid w:val="00426668"/>
    <w:rsid w:val="004269C9"/>
    <w:rsid w:val="00426B31"/>
    <w:rsid w:val="00427702"/>
    <w:rsid w:val="00427834"/>
    <w:rsid w:val="004301BB"/>
    <w:rsid w:val="0043069F"/>
    <w:rsid w:val="00432CB4"/>
    <w:rsid w:val="0043458B"/>
    <w:rsid w:val="0043609A"/>
    <w:rsid w:val="00436C16"/>
    <w:rsid w:val="00436E1F"/>
    <w:rsid w:val="004371D1"/>
    <w:rsid w:val="0043770D"/>
    <w:rsid w:val="004379DE"/>
    <w:rsid w:val="00437DEC"/>
    <w:rsid w:val="00437E71"/>
    <w:rsid w:val="00441AF5"/>
    <w:rsid w:val="0044232C"/>
    <w:rsid w:val="00442702"/>
    <w:rsid w:val="00442FDE"/>
    <w:rsid w:val="004436C8"/>
    <w:rsid w:val="0044456F"/>
    <w:rsid w:val="00445864"/>
    <w:rsid w:val="00447659"/>
    <w:rsid w:val="00447858"/>
    <w:rsid w:val="00450A4A"/>
    <w:rsid w:val="0045140F"/>
    <w:rsid w:val="004540DB"/>
    <w:rsid w:val="00454832"/>
    <w:rsid w:val="00455893"/>
    <w:rsid w:val="00455A8D"/>
    <w:rsid w:val="00455FF4"/>
    <w:rsid w:val="00457056"/>
    <w:rsid w:val="0045761B"/>
    <w:rsid w:val="004613E2"/>
    <w:rsid w:val="00462461"/>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83D"/>
    <w:rsid w:val="00476FB5"/>
    <w:rsid w:val="00481C3F"/>
    <w:rsid w:val="00482205"/>
    <w:rsid w:val="00482599"/>
    <w:rsid w:val="00482E4D"/>
    <w:rsid w:val="0048323B"/>
    <w:rsid w:val="004844D2"/>
    <w:rsid w:val="004846C1"/>
    <w:rsid w:val="00485466"/>
    <w:rsid w:val="00485752"/>
    <w:rsid w:val="00486186"/>
    <w:rsid w:val="00486BEB"/>
    <w:rsid w:val="00487C9F"/>
    <w:rsid w:val="00487FFE"/>
    <w:rsid w:val="00490568"/>
    <w:rsid w:val="00490C73"/>
    <w:rsid w:val="004924E8"/>
    <w:rsid w:val="00494009"/>
    <w:rsid w:val="0049424F"/>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DC6"/>
    <w:rsid w:val="004B1EAF"/>
    <w:rsid w:val="004B2B0F"/>
    <w:rsid w:val="004B3490"/>
    <w:rsid w:val="004B3A84"/>
    <w:rsid w:val="004B495B"/>
    <w:rsid w:val="004B4E41"/>
    <w:rsid w:val="004B56FB"/>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4FEC"/>
    <w:rsid w:val="004D5300"/>
    <w:rsid w:val="004D71A3"/>
    <w:rsid w:val="004D7252"/>
    <w:rsid w:val="004E0412"/>
    <w:rsid w:val="004E1127"/>
    <w:rsid w:val="004E1ABA"/>
    <w:rsid w:val="004E1F46"/>
    <w:rsid w:val="004E2405"/>
    <w:rsid w:val="004E2963"/>
    <w:rsid w:val="004E29F0"/>
    <w:rsid w:val="004E30C7"/>
    <w:rsid w:val="004E3221"/>
    <w:rsid w:val="004E39EA"/>
    <w:rsid w:val="004E3E8C"/>
    <w:rsid w:val="004E4BDB"/>
    <w:rsid w:val="004E61AB"/>
    <w:rsid w:val="004E6905"/>
    <w:rsid w:val="004E6C2E"/>
    <w:rsid w:val="004E75C9"/>
    <w:rsid w:val="004E79D8"/>
    <w:rsid w:val="004E7B79"/>
    <w:rsid w:val="004F0CC7"/>
    <w:rsid w:val="004F1F38"/>
    <w:rsid w:val="004F243E"/>
    <w:rsid w:val="004F2CEA"/>
    <w:rsid w:val="004F358C"/>
    <w:rsid w:val="004F46B1"/>
    <w:rsid w:val="004F4D2E"/>
    <w:rsid w:val="004F5023"/>
    <w:rsid w:val="004F50E6"/>
    <w:rsid w:val="004F5E09"/>
    <w:rsid w:val="004F7350"/>
    <w:rsid w:val="004F7B40"/>
    <w:rsid w:val="0050019F"/>
    <w:rsid w:val="00500803"/>
    <w:rsid w:val="0050194C"/>
    <w:rsid w:val="00501B9C"/>
    <w:rsid w:val="0050248A"/>
    <w:rsid w:val="00502EBF"/>
    <w:rsid w:val="005040FE"/>
    <w:rsid w:val="0050633F"/>
    <w:rsid w:val="00506367"/>
    <w:rsid w:val="005073A5"/>
    <w:rsid w:val="0050760A"/>
    <w:rsid w:val="0050796F"/>
    <w:rsid w:val="005079A4"/>
    <w:rsid w:val="00510430"/>
    <w:rsid w:val="00510851"/>
    <w:rsid w:val="00510C19"/>
    <w:rsid w:val="00511CD2"/>
    <w:rsid w:val="00512708"/>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4AA6"/>
    <w:rsid w:val="00536AC3"/>
    <w:rsid w:val="0053766B"/>
    <w:rsid w:val="0054156C"/>
    <w:rsid w:val="00541797"/>
    <w:rsid w:val="00541F90"/>
    <w:rsid w:val="00542DF0"/>
    <w:rsid w:val="00543B52"/>
    <w:rsid w:val="00545A79"/>
    <w:rsid w:val="00545DE6"/>
    <w:rsid w:val="00545E9E"/>
    <w:rsid w:val="00546C12"/>
    <w:rsid w:val="00546F06"/>
    <w:rsid w:val="0054734B"/>
    <w:rsid w:val="00551279"/>
    <w:rsid w:val="00554606"/>
    <w:rsid w:val="00555AB6"/>
    <w:rsid w:val="00556744"/>
    <w:rsid w:val="00556F3B"/>
    <w:rsid w:val="00557AD3"/>
    <w:rsid w:val="00557ADC"/>
    <w:rsid w:val="00557D89"/>
    <w:rsid w:val="00561967"/>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BAA"/>
    <w:rsid w:val="00574D3B"/>
    <w:rsid w:val="00575098"/>
    <w:rsid w:val="00575D99"/>
    <w:rsid w:val="0057730E"/>
    <w:rsid w:val="00577D5F"/>
    <w:rsid w:val="00580E19"/>
    <w:rsid w:val="00581C32"/>
    <w:rsid w:val="00583C0E"/>
    <w:rsid w:val="00583D32"/>
    <w:rsid w:val="0058414F"/>
    <w:rsid w:val="00585C12"/>
    <w:rsid w:val="00585C61"/>
    <w:rsid w:val="00587411"/>
    <w:rsid w:val="0058764F"/>
    <w:rsid w:val="005878AA"/>
    <w:rsid w:val="00587B1F"/>
    <w:rsid w:val="00587D11"/>
    <w:rsid w:val="0059026E"/>
    <w:rsid w:val="00590671"/>
    <w:rsid w:val="00590F79"/>
    <w:rsid w:val="00591719"/>
    <w:rsid w:val="00593D48"/>
    <w:rsid w:val="00594E5E"/>
    <w:rsid w:val="005978F2"/>
    <w:rsid w:val="00597E4D"/>
    <w:rsid w:val="005A0A34"/>
    <w:rsid w:val="005A0FF4"/>
    <w:rsid w:val="005A20EE"/>
    <w:rsid w:val="005A3829"/>
    <w:rsid w:val="005A38D9"/>
    <w:rsid w:val="005A4E46"/>
    <w:rsid w:val="005A6387"/>
    <w:rsid w:val="005A708B"/>
    <w:rsid w:val="005A79FB"/>
    <w:rsid w:val="005A7CAD"/>
    <w:rsid w:val="005A7FF0"/>
    <w:rsid w:val="005B11FA"/>
    <w:rsid w:val="005B23C7"/>
    <w:rsid w:val="005B24B5"/>
    <w:rsid w:val="005B4899"/>
    <w:rsid w:val="005B49F8"/>
    <w:rsid w:val="005B4A69"/>
    <w:rsid w:val="005B609E"/>
    <w:rsid w:val="005B641F"/>
    <w:rsid w:val="005B6655"/>
    <w:rsid w:val="005B6DD9"/>
    <w:rsid w:val="005B7235"/>
    <w:rsid w:val="005B7846"/>
    <w:rsid w:val="005B7943"/>
    <w:rsid w:val="005B7F7A"/>
    <w:rsid w:val="005C0A9F"/>
    <w:rsid w:val="005C1650"/>
    <w:rsid w:val="005C1B35"/>
    <w:rsid w:val="005C2F28"/>
    <w:rsid w:val="005C753F"/>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24C4"/>
    <w:rsid w:val="005E32EB"/>
    <w:rsid w:val="005E4294"/>
    <w:rsid w:val="005E4562"/>
    <w:rsid w:val="005E45D4"/>
    <w:rsid w:val="005E538A"/>
    <w:rsid w:val="005E6FBE"/>
    <w:rsid w:val="005F3CF7"/>
    <w:rsid w:val="005F3EED"/>
    <w:rsid w:val="005F4778"/>
    <w:rsid w:val="005F4C18"/>
    <w:rsid w:val="005F56CA"/>
    <w:rsid w:val="005F5AD9"/>
    <w:rsid w:val="006002A1"/>
    <w:rsid w:val="00600AD5"/>
    <w:rsid w:val="006015D4"/>
    <w:rsid w:val="00602D2A"/>
    <w:rsid w:val="00604944"/>
    <w:rsid w:val="0060604B"/>
    <w:rsid w:val="00607C87"/>
    <w:rsid w:val="00610805"/>
    <w:rsid w:val="00610880"/>
    <w:rsid w:val="0061177B"/>
    <w:rsid w:val="00612121"/>
    <w:rsid w:val="00612477"/>
    <w:rsid w:val="006141B1"/>
    <w:rsid w:val="0061498B"/>
    <w:rsid w:val="00615E21"/>
    <w:rsid w:val="00616A39"/>
    <w:rsid w:val="00616E9F"/>
    <w:rsid w:val="00617049"/>
    <w:rsid w:val="006179D4"/>
    <w:rsid w:val="00617F84"/>
    <w:rsid w:val="00621483"/>
    <w:rsid w:val="00621DCD"/>
    <w:rsid w:val="0062238E"/>
    <w:rsid w:val="0062258A"/>
    <w:rsid w:val="0062269D"/>
    <w:rsid w:val="0062288F"/>
    <w:rsid w:val="00622D4A"/>
    <w:rsid w:val="00623549"/>
    <w:rsid w:val="00623A72"/>
    <w:rsid w:val="00624E91"/>
    <w:rsid w:val="00625841"/>
    <w:rsid w:val="006262F3"/>
    <w:rsid w:val="00626783"/>
    <w:rsid w:val="0062748A"/>
    <w:rsid w:val="006276BD"/>
    <w:rsid w:val="00627BDE"/>
    <w:rsid w:val="00631E25"/>
    <w:rsid w:val="00632206"/>
    <w:rsid w:val="00632378"/>
    <w:rsid w:val="006333A8"/>
    <w:rsid w:val="006334F2"/>
    <w:rsid w:val="006339BB"/>
    <w:rsid w:val="00634283"/>
    <w:rsid w:val="00634A56"/>
    <w:rsid w:val="00634FF8"/>
    <w:rsid w:val="006353F5"/>
    <w:rsid w:val="00635853"/>
    <w:rsid w:val="006368F7"/>
    <w:rsid w:val="00637786"/>
    <w:rsid w:val="0064182A"/>
    <w:rsid w:val="00641E99"/>
    <w:rsid w:val="006425B0"/>
    <w:rsid w:val="00642684"/>
    <w:rsid w:val="00642696"/>
    <w:rsid w:val="00643BC1"/>
    <w:rsid w:val="006441D5"/>
    <w:rsid w:val="00644F4C"/>
    <w:rsid w:val="00645D91"/>
    <w:rsid w:val="00646643"/>
    <w:rsid w:val="00646CE7"/>
    <w:rsid w:val="00647301"/>
    <w:rsid w:val="00650583"/>
    <w:rsid w:val="00650782"/>
    <w:rsid w:val="00650D80"/>
    <w:rsid w:val="00651431"/>
    <w:rsid w:val="00651F99"/>
    <w:rsid w:val="00652D03"/>
    <w:rsid w:val="00652E90"/>
    <w:rsid w:val="00653C11"/>
    <w:rsid w:val="00654691"/>
    <w:rsid w:val="006554CE"/>
    <w:rsid w:val="006568D7"/>
    <w:rsid w:val="00661386"/>
    <w:rsid w:val="00661F5E"/>
    <w:rsid w:val="00662CD1"/>
    <w:rsid w:val="006637ED"/>
    <w:rsid w:val="00663B8F"/>
    <w:rsid w:val="006645A9"/>
    <w:rsid w:val="00665B03"/>
    <w:rsid w:val="00665BBA"/>
    <w:rsid w:val="00665CEF"/>
    <w:rsid w:val="006670FB"/>
    <w:rsid w:val="0066723D"/>
    <w:rsid w:val="006708BC"/>
    <w:rsid w:val="00670BC6"/>
    <w:rsid w:val="00670C13"/>
    <w:rsid w:val="00671016"/>
    <w:rsid w:val="00671304"/>
    <w:rsid w:val="006713B7"/>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0B16"/>
    <w:rsid w:val="006A1D39"/>
    <w:rsid w:val="006A2342"/>
    <w:rsid w:val="006A3555"/>
    <w:rsid w:val="006A38CB"/>
    <w:rsid w:val="006A4D72"/>
    <w:rsid w:val="006A50C0"/>
    <w:rsid w:val="006A62FC"/>
    <w:rsid w:val="006A6D90"/>
    <w:rsid w:val="006A7B11"/>
    <w:rsid w:val="006B1758"/>
    <w:rsid w:val="006B2B1E"/>
    <w:rsid w:val="006B3162"/>
    <w:rsid w:val="006B3FCE"/>
    <w:rsid w:val="006B4A4C"/>
    <w:rsid w:val="006B52B5"/>
    <w:rsid w:val="006B6BA4"/>
    <w:rsid w:val="006C030C"/>
    <w:rsid w:val="006C0EDD"/>
    <w:rsid w:val="006C167B"/>
    <w:rsid w:val="006C3F5F"/>
    <w:rsid w:val="006C42AB"/>
    <w:rsid w:val="006C5302"/>
    <w:rsid w:val="006C6183"/>
    <w:rsid w:val="006C626A"/>
    <w:rsid w:val="006C6E3C"/>
    <w:rsid w:val="006D076B"/>
    <w:rsid w:val="006D0927"/>
    <w:rsid w:val="006D1B29"/>
    <w:rsid w:val="006D1C28"/>
    <w:rsid w:val="006D1E4B"/>
    <w:rsid w:val="006D3736"/>
    <w:rsid w:val="006D4158"/>
    <w:rsid w:val="006D4843"/>
    <w:rsid w:val="006D588C"/>
    <w:rsid w:val="006D70FF"/>
    <w:rsid w:val="006E0ACA"/>
    <w:rsid w:val="006E2F2C"/>
    <w:rsid w:val="006E378F"/>
    <w:rsid w:val="006E3AEE"/>
    <w:rsid w:val="006E4274"/>
    <w:rsid w:val="006E4D41"/>
    <w:rsid w:val="006E5850"/>
    <w:rsid w:val="006E586F"/>
    <w:rsid w:val="006E6327"/>
    <w:rsid w:val="006E744E"/>
    <w:rsid w:val="006E7D25"/>
    <w:rsid w:val="006E7D38"/>
    <w:rsid w:val="006E7DC3"/>
    <w:rsid w:val="006F0E4C"/>
    <w:rsid w:val="006F1003"/>
    <w:rsid w:val="006F249A"/>
    <w:rsid w:val="006F2DD5"/>
    <w:rsid w:val="006F2EAC"/>
    <w:rsid w:val="006F6553"/>
    <w:rsid w:val="006F6F4C"/>
    <w:rsid w:val="00700976"/>
    <w:rsid w:val="007036F9"/>
    <w:rsid w:val="007039AF"/>
    <w:rsid w:val="0070463F"/>
    <w:rsid w:val="00706020"/>
    <w:rsid w:val="00710834"/>
    <w:rsid w:val="0071166C"/>
    <w:rsid w:val="0071219D"/>
    <w:rsid w:val="00712A42"/>
    <w:rsid w:val="00712CDD"/>
    <w:rsid w:val="0071599B"/>
    <w:rsid w:val="007161A1"/>
    <w:rsid w:val="00716A4B"/>
    <w:rsid w:val="00716D8B"/>
    <w:rsid w:val="00717A86"/>
    <w:rsid w:val="00720D40"/>
    <w:rsid w:val="00720D87"/>
    <w:rsid w:val="0072148F"/>
    <w:rsid w:val="00721C78"/>
    <w:rsid w:val="00724996"/>
    <w:rsid w:val="00724A1D"/>
    <w:rsid w:val="0072604E"/>
    <w:rsid w:val="007266CC"/>
    <w:rsid w:val="0072678B"/>
    <w:rsid w:val="00726CAB"/>
    <w:rsid w:val="007303FC"/>
    <w:rsid w:val="0073096A"/>
    <w:rsid w:val="00730C23"/>
    <w:rsid w:val="00730EB4"/>
    <w:rsid w:val="00732C43"/>
    <w:rsid w:val="00733257"/>
    <w:rsid w:val="007339F7"/>
    <w:rsid w:val="00733BCF"/>
    <w:rsid w:val="00735025"/>
    <w:rsid w:val="00735F33"/>
    <w:rsid w:val="0073644D"/>
    <w:rsid w:val="007367FF"/>
    <w:rsid w:val="00736D12"/>
    <w:rsid w:val="007373BF"/>
    <w:rsid w:val="007402AB"/>
    <w:rsid w:val="00740CA3"/>
    <w:rsid w:val="007413D3"/>
    <w:rsid w:val="007433CC"/>
    <w:rsid w:val="00744207"/>
    <w:rsid w:val="0074450C"/>
    <w:rsid w:val="00744AAB"/>
    <w:rsid w:val="0074627F"/>
    <w:rsid w:val="0074721B"/>
    <w:rsid w:val="00747614"/>
    <w:rsid w:val="00747742"/>
    <w:rsid w:val="0075000A"/>
    <w:rsid w:val="00750A13"/>
    <w:rsid w:val="00750D99"/>
    <w:rsid w:val="007514E8"/>
    <w:rsid w:val="00751971"/>
    <w:rsid w:val="007529AD"/>
    <w:rsid w:val="007534BE"/>
    <w:rsid w:val="00753DAC"/>
    <w:rsid w:val="00754BEF"/>
    <w:rsid w:val="00754C15"/>
    <w:rsid w:val="0075599F"/>
    <w:rsid w:val="00755C76"/>
    <w:rsid w:val="007566D1"/>
    <w:rsid w:val="00756D3F"/>
    <w:rsid w:val="0075731C"/>
    <w:rsid w:val="0075734F"/>
    <w:rsid w:val="00757D5C"/>
    <w:rsid w:val="00760CDC"/>
    <w:rsid w:val="00760E91"/>
    <w:rsid w:val="007616FE"/>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77BC3"/>
    <w:rsid w:val="007814C7"/>
    <w:rsid w:val="00781AB5"/>
    <w:rsid w:val="00781DA4"/>
    <w:rsid w:val="00782084"/>
    <w:rsid w:val="007821EC"/>
    <w:rsid w:val="007834DA"/>
    <w:rsid w:val="0078360C"/>
    <w:rsid w:val="00785201"/>
    <w:rsid w:val="0078531A"/>
    <w:rsid w:val="00787600"/>
    <w:rsid w:val="00791870"/>
    <w:rsid w:val="00791EFE"/>
    <w:rsid w:val="00791FF1"/>
    <w:rsid w:val="00792287"/>
    <w:rsid w:val="00792C33"/>
    <w:rsid w:val="00793A1C"/>
    <w:rsid w:val="00794242"/>
    <w:rsid w:val="00794651"/>
    <w:rsid w:val="00794F5B"/>
    <w:rsid w:val="007951AE"/>
    <w:rsid w:val="00795264"/>
    <w:rsid w:val="007957B1"/>
    <w:rsid w:val="00797071"/>
    <w:rsid w:val="00797A13"/>
    <w:rsid w:val="007A01BB"/>
    <w:rsid w:val="007A0EB4"/>
    <w:rsid w:val="007A1443"/>
    <w:rsid w:val="007A3579"/>
    <w:rsid w:val="007A3718"/>
    <w:rsid w:val="007A3D78"/>
    <w:rsid w:val="007A4371"/>
    <w:rsid w:val="007A4D7F"/>
    <w:rsid w:val="007A50F0"/>
    <w:rsid w:val="007A5FB1"/>
    <w:rsid w:val="007A6BF0"/>
    <w:rsid w:val="007A71EE"/>
    <w:rsid w:val="007A7BF5"/>
    <w:rsid w:val="007B00C6"/>
    <w:rsid w:val="007B09B4"/>
    <w:rsid w:val="007B229F"/>
    <w:rsid w:val="007B3A8F"/>
    <w:rsid w:val="007B3CCC"/>
    <w:rsid w:val="007B41A8"/>
    <w:rsid w:val="007B42B9"/>
    <w:rsid w:val="007B595F"/>
    <w:rsid w:val="007B64D5"/>
    <w:rsid w:val="007B725E"/>
    <w:rsid w:val="007B7692"/>
    <w:rsid w:val="007C0A53"/>
    <w:rsid w:val="007C0DF3"/>
    <w:rsid w:val="007C12F6"/>
    <w:rsid w:val="007C1C54"/>
    <w:rsid w:val="007C2AE7"/>
    <w:rsid w:val="007C2B30"/>
    <w:rsid w:val="007C3F13"/>
    <w:rsid w:val="007C433C"/>
    <w:rsid w:val="007C4773"/>
    <w:rsid w:val="007C5C01"/>
    <w:rsid w:val="007C6D55"/>
    <w:rsid w:val="007D09F8"/>
    <w:rsid w:val="007D1048"/>
    <w:rsid w:val="007D139E"/>
    <w:rsid w:val="007D144D"/>
    <w:rsid w:val="007D1DA8"/>
    <w:rsid w:val="007D22AE"/>
    <w:rsid w:val="007D27C5"/>
    <w:rsid w:val="007D2AE8"/>
    <w:rsid w:val="007D3569"/>
    <w:rsid w:val="007D3AFD"/>
    <w:rsid w:val="007D52A5"/>
    <w:rsid w:val="007D5DFB"/>
    <w:rsid w:val="007D62AB"/>
    <w:rsid w:val="007D7987"/>
    <w:rsid w:val="007E217D"/>
    <w:rsid w:val="007E28D4"/>
    <w:rsid w:val="007E2E85"/>
    <w:rsid w:val="007E3099"/>
    <w:rsid w:val="007E319E"/>
    <w:rsid w:val="007E42F5"/>
    <w:rsid w:val="007E5A30"/>
    <w:rsid w:val="007E612B"/>
    <w:rsid w:val="007F13A9"/>
    <w:rsid w:val="007F1DD3"/>
    <w:rsid w:val="007F2480"/>
    <w:rsid w:val="007F3F3B"/>
    <w:rsid w:val="007F4183"/>
    <w:rsid w:val="007F41E4"/>
    <w:rsid w:val="007F4B2A"/>
    <w:rsid w:val="007F4F9E"/>
    <w:rsid w:val="007F5319"/>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4BF6"/>
    <w:rsid w:val="008057B7"/>
    <w:rsid w:val="008059D6"/>
    <w:rsid w:val="00805B4D"/>
    <w:rsid w:val="00806D42"/>
    <w:rsid w:val="00806FA6"/>
    <w:rsid w:val="00807A57"/>
    <w:rsid w:val="00807DCE"/>
    <w:rsid w:val="00810357"/>
    <w:rsid w:val="0081073E"/>
    <w:rsid w:val="008118BD"/>
    <w:rsid w:val="0081389D"/>
    <w:rsid w:val="00814A88"/>
    <w:rsid w:val="00814DBF"/>
    <w:rsid w:val="0081616E"/>
    <w:rsid w:val="008163C4"/>
    <w:rsid w:val="0081700E"/>
    <w:rsid w:val="008171C7"/>
    <w:rsid w:val="0081752A"/>
    <w:rsid w:val="00820494"/>
    <w:rsid w:val="00820DF5"/>
    <w:rsid w:val="0082166E"/>
    <w:rsid w:val="00822226"/>
    <w:rsid w:val="0082299E"/>
    <w:rsid w:val="00822F1F"/>
    <w:rsid w:val="008232E6"/>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99B"/>
    <w:rsid w:val="00833CF8"/>
    <w:rsid w:val="00833D3B"/>
    <w:rsid w:val="008349C3"/>
    <w:rsid w:val="00834D68"/>
    <w:rsid w:val="00835D6D"/>
    <w:rsid w:val="008363F4"/>
    <w:rsid w:val="0083656D"/>
    <w:rsid w:val="00836A6C"/>
    <w:rsid w:val="00837831"/>
    <w:rsid w:val="00840503"/>
    <w:rsid w:val="008417A6"/>
    <w:rsid w:val="008426FA"/>
    <w:rsid w:val="00843783"/>
    <w:rsid w:val="00843EF8"/>
    <w:rsid w:val="00843F12"/>
    <w:rsid w:val="00843FF0"/>
    <w:rsid w:val="008443AC"/>
    <w:rsid w:val="00844CDC"/>
    <w:rsid w:val="00846543"/>
    <w:rsid w:val="00846C2A"/>
    <w:rsid w:val="008479D2"/>
    <w:rsid w:val="00847FCE"/>
    <w:rsid w:val="00850077"/>
    <w:rsid w:val="00850124"/>
    <w:rsid w:val="00851429"/>
    <w:rsid w:val="0085210B"/>
    <w:rsid w:val="0085287D"/>
    <w:rsid w:val="00854849"/>
    <w:rsid w:val="00854C3E"/>
    <w:rsid w:val="008551F6"/>
    <w:rsid w:val="008619A5"/>
    <w:rsid w:val="00864242"/>
    <w:rsid w:val="008643C1"/>
    <w:rsid w:val="0086462F"/>
    <w:rsid w:val="00864A1C"/>
    <w:rsid w:val="0086505A"/>
    <w:rsid w:val="0086678B"/>
    <w:rsid w:val="008667E1"/>
    <w:rsid w:val="00866B4A"/>
    <w:rsid w:val="00866C5D"/>
    <w:rsid w:val="0086739D"/>
    <w:rsid w:val="00867F50"/>
    <w:rsid w:val="00867F76"/>
    <w:rsid w:val="00870510"/>
    <w:rsid w:val="00870978"/>
    <w:rsid w:val="00870C00"/>
    <w:rsid w:val="00871430"/>
    <w:rsid w:val="00871BB8"/>
    <w:rsid w:val="00872038"/>
    <w:rsid w:val="00872460"/>
    <w:rsid w:val="00873680"/>
    <w:rsid w:val="008739C2"/>
    <w:rsid w:val="0087434E"/>
    <w:rsid w:val="008745F5"/>
    <w:rsid w:val="00874CCC"/>
    <w:rsid w:val="008760C6"/>
    <w:rsid w:val="00881F8E"/>
    <w:rsid w:val="00882389"/>
    <w:rsid w:val="00883B8B"/>
    <w:rsid w:val="0088469A"/>
    <w:rsid w:val="00884A53"/>
    <w:rsid w:val="00884E3E"/>
    <w:rsid w:val="00884F7B"/>
    <w:rsid w:val="00885041"/>
    <w:rsid w:val="00885544"/>
    <w:rsid w:val="00887E45"/>
    <w:rsid w:val="00890590"/>
    <w:rsid w:val="008913DC"/>
    <w:rsid w:val="008928E9"/>
    <w:rsid w:val="008929E1"/>
    <w:rsid w:val="00892EE4"/>
    <w:rsid w:val="0089615A"/>
    <w:rsid w:val="008963C6"/>
    <w:rsid w:val="008964F0"/>
    <w:rsid w:val="008966C4"/>
    <w:rsid w:val="0089690A"/>
    <w:rsid w:val="008A04C3"/>
    <w:rsid w:val="008A0545"/>
    <w:rsid w:val="008A0A05"/>
    <w:rsid w:val="008A154A"/>
    <w:rsid w:val="008A2835"/>
    <w:rsid w:val="008A30AF"/>
    <w:rsid w:val="008A3305"/>
    <w:rsid w:val="008A59BD"/>
    <w:rsid w:val="008A6928"/>
    <w:rsid w:val="008A6A00"/>
    <w:rsid w:val="008A6C08"/>
    <w:rsid w:val="008A7AEA"/>
    <w:rsid w:val="008A7B9F"/>
    <w:rsid w:val="008B065E"/>
    <w:rsid w:val="008B07FE"/>
    <w:rsid w:val="008B1ABA"/>
    <w:rsid w:val="008B1D2F"/>
    <w:rsid w:val="008B2AAE"/>
    <w:rsid w:val="008B34D0"/>
    <w:rsid w:val="008B4062"/>
    <w:rsid w:val="008B4A92"/>
    <w:rsid w:val="008B4AA3"/>
    <w:rsid w:val="008B6B7D"/>
    <w:rsid w:val="008B7987"/>
    <w:rsid w:val="008B7CBA"/>
    <w:rsid w:val="008C0B37"/>
    <w:rsid w:val="008C1BCA"/>
    <w:rsid w:val="008C1E97"/>
    <w:rsid w:val="008C2297"/>
    <w:rsid w:val="008C253F"/>
    <w:rsid w:val="008C286B"/>
    <w:rsid w:val="008C3011"/>
    <w:rsid w:val="008C38F9"/>
    <w:rsid w:val="008C3BA4"/>
    <w:rsid w:val="008C4773"/>
    <w:rsid w:val="008C47CA"/>
    <w:rsid w:val="008C52E1"/>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5E57"/>
    <w:rsid w:val="008D61CC"/>
    <w:rsid w:val="008D6B75"/>
    <w:rsid w:val="008D7EDC"/>
    <w:rsid w:val="008E0393"/>
    <w:rsid w:val="008E22E3"/>
    <w:rsid w:val="008E25D6"/>
    <w:rsid w:val="008E29A3"/>
    <w:rsid w:val="008E40C4"/>
    <w:rsid w:val="008E5021"/>
    <w:rsid w:val="008E5B0F"/>
    <w:rsid w:val="008E5C70"/>
    <w:rsid w:val="008E5E48"/>
    <w:rsid w:val="008E63AD"/>
    <w:rsid w:val="008E756A"/>
    <w:rsid w:val="008E7781"/>
    <w:rsid w:val="008F0EC2"/>
    <w:rsid w:val="008F1017"/>
    <w:rsid w:val="008F22EC"/>
    <w:rsid w:val="008F262E"/>
    <w:rsid w:val="008F28DB"/>
    <w:rsid w:val="008F36B2"/>
    <w:rsid w:val="008F4C64"/>
    <w:rsid w:val="008F698A"/>
    <w:rsid w:val="008F74EE"/>
    <w:rsid w:val="00900430"/>
    <w:rsid w:val="00900543"/>
    <w:rsid w:val="0090098E"/>
    <w:rsid w:val="00900F2E"/>
    <w:rsid w:val="009034B4"/>
    <w:rsid w:val="00905044"/>
    <w:rsid w:val="0090588D"/>
    <w:rsid w:val="00906B80"/>
    <w:rsid w:val="00906BCB"/>
    <w:rsid w:val="00907F8A"/>
    <w:rsid w:val="00913143"/>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74B"/>
    <w:rsid w:val="009258C2"/>
    <w:rsid w:val="00925B20"/>
    <w:rsid w:val="00925C30"/>
    <w:rsid w:val="00926C65"/>
    <w:rsid w:val="009276E1"/>
    <w:rsid w:val="009278AC"/>
    <w:rsid w:val="0092794E"/>
    <w:rsid w:val="00930619"/>
    <w:rsid w:val="009306D9"/>
    <w:rsid w:val="00930D5B"/>
    <w:rsid w:val="00930E42"/>
    <w:rsid w:val="00930EA7"/>
    <w:rsid w:val="00932BBE"/>
    <w:rsid w:val="0093326C"/>
    <w:rsid w:val="009335C2"/>
    <w:rsid w:val="00933E8C"/>
    <w:rsid w:val="0093688A"/>
    <w:rsid w:val="00936DEE"/>
    <w:rsid w:val="009375EA"/>
    <w:rsid w:val="0094026B"/>
    <w:rsid w:val="009402E7"/>
    <w:rsid w:val="00941112"/>
    <w:rsid w:val="00941753"/>
    <w:rsid w:val="0094309D"/>
    <w:rsid w:val="0094314B"/>
    <w:rsid w:val="0094383D"/>
    <w:rsid w:val="00943B28"/>
    <w:rsid w:val="00944CC7"/>
    <w:rsid w:val="0094559D"/>
    <w:rsid w:val="009455A4"/>
    <w:rsid w:val="009457BE"/>
    <w:rsid w:val="00951FFE"/>
    <w:rsid w:val="009525F7"/>
    <w:rsid w:val="00952E28"/>
    <w:rsid w:val="0095358A"/>
    <w:rsid w:val="00953DF7"/>
    <w:rsid w:val="00954580"/>
    <w:rsid w:val="00954DE6"/>
    <w:rsid w:val="0095555A"/>
    <w:rsid w:val="0095590D"/>
    <w:rsid w:val="00955D5B"/>
    <w:rsid w:val="00955DCA"/>
    <w:rsid w:val="00960280"/>
    <w:rsid w:val="00960D6D"/>
    <w:rsid w:val="00960E83"/>
    <w:rsid w:val="0096213A"/>
    <w:rsid w:val="009626E4"/>
    <w:rsid w:val="00962D33"/>
    <w:rsid w:val="009632E7"/>
    <w:rsid w:val="0096372C"/>
    <w:rsid w:val="00963D81"/>
    <w:rsid w:val="00964064"/>
    <w:rsid w:val="009644D5"/>
    <w:rsid w:val="00964B37"/>
    <w:rsid w:val="009656F9"/>
    <w:rsid w:val="00965970"/>
    <w:rsid w:val="00965F68"/>
    <w:rsid w:val="0096647E"/>
    <w:rsid w:val="00966F03"/>
    <w:rsid w:val="00970386"/>
    <w:rsid w:val="0097152A"/>
    <w:rsid w:val="00971660"/>
    <w:rsid w:val="0097167A"/>
    <w:rsid w:val="00971884"/>
    <w:rsid w:val="00971894"/>
    <w:rsid w:val="0097201D"/>
    <w:rsid w:val="00974D6B"/>
    <w:rsid w:val="00975315"/>
    <w:rsid w:val="00976890"/>
    <w:rsid w:val="00976D60"/>
    <w:rsid w:val="0097721A"/>
    <w:rsid w:val="00977820"/>
    <w:rsid w:val="00977CFE"/>
    <w:rsid w:val="00977EC2"/>
    <w:rsid w:val="00980BFD"/>
    <w:rsid w:val="00981663"/>
    <w:rsid w:val="00981B36"/>
    <w:rsid w:val="00982124"/>
    <w:rsid w:val="00982911"/>
    <w:rsid w:val="00982A98"/>
    <w:rsid w:val="00982B12"/>
    <w:rsid w:val="00983AC7"/>
    <w:rsid w:val="00983CA4"/>
    <w:rsid w:val="009845FB"/>
    <w:rsid w:val="00984D7F"/>
    <w:rsid w:val="009851DB"/>
    <w:rsid w:val="00985D29"/>
    <w:rsid w:val="00986AA2"/>
    <w:rsid w:val="00987AA7"/>
    <w:rsid w:val="00991050"/>
    <w:rsid w:val="009910CB"/>
    <w:rsid w:val="00991E22"/>
    <w:rsid w:val="00991EB3"/>
    <w:rsid w:val="00994A7E"/>
    <w:rsid w:val="00995214"/>
    <w:rsid w:val="0099553E"/>
    <w:rsid w:val="00995644"/>
    <w:rsid w:val="009957EA"/>
    <w:rsid w:val="0099586E"/>
    <w:rsid w:val="00996CF2"/>
    <w:rsid w:val="009A02E3"/>
    <w:rsid w:val="009A0432"/>
    <w:rsid w:val="009A1015"/>
    <w:rsid w:val="009A2104"/>
    <w:rsid w:val="009A4D85"/>
    <w:rsid w:val="009A588C"/>
    <w:rsid w:val="009A7676"/>
    <w:rsid w:val="009B0220"/>
    <w:rsid w:val="009B04B7"/>
    <w:rsid w:val="009B1A0B"/>
    <w:rsid w:val="009B24A1"/>
    <w:rsid w:val="009B2E06"/>
    <w:rsid w:val="009B3152"/>
    <w:rsid w:val="009B321C"/>
    <w:rsid w:val="009B3D73"/>
    <w:rsid w:val="009B5631"/>
    <w:rsid w:val="009B6CC2"/>
    <w:rsid w:val="009B6F24"/>
    <w:rsid w:val="009B79CF"/>
    <w:rsid w:val="009C08F5"/>
    <w:rsid w:val="009C0B5D"/>
    <w:rsid w:val="009C0C7C"/>
    <w:rsid w:val="009C1CDB"/>
    <w:rsid w:val="009C2E1F"/>
    <w:rsid w:val="009C2E77"/>
    <w:rsid w:val="009C2FF0"/>
    <w:rsid w:val="009C361F"/>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D7D0C"/>
    <w:rsid w:val="009E25D6"/>
    <w:rsid w:val="009E2C9D"/>
    <w:rsid w:val="009E3CC1"/>
    <w:rsid w:val="009E4470"/>
    <w:rsid w:val="009E4DEF"/>
    <w:rsid w:val="009E58B2"/>
    <w:rsid w:val="009E7230"/>
    <w:rsid w:val="009E7532"/>
    <w:rsid w:val="009E7C81"/>
    <w:rsid w:val="009E7F92"/>
    <w:rsid w:val="009F0A31"/>
    <w:rsid w:val="009F1CE7"/>
    <w:rsid w:val="009F26B1"/>
    <w:rsid w:val="009F3071"/>
    <w:rsid w:val="009F3D41"/>
    <w:rsid w:val="009F45A4"/>
    <w:rsid w:val="009F47FF"/>
    <w:rsid w:val="009F4C77"/>
    <w:rsid w:val="009F4FE1"/>
    <w:rsid w:val="009F5410"/>
    <w:rsid w:val="009F686F"/>
    <w:rsid w:val="009F6B89"/>
    <w:rsid w:val="009F6FC1"/>
    <w:rsid w:val="009F7EB3"/>
    <w:rsid w:val="00A00C58"/>
    <w:rsid w:val="00A01098"/>
    <w:rsid w:val="00A02041"/>
    <w:rsid w:val="00A02A5E"/>
    <w:rsid w:val="00A02C79"/>
    <w:rsid w:val="00A02F73"/>
    <w:rsid w:val="00A03912"/>
    <w:rsid w:val="00A042B0"/>
    <w:rsid w:val="00A05366"/>
    <w:rsid w:val="00A05A09"/>
    <w:rsid w:val="00A05A3D"/>
    <w:rsid w:val="00A0636E"/>
    <w:rsid w:val="00A063B4"/>
    <w:rsid w:val="00A06E58"/>
    <w:rsid w:val="00A11758"/>
    <w:rsid w:val="00A11978"/>
    <w:rsid w:val="00A128DE"/>
    <w:rsid w:val="00A13209"/>
    <w:rsid w:val="00A13E43"/>
    <w:rsid w:val="00A150D1"/>
    <w:rsid w:val="00A15F8A"/>
    <w:rsid w:val="00A164FD"/>
    <w:rsid w:val="00A164FF"/>
    <w:rsid w:val="00A1671A"/>
    <w:rsid w:val="00A16DB3"/>
    <w:rsid w:val="00A21AB0"/>
    <w:rsid w:val="00A21C66"/>
    <w:rsid w:val="00A239C3"/>
    <w:rsid w:val="00A23A23"/>
    <w:rsid w:val="00A23B28"/>
    <w:rsid w:val="00A23B30"/>
    <w:rsid w:val="00A2468B"/>
    <w:rsid w:val="00A256E7"/>
    <w:rsid w:val="00A2625C"/>
    <w:rsid w:val="00A263E2"/>
    <w:rsid w:val="00A27091"/>
    <w:rsid w:val="00A27B5C"/>
    <w:rsid w:val="00A31DB2"/>
    <w:rsid w:val="00A33BCD"/>
    <w:rsid w:val="00A341C7"/>
    <w:rsid w:val="00A3470E"/>
    <w:rsid w:val="00A34A99"/>
    <w:rsid w:val="00A36599"/>
    <w:rsid w:val="00A36864"/>
    <w:rsid w:val="00A36E81"/>
    <w:rsid w:val="00A37119"/>
    <w:rsid w:val="00A3788A"/>
    <w:rsid w:val="00A41188"/>
    <w:rsid w:val="00A421D2"/>
    <w:rsid w:val="00A42283"/>
    <w:rsid w:val="00A4355A"/>
    <w:rsid w:val="00A44184"/>
    <w:rsid w:val="00A44DEC"/>
    <w:rsid w:val="00A44FBC"/>
    <w:rsid w:val="00A4562A"/>
    <w:rsid w:val="00A45BC3"/>
    <w:rsid w:val="00A4771D"/>
    <w:rsid w:val="00A50426"/>
    <w:rsid w:val="00A511AE"/>
    <w:rsid w:val="00A511C3"/>
    <w:rsid w:val="00A52503"/>
    <w:rsid w:val="00A52ECD"/>
    <w:rsid w:val="00A548AF"/>
    <w:rsid w:val="00A567A6"/>
    <w:rsid w:val="00A56B3B"/>
    <w:rsid w:val="00A57C7D"/>
    <w:rsid w:val="00A57D4F"/>
    <w:rsid w:val="00A57FD0"/>
    <w:rsid w:val="00A627BC"/>
    <w:rsid w:val="00A62F7B"/>
    <w:rsid w:val="00A636F8"/>
    <w:rsid w:val="00A63C98"/>
    <w:rsid w:val="00A63D01"/>
    <w:rsid w:val="00A6545C"/>
    <w:rsid w:val="00A6574D"/>
    <w:rsid w:val="00A66435"/>
    <w:rsid w:val="00A66679"/>
    <w:rsid w:val="00A6679E"/>
    <w:rsid w:val="00A7040F"/>
    <w:rsid w:val="00A70A37"/>
    <w:rsid w:val="00A7182F"/>
    <w:rsid w:val="00A74978"/>
    <w:rsid w:val="00A754D4"/>
    <w:rsid w:val="00A77485"/>
    <w:rsid w:val="00A8223A"/>
    <w:rsid w:val="00A82372"/>
    <w:rsid w:val="00A823CA"/>
    <w:rsid w:val="00A8373A"/>
    <w:rsid w:val="00A85177"/>
    <w:rsid w:val="00A8689A"/>
    <w:rsid w:val="00A86E04"/>
    <w:rsid w:val="00A92E1E"/>
    <w:rsid w:val="00A95473"/>
    <w:rsid w:val="00A97E62"/>
    <w:rsid w:val="00AA1E2B"/>
    <w:rsid w:val="00AA2462"/>
    <w:rsid w:val="00AA39C8"/>
    <w:rsid w:val="00AA4C89"/>
    <w:rsid w:val="00AA5AD0"/>
    <w:rsid w:val="00AA5F9E"/>
    <w:rsid w:val="00AA6DB1"/>
    <w:rsid w:val="00AA7EA1"/>
    <w:rsid w:val="00AB07FD"/>
    <w:rsid w:val="00AB2A64"/>
    <w:rsid w:val="00AB2BAD"/>
    <w:rsid w:val="00AB4130"/>
    <w:rsid w:val="00AB441A"/>
    <w:rsid w:val="00AB5E8D"/>
    <w:rsid w:val="00AB6596"/>
    <w:rsid w:val="00AB6CDF"/>
    <w:rsid w:val="00AB766E"/>
    <w:rsid w:val="00AB7824"/>
    <w:rsid w:val="00AC0616"/>
    <w:rsid w:val="00AC2167"/>
    <w:rsid w:val="00AC250C"/>
    <w:rsid w:val="00AC37B2"/>
    <w:rsid w:val="00AC6634"/>
    <w:rsid w:val="00AC70F2"/>
    <w:rsid w:val="00AC7190"/>
    <w:rsid w:val="00AC78FE"/>
    <w:rsid w:val="00AC7BF7"/>
    <w:rsid w:val="00AD015E"/>
    <w:rsid w:val="00AD0D1C"/>
    <w:rsid w:val="00AD1B18"/>
    <w:rsid w:val="00AD1E7A"/>
    <w:rsid w:val="00AD21C7"/>
    <w:rsid w:val="00AD31A2"/>
    <w:rsid w:val="00AD3B37"/>
    <w:rsid w:val="00AD3FE1"/>
    <w:rsid w:val="00AD57FF"/>
    <w:rsid w:val="00AD76F3"/>
    <w:rsid w:val="00AD78BD"/>
    <w:rsid w:val="00AE095F"/>
    <w:rsid w:val="00AE19CA"/>
    <w:rsid w:val="00AE2736"/>
    <w:rsid w:val="00AE363A"/>
    <w:rsid w:val="00AE3C36"/>
    <w:rsid w:val="00AE5D13"/>
    <w:rsid w:val="00AE5EAE"/>
    <w:rsid w:val="00AE60E4"/>
    <w:rsid w:val="00AE634A"/>
    <w:rsid w:val="00AF034B"/>
    <w:rsid w:val="00AF0410"/>
    <w:rsid w:val="00AF0D2A"/>
    <w:rsid w:val="00AF289B"/>
    <w:rsid w:val="00AF2F99"/>
    <w:rsid w:val="00AF32C6"/>
    <w:rsid w:val="00AF3E7F"/>
    <w:rsid w:val="00AF3FBD"/>
    <w:rsid w:val="00AF4FC1"/>
    <w:rsid w:val="00AF576C"/>
    <w:rsid w:val="00AF6D7A"/>
    <w:rsid w:val="00AF716C"/>
    <w:rsid w:val="00B00BBF"/>
    <w:rsid w:val="00B01FCA"/>
    <w:rsid w:val="00B02271"/>
    <w:rsid w:val="00B0398C"/>
    <w:rsid w:val="00B03DDC"/>
    <w:rsid w:val="00B0451C"/>
    <w:rsid w:val="00B04A5E"/>
    <w:rsid w:val="00B10BD6"/>
    <w:rsid w:val="00B10C54"/>
    <w:rsid w:val="00B10F4A"/>
    <w:rsid w:val="00B11778"/>
    <w:rsid w:val="00B117AD"/>
    <w:rsid w:val="00B11A7F"/>
    <w:rsid w:val="00B1220A"/>
    <w:rsid w:val="00B12FD4"/>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4CB3"/>
    <w:rsid w:val="00B351D1"/>
    <w:rsid w:val="00B358D9"/>
    <w:rsid w:val="00B35E71"/>
    <w:rsid w:val="00B362E7"/>
    <w:rsid w:val="00B36B28"/>
    <w:rsid w:val="00B379AE"/>
    <w:rsid w:val="00B37F20"/>
    <w:rsid w:val="00B408C1"/>
    <w:rsid w:val="00B41280"/>
    <w:rsid w:val="00B4388C"/>
    <w:rsid w:val="00B454DC"/>
    <w:rsid w:val="00B45779"/>
    <w:rsid w:val="00B45880"/>
    <w:rsid w:val="00B4669C"/>
    <w:rsid w:val="00B46889"/>
    <w:rsid w:val="00B46DC0"/>
    <w:rsid w:val="00B50C81"/>
    <w:rsid w:val="00B5233A"/>
    <w:rsid w:val="00B528AA"/>
    <w:rsid w:val="00B52FA9"/>
    <w:rsid w:val="00B53429"/>
    <w:rsid w:val="00B5410D"/>
    <w:rsid w:val="00B54309"/>
    <w:rsid w:val="00B5671A"/>
    <w:rsid w:val="00B56F51"/>
    <w:rsid w:val="00B5743F"/>
    <w:rsid w:val="00B61C24"/>
    <w:rsid w:val="00B62E5E"/>
    <w:rsid w:val="00B6310A"/>
    <w:rsid w:val="00B654B9"/>
    <w:rsid w:val="00B66B49"/>
    <w:rsid w:val="00B67503"/>
    <w:rsid w:val="00B710D0"/>
    <w:rsid w:val="00B71400"/>
    <w:rsid w:val="00B71476"/>
    <w:rsid w:val="00B71F4F"/>
    <w:rsid w:val="00B72B83"/>
    <w:rsid w:val="00B72BA3"/>
    <w:rsid w:val="00B72D47"/>
    <w:rsid w:val="00B73F36"/>
    <w:rsid w:val="00B7489F"/>
    <w:rsid w:val="00B74B81"/>
    <w:rsid w:val="00B7501F"/>
    <w:rsid w:val="00B80745"/>
    <w:rsid w:val="00B80B45"/>
    <w:rsid w:val="00B81632"/>
    <w:rsid w:val="00B8192B"/>
    <w:rsid w:val="00B81A0F"/>
    <w:rsid w:val="00B82087"/>
    <w:rsid w:val="00B8225E"/>
    <w:rsid w:val="00B82406"/>
    <w:rsid w:val="00B830C7"/>
    <w:rsid w:val="00B8460D"/>
    <w:rsid w:val="00B85206"/>
    <w:rsid w:val="00B85EE6"/>
    <w:rsid w:val="00B87C9D"/>
    <w:rsid w:val="00B917C4"/>
    <w:rsid w:val="00B92FA5"/>
    <w:rsid w:val="00B9315C"/>
    <w:rsid w:val="00B94AFB"/>
    <w:rsid w:val="00B95C00"/>
    <w:rsid w:val="00B96C1D"/>
    <w:rsid w:val="00B96E42"/>
    <w:rsid w:val="00B96EAF"/>
    <w:rsid w:val="00B97941"/>
    <w:rsid w:val="00BA077F"/>
    <w:rsid w:val="00BA0E57"/>
    <w:rsid w:val="00BA121A"/>
    <w:rsid w:val="00BA33DB"/>
    <w:rsid w:val="00BA619B"/>
    <w:rsid w:val="00BA72FF"/>
    <w:rsid w:val="00BA79B1"/>
    <w:rsid w:val="00BB148D"/>
    <w:rsid w:val="00BB2EA7"/>
    <w:rsid w:val="00BB3C10"/>
    <w:rsid w:val="00BB3C6C"/>
    <w:rsid w:val="00BB4065"/>
    <w:rsid w:val="00BB407F"/>
    <w:rsid w:val="00BB4B11"/>
    <w:rsid w:val="00BB67D7"/>
    <w:rsid w:val="00BB7166"/>
    <w:rsid w:val="00BB743C"/>
    <w:rsid w:val="00BB7478"/>
    <w:rsid w:val="00BB7F61"/>
    <w:rsid w:val="00BC10DE"/>
    <w:rsid w:val="00BC14E5"/>
    <w:rsid w:val="00BC2098"/>
    <w:rsid w:val="00BC20E0"/>
    <w:rsid w:val="00BC3045"/>
    <w:rsid w:val="00BC4981"/>
    <w:rsid w:val="00BC4B17"/>
    <w:rsid w:val="00BC4B5F"/>
    <w:rsid w:val="00BC51D5"/>
    <w:rsid w:val="00BC5438"/>
    <w:rsid w:val="00BC672C"/>
    <w:rsid w:val="00BC6BA0"/>
    <w:rsid w:val="00BC6BAB"/>
    <w:rsid w:val="00BC70AB"/>
    <w:rsid w:val="00BD09BB"/>
    <w:rsid w:val="00BD3194"/>
    <w:rsid w:val="00BD3BC2"/>
    <w:rsid w:val="00BD4A77"/>
    <w:rsid w:val="00BD56C7"/>
    <w:rsid w:val="00BD5CF0"/>
    <w:rsid w:val="00BD6BC6"/>
    <w:rsid w:val="00BD70F0"/>
    <w:rsid w:val="00BE0067"/>
    <w:rsid w:val="00BE0608"/>
    <w:rsid w:val="00BE148B"/>
    <w:rsid w:val="00BE2280"/>
    <w:rsid w:val="00BE408D"/>
    <w:rsid w:val="00BE785B"/>
    <w:rsid w:val="00BF01B1"/>
    <w:rsid w:val="00BF08BE"/>
    <w:rsid w:val="00BF08CA"/>
    <w:rsid w:val="00BF119B"/>
    <w:rsid w:val="00BF138D"/>
    <w:rsid w:val="00BF197F"/>
    <w:rsid w:val="00BF1B76"/>
    <w:rsid w:val="00BF211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53E8"/>
    <w:rsid w:val="00C163CD"/>
    <w:rsid w:val="00C16721"/>
    <w:rsid w:val="00C17057"/>
    <w:rsid w:val="00C219C7"/>
    <w:rsid w:val="00C22D3A"/>
    <w:rsid w:val="00C23740"/>
    <w:rsid w:val="00C241C5"/>
    <w:rsid w:val="00C24D7A"/>
    <w:rsid w:val="00C26690"/>
    <w:rsid w:val="00C27CE9"/>
    <w:rsid w:val="00C304E0"/>
    <w:rsid w:val="00C308D5"/>
    <w:rsid w:val="00C30D6C"/>
    <w:rsid w:val="00C30E50"/>
    <w:rsid w:val="00C31F07"/>
    <w:rsid w:val="00C321FC"/>
    <w:rsid w:val="00C32992"/>
    <w:rsid w:val="00C32AA2"/>
    <w:rsid w:val="00C32EB8"/>
    <w:rsid w:val="00C33C9F"/>
    <w:rsid w:val="00C34939"/>
    <w:rsid w:val="00C36D37"/>
    <w:rsid w:val="00C40577"/>
    <w:rsid w:val="00C43A91"/>
    <w:rsid w:val="00C444DF"/>
    <w:rsid w:val="00C44E0D"/>
    <w:rsid w:val="00C4537D"/>
    <w:rsid w:val="00C4594F"/>
    <w:rsid w:val="00C460A7"/>
    <w:rsid w:val="00C46C29"/>
    <w:rsid w:val="00C47117"/>
    <w:rsid w:val="00C47326"/>
    <w:rsid w:val="00C473CE"/>
    <w:rsid w:val="00C47465"/>
    <w:rsid w:val="00C47714"/>
    <w:rsid w:val="00C47C23"/>
    <w:rsid w:val="00C50119"/>
    <w:rsid w:val="00C513E8"/>
    <w:rsid w:val="00C51492"/>
    <w:rsid w:val="00C51627"/>
    <w:rsid w:val="00C520A6"/>
    <w:rsid w:val="00C53348"/>
    <w:rsid w:val="00C54332"/>
    <w:rsid w:val="00C54414"/>
    <w:rsid w:val="00C54CD4"/>
    <w:rsid w:val="00C5595C"/>
    <w:rsid w:val="00C55D1A"/>
    <w:rsid w:val="00C5615F"/>
    <w:rsid w:val="00C57E1E"/>
    <w:rsid w:val="00C60DE6"/>
    <w:rsid w:val="00C616A7"/>
    <w:rsid w:val="00C616B4"/>
    <w:rsid w:val="00C617B4"/>
    <w:rsid w:val="00C62AF3"/>
    <w:rsid w:val="00C6304C"/>
    <w:rsid w:val="00C6309C"/>
    <w:rsid w:val="00C6370F"/>
    <w:rsid w:val="00C63888"/>
    <w:rsid w:val="00C64E09"/>
    <w:rsid w:val="00C66615"/>
    <w:rsid w:val="00C6725A"/>
    <w:rsid w:val="00C709A5"/>
    <w:rsid w:val="00C71DFA"/>
    <w:rsid w:val="00C72825"/>
    <w:rsid w:val="00C7479A"/>
    <w:rsid w:val="00C74A39"/>
    <w:rsid w:val="00C75CCE"/>
    <w:rsid w:val="00C76139"/>
    <w:rsid w:val="00C77E95"/>
    <w:rsid w:val="00C80835"/>
    <w:rsid w:val="00C815B2"/>
    <w:rsid w:val="00C817F2"/>
    <w:rsid w:val="00C8232F"/>
    <w:rsid w:val="00C846D0"/>
    <w:rsid w:val="00C85200"/>
    <w:rsid w:val="00C85D72"/>
    <w:rsid w:val="00C86C30"/>
    <w:rsid w:val="00C86DC4"/>
    <w:rsid w:val="00C86E0C"/>
    <w:rsid w:val="00C86F1F"/>
    <w:rsid w:val="00C87093"/>
    <w:rsid w:val="00C877C0"/>
    <w:rsid w:val="00C87B94"/>
    <w:rsid w:val="00C90390"/>
    <w:rsid w:val="00C909CB"/>
    <w:rsid w:val="00C913DB"/>
    <w:rsid w:val="00C91481"/>
    <w:rsid w:val="00C92326"/>
    <w:rsid w:val="00C93178"/>
    <w:rsid w:val="00C936C0"/>
    <w:rsid w:val="00C94BAB"/>
    <w:rsid w:val="00C956CD"/>
    <w:rsid w:val="00C95B73"/>
    <w:rsid w:val="00C9632E"/>
    <w:rsid w:val="00C96DEE"/>
    <w:rsid w:val="00C9727A"/>
    <w:rsid w:val="00CA04D7"/>
    <w:rsid w:val="00CA0D34"/>
    <w:rsid w:val="00CA1699"/>
    <w:rsid w:val="00CA16AE"/>
    <w:rsid w:val="00CA3107"/>
    <w:rsid w:val="00CA3586"/>
    <w:rsid w:val="00CA3D73"/>
    <w:rsid w:val="00CA517D"/>
    <w:rsid w:val="00CA59D0"/>
    <w:rsid w:val="00CA6A0D"/>
    <w:rsid w:val="00CA74BF"/>
    <w:rsid w:val="00CA76EB"/>
    <w:rsid w:val="00CA7A3A"/>
    <w:rsid w:val="00CB0A0F"/>
    <w:rsid w:val="00CB12AD"/>
    <w:rsid w:val="00CB3612"/>
    <w:rsid w:val="00CB3BF8"/>
    <w:rsid w:val="00CB4184"/>
    <w:rsid w:val="00CB552F"/>
    <w:rsid w:val="00CB5FC8"/>
    <w:rsid w:val="00CB7D66"/>
    <w:rsid w:val="00CC005B"/>
    <w:rsid w:val="00CC0B76"/>
    <w:rsid w:val="00CC0FEC"/>
    <w:rsid w:val="00CC1492"/>
    <w:rsid w:val="00CC1C35"/>
    <w:rsid w:val="00CC1D1A"/>
    <w:rsid w:val="00CC22FC"/>
    <w:rsid w:val="00CC35CD"/>
    <w:rsid w:val="00CC3CC9"/>
    <w:rsid w:val="00CC429F"/>
    <w:rsid w:val="00CC500F"/>
    <w:rsid w:val="00CC63AB"/>
    <w:rsid w:val="00CC66F1"/>
    <w:rsid w:val="00CC6C0E"/>
    <w:rsid w:val="00CC6F25"/>
    <w:rsid w:val="00CC7A6C"/>
    <w:rsid w:val="00CD0990"/>
    <w:rsid w:val="00CD10DC"/>
    <w:rsid w:val="00CD291B"/>
    <w:rsid w:val="00CD36DC"/>
    <w:rsid w:val="00CD425F"/>
    <w:rsid w:val="00CD482B"/>
    <w:rsid w:val="00CD650B"/>
    <w:rsid w:val="00CD763C"/>
    <w:rsid w:val="00CD7901"/>
    <w:rsid w:val="00CE01D5"/>
    <w:rsid w:val="00CE3223"/>
    <w:rsid w:val="00CE422D"/>
    <w:rsid w:val="00CE4711"/>
    <w:rsid w:val="00CE5915"/>
    <w:rsid w:val="00CE69CA"/>
    <w:rsid w:val="00CE77B3"/>
    <w:rsid w:val="00CE7AE2"/>
    <w:rsid w:val="00CF0FE8"/>
    <w:rsid w:val="00CF158C"/>
    <w:rsid w:val="00CF2F79"/>
    <w:rsid w:val="00CF4DD3"/>
    <w:rsid w:val="00CF5E12"/>
    <w:rsid w:val="00CF7C19"/>
    <w:rsid w:val="00CF7CEB"/>
    <w:rsid w:val="00CF7D47"/>
    <w:rsid w:val="00D0041C"/>
    <w:rsid w:val="00D005DF"/>
    <w:rsid w:val="00D01238"/>
    <w:rsid w:val="00D01E43"/>
    <w:rsid w:val="00D0245E"/>
    <w:rsid w:val="00D035B3"/>
    <w:rsid w:val="00D04C90"/>
    <w:rsid w:val="00D058F2"/>
    <w:rsid w:val="00D05B7E"/>
    <w:rsid w:val="00D06B6F"/>
    <w:rsid w:val="00D07C4B"/>
    <w:rsid w:val="00D1117B"/>
    <w:rsid w:val="00D1141E"/>
    <w:rsid w:val="00D11743"/>
    <w:rsid w:val="00D11E8C"/>
    <w:rsid w:val="00D13754"/>
    <w:rsid w:val="00D1429E"/>
    <w:rsid w:val="00D145F6"/>
    <w:rsid w:val="00D14E61"/>
    <w:rsid w:val="00D1695C"/>
    <w:rsid w:val="00D16BBD"/>
    <w:rsid w:val="00D17041"/>
    <w:rsid w:val="00D173F0"/>
    <w:rsid w:val="00D231D4"/>
    <w:rsid w:val="00D23C45"/>
    <w:rsid w:val="00D24097"/>
    <w:rsid w:val="00D24494"/>
    <w:rsid w:val="00D24764"/>
    <w:rsid w:val="00D24B34"/>
    <w:rsid w:val="00D25385"/>
    <w:rsid w:val="00D2573C"/>
    <w:rsid w:val="00D25764"/>
    <w:rsid w:val="00D25F07"/>
    <w:rsid w:val="00D26100"/>
    <w:rsid w:val="00D2628C"/>
    <w:rsid w:val="00D265B9"/>
    <w:rsid w:val="00D26B80"/>
    <w:rsid w:val="00D27F80"/>
    <w:rsid w:val="00D31481"/>
    <w:rsid w:val="00D319BE"/>
    <w:rsid w:val="00D320CF"/>
    <w:rsid w:val="00D33214"/>
    <w:rsid w:val="00D33311"/>
    <w:rsid w:val="00D33871"/>
    <w:rsid w:val="00D347E9"/>
    <w:rsid w:val="00D34BC9"/>
    <w:rsid w:val="00D34EC7"/>
    <w:rsid w:val="00D3533F"/>
    <w:rsid w:val="00D3565B"/>
    <w:rsid w:val="00D358AD"/>
    <w:rsid w:val="00D35AB1"/>
    <w:rsid w:val="00D36799"/>
    <w:rsid w:val="00D36A3D"/>
    <w:rsid w:val="00D37236"/>
    <w:rsid w:val="00D37DE2"/>
    <w:rsid w:val="00D41E4C"/>
    <w:rsid w:val="00D42470"/>
    <w:rsid w:val="00D42924"/>
    <w:rsid w:val="00D42CBF"/>
    <w:rsid w:val="00D431E9"/>
    <w:rsid w:val="00D43AC8"/>
    <w:rsid w:val="00D44260"/>
    <w:rsid w:val="00D4510E"/>
    <w:rsid w:val="00D45446"/>
    <w:rsid w:val="00D50518"/>
    <w:rsid w:val="00D505A5"/>
    <w:rsid w:val="00D50AC3"/>
    <w:rsid w:val="00D50C16"/>
    <w:rsid w:val="00D50C3E"/>
    <w:rsid w:val="00D51D0C"/>
    <w:rsid w:val="00D52AB9"/>
    <w:rsid w:val="00D53E00"/>
    <w:rsid w:val="00D53E4A"/>
    <w:rsid w:val="00D541CE"/>
    <w:rsid w:val="00D54C61"/>
    <w:rsid w:val="00D54DDB"/>
    <w:rsid w:val="00D55005"/>
    <w:rsid w:val="00D55D29"/>
    <w:rsid w:val="00D56A99"/>
    <w:rsid w:val="00D56E40"/>
    <w:rsid w:val="00D572E1"/>
    <w:rsid w:val="00D5746B"/>
    <w:rsid w:val="00D57975"/>
    <w:rsid w:val="00D57DDB"/>
    <w:rsid w:val="00D600BF"/>
    <w:rsid w:val="00D6016A"/>
    <w:rsid w:val="00D61FF0"/>
    <w:rsid w:val="00D64211"/>
    <w:rsid w:val="00D650F5"/>
    <w:rsid w:val="00D654A3"/>
    <w:rsid w:val="00D673C1"/>
    <w:rsid w:val="00D70F83"/>
    <w:rsid w:val="00D71817"/>
    <w:rsid w:val="00D720AB"/>
    <w:rsid w:val="00D72298"/>
    <w:rsid w:val="00D72B0E"/>
    <w:rsid w:val="00D75805"/>
    <w:rsid w:val="00D801A2"/>
    <w:rsid w:val="00D809B5"/>
    <w:rsid w:val="00D8108A"/>
    <w:rsid w:val="00D819A9"/>
    <w:rsid w:val="00D819E7"/>
    <w:rsid w:val="00D81C20"/>
    <w:rsid w:val="00D824C0"/>
    <w:rsid w:val="00D82A9F"/>
    <w:rsid w:val="00D83842"/>
    <w:rsid w:val="00D83BD7"/>
    <w:rsid w:val="00D83D19"/>
    <w:rsid w:val="00D8534F"/>
    <w:rsid w:val="00D8622D"/>
    <w:rsid w:val="00D86515"/>
    <w:rsid w:val="00D905BA"/>
    <w:rsid w:val="00D90CDB"/>
    <w:rsid w:val="00D919CC"/>
    <w:rsid w:val="00D91A1F"/>
    <w:rsid w:val="00D938C8"/>
    <w:rsid w:val="00D94BE9"/>
    <w:rsid w:val="00D94DE4"/>
    <w:rsid w:val="00D972C3"/>
    <w:rsid w:val="00DA03A4"/>
    <w:rsid w:val="00DA0731"/>
    <w:rsid w:val="00DA1640"/>
    <w:rsid w:val="00DA2059"/>
    <w:rsid w:val="00DA2E38"/>
    <w:rsid w:val="00DA3688"/>
    <w:rsid w:val="00DA4444"/>
    <w:rsid w:val="00DA566D"/>
    <w:rsid w:val="00DA57A7"/>
    <w:rsid w:val="00DA5A4C"/>
    <w:rsid w:val="00DA75FA"/>
    <w:rsid w:val="00DB157F"/>
    <w:rsid w:val="00DB23CB"/>
    <w:rsid w:val="00DB34B7"/>
    <w:rsid w:val="00DB4E2F"/>
    <w:rsid w:val="00DB6583"/>
    <w:rsid w:val="00DC1BFE"/>
    <w:rsid w:val="00DC475A"/>
    <w:rsid w:val="00DC515F"/>
    <w:rsid w:val="00DC5189"/>
    <w:rsid w:val="00DC5483"/>
    <w:rsid w:val="00DC753A"/>
    <w:rsid w:val="00DC772C"/>
    <w:rsid w:val="00DD0A79"/>
    <w:rsid w:val="00DD0BF6"/>
    <w:rsid w:val="00DD0D75"/>
    <w:rsid w:val="00DD187C"/>
    <w:rsid w:val="00DD1DCD"/>
    <w:rsid w:val="00DD2CA0"/>
    <w:rsid w:val="00DD3031"/>
    <w:rsid w:val="00DD3877"/>
    <w:rsid w:val="00DD4DEE"/>
    <w:rsid w:val="00DD5D6D"/>
    <w:rsid w:val="00DD6281"/>
    <w:rsid w:val="00DD70ED"/>
    <w:rsid w:val="00DD7902"/>
    <w:rsid w:val="00DD7A2E"/>
    <w:rsid w:val="00DD7B86"/>
    <w:rsid w:val="00DE0FAA"/>
    <w:rsid w:val="00DE1804"/>
    <w:rsid w:val="00DE1BBE"/>
    <w:rsid w:val="00DE2030"/>
    <w:rsid w:val="00DE2717"/>
    <w:rsid w:val="00DE29CD"/>
    <w:rsid w:val="00DE3D5F"/>
    <w:rsid w:val="00DE3F1D"/>
    <w:rsid w:val="00DE453F"/>
    <w:rsid w:val="00DE556C"/>
    <w:rsid w:val="00DE589B"/>
    <w:rsid w:val="00DE61D0"/>
    <w:rsid w:val="00DF0CD1"/>
    <w:rsid w:val="00DF13A6"/>
    <w:rsid w:val="00DF1876"/>
    <w:rsid w:val="00DF1EA7"/>
    <w:rsid w:val="00DF2618"/>
    <w:rsid w:val="00DF2FA6"/>
    <w:rsid w:val="00DF3435"/>
    <w:rsid w:val="00DF3849"/>
    <w:rsid w:val="00DF4455"/>
    <w:rsid w:val="00DF449C"/>
    <w:rsid w:val="00DF4F55"/>
    <w:rsid w:val="00DF5A5B"/>
    <w:rsid w:val="00DF6C92"/>
    <w:rsid w:val="00DF7733"/>
    <w:rsid w:val="00DF77E4"/>
    <w:rsid w:val="00E005BB"/>
    <w:rsid w:val="00E01855"/>
    <w:rsid w:val="00E0194E"/>
    <w:rsid w:val="00E01BD0"/>
    <w:rsid w:val="00E031DE"/>
    <w:rsid w:val="00E03741"/>
    <w:rsid w:val="00E03B88"/>
    <w:rsid w:val="00E03E50"/>
    <w:rsid w:val="00E05840"/>
    <w:rsid w:val="00E0650A"/>
    <w:rsid w:val="00E06EAB"/>
    <w:rsid w:val="00E0732F"/>
    <w:rsid w:val="00E07359"/>
    <w:rsid w:val="00E07ABF"/>
    <w:rsid w:val="00E1188C"/>
    <w:rsid w:val="00E11A26"/>
    <w:rsid w:val="00E11E59"/>
    <w:rsid w:val="00E1285B"/>
    <w:rsid w:val="00E12CFD"/>
    <w:rsid w:val="00E13E26"/>
    <w:rsid w:val="00E151E6"/>
    <w:rsid w:val="00E154AF"/>
    <w:rsid w:val="00E156AD"/>
    <w:rsid w:val="00E16E90"/>
    <w:rsid w:val="00E17165"/>
    <w:rsid w:val="00E174D1"/>
    <w:rsid w:val="00E174F2"/>
    <w:rsid w:val="00E175F8"/>
    <w:rsid w:val="00E17916"/>
    <w:rsid w:val="00E206CD"/>
    <w:rsid w:val="00E20758"/>
    <w:rsid w:val="00E21843"/>
    <w:rsid w:val="00E21D3C"/>
    <w:rsid w:val="00E21FA1"/>
    <w:rsid w:val="00E2278D"/>
    <w:rsid w:val="00E24714"/>
    <w:rsid w:val="00E26394"/>
    <w:rsid w:val="00E264B3"/>
    <w:rsid w:val="00E266D8"/>
    <w:rsid w:val="00E26B6C"/>
    <w:rsid w:val="00E26B91"/>
    <w:rsid w:val="00E2739F"/>
    <w:rsid w:val="00E27F7E"/>
    <w:rsid w:val="00E3088C"/>
    <w:rsid w:val="00E32B63"/>
    <w:rsid w:val="00E33A4C"/>
    <w:rsid w:val="00E3450A"/>
    <w:rsid w:val="00E3737A"/>
    <w:rsid w:val="00E4085C"/>
    <w:rsid w:val="00E40F6C"/>
    <w:rsid w:val="00E426E3"/>
    <w:rsid w:val="00E426FF"/>
    <w:rsid w:val="00E4326C"/>
    <w:rsid w:val="00E437A2"/>
    <w:rsid w:val="00E47E31"/>
    <w:rsid w:val="00E529E7"/>
    <w:rsid w:val="00E52A00"/>
    <w:rsid w:val="00E52E13"/>
    <w:rsid w:val="00E53127"/>
    <w:rsid w:val="00E54E55"/>
    <w:rsid w:val="00E54E63"/>
    <w:rsid w:val="00E5535A"/>
    <w:rsid w:val="00E5579E"/>
    <w:rsid w:val="00E564E5"/>
    <w:rsid w:val="00E5668B"/>
    <w:rsid w:val="00E56CD7"/>
    <w:rsid w:val="00E573B0"/>
    <w:rsid w:val="00E5779A"/>
    <w:rsid w:val="00E57897"/>
    <w:rsid w:val="00E614FC"/>
    <w:rsid w:val="00E61A87"/>
    <w:rsid w:val="00E61E7F"/>
    <w:rsid w:val="00E63CAB"/>
    <w:rsid w:val="00E6459D"/>
    <w:rsid w:val="00E6544E"/>
    <w:rsid w:val="00E65C20"/>
    <w:rsid w:val="00E66471"/>
    <w:rsid w:val="00E66812"/>
    <w:rsid w:val="00E66D85"/>
    <w:rsid w:val="00E67B54"/>
    <w:rsid w:val="00E67DCE"/>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3E0"/>
    <w:rsid w:val="00E967C1"/>
    <w:rsid w:val="00E9696C"/>
    <w:rsid w:val="00E96BAA"/>
    <w:rsid w:val="00E96F49"/>
    <w:rsid w:val="00E970F6"/>
    <w:rsid w:val="00E97343"/>
    <w:rsid w:val="00E97DE0"/>
    <w:rsid w:val="00EA00D0"/>
    <w:rsid w:val="00EA0DB7"/>
    <w:rsid w:val="00EA0E42"/>
    <w:rsid w:val="00EA1276"/>
    <w:rsid w:val="00EA235C"/>
    <w:rsid w:val="00EA6419"/>
    <w:rsid w:val="00EA656D"/>
    <w:rsid w:val="00EA6583"/>
    <w:rsid w:val="00EA6789"/>
    <w:rsid w:val="00EA6C1F"/>
    <w:rsid w:val="00EA6E0B"/>
    <w:rsid w:val="00EB129D"/>
    <w:rsid w:val="00EB1910"/>
    <w:rsid w:val="00EB3667"/>
    <w:rsid w:val="00EB4694"/>
    <w:rsid w:val="00EB557E"/>
    <w:rsid w:val="00EB7896"/>
    <w:rsid w:val="00EC0C10"/>
    <w:rsid w:val="00EC1415"/>
    <w:rsid w:val="00EC1C96"/>
    <w:rsid w:val="00EC3A4F"/>
    <w:rsid w:val="00EC4449"/>
    <w:rsid w:val="00EC4CC8"/>
    <w:rsid w:val="00EC526D"/>
    <w:rsid w:val="00EC54DF"/>
    <w:rsid w:val="00EC5C50"/>
    <w:rsid w:val="00EC6F2B"/>
    <w:rsid w:val="00EC7D6B"/>
    <w:rsid w:val="00ED00B3"/>
    <w:rsid w:val="00ED2F59"/>
    <w:rsid w:val="00ED3320"/>
    <w:rsid w:val="00ED74B5"/>
    <w:rsid w:val="00EE1230"/>
    <w:rsid w:val="00EE1C46"/>
    <w:rsid w:val="00EE374F"/>
    <w:rsid w:val="00EE512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6936"/>
    <w:rsid w:val="00F07769"/>
    <w:rsid w:val="00F07D5D"/>
    <w:rsid w:val="00F10622"/>
    <w:rsid w:val="00F115F3"/>
    <w:rsid w:val="00F125AC"/>
    <w:rsid w:val="00F136AC"/>
    <w:rsid w:val="00F140A6"/>
    <w:rsid w:val="00F14494"/>
    <w:rsid w:val="00F14DD9"/>
    <w:rsid w:val="00F15000"/>
    <w:rsid w:val="00F15582"/>
    <w:rsid w:val="00F16559"/>
    <w:rsid w:val="00F16CD4"/>
    <w:rsid w:val="00F17B7A"/>
    <w:rsid w:val="00F21D8A"/>
    <w:rsid w:val="00F23DEF"/>
    <w:rsid w:val="00F248ED"/>
    <w:rsid w:val="00F25CE7"/>
    <w:rsid w:val="00F27893"/>
    <w:rsid w:val="00F30583"/>
    <w:rsid w:val="00F30AB4"/>
    <w:rsid w:val="00F3155E"/>
    <w:rsid w:val="00F327EA"/>
    <w:rsid w:val="00F32B6E"/>
    <w:rsid w:val="00F33FC1"/>
    <w:rsid w:val="00F3430A"/>
    <w:rsid w:val="00F35AC4"/>
    <w:rsid w:val="00F35BD0"/>
    <w:rsid w:val="00F35C8C"/>
    <w:rsid w:val="00F368DB"/>
    <w:rsid w:val="00F40690"/>
    <w:rsid w:val="00F40929"/>
    <w:rsid w:val="00F44324"/>
    <w:rsid w:val="00F44AA1"/>
    <w:rsid w:val="00F451C1"/>
    <w:rsid w:val="00F4661E"/>
    <w:rsid w:val="00F46E89"/>
    <w:rsid w:val="00F46FCC"/>
    <w:rsid w:val="00F509EE"/>
    <w:rsid w:val="00F50B1D"/>
    <w:rsid w:val="00F512B3"/>
    <w:rsid w:val="00F515C5"/>
    <w:rsid w:val="00F518EF"/>
    <w:rsid w:val="00F52E4A"/>
    <w:rsid w:val="00F52EA2"/>
    <w:rsid w:val="00F5363F"/>
    <w:rsid w:val="00F53B41"/>
    <w:rsid w:val="00F54058"/>
    <w:rsid w:val="00F5422E"/>
    <w:rsid w:val="00F543A5"/>
    <w:rsid w:val="00F55450"/>
    <w:rsid w:val="00F5604F"/>
    <w:rsid w:val="00F56165"/>
    <w:rsid w:val="00F561A1"/>
    <w:rsid w:val="00F568ED"/>
    <w:rsid w:val="00F57C50"/>
    <w:rsid w:val="00F57D5C"/>
    <w:rsid w:val="00F57F0E"/>
    <w:rsid w:val="00F61A75"/>
    <w:rsid w:val="00F61EE1"/>
    <w:rsid w:val="00F620D7"/>
    <w:rsid w:val="00F62172"/>
    <w:rsid w:val="00F635D4"/>
    <w:rsid w:val="00F64BDD"/>
    <w:rsid w:val="00F65C2F"/>
    <w:rsid w:val="00F666BF"/>
    <w:rsid w:val="00F66FB8"/>
    <w:rsid w:val="00F676B6"/>
    <w:rsid w:val="00F705F8"/>
    <w:rsid w:val="00F734CC"/>
    <w:rsid w:val="00F74EEB"/>
    <w:rsid w:val="00F752E1"/>
    <w:rsid w:val="00F76179"/>
    <w:rsid w:val="00F772F3"/>
    <w:rsid w:val="00F84202"/>
    <w:rsid w:val="00F84398"/>
    <w:rsid w:val="00F84E39"/>
    <w:rsid w:val="00F84FCD"/>
    <w:rsid w:val="00F85844"/>
    <w:rsid w:val="00F87498"/>
    <w:rsid w:val="00F87675"/>
    <w:rsid w:val="00F87736"/>
    <w:rsid w:val="00F878E8"/>
    <w:rsid w:val="00F9002B"/>
    <w:rsid w:val="00F9015F"/>
    <w:rsid w:val="00F90A26"/>
    <w:rsid w:val="00F918B4"/>
    <w:rsid w:val="00F91ADA"/>
    <w:rsid w:val="00F92D7A"/>
    <w:rsid w:val="00F940F2"/>
    <w:rsid w:val="00F94F6A"/>
    <w:rsid w:val="00F95920"/>
    <w:rsid w:val="00FA0705"/>
    <w:rsid w:val="00FA1B36"/>
    <w:rsid w:val="00FA2F86"/>
    <w:rsid w:val="00FA41ED"/>
    <w:rsid w:val="00FA5D69"/>
    <w:rsid w:val="00FA6365"/>
    <w:rsid w:val="00FA6A88"/>
    <w:rsid w:val="00FA7149"/>
    <w:rsid w:val="00FA7DF6"/>
    <w:rsid w:val="00FB0C09"/>
    <w:rsid w:val="00FB0E04"/>
    <w:rsid w:val="00FB1713"/>
    <w:rsid w:val="00FB1D18"/>
    <w:rsid w:val="00FB25D7"/>
    <w:rsid w:val="00FB39F4"/>
    <w:rsid w:val="00FB50BD"/>
    <w:rsid w:val="00FB5587"/>
    <w:rsid w:val="00FB61D1"/>
    <w:rsid w:val="00FB61E4"/>
    <w:rsid w:val="00FB6389"/>
    <w:rsid w:val="00FB6906"/>
    <w:rsid w:val="00FB6A9B"/>
    <w:rsid w:val="00FC0D54"/>
    <w:rsid w:val="00FC1213"/>
    <w:rsid w:val="00FC127C"/>
    <w:rsid w:val="00FC17F6"/>
    <w:rsid w:val="00FC1A58"/>
    <w:rsid w:val="00FC2C82"/>
    <w:rsid w:val="00FC2CB6"/>
    <w:rsid w:val="00FC4288"/>
    <w:rsid w:val="00FC48D2"/>
    <w:rsid w:val="00FC4FB1"/>
    <w:rsid w:val="00FC5EF2"/>
    <w:rsid w:val="00FC5F0A"/>
    <w:rsid w:val="00FC61B7"/>
    <w:rsid w:val="00FC7E33"/>
    <w:rsid w:val="00FD0149"/>
    <w:rsid w:val="00FD1438"/>
    <w:rsid w:val="00FD40E1"/>
    <w:rsid w:val="00FD5777"/>
    <w:rsid w:val="00FD5E21"/>
    <w:rsid w:val="00FD76AE"/>
    <w:rsid w:val="00FD76DD"/>
    <w:rsid w:val="00FD7E60"/>
    <w:rsid w:val="00FE05DE"/>
    <w:rsid w:val="00FE179C"/>
    <w:rsid w:val="00FE2D1D"/>
    <w:rsid w:val="00FE2F2E"/>
    <w:rsid w:val="00FE4BC2"/>
    <w:rsid w:val="00FE4BC6"/>
    <w:rsid w:val="00FE6426"/>
    <w:rsid w:val="00FE6567"/>
    <w:rsid w:val="00FE72D5"/>
    <w:rsid w:val="00FF04F4"/>
    <w:rsid w:val="00FF128C"/>
    <w:rsid w:val="00FF3095"/>
    <w:rsid w:val="00FF4E86"/>
    <w:rsid w:val="00FF6B98"/>
    <w:rsid w:val="00FF6C25"/>
    <w:rsid w:val="00FF705E"/>
    <w:rsid w:val="00FF70B0"/>
    <w:rsid w:val="00FF7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111C5"/>
  <w15:docId w15:val="{B2C12802-06B5-4A02-9439-0045E322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2">
    <w:name w:val="Normal12"/>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 w:type="paragraph" w:styleId="NoSpacing">
    <w:name w:val="No Spacing"/>
    <w:uiPriority w:val="1"/>
    <w:qFormat/>
    <w:rsid w:val="00B34CB3"/>
    <w:pPr>
      <w:spacing w:after="0" w:line="240" w:lineRule="auto"/>
    </w:pPr>
    <w:rPr>
      <w:rFonts w:ascii="Times New Roman" w:hAnsi="Times New Roman" w:cs="Times New Roman"/>
      <w:sz w:val="24"/>
      <w:szCs w:val="24"/>
    </w:rPr>
  </w:style>
  <w:style w:type="character" w:customStyle="1" w:styleId="fontstyle01">
    <w:name w:val="fontstyle01"/>
    <w:rsid w:val="00C6304C"/>
    <w:rPr>
      <w:rFonts w:ascii="Times New Roman" w:hAnsi="Times New Roman"/>
      <w:color w:val="000000"/>
      <w:sz w:val="28"/>
    </w:rPr>
  </w:style>
  <w:style w:type="paragraph" w:customStyle="1" w:styleId="Normal11">
    <w:name w:val="Normal11"/>
    <w:basedOn w:val="Normal"/>
    <w:rsid w:val="00E13E26"/>
    <w:pPr>
      <w:spacing w:before="100" w:beforeAutospacing="1" w:after="100" w:afterAutospacing="1" w:line="240" w:lineRule="auto"/>
    </w:pPr>
    <w:rPr>
      <w:sz w:val="24"/>
      <w:szCs w:val="24"/>
      <w:lang w:val="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qFormat/>
    <w:rsid w:val="000C3B2B"/>
    <w:pPr>
      <w:spacing w:after="160" w:line="240" w:lineRule="exact"/>
    </w:pPr>
    <w:rPr>
      <w:rFonts w:asciiTheme="minorHAnsi" w:eastAsiaTheme="minorHAnsi" w:hAnsiTheme="minorHAnsi" w:cstheme="minorBidi"/>
      <w:vertAlign w:val="superscript"/>
      <w:lang w:val="en-US"/>
    </w:rPr>
  </w:style>
  <w:style w:type="paragraph" w:styleId="Revision">
    <w:name w:val="Revision"/>
    <w:hidden/>
    <w:uiPriority w:val="99"/>
    <w:semiHidden/>
    <w:rsid w:val="00B12FD4"/>
    <w:pPr>
      <w:spacing w:after="0" w:line="240" w:lineRule="auto"/>
    </w:pPr>
    <w:rPr>
      <w:lang w:val="en-GB"/>
    </w:rPr>
  </w:style>
  <w:style w:type="table" w:customStyle="1" w:styleId="TableGrid1">
    <w:name w:val="Table Grid1"/>
    <w:basedOn w:val="TableNormal"/>
    <w:next w:val="TableGrid"/>
    <w:uiPriority w:val="39"/>
    <w:locked/>
    <w:rsid w:val="00436E1F"/>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55768"/>
    <w:rPr>
      <w:b/>
      <w:bCs/>
    </w:rPr>
  </w:style>
  <w:style w:type="character" w:customStyle="1" w:styleId="CommentSubjectChar">
    <w:name w:val="Comment Subject Char"/>
    <w:basedOn w:val="CommentTextChar"/>
    <w:link w:val="CommentSubject"/>
    <w:uiPriority w:val="99"/>
    <w:semiHidden/>
    <w:rsid w:val="00055768"/>
    <w:rPr>
      <w:b/>
      <w:bCs/>
      <w:sz w:val="20"/>
      <w:szCs w:val="20"/>
      <w:lang w:val="en-GB"/>
    </w:rPr>
  </w:style>
  <w:style w:type="character" w:customStyle="1" w:styleId="rynqvb">
    <w:name w:val="rynqvb"/>
    <w:basedOn w:val="DefaultParagraphFont"/>
    <w:rsid w:val="00097A20"/>
  </w:style>
  <w:style w:type="table" w:customStyle="1" w:styleId="TableGrid2">
    <w:name w:val="Table Grid2"/>
    <w:basedOn w:val="TableNormal"/>
    <w:next w:val="TableGrid"/>
    <w:uiPriority w:val="39"/>
    <w:rsid w:val="008E29A3"/>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mro-" TargetMode="External"/><Relationship Id="rId1" Type="http://schemas.openxmlformats.org/officeDocument/2006/relationships/hyperlink" Target="https://www.n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260A-5F1B-4039-9D02-B52031CB4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17</Pages>
  <Words>6036</Words>
  <Characters>34411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ltanh</dc:creator>
  <cp:keywords/>
  <dc:description/>
  <cp:lastModifiedBy>Windows User</cp:lastModifiedBy>
  <cp:revision>8</cp:revision>
  <cp:lastPrinted>2026-07-02T09:49:00Z</cp:lastPrinted>
  <dcterms:created xsi:type="dcterms:W3CDTF">2026-07-11T00:41:00Z</dcterms:created>
  <dcterms:modified xsi:type="dcterms:W3CDTF">2026-07-11T09:20:00Z</dcterms:modified>
</cp:coreProperties>
</file>