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44" w:type="dxa"/>
        <w:jc w:val="center"/>
        <w:tblLayout w:type="fixed"/>
        <w:tblLook w:val="0000" w:firstRow="0" w:lastRow="0" w:firstColumn="0" w:lastColumn="0" w:noHBand="0" w:noVBand="0"/>
      </w:tblPr>
      <w:tblGrid>
        <w:gridCol w:w="4714"/>
        <w:gridCol w:w="6030"/>
      </w:tblGrid>
      <w:tr w:rsidR="00FA23B0" w:rsidRPr="008B009B" w14:paraId="65B4778F" w14:textId="77777777" w:rsidTr="002C32EB">
        <w:trPr>
          <w:trHeight w:val="1276"/>
          <w:jc w:val="center"/>
        </w:trPr>
        <w:tc>
          <w:tcPr>
            <w:tcW w:w="4714" w:type="dxa"/>
          </w:tcPr>
          <w:p w14:paraId="1C5949AC" w14:textId="77777777" w:rsidR="00FA23B0" w:rsidRPr="008B009B" w:rsidRDefault="00FA23B0" w:rsidP="002C32EB">
            <w:pPr>
              <w:jc w:val="center"/>
              <w:rPr>
                <w:spacing w:val="-6"/>
                <w:sz w:val="26"/>
                <w:szCs w:val="26"/>
              </w:rPr>
            </w:pPr>
            <w:r w:rsidRPr="008B009B">
              <w:rPr>
                <w:sz w:val="26"/>
              </w:rPr>
              <w:t>MINISTRY OF FINANCE</w:t>
            </w:r>
          </w:p>
          <w:p w14:paraId="286C1058" w14:textId="77777777" w:rsidR="00FA23B0" w:rsidRPr="008B009B" w:rsidRDefault="00FA23B0" w:rsidP="002C32EB">
            <w:pPr>
              <w:jc w:val="center"/>
              <w:rPr>
                <w:b/>
                <w:bCs/>
                <w:spacing w:val="-6"/>
                <w:sz w:val="26"/>
                <w:szCs w:val="26"/>
              </w:rPr>
            </w:pPr>
            <w:r w:rsidRPr="008B009B">
              <w:rPr>
                <w:b/>
                <w:sz w:val="26"/>
              </w:rPr>
              <w:t>NATIONAL STATISTICS OFFICE</w:t>
            </w:r>
          </w:p>
          <w:p w14:paraId="54BBD709" w14:textId="77777777" w:rsidR="00FA23B0" w:rsidRPr="008B009B" w:rsidRDefault="00FA23B0" w:rsidP="002C32EB">
            <w:pPr>
              <w:spacing w:line="144" w:lineRule="auto"/>
              <w:jc w:val="center"/>
              <w:rPr>
                <w:bCs/>
                <w:spacing w:val="-6"/>
                <w:vertAlign w:val="superscript"/>
              </w:rPr>
            </w:pPr>
            <w:r w:rsidRPr="008B009B">
              <w:rPr>
                <w:bCs/>
                <w:spacing w:val="-6"/>
                <w:sz w:val="26"/>
                <w:szCs w:val="26"/>
                <w:vertAlign w:val="superscript"/>
              </w:rPr>
              <w:t>________________</w:t>
            </w:r>
          </w:p>
          <w:p w14:paraId="453550A8" w14:textId="77777777" w:rsidR="00FA23B0" w:rsidRPr="008B009B" w:rsidRDefault="00FA23B0" w:rsidP="002C32EB">
            <w:pPr>
              <w:spacing w:before="240" w:line="252" w:lineRule="auto"/>
              <w:jc w:val="center"/>
            </w:pPr>
            <w:r w:rsidRPr="008B009B">
              <w:t>No.: 327/BC-CTK</w:t>
            </w:r>
          </w:p>
        </w:tc>
        <w:tc>
          <w:tcPr>
            <w:tcW w:w="6030" w:type="dxa"/>
          </w:tcPr>
          <w:p w14:paraId="29641573" w14:textId="77777777" w:rsidR="00FA23B0" w:rsidRPr="008B009B" w:rsidRDefault="00FA23B0" w:rsidP="002C32EB">
            <w:pPr>
              <w:jc w:val="center"/>
              <w:rPr>
                <w:b/>
                <w:bCs/>
                <w:sz w:val="26"/>
                <w:szCs w:val="26"/>
              </w:rPr>
            </w:pPr>
            <w:r w:rsidRPr="008B009B">
              <w:rPr>
                <w:b/>
                <w:sz w:val="26"/>
              </w:rPr>
              <w:t>SOCIALIST REPUBLIC OF VIET NAM</w:t>
            </w:r>
          </w:p>
          <w:p w14:paraId="7F979D23" w14:textId="77777777" w:rsidR="00FA23B0" w:rsidRPr="008B009B" w:rsidRDefault="00FA23B0" w:rsidP="002C32EB">
            <w:pPr>
              <w:jc w:val="center"/>
              <w:rPr>
                <w:b/>
                <w:bCs/>
                <w:szCs w:val="24"/>
              </w:rPr>
            </w:pPr>
            <w:r w:rsidRPr="008B009B">
              <w:rPr>
                <w:b/>
              </w:rPr>
              <w:t>Independence-Freedom-Happiness</w:t>
            </w:r>
          </w:p>
          <w:p w14:paraId="7674490A" w14:textId="77777777" w:rsidR="00FA23B0" w:rsidRPr="008B009B" w:rsidRDefault="00FA23B0" w:rsidP="002C32EB">
            <w:pPr>
              <w:spacing w:line="144" w:lineRule="auto"/>
              <w:jc w:val="center"/>
              <w:rPr>
                <w:bCs/>
                <w:szCs w:val="24"/>
                <w:vertAlign w:val="superscript"/>
              </w:rPr>
            </w:pPr>
            <w:r w:rsidRPr="008B009B">
              <w:rPr>
                <w:bCs/>
                <w:szCs w:val="24"/>
                <w:vertAlign w:val="superscript"/>
              </w:rPr>
              <w:t>______________________________________</w:t>
            </w:r>
          </w:p>
          <w:p w14:paraId="6622F240" w14:textId="77777777" w:rsidR="00FA23B0" w:rsidRPr="008B009B" w:rsidRDefault="00FA23B0" w:rsidP="002C32EB">
            <w:pPr>
              <w:spacing w:before="240" w:line="252" w:lineRule="auto"/>
              <w:ind w:hanging="2"/>
              <w:jc w:val="center"/>
              <w:rPr>
                <w:b/>
                <w:bCs/>
                <w:i/>
                <w:iCs/>
              </w:rPr>
            </w:pPr>
            <w:r w:rsidRPr="008B009B">
              <w:rPr>
                <w:i/>
                <w:iCs/>
              </w:rPr>
              <w:t>Ha Noi, September 3</w:t>
            </w:r>
            <w:r w:rsidRPr="008B009B">
              <w:rPr>
                <w:i/>
                <w:iCs/>
                <w:vertAlign w:val="superscript"/>
              </w:rPr>
              <w:t>rd</w:t>
            </w:r>
            <w:r w:rsidRPr="008B009B">
              <w:rPr>
                <w:i/>
                <w:iCs/>
              </w:rPr>
              <w:t>, 2026</w:t>
            </w:r>
          </w:p>
        </w:tc>
      </w:tr>
    </w:tbl>
    <w:p w14:paraId="68E81A84" w14:textId="77777777" w:rsidR="002A7012" w:rsidRPr="008B009B" w:rsidRDefault="002A7012" w:rsidP="002A7012">
      <w:pPr>
        <w:jc w:val="center"/>
        <w:rPr>
          <w:b/>
          <w:bCs/>
          <w:sz w:val="24"/>
          <w:szCs w:val="48"/>
        </w:rPr>
      </w:pPr>
    </w:p>
    <w:p w14:paraId="30A67DBF" w14:textId="77777777" w:rsidR="00FA23B0" w:rsidRPr="008B009B" w:rsidRDefault="00FA23B0" w:rsidP="00FA23B0">
      <w:pPr>
        <w:spacing w:line="245" w:lineRule="auto"/>
        <w:jc w:val="center"/>
        <w:rPr>
          <w:b/>
          <w:bCs/>
          <w:sz w:val="38"/>
          <w:szCs w:val="40"/>
        </w:rPr>
      </w:pPr>
      <w:r w:rsidRPr="008B009B">
        <w:rPr>
          <w:b/>
          <w:bCs/>
          <w:sz w:val="38"/>
          <w:szCs w:val="40"/>
        </w:rPr>
        <w:t>REPORT</w:t>
      </w:r>
    </w:p>
    <w:p w14:paraId="7E32D82F" w14:textId="77777777" w:rsidR="00FA23B0" w:rsidRPr="008B009B" w:rsidRDefault="00FA23B0" w:rsidP="00FA23B0">
      <w:pPr>
        <w:tabs>
          <w:tab w:val="left" w:pos="4395"/>
        </w:tabs>
        <w:spacing w:line="245" w:lineRule="auto"/>
        <w:jc w:val="center"/>
        <w:rPr>
          <w:b/>
          <w:bCs/>
          <w:sz w:val="32"/>
          <w:szCs w:val="34"/>
        </w:rPr>
      </w:pPr>
      <w:r w:rsidRPr="008B009B">
        <w:rPr>
          <w:b/>
          <w:bCs/>
          <w:sz w:val="32"/>
          <w:szCs w:val="34"/>
        </w:rPr>
        <w:t xml:space="preserve">SOCIO - ECONOMIC PERFORMANCE </w:t>
      </w:r>
    </w:p>
    <w:p w14:paraId="700085E5" w14:textId="7CF67A79" w:rsidR="002A7012" w:rsidRPr="008B009B" w:rsidRDefault="00FA23B0" w:rsidP="00FA23B0">
      <w:pPr>
        <w:jc w:val="center"/>
        <w:rPr>
          <w:b/>
          <w:bCs/>
          <w:sz w:val="34"/>
          <w:szCs w:val="34"/>
        </w:rPr>
      </w:pPr>
      <w:r w:rsidRPr="008B009B">
        <w:rPr>
          <w:b/>
          <w:bCs/>
          <w:spacing w:val="-20"/>
          <w:sz w:val="32"/>
          <w:szCs w:val="34"/>
        </w:rPr>
        <w:t>IN AUGUST AND 8 MONTHS OF 2026</w:t>
      </w:r>
    </w:p>
    <w:p w14:paraId="6B2A118E" w14:textId="15724E01" w:rsidR="00AE1165" w:rsidRPr="008B009B" w:rsidRDefault="00AE1165" w:rsidP="002A7012">
      <w:pPr>
        <w:spacing w:before="20"/>
        <w:jc w:val="center"/>
        <w:rPr>
          <w:rFonts w:ascii="Arial" w:hAnsi="Arial" w:cs="Arial"/>
          <w:b/>
          <w:bCs/>
          <w:sz w:val="32"/>
          <w:szCs w:val="46"/>
        </w:rPr>
      </w:pPr>
      <w:r w:rsidRPr="008B009B">
        <w:rPr>
          <w:rFonts w:ascii="Arial" w:hAnsi="Arial" w:cs="Arial"/>
          <w:b/>
          <w:bCs/>
          <w:noProof/>
          <w:sz w:val="50"/>
          <w:szCs w:val="52"/>
        </w:rPr>
        <mc:AlternateContent>
          <mc:Choice Requires="wps">
            <w:drawing>
              <wp:anchor distT="0" distB="0" distL="114300" distR="114300" simplePos="0" relativeHeight="251664384" behindDoc="0" locked="0" layoutInCell="1" allowOverlap="1" wp14:anchorId="2107B36E" wp14:editId="5F7D9E17">
                <wp:simplePos x="0" y="0"/>
                <wp:positionH relativeFrom="column">
                  <wp:posOffset>2136140</wp:posOffset>
                </wp:positionH>
                <wp:positionV relativeFrom="paragraph">
                  <wp:posOffset>39560</wp:posOffset>
                </wp:positionV>
                <wp:extent cx="1412875" cy="0"/>
                <wp:effectExtent l="0" t="0" r="0" b="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2DD618" id="_x0000_t32" coordsize="21600,21600" o:spt="32" o:oned="t" path="m,l21600,21600e" filled="f">
                <v:path arrowok="t" fillok="f" o:connecttype="none"/>
                <o:lock v:ext="edit" shapetype="t"/>
              </v:shapetype>
              <v:shape id="AutoShape 4" o:spid="_x0000_s1026" type="#_x0000_t32" style="position:absolute;margin-left:168.2pt;margin-top:3.1pt;width:111.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"/>
            </w:pict>
          </mc:Fallback>
        </mc:AlternateContent>
      </w:r>
    </w:p>
    <w:p w14:paraId="5F1D9475" w14:textId="538AF8A9" w:rsidR="002A7012" w:rsidRPr="008B009B" w:rsidRDefault="002A7012" w:rsidP="002A7012">
      <w:pPr>
        <w:spacing w:before="20"/>
        <w:jc w:val="center"/>
        <w:rPr>
          <w:rFonts w:ascii="Arial" w:hAnsi="Arial" w:cs="Arial"/>
          <w:b/>
          <w:bCs/>
          <w:sz w:val="26"/>
          <w:szCs w:val="40"/>
        </w:rPr>
      </w:pPr>
    </w:p>
    <w:p w14:paraId="68A2AC63" w14:textId="77777777" w:rsidR="00FA23B0" w:rsidRPr="008B009B" w:rsidRDefault="00FA23B0" w:rsidP="00FA23B0">
      <w:pPr>
        <w:spacing w:after="120" w:line="264" w:lineRule="auto"/>
        <w:ind w:firstLine="720"/>
        <w:jc w:val="both"/>
        <w:rPr>
          <w:b/>
        </w:rPr>
      </w:pPr>
      <w:r w:rsidRPr="008B009B">
        <w:rPr>
          <w:b/>
        </w:rPr>
        <w:t xml:space="preserve">1. Agriculture, forestry and fishing </w:t>
      </w:r>
    </w:p>
    <w:p w14:paraId="43BC4C19" w14:textId="705C8FB0" w:rsidR="00FA23B0" w:rsidRPr="008B009B" w:rsidRDefault="00FA23B0" w:rsidP="00FA23B0">
      <w:pPr>
        <w:pStyle w:val="ListParagraph"/>
        <w:spacing w:after="120" w:line="264" w:lineRule="auto"/>
        <w:ind w:left="0" w:firstLine="720"/>
        <w:jc w:val="both"/>
        <w:rPr>
          <w:i/>
        </w:rPr>
      </w:pPr>
      <w:r w:rsidRPr="008B009B">
        <w:rPr>
          <w:i/>
        </w:rPr>
        <w:t xml:space="preserve">Agricultural, forestry, and fishery production in August maintained stable growth. Agricultural production focused on cultivating and tending of rice and other winter and summer-autumn crops. However, the cultivation area of rice and other crops witnessed a </w:t>
      </w:r>
      <w:r w:rsidR="00F73EC7" w:rsidRPr="008B009B">
        <w:rPr>
          <w:i/>
        </w:rPr>
        <w:t>year-on-year</w:t>
      </w:r>
      <w:r w:rsidRPr="008B009B">
        <w:rPr>
          <w:i/>
        </w:rPr>
        <w:t xml:space="preserve"> decline due to land-use conversion and unfavorable weather. Pig and poultry farming showed positive growth. Wood production rose significantly, driven by increased demand for raw materials of processing facilities. Aquaculture maintained a positive trend, supported by intensified farming practices, the application of science, technology, and stable market demand.</w:t>
      </w:r>
    </w:p>
    <w:p w14:paraId="29C037C5" w14:textId="77777777" w:rsidR="00FA23B0" w:rsidRPr="008B009B" w:rsidRDefault="00FA23B0" w:rsidP="00FA23B0">
      <w:pPr>
        <w:pStyle w:val="ListParagraph"/>
        <w:spacing w:after="120" w:line="264" w:lineRule="auto"/>
        <w:ind w:left="0" w:firstLine="720"/>
        <w:jc w:val="both"/>
        <w:rPr>
          <w:b/>
          <w:i/>
        </w:rPr>
      </w:pPr>
      <w:r w:rsidRPr="008B009B">
        <w:rPr>
          <w:b/>
          <w:i/>
        </w:rPr>
        <w:t>a) Agriculture</w:t>
      </w:r>
    </w:p>
    <w:p w14:paraId="4E284E7E" w14:textId="77777777" w:rsidR="00FA23B0" w:rsidRPr="008B009B" w:rsidRDefault="00FA23B0" w:rsidP="00FA23B0">
      <w:pPr>
        <w:spacing w:after="120" w:line="264" w:lineRule="auto"/>
        <w:ind w:firstLine="720"/>
        <w:jc w:val="both"/>
        <w:rPr>
          <w:rStyle w:val="normalchar"/>
          <w:i/>
        </w:rPr>
      </w:pPr>
      <w:r w:rsidRPr="008B009B">
        <w:rPr>
          <w:i/>
        </w:rPr>
        <w:t>Summer-Autumn rice</w:t>
      </w:r>
    </w:p>
    <w:p w14:paraId="7B580E03" w14:textId="2D3F6DAF" w:rsidR="00FA23B0" w:rsidRPr="008B009B" w:rsidRDefault="00FA23B0" w:rsidP="00FA23B0">
      <w:pPr>
        <w:pStyle w:val="Normal1"/>
        <w:spacing w:before="0" w:beforeAutospacing="0" w:after="120" w:afterAutospacing="0" w:line="259" w:lineRule="auto"/>
        <w:ind w:firstLine="720"/>
        <w:jc w:val="both"/>
        <w:rPr>
          <w:rFonts w:ascii="Times New Roman" w:hAnsi="Times New Roman" w:cs="Times New Roman"/>
          <w:sz w:val="28"/>
          <w:szCs w:val="28"/>
        </w:rPr>
      </w:pPr>
      <w:r w:rsidRPr="008B009B">
        <w:rPr>
          <w:rFonts w:ascii="Times New Roman" w:hAnsi="Times New Roman" w:cs="Times New Roman"/>
          <w:sz w:val="28"/>
          <w:szCs w:val="28"/>
        </w:rPr>
        <w:t xml:space="preserve">As of </w:t>
      </w:r>
      <w:r w:rsidR="00B11C13">
        <w:rPr>
          <w:rFonts w:ascii="Times New Roman" w:hAnsi="Times New Roman" w:cs="Times New Roman"/>
          <w:sz w:val="28"/>
          <w:szCs w:val="28"/>
        </w:rPr>
        <w:t>A</w:t>
      </w:r>
      <w:r w:rsidRPr="008B009B">
        <w:rPr>
          <w:rFonts w:ascii="Times New Roman" w:hAnsi="Times New Roman" w:cs="Times New Roman"/>
          <w:sz w:val="28"/>
          <w:szCs w:val="28"/>
        </w:rPr>
        <w:t>ugust 20</w:t>
      </w:r>
      <w:r w:rsidRPr="008B009B">
        <w:rPr>
          <w:rFonts w:ascii="Times New Roman" w:hAnsi="Times New Roman" w:cs="Times New Roman"/>
          <w:sz w:val="28"/>
          <w:szCs w:val="28"/>
          <w:vertAlign w:val="superscript"/>
        </w:rPr>
        <w:t>th</w:t>
      </w:r>
      <w:r w:rsidRPr="008B009B">
        <w:rPr>
          <w:rFonts w:ascii="Times New Roman" w:hAnsi="Times New Roman" w:cs="Times New Roman"/>
          <w:sz w:val="28"/>
          <w:szCs w:val="28"/>
        </w:rPr>
        <w:t xml:space="preserve">, 2026, localities nationwide cultivated 1,870.0 thousand hectares of summer-autumn rice, a </w:t>
      </w:r>
      <w:r w:rsidR="00F73EC7" w:rsidRPr="008B009B">
        <w:rPr>
          <w:rFonts w:ascii="Times New Roman" w:hAnsi="Times New Roman" w:cs="Times New Roman"/>
          <w:sz w:val="28"/>
          <w:szCs w:val="28"/>
        </w:rPr>
        <w:t>year-on-year (YoY)</w:t>
      </w:r>
      <w:r w:rsidRPr="008B009B">
        <w:rPr>
          <w:rFonts w:ascii="Times New Roman" w:hAnsi="Times New Roman" w:cs="Times New Roman"/>
          <w:sz w:val="28"/>
          <w:szCs w:val="28"/>
        </w:rPr>
        <w:t xml:space="preserve"> drop of 29.1 thousand hectares. Specifically, the </w:t>
      </w:r>
      <w:r w:rsidR="00B11C13">
        <w:rPr>
          <w:rFonts w:ascii="Times New Roman" w:hAnsi="Times New Roman" w:cs="Times New Roman"/>
          <w:sz w:val="28"/>
          <w:szCs w:val="28"/>
        </w:rPr>
        <w:t>N</w:t>
      </w:r>
      <w:r w:rsidRPr="008B009B">
        <w:rPr>
          <w:rFonts w:ascii="Times New Roman" w:hAnsi="Times New Roman" w:cs="Times New Roman"/>
          <w:sz w:val="28"/>
          <w:szCs w:val="28"/>
        </w:rPr>
        <w:t>orthern localities reached 167.5 thousand hectares (-4.9 thousand hectares</w:t>
      </w:r>
      <w:r w:rsidR="00DB185F" w:rsidRPr="008B009B">
        <w:rPr>
          <w:rFonts w:ascii="Times New Roman" w:hAnsi="Times New Roman" w:cs="Times New Roman"/>
          <w:sz w:val="28"/>
          <w:szCs w:val="28"/>
        </w:rPr>
        <w:t>)</w:t>
      </w:r>
      <w:r w:rsidRPr="008B009B">
        <w:rPr>
          <w:rFonts w:ascii="Times New Roman" w:hAnsi="Times New Roman" w:cs="Times New Roman"/>
          <w:sz w:val="28"/>
          <w:szCs w:val="28"/>
        </w:rPr>
        <w:t xml:space="preserve"> and the </w:t>
      </w:r>
      <w:r w:rsidR="00B11C13">
        <w:rPr>
          <w:rFonts w:ascii="Times New Roman" w:hAnsi="Times New Roman" w:cs="Times New Roman"/>
          <w:sz w:val="28"/>
          <w:szCs w:val="28"/>
        </w:rPr>
        <w:t>S</w:t>
      </w:r>
      <w:r w:rsidRPr="008B009B">
        <w:rPr>
          <w:rFonts w:ascii="Times New Roman" w:hAnsi="Times New Roman" w:cs="Times New Roman"/>
          <w:sz w:val="28"/>
          <w:szCs w:val="28"/>
        </w:rPr>
        <w:t>outhern localities reached 1</w:t>
      </w:r>
      <w:r w:rsidR="00DB185F" w:rsidRPr="008B009B">
        <w:rPr>
          <w:rFonts w:ascii="Times New Roman" w:hAnsi="Times New Roman" w:cs="Times New Roman"/>
          <w:sz w:val="28"/>
          <w:szCs w:val="28"/>
        </w:rPr>
        <w:t>,702.5 thousand hectares (-24.2</w:t>
      </w:r>
      <w:r w:rsidRPr="008B009B">
        <w:rPr>
          <w:rFonts w:ascii="Times New Roman" w:hAnsi="Times New Roman" w:cs="Times New Roman"/>
          <w:sz w:val="28"/>
          <w:szCs w:val="28"/>
        </w:rPr>
        <w:t xml:space="preserve"> thousand hectares</w:t>
      </w:r>
      <w:r w:rsidR="00DB185F" w:rsidRPr="008B009B">
        <w:rPr>
          <w:rFonts w:ascii="Times New Roman" w:hAnsi="Times New Roman" w:cs="Times New Roman"/>
          <w:sz w:val="28"/>
          <w:szCs w:val="28"/>
        </w:rPr>
        <w:t>)</w:t>
      </w:r>
      <w:r w:rsidRPr="008B009B">
        <w:rPr>
          <w:rFonts w:ascii="Times New Roman" w:hAnsi="Times New Roman" w:cs="Times New Roman"/>
          <w:sz w:val="28"/>
          <w:szCs w:val="28"/>
        </w:rPr>
        <w:t xml:space="preserve">. The cultivated area of summer-autumn rice showed a </w:t>
      </w:r>
      <w:r w:rsidR="00DB185F" w:rsidRPr="008B009B">
        <w:rPr>
          <w:rFonts w:ascii="Times New Roman" w:hAnsi="Times New Roman" w:cs="Times New Roman"/>
          <w:sz w:val="28"/>
          <w:szCs w:val="28"/>
        </w:rPr>
        <w:t xml:space="preserve">year-on-year </w:t>
      </w:r>
      <w:r w:rsidRPr="008B009B">
        <w:rPr>
          <w:rFonts w:ascii="Times New Roman" w:hAnsi="Times New Roman" w:cs="Times New Roman"/>
          <w:sz w:val="28"/>
          <w:szCs w:val="28"/>
        </w:rPr>
        <w:t>drop</w:t>
      </w:r>
      <w:r w:rsidR="00DB185F" w:rsidRPr="008B009B">
        <w:rPr>
          <w:rFonts w:ascii="Times New Roman" w:hAnsi="Times New Roman" w:cs="Times New Roman"/>
          <w:sz w:val="28"/>
          <w:szCs w:val="28"/>
        </w:rPr>
        <w:t xml:space="preserve"> </w:t>
      </w:r>
      <w:r w:rsidRPr="008B009B">
        <w:rPr>
          <w:rFonts w:ascii="Times New Roman" w:hAnsi="Times New Roman" w:cs="Times New Roman"/>
          <w:sz w:val="28"/>
          <w:szCs w:val="28"/>
        </w:rPr>
        <w:t xml:space="preserve">as some localities converted parts of </w:t>
      </w:r>
      <w:r w:rsidR="00694917" w:rsidRPr="008B009B">
        <w:rPr>
          <w:rFonts w:ascii="Times New Roman" w:hAnsi="Times New Roman" w:cs="Times New Roman"/>
          <w:sz w:val="28"/>
          <w:szCs w:val="28"/>
        </w:rPr>
        <w:t xml:space="preserve">summer-autumn rice </w:t>
      </w:r>
      <w:r w:rsidRPr="008B009B">
        <w:rPr>
          <w:rFonts w:ascii="Times New Roman" w:hAnsi="Times New Roman" w:cs="Times New Roman"/>
          <w:sz w:val="28"/>
          <w:szCs w:val="28"/>
        </w:rPr>
        <w:t xml:space="preserve">land to </w:t>
      </w:r>
      <w:r w:rsidR="00694917" w:rsidRPr="008B009B">
        <w:rPr>
          <w:rFonts w:ascii="Times New Roman" w:hAnsi="Times New Roman" w:cs="Times New Roman"/>
          <w:sz w:val="28"/>
          <w:szCs w:val="28"/>
        </w:rPr>
        <w:t>other crops of higher economic value</w:t>
      </w:r>
      <w:r w:rsidRPr="008B009B">
        <w:rPr>
          <w:rStyle w:val="FootnoteReference"/>
        </w:rPr>
        <w:footnoteReference w:id="1"/>
      </w:r>
      <w:r w:rsidRPr="008B009B">
        <w:t xml:space="preserve"> </w:t>
      </w:r>
      <w:r w:rsidRPr="008B009B">
        <w:rPr>
          <w:rFonts w:ascii="Times New Roman" w:hAnsi="Times New Roman" w:cs="Times New Roman"/>
          <w:sz w:val="28"/>
          <w:szCs w:val="28"/>
        </w:rPr>
        <w:t xml:space="preserve">or reclaimed land for public </w:t>
      </w:r>
      <w:r w:rsidR="006C047B" w:rsidRPr="008B009B">
        <w:rPr>
          <w:rFonts w:ascii="Times New Roman" w:hAnsi="Times New Roman" w:cs="Times New Roman"/>
          <w:sz w:val="28"/>
          <w:szCs w:val="28"/>
        </w:rPr>
        <w:t xml:space="preserve">infrastructure </w:t>
      </w:r>
      <w:r w:rsidRPr="008B009B">
        <w:rPr>
          <w:rFonts w:ascii="Times New Roman" w:hAnsi="Times New Roman" w:cs="Times New Roman"/>
          <w:sz w:val="28"/>
          <w:szCs w:val="28"/>
        </w:rPr>
        <w:t xml:space="preserve">projects. Additionally, </w:t>
      </w:r>
      <w:r w:rsidR="002541B7" w:rsidRPr="008B009B">
        <w:rPr>
          <w:rFonts w:ascii="Times New Roman" w:hAnsi="Times New Roman" w:cs="Times New Roman"/>
          <w:sz w:val="28"/>
          <w:szCs w:val="28"/>
        </w:rPr>
        <w:t xml:space="preserve">prolonged </w:t>
      </w:r>
      <w:r w:rsidRPr="008B009B">
        <w:rPr>
          <w:rFonts w:ascii="Times New Roman" w:hAnsi="Times New Roman" w:cs="Times New Roman"/>
          <w:sz w:val="28"/>
          <w:szCs w:val="28"/>
        </w:rPr>
        <w:t xml:space="preserve">heatwaves in several areas causing shortage of irrigation water, </w:t>
      </w:r>
      <w:r w:rsidR="00B27E35" w:rsidRPr="008B009B">
        <w:rPr>
          <w:rFonts w:ascii="Times New Roman" w:hAnsi="Times New Roman" w:cs="Times New Roman"/>
          <w:sz w:val="28"/>
          <w:szCs w:val="28"/>
        </w:rPr>
        <w:t>leaving some land areas unsuitable for cultivation</w:t>
      </w:r>
      <w:r w:rsidRPr="008B009B">
        <w:rPr>
          <w:rStyle w:val="FootnoteReference"/>
        </w:rPr>
        <w:footnoteReference w:id="2"/>
      </w:r>
      <w:r w:rsidRPr="008B009B">
        <w:rPr>
          <w:rFonts w:ascii="Times New Roman" w:hAnsi="Times New Roman" w:cs="Times New Roman"/>
          <w:sz w:val="28"/>
          <w:szCs w:val="28"/>
        </w:rPr>
        <w:t>.</w:t>
      </w:r>
    </w:p>
    <w:p w14:paraId="7C1E8BE9" w14:textId="5D240D91" w:rsidR="00FA23B0" w:rsidRPr="008B009B" w:rsidRDefault="00FA23B0" w:rsidP="00FA23B0">
      <w:pPr>
        <w:pStyle w:val="Normal1"/>
        <w:spacing w:after="120" w:line="259" w:lineRule="auto"/>
        <w:ind w:firstLine="720"/>
        <w:jc w:val="both"/>
        <w:rPr>
          <w:rFonts w:ascii="Times New Roman" w:hAnsi="Times New Roman" w:cs="Times New Roman"/>
          <w:sz w:val="28"/>
          <w:szCs w:val="28"/>
        </w:rPr>
      </w:pPr>
      <w:r w:rsidRPr="008B009B">
        <w:rPr>
          <w:rFonts w:ascii="Times New Roman" w:hAnsi="Times New Roman" w:cs="Times New Roman"/>
          <w:sz w:val="28"/>
          <w:szCs w:val="28"/>
        </w:rPr>
        <w:t>As of August 20</w:t>
      </w:r>
      <w:r w:rsidR="0089759C" w:rsidRPr="008B009B">
        <w:rPr>
          <w:rFonts w:ascii="Times New Roman" w:hAnsi="Times New Roman" w:cs="Times New Roman"/>
          <w:sz w:val="28"/>
          <w:szCs w:val="28"/>
          <w:vertAlign w:val="superscript"/>
        </w:rPr>
        <w:t>th</w:t>
      </w:r>
      <w:r w:rsidRPr="008B009B">
        <w:rPr>
          <w:rFonts w:ascii="Times New Roman" w:hAnsi="Times New Roman" w:cs="Times New Roman"/>
          <w:sz w:val="28"/>
          <w:szCs w:val="28"/>
        </w:rPr>
        <w:t xml:space="preserve">, 2026, summer-autumn rice </w:t>
      </w:r>
      <w:r w:rsidR="00C970F9" w:rsidRPr="008B009B">
        <w:rPr>
          <w:rFonts w:ascii="Times New Roman" w:hAnsi="Times New Roman" w:cs="Times New Roman"/>
          <w:sz w:val="28"/>
          <w:szCs w:val="28"/>
        </w:rPr>
        <w:t xml:space="preserve">that </w:t>
      </w:r>
      <w:r w:rsidRPr="008B009B">
        <w:rPr>
          <w:rFonts w:ascii="Times New Roman" w:hAnsi="Times New Roman" w:cs="Times New Roman"/>
          <w:sz w:val="28"/>
          <w:szCs w:val="28"/>
        </w:rPr>
        <w:t xml:space="preserve">reached maturity and </w:t>
      </w:r>
      <w:r w:rsidR="00C970F9" w:rsidRPr="008B009B">
        <w:rPr>
          <w:rFonts w:ascii="Times New Roman" w:hAnsi="Times New Roman" w:cs="Times New Roman"/>
          <w:sz w:val="28"/>
          <w:szCs w:val="28"/>
        </w:rPr>
        <w:t xml:space="preserve">was </w:t>
      </w:r>
      <w:r w:rsidRPr="008B009B">
        <w:rPr>
          <w:rFonts w:ascii="Times New Roman" w:hAnsi="Times New Roman" w:cs="Times New Roman"/>
          <w:sz w:val="28"/>
          <w:szCs w:val="28"/>
        </w:rPr>
        <w:t>ready for harvesting nationwide reached 723.7 thousand hectares, representing 38.7% of the sown area and 77.5%</w:t>
      </w:r>
      <w:r w:rsidR="00B7785A" w:rsidRPr="008B009B">
        <w:rPr>
          <w:rFonts w:ascii="Times New Roman" w:hAnsi="Times New Roman" w:cs="Times New Roman"/>
          <w:sz w:val="28"/>
          <w:szCs w:val="28"/>
        </w:rPr>
        <w:t xml:space="preserve"> compared to the same period last year</w:t>
      </w:r>
      <w:r w:rsidRPr="008B009B">
        <w:rPr>
          <w:rFonts w:ascii="Times New Roman" w:hAnsi="Times New Roman" w:cs="Times New Roman"/>
          <w:sz w:val="28"/>
          <w:szCs w:val="28"/>
        </w:rPr>
        <w:t xml:space="preserve">. The harvesting progress of the autumn-winter rice this year was recorded </w:t>
      </w:r>
      <w:r w:rsidRPr="008B009B">
        <w:rPr>
          <w:rFonts w:ascii="Times New Roman" w:hAnsi="Times New Roman" w:cs="Times New Roman"/>
          <w:sz w:val="28"/>
          <w:szCs w:val="28"/>
        </w:rPr>
        <w:lastRenderedPageBreak/>
        <w:t>slower</w:t>
      </w:r>
      <w:r w:rsidR="00045D02" w:rsidRPr="008B009B">
        <w:rPr>
          <w:rFonts w:ascii="Times New Roman" w:hAnsi="Times New Roman" w:cs="Times New Roman"/>
          <w:sz w:val="28"/>
          <w:szCs w:val="28"/>
        </w:rPr>
        <w:t xml:space="preserve"> year-on-year</w:t>
      </w:r>
      <w:r w:rsidRPr="008B009B">
        <w:rPr>
          <w:rFonts w:ascii="Times New Roman" w:hAnsi="Times New Roman" w:cs="Times New Roman"/>
          <w:sz w:val="28"/>
          <w:szCs w:val="28"/>
        </w:rPr>
        <w:t xml:space="preserve"> mainly due to localities adjusted crops calendar and delayed sowing period to proactively deal with drought and water shortages. Of which, An Giang harvested 240.5 thousand hectares, equal to 4</w:t>
      </w:r>
      <w:r w:rsidR="0021784B" w:rsidRPr="008B009B">
        <w:rPr>
          <w:rFonts w:ascii="Times New Roman" w:hAnsi="Times New Roman" w:cs="Times New Roman"/>
          <w:sz w:val="28"/>
          <w:szCs w:val="28"/>
        </w:rPr>
        <w:t>7.8% of the sown area and 64.9%</w:t>
      </w:r>
      <w:r w:rsidRPr="008B009B">
        <w:rPr>
          <w:rFonts w:ascii="Times New Roman" w:hAnsi="Times New Roman" w:cs="Times New Roman"/>
          <w:sz w:val="28"/>
          <w:szCs w:val="28"/>
        </w:rPr>
        <w:t xml:space="preserve"> </w:t>
      </w:r>
      <w:r w:rsidR="00F73EC7" w:rsidRPr="008B009B">
        <w:rPr>
          <w:rFonts w:ascii="Times New Roman" w:hAnsi="Times New Roman" w:cs="Times New Roman"/>
          <w:sz w:val="28"/>
          <w:szCs w:val="28"/>
        </w:rPr>
        <w:t>YoY</w:t>
      </w:r>
      <w:r w:rsidRPr="008B009B">
        <w:rPr>
          <w:rFonts w:ascii="Times New Roman" w:hAnsi="Times New Roman" w:cs="Times New Roman"/>
          <w:sz w:val="28"/>
          <w:szCs w:val="28"/>
        </w:rPr>
        <w:t>; Can Tho harvested 159.2 thousand hec</w:t>
      </w:r>
      <w:r w:rsidR="0021784B" w:rsidRPr="008B009B">
        <w:rPr>
          <w:rFonts w:ascii="Times New Roman" w:hAnsi="Times New Roman" w:cs="Times New Roman"/>
          <w:sz w:val="28"/>
          <w:szCs w:val="28"/>
        </w:rPr>
        <w:t>tares, equal to 56.1% and 86.6%</w:t>
      </w:r>
      <w:r w:rsidRPr="008B009B">
        <w:rPr>
          <w:rFonts w:ascii="Times New Roman" w:hAnsi="Times New Roman" w:cs="Times New Roman"/>
          <w:sz w:val="28"/>
          <w:szCs w:val="28"/>
        </w:rPr>
        <w:t xml:space="preserve"> </w:t>
      </w:r>
      <w:r w:rsidR="00F73EC7" w:rsidRPr="008B009B">
        <w:rPr>
          <w:rFonts w:ascii="Times New Roman" w:hAnsi="Times New Roman" w:cs="Times New Roman"/>
          <w:sz w:val="28"/>
          <w:szCs w:val="28"/>
        </w:rPr>
        <w:t>YoY</w:t>
      </w:r>
      <w:r w:rsidRPr="008B009B">
        <w:rPr>
          <w:rFonts w:ascii="Times New Roman" w:hAnsi="Times New Roman" w:cs="Times New Roman"/>
          <w:sz w:val="28"/>
          <w:szCs w:val="28"/>
        </w:rPr>
        <w:t xml:space="preserve">; and Dong Thap harvested 145.4 thousand hectares, equal to 62.7% and 78.2% </w:t>
      </w:r>
      <w:r w:rsidR="00F73EC7" w:rsidRPr="008B009B">
        <w:rPr>
          <w:rFonts w:ascii="Times New Roman" w:hAnsi="Times New Roman" w:cs="Times New Roman"/>
          <w:sz w:val="28"/>
          <w:szCs w:val="28"/>
        </w:rPr>
        <w:t>YoY</w:t>
      </w:r>
      <w:r w:rsidRPr="008B009B">
        <w:rPr>
          <w:rFonts w:ascii="Times New Roman" w:hAnsi="Times New Roman" w:cs="Times New Roman"/>
          <w:sz w:val="28"/>
          <w:szCs w:val="28"/>
        </w:rPr>
        <w:t>. Regarding the remaining summer-autumn rice area, localities needed to closely monitor weather situations, pest outbreaks while guiding farmers to take advantage of favorable weather to rapidly harvest ripe rice and minimized losses.</w:t>
      </w:r>
    </w:p>
    <w:p w14:paraId="3AEA6F8B" w14:textId="77777777" w:rsidR="00FA23B0" w:rsidRPr="008B009B" w:rsidRDefault="00FA23B0" w:rsidP="00FA23B0">
      <w:pPr>
        <w:pStyle w:val="Normal1"/>
        <w:spacing w:before="0" w:beforeAutospacing="0" w:after="120" w:afterAutospacing="0" w:line="259" w:lineRule="auto"/>
        <w:ind w:firstLine="720"/>
        <w:jc w:val="both"/>
        <w:rPr>
          <w:rFonts w:ascii="Times New Roman" w:hAnsi="Times New Roman" w:cs="Times New Roman"/>
          <w:i/>
          <w:sz w:val="28"/>
          <w:szCs w:val="28"/>
        </w:rPr>
      </w:pPr>
      <w:r w:rsidRPr="008B009B">
        <w:rPr>
          <w:rFonts w:ascii="Times New Roman" w:hAnsi="Times New Roman" w:cs="Times New Roman"/>
          <w:i/>
          <w:sz w:val="28"/>
          <w:szCs w:val="28"/>
        </w:rPr>
        <w:t>Winter rice</w:t>
      </w:r>
    </w:p>
    <w:p w14:paraId="4EC5F1C0" w14:textId="1967889E" w:rsidR="00FA23B0" w:rsidRPr="008B009B" w:rsidRDefault="00FA23B0" w:rsidP="00FA23B0">
      <w:pPr>
        <w:pStyle w:val="Normal1"/>
        <w:spacing w:before="0" w:beforeAutospacing="0" w:after="120" w:afterAutospacing="0" w:line="259" w:lineRule="auto"/>
        <w:ind w:firstLine="720"/>
        <w:jc w:val="both"/>
        <w:rPr>
          <w:rFonts w:ascii="Times New Roman" w:hAnsi="Times New Roman" w:cs="Times New Roman"/>
          <w:sz w:val="28"/>
          <w:szCs w:val="28"/>
        </w:rPr>
      </w:pPr>
      <w:r w:rsidRPr="008B009B">
        <w:rPr>
          <w:rFonts w:ascii="Times New Roman" w:hAnsi="Times New Roman" w:cs="Times New Roman"/>
          <w:sz w:val="28"/>
          <w:szCs w:val="28"/>
        </w:rPr>
        <w:t>As of August 20</w:t>
      </w:r>
      <w:r w:rsidR="008565B5" w:rsidRPr="008565B5">
        <w:rPr>
          <w:rFonts w:ascii="Times New Roman" w:hAnsi="Times New Roman" w:cs="Times New Roman"/>
          <w:sz w:val="28"/>
          <w:szCs w:val="28"/>
          <w:vertAlign w:val="superscript"/>
        </w:rPr>
        <w:t>th</w:t>
      </w:r>
      <w:r w:rsidRPr="008B009B">
        <w:rPr>
          <w:rFonts w:ascii="Times New Roman" w:hAnsi="Times New Roman" w:cs="Times New Roman"/>
          <w:sz w:val="28"/>
          <w:szCs w:val="28"/>
        </w:rPr>
        <w:t xml:space="preserve">, 2026, localities nationwide cultivated 1,312.5 thousand hectares, a </w:t>
      </w:r>
      <w:r w:rsidR="006D2F4D" w:rsidRPr="008B009B">
        <w:rPr>
          <w:rFonts w:ascii="Times New Roman" w:hAnsi="Times New Roman" w:cs="Times New Roman"/>
          <w:sz w:val="28"/>
          <w:szCs w:val="28"/>
        </w:rPr>
        <w:t>year-on-year</w:t>
      </w:r>
      <w:r w:rsidRPr="008B009B">
        <w:rPr>
          <w:rFonts w:ascii="Times New Roman" w:hAnsi="Times New Roman" w:cs="Times New Roman"/>
          <w:sz w:val="28"/>
          <w:szCs w:val="28"/>
        </w:rPr>
        <w:t xml:space="preserve"> dec</w:t>
      </w:r>
      <w:r w:rsidR="00727E5E" w:rsidRPr="008B009B">
        <w:rPr>
          <w:rFonts w:ascii="Times New Roman" w:hAnsi="Times New Roman" w:cs="Times New Roman"/>
          <w:sz w:val="28"/>
          <w:szCs w:val="28"/>
        </w:rPr>
        <w:t>rease of 50.7 thousand hectares.</w:t>
      </w:r>
      <w:r w:rsidRPr="008B009B">
        <w:rPr>
          <w:rFonts w:ascii="Times New Roman" w:hAnsi="Times New Roman" w:cs="Times New Roman"/>
          <w:sz w:val="28"/>
          <w:szCs w:val="28"/>
        </w:rPr>
        <w:t xml:space="preserve"> </w:t>
      </w:r>
      <w:r w:rsidR="00727E5E" w:rsidRPr="008B009B">
        <w:rPr>
          <w:rFonts w:ascii="Times New Roman" w:hAnsi="Times New Roman" w:cs="Times New Roman"/>
          <w:sz w:val="28"/>
          <w:szCs w:val="28"/>
        </w:rPr>
        <w:t>S</w:t>
      </w:r>
      <w:r w:rsidRPr="008B009B">
        <w:rPr>
          <w:rFonts w:ascii="Times New Roman" w:hAnsi="Times New Roman" w:cs="Times New Roman"/>
          <w:sz w:val="28"/>
          <w:szCs w:val="28"/>
        </w:rPr>
        <w:t xml:space="preserve">pecifically, </w:t>
      </w:r>
      <w:r w:rsidR="00B11C13">
        <w:rPr>
          <w:rFonts w:ascii="Times New Roman" w:hAnsi="Times New Roman" w:cs="Times New Roman"/>
          <w:sz w:val="28"/>
          <w:szCs w:val="28"/>
        </w:rPr>
        <w:t>the N</w:t>
      </w:r>
      <w:r w:rsidRPr="008B009B">
        <w:rPr>
          <w:rFonts w:ascii="Times New Roman" w:hAnsi="Times New Roman" w:cs="Times New Roman"/>
          <w:sz w:val="28"/>
          <w:szCs w:val="28"/>
        </w:rPr>
        <w:t>orthern localities reached 938.5 thousand hectares (-38.2 thousand hectares</w:t>
      </w:r>
      <w:r w:rsidR="006D2F4D" w:rsidRPr="008B009B">
        <w:rPr>
          <w:rFonts w:ascii="Times New Roman" w:hAnsi="Times New Roman" w:cs="Times New Roman"/>
          <w:sz w:val="28"/>
          <w:szCs w:val="28"/>
        </w:rPr>
        <w:t>)</w:t>
      </w:r>
      <w:r w:rsidRPr="008B009B">
        <w:rPr>
          <w:rFonts w:ascii="Times New Roman" w:hAnsi="Times New Roman" w:cs="Times New Roman"/>
          <w:sz w:val="28"/>
          <w:szCs w:val="28"/>
        </w:rPr>
        <w:t>, while</w:t>
      </w:r>
      <w:r w:rsidR="00B11C13">
        <w:rPr>
          <w:rFonts w:ascii="Times New Roman" w:hAnsi="Times New Roman" w:cs="Times New Roman"/>
          <w:sz w:val="28"/>
          <w:szCs w:val="28"/>
        </w:rPr>
        <w:t xml:space="preserve"> the</w:t>
      </w:r>
      <w:r w:rsidRPr="008B009B">
        <w:rPr>
          <w:rFonts w:ascii="Times New Roman" w:hAnsi="Times New Roman" w:cs="Times New Roman"/>
          <w:sz w:val="28"/>
          <w:szCs w:val="28"/>
        </w:rPr>
        <w:t xml:space="preserve"> </w:t>
      </w:r>
      <w:r w:rsidR="00B11C13">
        <w:rPr>
          <w:rFonts w:ascii="Times New Roman" w:hAnsi="Times New Roman" w:cs="Times New Roman"/>
          <w:sz w:val="28"/>
          <w:szCs w:val="28"/>
        </w:rPr>
        <w:t>S</w:t>
      </w:r>
      <w:r w:rsidRPr="008B009B">
        <w:rPr>
          <w:rFonts w:ascii="Times New Roman" w:hAnsi="Times New Roman" w:cs="Times New Roman"/>
          <w:sz w:val="28"/>
          <w:szCs w:val="28"/>
        </w:rPr>
        <w:t>outhern localities reached</w:t>
      </w:r>
      <w:r w:rsidR="006D2F4D" w:rsidRPr="008B009B">
        <w:rPr>
          <w:rFonts w:ascii="Times New Roman" w:hAnsi="Times New Roman" w:cs="Times New Roman"/>
          <w:sz w:val="28"/>
          <w:szCs w:val="28"/>
        </w:rPr>
        <w:t xml:space="preserve"> 374.0 thousand hectares (-12.5</w:t>
      </w:r>
      <w:r w:rsidRPr="008B009B">
        <w:rPr>
          <w:rFonts w:ascii="Times New Roman" w:hAnsi="Times New Roman" w:cs="Times New Roman"/>
          <w:sz w:val="28"/>
          <w:szCs w:val="28"/>
        </w:rPr>
        <w:t xml:space="preserve"> thousand hectares</w:t>
      </w:r>
      <w:r w:rsidR="006D2F4D" w:rsidRPr="008B009B">
        <w:rPr>
          <w:rFonts w:ascii="Times New Roman" w:hAnsi="Times New Roman" w:cs="Times New Roman"/>
          <w:sz w:val="28"/>
          <w:szCs w:val="28"/>
        </w:rPr>
        <w:t>)</w:t>
      </w:r>
      <w:r w:rsidRPr="008B009B">
        <w:rPr>
          <w:rFonts w:ascii="Times New Roman" w:hAnsi="Times New Roman" w:cs="Times New Roman"/>
          <w:sz w:val="28"/>
          <w:szCs w:val="28"/>
        </w:rPr>
        <w:t>. The reduction in winter rice area was driven by the conversion of inefficient rice land to annual or perennial crops, high-value aquaculture, and for public infrastructure and industrial zones</w:t>
      </w:r>
      <w:r w:rsidRPr="008B009B">
        <w:rPr>
          <w:rStyle w:val="FootnoteReference"/>
          <w:bCs/>
          <w:iCs/>
        </w:rPr>
        <w:footnoteReference w:id="3"/>
      </w:r>
      <w:r w:rsidRPr="008B009B">
        <w:rPr>
          <w:rFonts w:ascii="Times New Roman" w:hAnsi="Times New Roman" w:cs="Times New Roman"/>
          <w:sz w:val="28"/>
          <w:szCs w:val="28"/>
        </w:rPr>
        <w:t>. Additionally, some areas could not be sown due to challenging production</w:t>
      </w:r>
      <w:r w:rsidRPr="008B009B">
        <w:rPr>
          <w:rStyle w:val="FootnoteReference"/>
          <w:bCs/>
          <w:iCs/>
        </w:rPr>
        <w:footnoteReference w:id="4"/>
      </w:r>
      <w:r w:rsidRPr="008B009B">
        <w:rPr>
          <w:rFonts w:ascii="Times New Roman" w:hAnsi="Times New Roman" w:cs="Times New Roman"/>
          <w:sz w:val="28"/>
          <w:szCs w:val="28"/>
        </w:rPr>
        <w:t xml:space="preserve"> conditions.</w:t>
      </w:r>
    </w:p>
    <w:p w14:paraId="1AD82CD1" w14:textId="77777777" w:rsidR="00FA23B0" w:rsidRPr="008B009B" w:rsidRDefault="00FA23B0" w:rsidP="00FA23B0">
      <w:pPr>
        <w:shd w:val="clear" w:color="auto" w:fill="FFFFFF"/>
        <w:spacing w:after="120" w:line="259" w:lineRule="auto"/>
        <w:ind w:firstLine="720"/>
        <w:jc w:val="both"/>
        <w:rPr>
          <w:i/>
        </w:rPr>
      </w:pPr>
      <w:r w:rsidRPr="008B009B">
        <w:rPr>
          <w:i/>
        </w:rPr>
        <w:t>Annual crops</w:t>
      </w:r>
    </w:p>
    <w:p w14:paraId="723C0E23" w14:textId="495EDDD7" w:rsidR="00FA23B0" w:rsidRPr="008B009B" w:rsidRDefault="00FA23B0" w:rsidP="00FA23B0">
      <w:pPr>
        <w:shd w:val="clear" w:color="auto" w:fill="FFFFFF"/>
        <w:spacing w:after="120" w:line="259" w:lineRule="auto"/>
        <w:ind w:firstLine="720"/>
        <w:jc w:val="both"/>
        <w:rPr>
          <w:shd w:val="clear" w:color="auto" w:fill="FFFFFF"/>
        </w:rPr>
      </w:pPr>
      <w:r w:rsidRPr="008B009B">
        <w:rPr>
          <w:shd w:val="clear" w:color="auto" w:fill="FFFFFF"/>
        </w:rPr>
        <w:t xml:space="preserve">Along with rice cultivation, localities nationwide cultivated other crops. However, the </w:t>
      </w:r>
      <w:r w:rsidR="00727E5E" w:rsidRPr="008B009B">
        <w:rPr>
          <w:shd w:val="clear" w:color="auto" w:fill="FFFFFF"/>
        </w:rPr>
        <w:t>area</w:t>
      </w:r>
      <w:r w:rsidRPr="008B009B">
        <w:rPr>
          <w:shd w:val="clear" w:color="auto" w:fill="FFFFFF"/>
        </w:rPr>
        <w:t xml:space="preserve"> of some primary annual crops saw a </w:t>
      </w:r>
      <w:r w:rsidR="00727E5E" w:rsidRPr="008B009B">
        <w:rPr>
          <w:shd w:val="clear" w:color="auto" w:fill="FFFFFF"/>
        </w:rPr>
        <w:t>year-on-year</w:t>
      </w:r>
      <w:r w:rsidRPr="008B009B">
        <w:rPr>
          <w:shd w:val="clear" w:color="auto" w:fill="FFFFFF"/>
        </w:rPr>
        <w:t xml:space="preserve"> drop due to </w:t>
      </w:r>
      <w:r w:rsidR="00727E5E" w:rsidRPr="008B009B">
        <w:rPr>
          <w:shd w:val="clear" w:color="auto" w:fill="FFFFFF"/>
        </w:rPr>
        <w:t xml:space="preserve">prolonged sunny and </w:t>
      </w:r>
      <w:r w:rsidR="008B009B" w:rsidRPr="008B009B">
        <w:rPr>
          <w:shd w:val="clear" w:color="auto" w:fill="FFFFFF"/>
        </w:rPr>
        <w:t>heatwaves</w:t>
      </w:r>
      <w:r w:rsidR="00727E5E" w:rsidRPr="008B009B">
        <w:rPr>
          <w:shd w:val="clear" w:color="auto" w:fill="FFFFFF"/>
        </w:rPr>
        <w:t>, which</w:t>
      </w:r>
      <w:r w:rsidRPr="008B009B">
        <w:rPr>
          <w:shd w:val="clear" w:color="auto" w:fill="FFFFFF"/>
        </w:rPr>
        <w:t xml:space="preserve"> causing </w:t>
      </w:r>
      <w:r w:rsidR="00727E5E" w:rsidRPr="008B009B">
        <w:rPr>
          <w:shd w:val="clear" w:color="auto" w:fill="FFFFFF"/>
        </w:rPr>
        <w:t xml:space="preserve">irrigation water shortages </w:t>
      </w:r>
      <w:r w:rsidRPr="008B009B">
        <w:rPr>
          <w:shd w:val="clear" w:color="auto" w:fill="FFFFFF"/>
        </w:rPr>
        <w:t>in southern localities</w:t>
      </w:r>
      <w:r w:rsidR="00727E5E" w:rsidRPr="008B009B">
        <w:rPr>
          <w:shd w:val="clear" w:color="auto" w:fill="FFFFFF"/>
        </w:rPr>
        <w:t>,</w:t>
      </w:r>
      <w:r w:rsidRPr="008B009B">
        <w:rPr>
          <w:shd w:val="clear" w:color="auto" w:fill="FFFFFF"/>
        </w:rPr>
        <w:t xml:space="preserve"> negatively affected to production condition resulting the farmer reduced </w:t>
      </w:r>
      <w:r w:rsidR="00727E5E" w:rsidRPr="008B009B">
        <w:rPr>
          <w:shd w:val="clear" w:color="auto" w:fill="FFFFFF"/>
        </w:rPr>
        <w:t>their cultivation area</w:t>
      </w:r>
      <w:r w:rsidRPr="008B009B">
        <w:rPr>
          <w:shd w:val="clear" w:color="auto" w:fill="FFFFFF"/>
        </w:rPr>
        <w:t>.</w:t>
      </w:r>
    </w:p>
    <w:p w14:paraId="04F7481C" w14:textId="77777777" w:rsidR="00FA23B0" w:rsidRPr="008B009B" w:rsidRDefault="00FA23B0" w:rsidP="00FA23B0">
      <w:pPr>
        <w:pStyle w:val="Normal2"/>
        <w:spacing w:before="60" w:beforeAutospacing="0" w:after="60" w:afterAutospacing="0" w:line="271" w:lineRule="auto"/>
        <w:jc w:val="center"/>
        <w:rPr>
          <w:rFonts w:ascii="Arial" w:hAnsi="Arial" w:cs="Arial"/>
          <w:b/>
        </w:rPr>
      </w:pPr>
      <w:r w:rsidRPr="008B009B">
        <w:rPr>
          <w:rFonts w:ascii="Arial" w:hAnsi="Arial" w:cs="Arial"/>
          <w:b/>
        </w:rPr>
        <w:t>Figure 1. Cultivation area of annual crops</w:t>
      </w:r>
    </w:p>
    <w:p w14:paraId="1D960329" w14:textId="77777777" w:rsidR="00FA23B0" w:rsidRPr="008B009B" w:rsidRDefault="00FA23B0" w:rsidP="00FA23B0">
      <w:pPr>
        <w:spacing w:before="120" w:line="271" w:lineRule="auto"/>
        <w:jc w:val="center"/>
        <w:rPr>
          <w:rFonts w:ascii="Arial" w:hAnsi="Arial" w:cs="Arial"/>
          <w:b/>
          <w:sz w:val="24"/>
          <w:szCs w:val="24"/>
        </w:rPr>
      </w:pPr>
      <w:r w:rsidRPr="008B009B">
        <w:rPr>
          <w:rFonts w:ascii="Arial" w:hAnsi="Arial" w:cs="Arial"/>
          <w:bCs/>
          <w:i/>
          <w:iCs/>
        </w:rPr>
        <w:t>(As of August 20</w:t>
      </w:r>
      <w:r w:rsidRPr="008B009B">
        <w:rPr>
          <w:rFonts w:ascii="Arial" w:hAnsi="Arial" w:cs="Arial"/>
          <w:bCs/>
          <w:i/>
          <w:iCs/>
          <w:vertAlign w:val="superscript"/>
        </w:rPr>
        <w:t>th</w:t>
      </w:r>
      <w:r w:rsidRPr="008B009B">
        <w:rPr>
          <w:rFonts w:ascii="Arial" w:hAnsi="Arial" w:cs="Arial"/>
          <w:bCs/>
          <w:i/>
          <w:iCs/>
        </w:rPr>
        <w:t xml:space="preserve"> 2026)</w:t>
      </w:r>
      <w:r w:rsidRPr="008B009B">
        <w:t xml:space="preserve"> </w:t>
      </w:r>
    </w:p>
    <w:p w14:paraId="1F03FD16" w14:textId="77777777" w:rsidR="00FA23B0" w:rsidRPr="008B009B" w:rsidRDefault="00FA23B0" w:rsidP="00FA23B0">
      <w:pPr>
        <w:pStyle w:val="Normal1"/>
        <w:tabs>
          <w:tab w:val="left" w:pos="7380"/>
        </w:tabs>
        <w:spacing w:before="60" w:beforeAutospacing="0" w:after="60" w:afterAutospacing="0" w:line="271" w:lineRule="auto"/>
        <w:jc w:val="center"/>
        <w:rPr>
          <w:rFonts w:ascii="Times New Roman" w:hAnsi="Times New Roman" w:cs="Times New Roman"/>
          <w:bCs/>
          <w:i/>
          <w:iCs/>
          <w:sz w:val="28"/>
          <w:szCs w:val="28"/>
        </w:rPr>
      </w:pPr>
      <w:r w:rsidRPr="008B009B">
        <w:rPr>
          <w:noProof/>
        </w:rPr>
        <w:lastRenderedPageBreak/>
        <w:drawing>
          <wp:inline distT="0" distB="0" distL="0" distR="0" wp14:anchorId="0C99F659" wp14:editId="098C7800">
            <wp:extent cx="5760085" cy="2263222"/>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2263222"/>
                    </a:xfrm>
                    <a:prstGeom prst="rect">
                      <a:avLst/>
                    </a:prstGeom>
                    <a:noFill/>
                    <a:ln>
                      <a:noFill/>
                    </a:ln>
                  </pic:spPr>
                </pic:pic>
              </a:graphicData>
            </a:graphic>
          </wp:inline>
        </w:drawing>
      </w:r>
    </w:p>
    <w:p w14:paraId="7710E984" w14:textId="77777777" w:rsidR="00FA23B0" w:rsidRPr="008B009B" w:rsidRDefault="00FA23B0" w:rsidP="00FA23B0">
      <w:pPr>
        <w:spacing w:after="120" w:line="264" w:lineRule="auto"/>
        <w:ind w:firstLine="720"/>
        <w:jc w:val="both"/>
        <w:rPr>
          <w:i/>
        </w:rPr>
      </w:pPr>
      <w:r w:rsidRPr="008B009B">
        <w:rPr>
          <w:i/>
        </w:rPr>
        <w:t xml:space="preserve">Livestock </w:t>
      </w:r>
    </w:p>
    <w:p w14:paraId="5EDB5374" w14:textId="327914CE" w:rsidR="00FA23B0" w:rsidRPr="008B009B" w:rsidRDefault="00FA23B0" w:rsidP="00FA23B0">
      <w:pPr>
        <w:pStyle w:val="FootnoteText"/>
        <w:spacing w:after="120" w:line="264" w:lineRule="auto"/>
        <w:ind w:firstLine="720"/>
        <w:jc w:val="both"/>
        <w:rPr>
          <w:spacing w:val="-2"/>
          <w:sz w:val="28"/>
          <w:szCs w:val="28"/>
          <w:lang w:val="en-US"/>
        </w:rPr>
      </w:pPr>
      <w:r w:rsidRPr="008B009B">
        <w:rPr>
          <w:spacing w:val="-2"/>
          <w:sz w:val="28"/>
          <w:szCs w:val="28"/>
          <w:lang w:val="en-US"/>
        </w:rPr>
        <w:t xml:space="preserve">Cattle and buffalo farming continued a downward trend due to low economic efficiency, shrinking natural grazing areas, reduced supply of green fodder, and high feed prices. Several localities experienced a </w:t>
      </w:r>
      <w:r w:rsidR="00276480" w:rsidRPr="008B009B">
        <w:rPr>
          <w:spacing w:val="-2"/>
          <w:sz w:val="28"/>
          <w:szCs w:val="28"/>
          <w:lang w:val="en-US"/>
        </w:rPr>
        <w:t>year-on-year</w:t>
      </w:r>
      <w:r w:rsidRPr="008B009B">
        <w:rPr>
          <w:spacing w:val="-2"/>
          <w:sz w:val="28"/>
          <w:szCs w:val="28"/>
          <w:lang w:val="en-US"/>
        </w:rPr>
        <w:t xml:space="preserve"> </w:t>
      </w:r>
      <w:r w:rsidR="00276480" w:rsidRPr="008B009B">
        <w:rPr>
          <w:spacing w:val="-2"/>
          <w:sz w:val="28"/>
          <w:szCs w:val="28"/>
          <w:lang w:val="en-US"/>
        </w:rPr>
        <w:t xml:space="preserve">sharp decline </w:t>
      </w:r>
      <w:r w:rsidRPr="008B009B">
        <w:rPr>
          <w:spacing w:val="-2"/>
          <w:sz w:val="28"/>
          <w:szCs w:val="28"/>
          <w:lang w:val="en-US"/>
        </w:rPr>
        <w:t>in the number of buffalo including Thanh Hoa (-9.6%</w:t>
      </w:r>
      <w:r w:rsidR="009344CE">
        <w:rPr>
          <w:spacing w:val="-2"/>
          <w:sz w:val="28"/>
          <w:szCs w:val="28"/>
          <w:lang w:val="en-US"/>
        </w:rPr>
        <w:t xml:space="preserve"> YoY</w:t>
      </w:r>
      <w:r w:rsidRPr="008B009B">
        <w:rPr>
          <w:spacing w:val="-2"/>
          <w:sz w:val="28"/>
          <w:szCs w:val="28"/>
          <w:lang w:val="en-US"/>
        </w:rPr>
        <w:t>), Tuyen Quang (-9.3</w:t>
      </w:r>
      <w:r w:rsidR="00276480" w:rsidRPr="008B009B">
        <w:rPr>
          <w:spacing w:val="-2"/>
          <w:sz w:val="28"/>
          <w:szCs w:val="28"/>
          <w:lang w:val="en-US"/>
        </w:rPr>
        <w:t>%</w:t>
      </w:r>
      <w:r w:rsidR="009344CE">
        <w:rPr>
          <w:spacing w:val="-2"/>
          <w:sz w:val="28"/>
          <w:szCs w:val="28"/>
          <w:lang w:val="en-US"/>
        </w:rPr>
        <w:t xml:space="preserve"> YoY</w:t>
      </w:r>
      <w:r w:rsidR="00276480" w:rsidRPr="008B009B">
        <w:rPr>
          <w:spacing w:val="-2"/>
          <w:sz w:val="28"/>
          <w:szCs w:val="28"/>
          <w:lang w:val="en-US"/>
        </w:rPr>
        <w:t>)</w:t>
      </w:r>
      <w:r w:rsidRPr="008B009B">
        <w:rPr>
          <w:spacing w:val="-2"/>
          <w:sz w:val="28"/>
          <w:szCs w:val="28"/>
          <w:lang w:val="en-US"/>
        </w:rPr>
        <w:t>, Quang Ngai (-8.7</w:t>
      </w:r>
      <w:r w:rsidR="00276480" w:rsidRPr="008B009B">
        <w:rPr>
          <w:spacing w:val="-2"/>
          <w:sz w:val="28"/>
          <w:szCs w:val="28"/>
          <w:lang w:val="en-US"/>
        </w:rPr>
        <w:t>%</w:t>
      </w:r>
      <w:r w:rsidR="009344CE">
        <w:rPr>
          <w:spacing w:val="-2"/>
          <w:sz w:val="28"/>
          <w:szCs w:val="28"/>
          <w:lang w:val="en-US"/>
        </w:rPr>
        <w:t xml:space="preserve"> YoY</w:t>
      </w:r>
      <w:r w:rsidRPr="008B009B">
        <w:rPr>
          <w:spacing w:val="-2"/>
          <w:sz w:val="28"/>
          <w:szCs w:val="28"/>
          <w:lang w:val="en-US"/>
        </w:rPr>
        <w:t>), Phu Tho (-7.0%</w:t>
      </w:r>
      <w:r w:rsidR="009344CE">
        <w:rPr>
          <w:spacing w:val="-2"/>
          <w:sz w:val="28"/>
          <w:szCs w:val="28"/>
          <w:lang w:val="en-US"/>
        </w:rPr>
        <w:t xml:space="preserve"> YoY</w:t>
      </w:r>
      <w:r w:rsidRPr="008B009B">
        <w:rPr>
          <w:spacing w:val="-2"/>
          <w:sz w:val="28"/>
          <w:szCs w:val="28"/>
          <w:lang w:val="en-US"/>
        </w:rPr>
        <w:t>). Localities experienced significant declines in cattle numbers includ</w:t>
      </w:r>
      <w:r w:rsidR="00276480" w:rsidRPr="008B009B">
        <w:rPr>
          <w:spacing w:val="-2"/>
          <w:sz w:val="28"/>
          <w:szCs w:val="28"/>
          <w:lang w:val="en-US"/>
        </w:rPr>
        <w:t>ed</w:t>
      </w:r>
      <w:r w:rsidRPr="008B009B">
        <w:rPr>
          <w:spacing w:val="-2"/>
          <w:sz w:val="28"/>
          <w:szCs w:val="28"/>
          <w:lang w:val="en-US"/>
        </w:rPr>
        <w:t xml:space="preserve"> Thanh Hoa (-8.5%</w:t>
      </w:r>
      <w:r w:rsidR="009344CE">
        <w:rPr>
          <w:spacing w:val="-2"/>
          <w:sz w:val="28"/>
          <w:szCs w:val="28"/>
          <w:lang w:val="en-US"/>
        </w:rPr>
        <w:t xml:space="preserve"> YoY</w:t>
      </w:r>
      <w:r w:rsidRPr="008B009B">
        <w:rPr>
          <w:spacing w:val="-2"/>
          <w:sz w:val="28"/>
          <w:szCs w:val="28"/>
          <w:lang w:val="en-US"/>
        </w:rPr>
        <w:t>), Phu Tho (-5.6%</w:t>
      </w:r>
      <w:r w:rsidR="009344CE">
        <w:rPr>
          <w:spacing w:val="-2"/>
          <w:sz w:val="28"/>
          <w:szCs w:val="28"/>
          <w:lang w:val="en-US"/>
        </w:rPr>
        <w:t xml:space="preserve"> YoY</w:t>
      </w:r>
      <w:r w:rsidRPr="008B009B">
        <w:rPr>
          <w:spacing w:val="-2"/>
          <w:sz w:val="28"/>
          <w:szCs w:val="28"/>
          <w:lang w:val="en-US"/>
        </w:rPr>
        <w:t>), Vinh Long (-5.1%</w:t>
      </w:r>
      <w:r w:rsidR="009344CE">
        <w:rPr>
          <w:spacing w:val="-2"/>
          <w:sz w:val="28"/>
          <w:szCs w:val="28"/>
          <w:lang w:val="en-US"/>
        </w:rPr>
        <w:t xml:space="preserve"> YoY</w:t>
      </w:r>
      <w:r w:rsidRPr="008B009B">
        <w:rPr>
          <w:spacing w:val="-2"/>
          <w:sz w:val="28"/>
          <w:szCs w:val="28"/>
          <w:lang w:val="en-US"/>
        </w:rPr>
        <w:t>), Son La (-5%</w:t>
      </w:r>
      <w:r w:rsidR="009344CE">
        <w:rPr>
          <w:spacing w:val="-2"/>
          <w:sz w:val="28"/>
          <w:szCs w:val="28"/>
          <w:lang w:val="en-US"/>
        </w:rPr>
        <w:t xml:space="preserve"> YoY</w:t>
      </w:r>
      <w:r w:rsidRPr="008B009B">
        <w:rPr>
          <w:spacing w:val="-2"/>
          <w:sz w:val="28"/>
          <w:szCs w:val="28"/>
          <w:lang w:val="en-US"/>
        </w:rPr>
        <w:t>), Dak Lak (-3.1%</w:t>
      </w:r>
      <w:r w:rsidR="009344CE">
        <w:rPr>
          <w:spacing w:val="-2"/>
          <w:sz w:val="28"/>
          <w:szCs w:val="28"/>
          <w:lang w:val="en-US"/>
        </w:rPr>
        <w:t xml:space="preserve"> YoY</w:t>
      </w:r>
      <w:r w:rsidRPr="008B009B">
        <w:rPr>
          <w:spacing w:val="-2"/>
          <w:sz w:val="28"/>
          <w:szCs w:val="28"/>
          <w:lang w:val="en-US"/>
        </w:rPr>
        <w:t>), and Tay Ninh (-2.0%</w:t>
      </w:r>
      <w:r w:rsidR="009344CE">
        <w:rPr>
          <w:spacing w:val="-2"/>
          <w:sz w:val="28"/>
          <w:szCs w:val="28"/>
          <w:lang w:val="en-US"/>
        </w:rPr>
        <w:t xml:space="preserve"> YoY</w:t>
      </w:r>
      <w:r w:rsidRPr="008B009B">
        <w:rPr>
          <w:spacing w:val="-2"/>
          <w:sz w:val="28"/>
          <w:szCs w:val="28"/>
          <w:lang w:val="en-US"/>
        </w:rPr>
        <w:t xml:space="preserve">). Conversely, localities that leveraged advantages in land availability and feed resources to develop commercial, farm-based livestock production incorporating breed improvement, confinement rearing, fattening, and the application of technical advancements, cattle numbers continued a </w:t>
      </w:r>
      <w:r w:rsidR="009732ED" w:rsidRPr="008B009B">
        <w:rPr>
          <w:spacing w:val="-2"/>
          <w:sz w:val="28"/>
          <w:szCs w:val="28"/>
          <w:lang w:val="en-US"/>
        </w:rPr>
        <w:t xml:space="preserve">month-on-month (MoM) </w:t>
      </w:r>
      <w:r w:rsidRPr="008B009B">
        <w:rPr>
          <w:spacing w:val="-2"/>
          <w:sz w:val="28"/>
          <w:szCs w:val="28"/>
          <w:lang w:val="en-US"/>
        </w:rPr>
        <w:t>growth</w:t>
      </w:r>
      <w:r w:rsidR="009732ED" w:rsidRPr="008B009B">
        <w:rPr>
          <w:spacing w:val="-2"/>
          <w:sz w:val="28"/>
          <w:szCs w:val="28"/>
          <w:lang w:val="en-US"/>
        </w:rPr>
        <w:t>,</w:t>
      </w:r>
      <w:r w:rsidRPr="008B009B">
        <w:rPr>
          <w:spacing w:val="-2"/>
          <w:sz w:val="28"/>
          <w:szCs w:val="28"/>
          <w:lang w:val="en-US"/>
        </w:rPr>
        <w:t xml:space="preserve"> including: Dong Nai (+3.5%</w:t>
      </w:r>
      <w:r w:rsidR="009344CE" w:rsidRPr="009344CE">
        <w:rPr>
          <w:spacing w:val="-2"/>
          <w:sz w:val="28"/>
          <w:szCs w:val="28"/>
          <w:lang w:val="en-US"/>
        </w:rPr>
        <w:t xml:space="preserve"> </w:t>
      </w:r>
      <w:r w:rsidR="009344CE" w:rsidRPr="008B009B">
        <w:rPr>
          <w:spacing w:val="-2"/>
          <w:sz w:val="28"/>
          <w:szCs w:val="28"/>
          <w:lang w:val="en-US"/>
        </w:rPr>
        <w:t>MoM</w:t>
      </w:r>
      <w:r w:rsidRPr="008B009B">
        <w:rPr>
          <w:spacing w:val="-2"/>
          <w:sz w:val="28"/>
          <w:szCs w:val="28"/>
          <w:lang w:val="en-US"/>
        </w:rPr>
        <w:t>), Lam Dong (+3.0%</w:t>
      </w:r>
      <w:r w:rsidR="009344CE" w:rsidRPr="009344CE">
        <w:rPr>
          <w:spacing w:val="-2"/>
          <w:sz w:val="28"/>
          <w:szCs w:val="28"/>
          <w:lang w:val="en-US"/>
        </w:rPr>
        <w:t xml:space="preserve"> </w:t>
      </w:r>
      <w:r w:rsidR="009344CE" w:rsidRPr="008B009B">
        <w:rPr>
          <w:spacing w:val="-2"/>
          <w:sz w:val="28"/>
          <w:szCs w:val="28"/>
          <w:lang w:val="en-US"/>
        </w:rPr>
        <w:t>MoM</w:t>
      </w:r>
      <w:r w:rsidRPr="008B009B">
        <w:rPr>
          <w:spacing w:val="-2"/>
          <w:sz w:val="28"/>
          <w:szCs w:val="28"/>
          <w:lang w:val="en-US"/>
        </w:rPr>
        <w:t>), Nghe An (+2.5%</w:t>
      </w:r>
      <w:r w:rsidR="009344CE" w:rsidRPr="009344CE">
        <w:rPr>
          <w:spacing w:val="-2"/>
          <w:sz w:val="28"/>
          <w:szCs w:val="28"/>
          <w:lang w:val="en-US"/>
        </w:rPr>
        <w:t xml:space="preserve"> </w:t>
      </w:r>
      <w:r w:rsidR="009344CE" w:rsidRPr="008B009B">
        <w:rPr>
          <w:spacing w:val="-2"/>
          <w:sz w:val="28"/>
          <w:szCs w:val="28"/>
          <w:lang w:val="en-US"/>
        </w:rPr>
        <w:t>MoM</w:t>
      </w:r>
      <w:r w:rsidRPr="008B009B">
        <w:rPr>
          <w:spacing w:val="-2"/>
          <w:sz w:val="28"/>
          <w:szCs w:val="28"/>
          <w:lang w:val="en-US"/>
        </w:rPr>
        <w:t>), and Da Nang (+1.2%</w:t>
      </w:r>
      <w:r w:rsidR="009344CE" w:rsidRPr="009344CE">
        <w:rPr>
          <w:spacing w:val="-2"/>
          <w:sz w:val="28"/>
          <w:szCs w:val="28"/>
          <w:lang w:val="en-US"/>
        </w:rPr>
        <w:t xml:space="preserve"> </w:t>
      </w:r>
      <w:r w:rsidR="009344CE" w:rsidRPr="008B009B">
        <w:rPr>
          <w:spacing w:val="-2"/>
          <w:sz w:val="28"/>
          <w:szCs w:val="28"/>
          <w:lang w:val="en-US"/>
        </w:rPr>
        <w:t>MoM</w:t>
      </w:r>
      <w:r w:rsidRPr="008B009B">
        <w:rPr>
          <w:spacing w:val="-2"/>
          <w:sz w:val="28"/>
          <w:szCs w:val="28"/>
          <w:lang w:val="en-US"/>
        </w:rPr>
        <w:t>).</w:t>
      </w:r>
    </w:p>
    <w:p w14:paraId="1F1D7590" w14:textId="05D99348" w:rsidR="00FA23B0" w:rsidRPr="008B009B" w:rsidRDefault="00FA23B0" w:rsidP="00FA23B0">
      <w:pPr>
        <w:spacing w:after="120" w:line="264" w:lineRule="auto"/>
        <w:ind w:firstLine="720"/>
        <w:jc w:val="both"/>
        <w:rPr>
          <w:bCs/>
          <w:spacing w:val="-2"/>
        </w:rPr>
      </w:pPr>
      <w:r w:rsidRPr="008B009B">
        <w:rPr>
          <w:bCs/>
          <w:spacing w:val="-2"/>
        </w:rPr>
        <w:t xml:space="preserve">Pig farming </w:t>
      </w:r>
      <w:r w:rsidR="00276480" w:rsidRPr="008B009B">
        <w:rPr>
          <w:bCs/>
          <w:spacing w:val="-2"/>
        </w:rPr>
        <w:t xml:space="preserve">achieved </w:t>
      </w:r>
      <w:r w:rsidRPr="008B009B">
        <w:rPr>
          <w:bCs/>
          <w:spacing w:val="-2"/>
        </w:rPr>
        <w:t xml:space="preserve">positive results. The corporate and large-scale farm sectors proactively prepared breeding stock and feed supplies, implementing closed-loop farming processes, and strengthening biosecurity measures. Several localities </w:t>
      </w:r>
      <w:r w:rsidR="00276480" w:rsidRPr="008B009B">
        <w:rPr>
          <w:bCs/>
          <w:spacing w:val="-2"/>
        </w:rPr>
        <w:t xml:space="preserve">recorded a surge in pig numbers </w:t>
      </w:r>
      <w:r w:rsidR="00024A32" w:rsidRPr="008B009B">
        <w:rPr>
          <w:bCs/>
          <w:spacing w:val="-2"/>
        </w:rPr>
        <w:t>year-on-year</w:t>
      </w:r>
      <w:r w:rsidRPr="008B009B">
        <w:rPr>
          <w:bCs/>
          <w:spacing w:val="-2"/>
        </w:rPr>
        <w:t>, including: Cao Bang (+ 32.6%</w:t>
      </w:r>
      <w:r w:rsidR="009344CE">
        <w:rPr>
          <w:spacing w:val="-2"/>
        </w:rPr>
        <w:t xml:space="preserve"> YoY</w:t>
      </w:r>
      <w:r w:rsidRPr="008B009B">
        <w:rPr>
          <w:bCs/>
          <w:spacing w:val="-2"/>
        </w:rPr>
        <w:t>), Gia Lai (+17.3%</w:t>
      </w:r>
      <w:r w:rsidR="009344CE">
        <w:rPr>
          <w:spacing w:val="-2"/>
        </w:rPr>
        <w:t xml:space="preserve"> YoY</w:t>
      </w:r>
      <w:r w:rsidRPr="008B009B">
        <w:rPr>
          <w:bCs/>
          <w:spacing w:val="-2"/>
        </w:rPr>
        <w:t>), Phu Tho (+10.9%</w:t>
      </w:r>
      <w:r w:rsidR="009344CE">
        <w:rPr>
          <w:spacing w:val="-2"/>
        </w:rPr>
        <w:t xml:space="preserve"> YoY</w:t>
      </w:r>
      <w:r w:rsidRPr="008B009B">
        <w:rPr>
          <w:bCs/>
          <w:spacing w:val="-2"/>
        </w:rPr>
        <w:t>), Quang Ngai (+ 6.8%</w:t>
      </w:r>
      <w:r w:rsidR="009344CE">
        <w:rPr>
          <w:spacing w:val="-2"/>
        </w:rPr>
        <w:t xml:space="preserve"> YoY</w:t>
      </w:r>
      <w:r w:rsidRPr="008B009B">
        <w:rPr>
          <w:bCs/>
          <w:spacing w:val="-2"/>
        </w:rPr>
        <w:t>), Da Nang (+ 6.1%</w:t>
      </w:r>
      <w:r w:rsidR="009344CE">
        <w:rPr>
          <w:spacing w:val="-2"/>
        </w:rPr>
        <w:t xml:space="preserve"> YoY</w:t>
      </w:r>
      <w:r w:rsidRPr="008B009B">
        <w:rPr>
          <w:bCs/>
          <w:spacing w:val="-2"/>
        </w:rPr>
        <w:t>), Ho Chi Minh City (+ 5.2%</w:t>
      </w:r>
      <w:r w:rsidR="009344CE">
        <w:rPr>
          <w:spacing w:val="-2"/>
        </w:rPr>
        <w:t xml:space="preserve"> YoY</w:t>
      </w:r>
      <w:r w:rsidRPr="008B009B">
        <w:rPr>
          <w:bCs/>
          <w:spacing w:val="-2"/>
        </w:rPr>
        <w:t>), Lam Dong (+4.9%</w:t>
      </w:r>
      <w:r w:rsidR="009344CE">
        <w:rPr>
          <w:spacing w:val="-2"/>
        </w:rPr>
        <w:t xml:space="preserve"> YoY</w:t>
      </w:r>
      <w:r w:rsidRPr="008B009B">
        <w:rPr>
          <w:bCs/>
          <w:spacing w:val="-2"/>
        </w:rPr>
        <w:t>), and Dong Nai (+4.4%</w:t>
      </w:r>
      <w:r w:rsidR="009344CE">
        <w:rPr>
          <w:spacing w:val="-2"/>
        </w:rPr>
        <w:t xml:space="preserve"> YoY</w:t>
      </w:r>
      <w:r w:rsidRPr="008B009B">
        <w:rPr>
          <w:bCs/>
          <w:spacing w:val="-2"/>
        </w:rPr>
        <w:t>).</w:t>
      </w:r>
    </w:p>
    <w:p w14:paraId="4833E8C8" w14:textId="54DD3D9A" w:rsidR="00FA23B0" w:rsidRPr="008B009B" w:rsidRDefault="00FA23B0" w:rsidP="00FA23B0">
      <w:pPr>
        <w:spacing w:after="120" w:line="264" w:lineRule="auto"/>
        <w:ind w:firstLine="720"/>
        <w:jc w:val="both"/>
        <w:rPr>
          <w:bCs/>
          <w:spacing w:val="-2"/>
        </w:rPr>
      </w:pPr>
      <w:r w:rsidRPr="008B009B">
        <w:rPr>
          <w:bCs/>
          <w:spacing w:val="-2"/>
        </w:rPr>
        <w:t xml:space="preserve">Poultry farming </w:t>
      </w:r>
      <w:r w:rsidR="00024A32" w:rsidRPr="008B009B">
        <w:rPr>
          <w:bCs/>
          <w:spacing w:val="-2"/>
        </w:rPr>
        <w:t>maintained positive growth</w:t>
      </w:r>
      <w:r w:rsidRPr="008B009B">
        <w:rPr>
          <w:bCs/>
          <w:spacing w:val="-2"/>
        </w:rPr>
        <w:t>, driven by the sector</w:t>
      </w:r>
      <w:r w:rsidR="003D1BF9" w:rsidRPr="008B009B">
        <w:rPr>
          <w:bCs/>
          <w:spacing w:val="-2"/>
        </w:rPr>
        <w:t>’</w:t>
      </w:r>
      <w:r w:rsidRPr="008B009B">
        <w:rPr>
          <w:bCs/>
          <w:spacing w:val="-2"/>
        </w:rPr>
        <w:t>s relatively strong adaptability to market fluctuations, short production cycles, rapid capital turnover, and stable consumer demand for meat and eggs. The development of closed-loop, enterprise-linked farm operations also enhanced disease control capabilities. However, the rising animal feed prices and fluctuating input costs impacted production efficiency, particularly for small-scale farmers.</w:t>
      </w:r>
    </w:p>
    <w:p w14:paraId="0A7627D6" w14:textId="3066FD77" w:rsidR="00FA23B0" w:rsidRPr="008B009B" w:rsidRDefault="00FA23B0" w:rsidP="00FA23B0">
      <w:pPr>
        <w:jc w:val="center"/>
        <w:rPr>
          <w:rFonts w:ascii="Arial" w:hAnsi="Arial" w:cs="Arial"/>
          <w:b/>
          <w:sz w:val="24"/>
          <w:szCs w:val="24"/>
        </w:rPr>
      </w:pPr>
      <w:r w:rsidRPr="008B009B">
        <w:rPr>
          <w:rFonts w:ascii="Arial" w:hAnsi="Arial" w:cs="Arial"/>
          <w:b/>
          <w:sz w:val="24"/>
          <w:szCs w:val="24"/>
        </w:rPr>
        <w:t xml:space="preserve">Figure 2. </w:t>
      </w:r>
      <w:r w:rsidR="003D1BF9" w:rsidRPr="008B009B">
        <w:rPr>
          <w:rFonts w:ascii="Arial" w:hAnsi="Arial" w:cs="Arial"/>
          <w:b/>
          <w:sz w:val="24"/>
          <w:szCs w:val="24"/>
        </w:rPr>
        <w:t>Year-on-year</w:t>
      </w:r>
      <w:r w:rsidRPr="008B009B">
        <w:rPr>
          <w:rFonts w:ascii="Arial" w:hAnsi="Arial" w:cs="Arial"/>
          <w:b/>
          <w:sz w:val="24"/>
          <w:szCs w:val="24"/>
        </w:rPr>
        <w:t xml:space="preserve"> growth rate of livestock and poultry number</w:t>
      </w:r>
    </w:p>
    <w:p w14:paraId="71E2F4C9" w14:textId="77777777" w:rsidR="00FA23B0" w:rsidRPr="008B009B" w:rsidRDefault="00FA23B0" w:rsidP="00FA23B0">
      <w:pPr>
        <w:jc w:val="center"/>
        <w:rPr>
          <w:rFonts w:ascii="Arial" w:hAnsi="Arial" w:cs="Arial"/>
          <w:b/>
          <w:sz w:val="24"/>
          <w:szCs w:val="24"/>
        </w:rPr>
      </w:pPr>
      <w:r w:rsidRPr="008B009B">
        <w:rPr>
          <w:rFonts w:ascii="Arial" w:hAnsi="Arial" w:cs="Arial"/>
          <w:b/>
          <w:sz w:val="24"/>
          <w:szCs w:val="24"/>
        </w:rPr>
        <w:lastRenderedPageBreak/>
        <w:t>at the end of August 2026</w:t>
      </w:r>
    </w:p>
    <w:p w14:paraId="2AD5BE21" w14:textId="77777777" w:rsidR="00FA23B0" w:rsidRPr="008B009B" w:rsidRDefault="00FA23B0" w:rsidP="00FA23B0">
      <w:pPr>
        <w:spacing w:before="60" w:after="60" w:line="271" w:lineRule="auto"/>
        <w:jc w:val="center"/>
        <w:rPr>
          <w:b/>
        </w:rPr>
      </w:pPr>
      <w:r w:rsidRPr="008B009B">
        <w:rPr>
          <w:noProof/>
        </w:rPr>
        <w:drawing>
          <wp:inline distT="0" distB="0" distL="0" distR="0" wp14:anchorId="6CE43CEE" wp14:editId="0B02561A">
            <wp:extent cx="5760085" cy="153284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1532849"/>
                    </a:xfrm>
                    <a:prstGeom prst="rect">
                      <a:avLst/>
                    </a:prstGeom>
                    <a:noFill/>
                    <a:ln>
                      <a:noFill/>
                    </a:ln>
                  </pic:spPr>
                </pic:pic>
              </a:graphicData>
            </a:graphic>
          </wp:inline>
        </w:drawing>
      </w:r>
    </w:p>
    <w:p w14:paraId="64EBBC3F" w14:textId="1B8BFD4F" w:rsidR="00FA23B0" w:rsidRPr="008B009B" w:rsidRDefault="00FA23B0" w:rsidP="00FA23B0">
      <w:pPr>
        <w:tabs>
          <w:tab w:val="left" w:pos="0"/>
        </w:tabs>
        <w:spacing w:after="120" w:line="264" w:lineRule="auto"/>
        <w:ind w:firstLine="720"/>
        <w:jc w:val="both"/>
        <w:rPr>
          <w:b/>
          <w:i/>
        </w:rPr>
      </w:pPr>
      <w:r w:rsidRPr="008B009B">
        <w:t>As of August 27</w:t>
      </w:r>
      <w:r w:rsidRPr="008B009B">
        <w:rPr>
          <w:vertAlign w:val="superscript"/>
        </w:rPr>
        <w:t>th</w:t>
      </w:r>
      <w:r w:rsidRPr="008B009B">
        <w:t xml:space="preserve">, 2026, the localities nationwide were recorded </w:t>
      </w:r>
      <w:r w:rsidR="008F250B" w:rsidRPr="008B009B">
        <w:t xml:space="preserve">no outbreaks of </w:t>
      </w:r>
      <w:r w:rsidRPr="008B009B">
        <w:t>blue-ear disease and foot-and-mouth disease; avian influenza persisted in Hung Yen, Ninh Binh, Cao Bang, Tuyen Quang, Dien Bien, Quang Ngai, Dong Nai, Dong Thap, and African swine fever persisted in 22 localities that have not yet passed the 21-days quarantine period.</w:t>
      </w:r>
    </w:p>
    <w:p w14:paraId="4EDAAFD1" w14:textId="77777777" w:rsidR="00FA23B0" w:rsidRPr="008B009B" w:rsidRDefault="00FA23B0" w:rsidP="00FA23B0">
      <w:pPr>
        <w:tabs>
          <w:tab w:val="left" w:pos="0"/>
        </w:tabs>
        <w:spacing w:after="120" w:line="264" w:lineRule="auto"/>
        <w:ind w:firstLine="720"/>
        <w:jc w:val="both"/>
        <w:rPr>
          <w:b/>
          <w:i/>
        </w:rPr>
      </w:pPr>
      <w:r w:rsidRPr="008B009B">
        <w:rPr>
          <w:b/>
          <w:i/>
        </w:rPr>
        <w:t>b)</w:t>
      </w:r>
      <w:r w:rsidRPr="008B009B">
        <w:t xml:space="preserve"> </w:t>
      </w:r>
      <w:r w:rsidRPr="008B009B">
        <w:rPr>
          <w:b/>
          <w:i/>
        </w:rPr>
        <w:t>Forestry</w:t>
      </w:r>
    </w:p>
    <w:p w14:paraId="3697BA58" w14:textId="061B0489" w:rsidR="00FA23B0" w:rsidRPr="008B009B" w:rsidRDefault="00FA23B0" w:rsidP="00FA23B0">
      <w:pPr>
        <w:spacing w:after="120" w:line="264" w:lineRule="auto"/>
        <w:ind w:firstLine="720"/>
        <w:jc w:val="both"/>
        <w:rPr>
          <w:spacing w:val="-2"/>
        </w:rPr>
      </w:pPr>
      <w:r w:rsidRPr="008B009B">
        <w:rPr>
          <w:spacing w:val="-2"/>
        </w:rPr>
        <w:t xml:space="preserve">The area of newly planted forests nationwide in August was estimated to reach 21.3 thousand hectares, </w:t>
      </w:r>
      <w:r w:rsidR="002B3607" w:rsidRPr="008B009B">
        <w:rPr>
          <w:spacing w:val="-2"/>
        </w:rPr>
        <w:t>a year-on-year</w:t>
      </w:r>
      <w:r w:rsidRPr="008B009B">
        <w:rPr>
          <w:spacing w:val="-2"/>
        </w:rPr>
        <w:t xml:space="preserve"> drop of 4.9%; the number of scattered forestry trees reached 6.0 million, (-4.8%</w:t>
      </w:r>
      <w:r w:rsidR="0092399C">
        <w:rPr>
          <w:spacing w:val="-2"/>
        </w:rPr>
        <w:t xml:space="preserve"> YoY</w:t>
      </w:r>
      <w:r w:rsidRPr="008B009B">
        <w:rPr>
          <w:spacing w:val="-2"/>
        </w:rPr>
        <w:t>)</w:t>
      </w:r>
      <w:r w:rsidRPr="008B009B">
        <w:rPr>
          <w:vertAlign w:val="superscript"/>
        </w:rPr>
        <w:footnoteReference w:id="5"/>
      </w:r>
      <w:r w:rsidRPr="008B009B">
        <w:rPr>
          <w:spacing w:val="-2"/>
        </w:rPr>
        <w:t xml:space="preserve">; The area of planted forests decreased during the month due to the implementation of local plans and hot weather in early </w:t>
      </w:r>
      <w:r w:rsidR="002B3607" w:rsidRPr="008B009B">
        <w:rPr>
          <w:spacing w:val="-2"/>
        </w:rPr>
        <w:t>August</w:t>
      </w:r>
      <w:r w:rsidRPr="008B009B">
        <w:rPr>
          <w:spacing w:val="-2"/>
        </w:rPr>
        <w:t>. Wood production reached 2,372.3 thousand cubic meters, (+4.4%</w:t>
      </w:r>
      <w:r w:rsidR="0092399C">
        <w:rPr>
          <w:spacing w:val="-2"/>
        </w:rPr>
        <w:t xml:space="preserve"> YoY</w:t>
      </w:r>
      <w:r w:rsidRPr="008B009B">
        <w:rPr>
          <w:spacing w:val="-2"/>
        </w:rPr>
        <w:t>), driven by increasing demand for raw materials of wood processing facilities</w:t>
      </w:r>
      <w:r w:rsidRPr="008B009B">
        <w:rPr>
          <w:spacing w:val="-2"/>
          <w:vertAlign w:val="superscript"/>
        </w:rPr>
        <w:footnoteReference w:id="6"/>
      </w:r>
      <w:r w:rsidRPr="008B009B">
        <w:rPr>
          <w:spacing w:val="-2"/>
        </w:rPr>
        <w:t xml:space="preserve">. Generally, in eight months of 2026, the area of newly planted concentrated forests was estimated to reach 180.8 thousand hectares, </w:t>
      </w:r>
      <w:r w:rsidR="002B3607" w:rsidRPr="008B009B">
        <w:rPr>
          <w:spacing w:val="-2"/>
        </w:rPr>
        <w:t>a year-on-year</w:t>
      </w:r>
      <w:r w:rsidRPr="008B009B">
        <w:rPr>
          <w:spacing w:val="-2"/>
        </w:rPr>
        <w:t xml:space="preserve"> reduction of 3.4%, number of scattered forestry trees planted reached 63.9 million, (+1.6%</w:t>
      </w:r>
      <w:r w:rsidR="0092399C">
        <w:rPr>
          <w:spacing w:val="-2"/>
        </w:rPr>
        <w:t xml:space="preserve"> YoY</w:t>
      </w:r>
      <w:r w:rsidRPr="008B009B">
        <w:rPr>
          <w:spacing w:val="-2"/>
        </w:rPr>
        <w:t>); and wood production reached 16,662.9 thousand cubic meters (+6.5%</w:t>
      </w:r>
      <w:r w:rsidR="0092399C">
        <w:rPr>
          <w:spacing w:val="-2"/>
        </w:rPr>
        <w:t xml:space="preserve"> YoY</w:t>
      </w:r>
      <w:r w:rsidRPr="008B009B">
        <w:rPr>
          <w:spacing w:val="-2"/>
        </w:rPr>
        <w:t>).</w:t>
      </w:r>
    </w:p>
    <w:p w14:paraId="75D49E81" w14:textId="1E244A26" w:rsidR="00FA23B0" w:rsidRPr="008B009B" w:rsidRDefault="00FA23B0" w:rsidP="00FA23B0">
      <w:pPr>
        <w:shd w:val="clear" w:color="auto" w:fill="FFFFFF"/>
        <w:spacing w:after="120" w:line="264" w:lineRule="auto"/>
        <w:ind w:firstLine="720"/>
        <w:jc w:val="both"/>
      </w:pPr>
      <w:r w:rsidRPr="008B009B">
        <w:t>The damaged</w:t>
      </w:r>
      <w:r w:rsidRPr="008B009B">
        <w:rPr>
          <w:vertAlign w:val="superscript"/>
        </w:rPr>
        <w:footnoteReference w:id="7"/>
      </w:r>
      <w:r w:rsidRPr="008B009B">
        <w:t xml:space="preserve"> </w:t>
      </w:r>
      <w:r w:rsidR="002C32EB" w:rsidRPr="008B009B">
        <w:t xml:space="preserve">forest </w:t>
      </w:r>
      <w:r w:rsidRPr="008B009B">
        <w:t xml:space="preserve">area in august was 240.6 hectares, showing </w:t>
      </w:r>
      <w:r w:rsidR="002B3607" w:rsidRPr="008B009B">
        <w:t xml:space="preserve">a </w:t>
      </w:r>
      <w:r w:rsidR="00B11C13" w:rsidRPr="008B009B">
        <w:t>7.6-fold</w:t>
      </w:r>
      <w:r w:rsidR="002C32EB" w:rsidRPr="008B009B">
        <w:t xml:space="preserve"> increase</w:t>
      </w:r>
      <w:r w:rsidRPr="008B009B">
        <w:t xml:space="preserve"> </w:t>
      </w:r>
      <w:r w:rsidR="002C32EB" w:rsidRPr="008B009B">
        <w:t xml:space="preserve">year-on-year </w:t>
      </w:r>
      <w:r w:rsidRPr="008B009B">
        <w:t>including 37.4 hectares of forest cut or destroyed (+64.8%</w:t>
      </w:r>
      <w:r w:rsidR="009344CE" w:rsidRPr="009344CE">
        <w:t xml:space="preserve"> </w:t>
      </w:r>
      <w:r w:rsidR="009344CE">
        <w:t>YoY</w:t>
      </w:r>
      <w:r w:rsidRPr="008B009B">
        <w:t>), 203.2 hectares of forest fire, (</w:t>
      </w:r>
      <w:r w:rsidR="00B11C13" w:rsidRPr="008B009B">
        <w:t>+23.1-fold</w:t>
      </w:r>
      <w:r w:rsidR="00522348" w:rsidRPr="008B009B">
        <w:t xml:space="preserve"> increase</w:t>
      </w:r>
      <w:r w:rsidRPr="008B009B">
        <w:t xml:space="preserve">) caused by </w:t>
      </w:r>
      <w:r w:rsidR="00522348" w:rsidRPr="008B009B">
        <w:t>prolonged</w:t>
      </w:r>
      <w:r w:rsidRPr="008B009B">
        <w:t xml:space="preserve">, widespread heatwaves and high temperatures </w:t>
      </w:r>
      <w:r w:rsidR="00522348" w:rsidRPr="008B009B">
        <w:t xml:space="preserve">across various </w:t>
      </w:r>
      <w:r w:rsidRPr="008B009B">
        <w:t>localities. Additionally, violations of forest protection regulations resulting the increase in area of damaged forest</w:t>
      </w:r>
      <w:r w:rsidRPr="008B009B">
        <w:rPr>
          <w:rStyle w:val="FootnoteReference"/>
        </w:rPr>
        <w:footnoteReference w:id="8"/>
      </w:r>
      <w:r w:rsidRPr="008B009B">
        <w:t xml:space="preserve">. Generally, in eight months of 2026, the total area of damaged forest was estimated at 1,086.0 hectares, </w:t>
      </w:r>
      <w:r w:rsidR="002B3607" w:rsidRPr="008B009B">
        <w:t>a year-on-year</w:t>
      </w:r>
      <w:r w:rsidRPr="008B009B">
        <w:t xml:space="preserve"> climb of </w:t>
      </w:r>
      <w:r w:rsidRPr="008B009B">
        <w:lastRenderedPageBreak/>
        <w:t>13.1%, of which, the logging and clearing area reached 374.5 hectares (-42.8%</w:t>
      </w:r>
      <w:r w:rsidR="009344CE" w:rsidRPr="009344CE">
        <w:t xml:space="preserve"> </w:t>
      </w:r>
      <w:r w:rsidR="009344CE">
        <w:t>YoY</w:t>
      </w:r>
      <w:r w:rsidRPr="008B009B">
        <w:t xml:space="preserve">), </w:t>
      </w:r>
      <w:r w:rsidR="00B11C13" w:rsidRPr="008B009B">
        <w:t>damaged area</w:t>
      </w:r>
      <w:r w:rsidRPr="008B009B">
        <w:t xml:space="preserve"> by forest fire was estimated at 711.5 hectares (+ 2.3-fold).</w:t>
      </w:r>
    </w:p>
    <w:p w14:paraId="78D1A136" w14:textId="77777777" w:rsidR="00FA23B0" w:rsidRPr="008B009B" w:rsidRDefault="00FA23B0" w:rsidP="00FA23B0">
      <w:pPr>
        <w:spacing w:after="120" w:line="264" w:lineRule="auto"/>
        <w:ind w:firstLine="720"/>
        <w:jc w:val="both"/>
        <w:rPr>
          <w:b/>
          <w:bCs/>
          <w:i/>
          <w:iCs/>
        </w:rPr>
      </w:pPr>
      <w:r w:rsidRPr="008B009B">
        <w:rPr>
          <w:b/>
          <w:bCs/>
          <w:i/>
          <w:iCs/>
        </w:rPr>
        <w:t>c) Fishing</w:t>
      </w:r>
    </w:p>
    <w:p w14:paraId="1D22999E" w14:textId="7CC82DF4" w:rsidR="00FA23B0" w:rsidRPr="008B009B" w:rsidRDefault="00FA23B0" w:rsidP="00FA23B0">
      <w:pPr>
        <w:spacing w:after="120" w:line="264" w:lineRule="auto"/>
        <w:ind w:firstLine="720"/>
        <w:jc w:val="both"/>
      </w:pPr>
      <w:r w:rsidRPr="008B009B">
        <w:t>Capture fisheries and aquaculture production in August w</w:t>
      </w:r>
      <w:r w:rsidR="00B11C13">
        <w:t>ere</w:t>
      </w:r>
      <w:r w:rsidRPr="008B009B">
        <w:t xml:space="preserve"> estimated to </w:t>
      </w:r>
      <w:r w:rsidR="00B11C13" w:rsidRPr="008B009B">
        <w:t>reach 991.3</w:t>
      </w:r>
      <w:r w:rsidRPr="008B009B">
        <w:t xml:space="preserve"> thousand tones, </w:t>
      </w:r>
      <w:r w:rsidR="002B3607" w:rsidRPr="008B009B">
        <w:t>a year-on-year</w:t>
      </w:r>
      <w:r w:rsidRPr="008B009B">
        <w:t xml:space="preserve"> growth of 4.4%, of which fish reached 680.4 thousand tones (+2.8%</w:t>
      </w:r>
      <w:r w:rsidR="00B90B8B">
        <w:t xml:space="preserve"> YoY</w:t>
      </w:r>
      <w:r w:rsidRPr="008B009B">
        <w:t>), shrimp reached 176.2 thousand tones (+6.6%</w:t>
      </w:r>
      <w:r w:rsidR="00B90B8B">
        <w:t xml:space="preserve"> YoY</w:t>
      </w:r>
      <w:r w:rsidRPr="008B009B">
        <w:t>), and other aquatic products reached 134.8 thousand tones (+9.4%</w:t>
      </w:r>
      <w:r w:rsidR="00B90B8B">
        <w:t xml:space="preserve"> YoY</w:t>
      </w:r>
      <w:r w:rsidRPr="008B009B">
        <w:t>).</w:t>
      </w:r>
    </w:p>
    <w:p w14:paraId="536C05C2" w14:textId="207727E3" w:rsidR="00FA23B0" w:rsidRPr="008B009B" w:rsidRDefault="00FA23B0" w:rsidP="00FA23B0">
      <w:pPr>
        <w:spacing w:after="120" w:line="264" w:lineRule="auto"/>
        <w:ind w:firstLine="720"/>
        <w:jc w:val="both"/>
      </w:pPr>
      <w:r w:rsidRPr="008B009B">
        <w:rPr>
          <w:i/>
        </w:rPr>
        <w:t>Aquaculture production</w:t>
      </w:r>
      <w:r w:rsidRPr="008B009B">
        <w:t xml:space="preserve"> in the month was estimated at 629.3 thousand tones, </w:t>
      </w:r>
      <w:r w:rsidR="002B3607" w:rsidRPr="008B009B">
        <w:t>a year-on-year</w:t>
      </w:r>
      <w:r w:rsidRPr="008B009B">
        <w:t xml:space="preserve"> jump of 6.6%, of which fish reached 397.4 thousand tones (+4.9%</w:t>
      </w:r>
      <w:r w:rsidR="00B90B8B">
        <w:t xml:space="preserve"> YoY</w:t>
      </w:r>
      <w:r w:rsidRPr="008B009B">
        <w:t>), shrimp reached 162.8 thousand tones (+7.0%</w:t>
      </w:r>
      <w:r w:rsidR="00B90B8B">
        <w:t xml:space="preserve"> YoY</w:t>
      </w:r>
      <w:r w:rsidRPr="008B009B">
        <w:t>), and other aquatic products reached 69.1 thousand tones (+16.0%</w:t>
      </w:r>
      <w:r w:rsidR="00B90B8B">
        <w:t xml:space="preserve"> YoY</w:t>
      </w:r>
      <w:r w:rsidRPr="008B009B">
        <w:t>). Generally, in the eight months of 2026, total aquaculture production was es</w:t>
      </w:r>
      <w:r w:rsidR="00B0488C" w:rsidRPr="008B009B">
        <w:t>timated at 4,253.9 thousand ton</w:t>
      </w:r>
      <w:r w:rsidRPr="008B009B">
        <w:t xml:space="preserve">s, </w:t>
      </w:r>
      <w:r w:rsidR="002B3607" w:rsidRPr="008B009B">
        <w:t>a year-on-year</w:t>
      </w:r>
      <w:r w:rsidRPr="008B009B">
        <w:t xml:space="preserve"> growth of 6.0%, of which fish reached 2,716.6 thousand tones (+4.5%</w:t>
      </w:r>
      <w:r w:rsidR="00B90B8B">
        <w:t xml:space="preserve"> YoY</w:t>
      </w:r>
      <w:r w:rsidRPr="008B009B">
        <w:t>), shrimp reached 1,097.4 thousand tones (+7.9%</w:t>
      </w:r>
      <w:r w:rsidR="00B90B8B">
        <w:t xml:space="preserve"> YoY</w:t>
      </w:r>
      <w:r w:rsidRPr="008B009B">
        <w:t>), and other aquatic products reached 439.9 thousand tones (+10.7%</w:t>
      </w:r>
      <w:r w:rsidR="00B90B8B">
        <w:t xml:space="preserve"> YoY</w:t>
      </w:r>
      <w:r w:rsidRPr="008B009B">
        <w:t>).</w:t>
      </w:r>
    </w:p>
    <w:p w14:paraId="7225C8A1" w14:textId="5CA9AB84" w:rsidR="00FA23B0" w:rsidRPr="008B009B" w:rsidRDefault="00FA23B0" w:rsidP="00FA23B0">
      <w:pPr>
        <w:spacing w:after="120" w:line="264" w:lineRule="auto"/>
        <w:ind w:firstLine="720"/>
        <w:jc w:val="both"/>
      </w:pPr>
      <w:r w:rsidRPr="008B009B">
        <w:t xml:space="preserve">Pangasius production in August saw </w:t>
      </w:r>
      <w:r w:rsidR="002B3607" w:rsidRPr="008B009B">
        <w:t>a year-on-year</w:t>
      </w:r>
      <w:r w:rsidRPr="008B009B">
        <w:t xml:space="preserve"> upward trend</w:t>
      </w:r>
      <w:r w:rsidR="00133E28" w:rsidRPr="008B009B">
        <w:t>,</w:t>
      </w:r>
      <w:r w:rsidRPr="008B009B">
        <w:t xml:space="preserve"> thanks to the prices of commercial pangasius showed stability, ensuring supply for processing and export</w:t>
      </w:r>
      <w:r w:rsidRPr="008B009B">
        <w:rPr>
          <w:vertAlign w:val="superscript"/>
        </w:rPr>
        <w:footnoteReference w:id="9"/>
      </w:r>
      <w:r w:rsidRPr="008B009B">
        <w:t xml:space="preserve">. Pangasius production in the month was estimated at 160.6 thousand </w:t>
      </w:r>
      <w:r w:rsidR="00F73EC7" w:rsidRPr="008B009B">
        <w:t>tons</w:t>
      </w:r>
      <w:r w:rsidRPr="008B009B">
        <w:t xml:space="preserve">, </w:t>
      </w:r>
      <w:r w:rsidR="002B3607" w:rsidRPr="008B009B">
        <w:t>a year-on-year</w:t>
      </w:r>
      <w:r w:rsidRPr="008B009B">
        <w:t xml:space="preserve"> expansion of 4.5%. Generally, production in eight months of 2026 reached 1,250.7 thousand </w:t>
      </w:r>
      <w:r w:rsidR="00F73EC7" w:rsidRPr="008B009B">
        <w:t>tons</w:t>
      </w:r>
      <w:r w:rsidRPr="008B009B">
        <w:t>, (+4.8%</w:t>
      </w:r>
      <w:r w:rsidR="002B68B8">
        <w:t xml:space="preserve"> YoY</w:t>
      </w:r>
      <w:r w:rsidRPr="008B009B">
        <w:t>).</w:t>
      </w:r>
    </w:p>
    <w:p w14:paraId="2E8EAA92" w14:textId="42559935" w:rsidR="00FA23B0" w:rsidRPr="008B009B" w:rsidRDefault="00FA23B0" w:rsidP="00FA23B0">
      <w:pPr>
        <w:spacing w:after="120" w:line="254" w:lineRule="auto"/>
        <w:ind w:firstLine="720"/>
        <w:jc w:val="both"/>
      </w:pPr>
      <w:r w:rsidRPr="008B009B">
        <w:t>Shrimp production in the month witnessed a</w:t>
      </w:r>
      <w:r w:rsidR="00F566EC" w:rsidRPr="008B009B">
        <w:t xml:space="preserve"> </w:t>
      </w:r>
      <w:r w:rsidR="00C90C8C" w:rsidRPr="008B009B">
        <w:t xml:space="preserve">year-on-year </w:t>
      </w:r>
      <w:r w:rsidRPr="008B009B">
        <w:t>upward trend driven by stable raw material prices and the adoption of high-tech, intensive, and super-intensive farming models that boosted yields, alongside consumption processing, and export saw a stability</w:t>
      </w:r>
      <w:r w:rsidRPr="008B009B">
        <w:rPr>
          <w:rStyle w:val="FootnoteReference"/>
          <w:spacing w:val="-2"/>
        </w:rPr>
        <w:footnoteReference w:id="10"/>
      </w:r>
      <w:r w:rsidRPr="008B009B">
        <w:t xml:space="preserve">. In August, white leg shrimp production was estimated at 119.0 thousand </w:t>
      </w:r>
      <w:r w:rsidR="00F73EC7" w:rsidRPr="008B009B">
        <w:t>tons</w:t>
      </w:r>
      <w:r w:rsidRPr="008B009B">
        <w:t xml:space="preserve">, (+6.6% </w:t>
      </w:r>
      <w:r w:rsidR="00F73EC7" w:rsidRPr="008B009B">
        <w:t>YoY</w:t>
      </w:r>
      <w:r w:rsidR="00C90C8C" w:rsidRPr="008B009B">
        <w:t>)</w:t>
      </w:r>
      <w:r w:rsidRPr="008B009B">
        <w:t xml:space="preserve">, while black tiger shrimp production reached 29.8 thousand </w:t>
      </w:r>
      <w:r w:rsidR="00F73EC7" w:rsidRPr="008B009B">
        <w:t>tons</w:t>
      </w:r>
      <w:r w:rsidRPr="008B009B">
        <w:t>, (+4.9%</w:t>
      </w:r>
      <w:r w:rsidR="002B68B8">
        <w:t xml:space="preserve"> YoY</w:t>
      </w:r>
      <w:r w:rsidRPr="008B009B">
        <w:t xml:space="preserve">). In eight months of 2026, white leg shrimp production reached 806.0 thousand </w:t>
      </w:r>
      <w:r w:rsidR="00F73EC7" w:rsidRPr="008B009B">
        <w:t>tons</w:t>
      </w:r>
      <w:r w:rsidRPr="008B009B">
        <w:t xml:space="preserve">, </w:t>
      </w:r>
      <w:r w:rsidR="002B3607" w:rsidRPr="008B009B">
        <w:t>a year-on-year</w:t>
      </w:r>
      <w:r w:rsidRPr="008B009B">
        <w:t xml:space="preserve"> surge of 8.7%, and black tiger shrimp production was estimated at 230.2 thousand </w:t>
      </w:r>
      <w:r w:rsidR="00F73EC7" w:rsidRPr="008B009B">
        <w:t>tons</w:t>
      </w:r>
      <w:r w:rsidRPr="008B009B">
        <w:t>, (+4.2%</w:t>
      </w:r>
      <w:r w:rsidR="002B68B8">
        <w:t xml:space="preserve"> YoY</w:t>
      </w:r>
      <w:r w:rsidRPr="008B009B">
        <w:t>).</w:t>
      </w:r>
    </w:p>
    <w:p w14:paraId="3232740A" w14:textId="60F218B2" w:rsidR="00FA23B0" w:rsidRPr="008B009B" w:rsidRDefault="00FA23B0" w:rsidP="00FA23B0">
      <w:pPr>
        <w:spacing w:after="120" w:line="254" w:lineRule="auto"/>
        <w:ind w:firstLine="720"/>
        <w:jc w:val="both"/>
        <w:rPr>
          <w:rFonts w:ascii="Arial" w:hAnsi="Arial" w:cs="Arial"/>
          <w:b/>
          <w:bCs/>
          <w:sz w:val="24"/>
          <w:szCs w:val="24"/>
        </w:rPr>
      </w:pPr>
      <w:r w:rsidRPr="008B009B">
        <w:rPr>
          <w:i/>
        </w:rPr>
        <w:t>The production of capture fisheries</w:t>
      </w:r>
      <w:r w:rsidRPr="008B009B">
        <w:t xml:space="preserve"> in August was estimated at 362.0 thousand tones, </w:t>
      </w:r>
      <w:r w:rsidR="002B3607" w:rsidRPr="008B009B">
        <w:t>a year-on-year</w:t>
      </w:r>
      <w:r w:rsidRPr="008B009B">
        <w:t xml:space="preserve"> increase of 0.7%, of which fish reached 283.0 thousand tones (+0.1%</w:t>
      </w:r>
      <w:r w:rsidR="00524970">
        <w:t xml:space="preserve"> YoY</w:t>
      </w:r>
      <w:r w:rsidRPr="008B009B">
        <w:t>), shrimp reached 13.4 thousand tones (+2.1%</w:t>
      </w:r>
      <w:r w:rsidR="00524970" w:rsidRPr="00524970">
        <w:t xml:space="preserve"> </w:t>
      </w:r>
      <w:r w:rsidR="00524970">
        <w:t>YoY</w:t>
      </w:r>
      <w:r w:rsidRPr="008B009B">
        <w:t xml:space="preserve">), </w:t>
      </w:r>
      <w:r w:rsidRPr="008B009B">
        <w:lastRenderedPageBreak/>
        <w:t>and other aquatic products reached 65.7 thousand tones (+3.2%</w:t>
      </w:r>
      <w:r w:rsidR="00524970" w:rsidRPr="00524970">
        <w:t xml:space="preserve"> </w:t>
      </w:r>
      <w:r w:rsidR="00524970">
        <w:t>YoY</w:t>
      </w:r>
      <w:r w:rsidRPr="008B009B">
        <w:t>). Marine capture fisheries remained stable despite complex weather conditions that impacted offshore capturing; Capture fisheries product</w:t>
      </w:r>
      <w:r w:rsidR="00C90C8C" w:rsidRPr="008B009B">
        <w:t>ion showed a year-on-year upturn</w:t>
      </w:r>
      <w:r w:rsidRPr="008B009B">
        <w:t xml:space="preserve">. Generally, in eight months of 2026, the capture fisheries production was estimated at 2,695.5 thousand </w:t>
      </w:r>
      <w:r w:rsidR="00F73EC7" w:rsidRPr="008B009B">
        <w:t>tons</w:t>
      </w:r>
      <w:r w:rsidR="00C90C8C" w:rsidRPr="008B009B">
        <w:t>, (+0.7%</w:t>
      </w:r>
      <w:r w:rsidRPr="008B009B">
        <w:t xml:space="preserve"> </w:t>
      </w:r>
      <w:r w:rsidR="00F73EC7" w:rsidRPr="008B009B">
        <w:t>YoY</w:t>
      </w:r>
      <w:r w:rsidR="00C90C8C" w:rsidRPr="008B009B">
        <w:t>)</w:t>
      </w:r>
      <w:r w:rsidRPr="008B009B">
        <w:t xml:space="preserve">, of which 2,099.7 thousand </w:t>
      </w:r>
      <w:r w:rsidR="00F73EC7" w:rsidRPr="008B009B">
        <w:t>tons</w:t>
      </w:r>
      <w:r w:rsidRPr="008B009B">
        <w:t xml:space="preserve"> of fish (+0.4%</w:t>
      </w:r>
      <w:r w:rsidR="00524970" w:rsidRPr="00524970">
        <w:t xml:space="preserve"> </w:t>
      </w:r>
      <w:r w:rsidR="00524970">
        <w:t>YoY</w:t>
      </w:r>
      <w:r w:rsidRPr="008B009B">
        <w:t xml:space="preserve">), 86.9 thousand </w:t>
      </w:r>
      <w:r w:rsidR="00F73EC7" w:rsidRPr="008B009B">
        <w:t>tons</w:t>
      </w:r>
      <w:r w:rsidRPr="008B009B">
        <w:t xml:space="preserve"> of shrimp (+1.8%</w:t>
      </w:r>
      <w:r w:rsidR="00524970" w:rsidRPr="00524970">
        <w:t xml:space="preserve"> </w:t>
      </w:r>
      <w:r w:rsidR="00524970">
        <w:t>YoY</w:t>
      </w:r>
      <w:r w:rsidRPr="008B009B">
        <w:t xml:space="preserve">), and 509.0 thousand </w:t>
      </w:r>
      <w:r w:rsidR="00F73EC7" w:rsidRPr="008B009B">
        <w:t>tons</w:t>
      </w:r>
      <w:r w:rsidRPr="008B009B">
        <w:t xml:space="preserve"> </w:t>
      </w:r>
      <w:r w:rsidR="00F73EC7" w:rsidRPr="008B009B">
        <w:t>of other</w:t>
      </w:r>
      <w:r w:rsidRPr="008B009B">
        <w:t xml:space="preserve"> aquatic products (+1.8%</w:t>
      </w:r>
      <w:r w:rsidR="00524970" w:rsidRPr="00524970">
        <w:t xml:space="preserve"> </w:t>
      </w:r>
      <w:r w:rsidR="00524970">
        <w:t>YoY</w:t>
      </w:r>
      <w:r w:rsidRPr="008B009B">
        <w:t xml:space="preserve">). Marine capture fisheries in the month </w:t>
      </w:r>
      <w:r w:rsidR="00B11C13" w:rsidRPr="008B009B">
        <w:t>were</w:t>
      </w:r>
      <w:r w:rsidRPr="008B009B">
        <w:t xml:space="preserve"> estimated at 347.8 thousand </w:t>
      </w:r>
      <w:r w:rsidR="00F73EC7" w:rsidRPr="008B009B">
        <w:t>tons</w:t>
      </w:r>
      <w:r w:rsidRPr="008B009B">
        <w:t xml:space="preserve">, </w:t>
      </w:r>
      <w:r w:rsidR="002B3607" w:rsidRPr="008B009B">
        <w:t>a year-on-year</w:t>
      </w:r>
      <w:r w:rsidRPr="008B009B">
        <w:t xml:space="preserve"> rise of 1.0%, including: 272.3 thousand </w:t>
      </w:r>
      <w:r w:rsidR="00F73EC7" w:rsidRPr="008B009B">
        <w:t>tons</w:t>
      </w:r>
      <w:r w:rsidRPr="008B009B">
        <w:t xml:space="preserve"> of fish (+ 0.4%</w:t>
      </w:r>
      <w:r w:rsidR="00524970" w:rsidRPr="00524970">
        <w:t xml:space="preserve"> </w:t>
      </w:r>
      <w:r w:rsidR="00524970">
        <w:t>YoY</w:t>
      </w:r>
      <w:r w:rsidRPr="008B009B">
        <w:t xml:space="preserve">), 12.5 thousand </w:t>
      </w:r>
      <w:r w:rsidR="00F73EC7" w:rsidRPr="008B009B">
        <w:t>tons</w:t>
      </w:r>
      <w:r w:rsidRPr="008B009B">
        <w:t xml:space="preserve"> of shrimp (+2.2%</w:t>
      </w:r>
      <w:r w:rsidR="00524970" w:rsidRPr="00524970">
        <w:t xml:space="preserve"> </w:t>
      </w:r>
      <w:r w:rsidR="00524970">
        <w:t>YoY</w:t>
      </w:r>
      <w:r w:rsidRPr="008B009B">
        <w:t xml:space="preserve">), and 62.9 thousand </w:t>
      </w:r>
      <w:r w:rsidR="00F73EC7" w:rsidRPr="008B009B">
        <w:t>tons</w:t>
      </w:r>
      <w:r w:rsidRPr="008B009B">
        <w:t xml:space="preserve"> of other aquatic produc</w:t>
      </w:r>
      <w:r w:rsidR="00C90C8C" w:rsidRPr="008B009B">
        <w:t xml:space="preserve">ts (+3.5%). Generally, in eight </w:t>
      </w:r>
      <w:r w:rsidRPr="008B009B">
        <w:t>month</w:t>
      </w:r>
      <w:r w:rsidR="00C90C8C" w:rsidRPr="008B009B">
        <w:t>s</w:t>
      </w:r>
      <w:r w:rsidRPr="008B009B">
        <w:t xml:space="preserve"> of 2026, marine capture fisheries production was estimated at 2,581.1 thousand </w:t>
      </w:r>
      <w:r w:rsidR="00F73EC7" w:rsidRPr="008B009B">
        <w:t>tons</w:t>
      </w:r>
      <w:r w:rsidR="00C90C8C" w:rsidRPr="008B009B">
        <w:t>, (+0.8%</w:t>
      </w:r>
      <w:r w:rsidRPr="008B009B">
        <w:t xml:space="preserve"> </w:t>
      </w:r>
      <w:r w:rsidR="00F73EC7" w:rsidRPr="008B009B">
        <w:t>YoY</w:t>
      </w:r>
      <w:r w:rsidR="00C90C8C" w:rsidRPr="008B009B">
        <w:t>)</w:t>
      </w:r>
      <w:r w:rsidRPr="008B009B">
        <w:t xml:space="preserve">, of which, 2,015.4 thousand </w:t>
      </w:r>
      <w:r w:rsidR="00F73EC7" w:rsidRPr="008B009B">
        <w:t>tons</w:t>
      </w:r>
      <w:r w:rsidRPr="008B009B">
        <w:t xml:space="preserve"> of fish (+ 0.4%</w:t>
      </w:r>
      <w:r w:rsidR="00524970" w:rsidRPr="00524970">
        <w:t xml:space="preserve"> </w:t>
      </w:r>
      <w:r w:rsidR="00524970">
        <w:t>YoY</w:t>
      </w:r>
      <w:r w:rsidRPr="008B009B">
        <w:t xml:space="preserve">), 80.5 thousand </w:t>
      </w:r>
      <w:r w:rsidR="00F73EC7" w:rsidRPr="008B009B">
        <w:t>tons</w:t>
      </w:r>
      <w:r w:rsidRPr="008B009B">
        <w:t xml:space="preserve"> of shrimp (+1.8%</w:t>
      </w:r>
      <w:r w:rsidR="00524970" w:rsidRPr="00524970">
        <w:t xml:space="preserve"> </w:t>
      </w:r>
      <w:r w:rsidR="00524970">
        <w:t>YoY</w:t>
      </w:r>
      <w:r w:rsidRPr="008B009B">
        <w:t xml:space="preserve">), and 485.1 thousand </w:t>
      </w:r>
      <w:r w:rsidR="00F73EC7" w:rsidRPr="008B009B">
        <w:t>tons</w:t>
      </w:r>
      <w:r w:rsidRPr="008B009B">
        <w:t xml:space="preserve"> (+1.9%</w:t>
      </w:r>
      <w:r w:rsidR="00524970" w:rsidRPr="00524970">
        <w:t xml:space="preserve"> </w:t>
      </w:r>
      <w:r w:rsidR="00524970">
        <w:t>YoY</w:t>
      </w:r>
      <w:r w:rsidRPr="008B009B">
        <w:t>).</w:t>
      </w:r>
    </w:p>
    <w:p w14:paraId="549A64AB" w14:textId="77777777" w:rsidR="00FA23B0" w:rsidRPr="008B009B" w:rsidRDefault="00FA23B0" w:rsidP="00FA23B0">
      <w:pPr>
        <w:ind w:firstLine="567"/>
        <w:jc w:val="center"/>
        <w:rPr>
          <w:rFonts w:ascii="Arial" w:hAnsi="Arial" w:cs="Arial"/>
          <w:b/>
          <w:bCs/>
          <w:sz w:val="24"/>
          <w:szCs w:val="24"/>
        </w:rPr>
      </w:pPr>
      <w:r w:rsidRPr="008B009B">
        <w:rPr>
          <w:rFonts w:ascii="Arial" w:hAnsi="Arial" w:cs="Arial"/>
          <w:b/>
          <w:bCs/>
          <w:sz w:val="24"/>
          <w:szCs w:val="24"/>
        </w:rPr>
        <w:t xml:space="preserve">Figure 3. Capture fisheries and aquaculture production in eight months of 2026 </w:t>
      </w:r>
    </w:p>
    <w:p w14:paraId="4214E770" w14:textId="5AC8D608" w:rsidR="00FA23B0" w:rsidRPr="008B009B" w:rsidRDefault="00FA23B0" w:rsidP="00FA23B0">
      <w:pPr>
        <w:spacing w:line="264" w:lineRule="auto"/>
        <w:jc w:val="center"/>
        <w:rPr>
          <w:rFonts w:ascii="Arial" w:hAnsi="Arial" w:cs="Arial"/>
          <w:b/>
          <w:bCs/>
          <w:sz w:val="24"/>
          <w:szCs w:val="24"/>
        </w:rPr>
      </w:pPr>
      <w:r w:rsidRPr="008B009B">
        <w:rPr>
          <w:rFonts w:ascii="Arial" w:hAnsi="Arial" w:cs="Arial"/>
          <w:bCs/>
          <w:i/>
          <w:sz w:val="24"/>
          <w:szCs w:val="24"/>
        </w:rPr>
        <w:t>(</w:t>
      </w:r>
      <w:r w:rsidR="00F73EC7" w:rsidRPr="008B009B">
        <w:rPr>
          <w:rFonts w:ascii="Arial" w:hAnsi="Arial" w:cs="Arial"/>
          <w:bCs/>
          <w:i/>
          <w:sz w:val="24"/>
          <w:szCs w:val="24"/>
        </w:rPr>
        <w:t>YoY</w:t>
      </w:r>
      <w:r w:rsidRPr="008B009B">
        <w:rPr>
          <w:rFonts w:ascii="Arial" w:hAnsi="Arial" w:cs="Arial"/>
          <w:bCs/>
          <w:i/>
          <w:sz w:val="24"/>
          <w:szCs w:val="24"/>
        </w:rPr>
        <w:t xml:space="preserve"> growth rate)</w:t>
      </w:r>
    </w:p>
    <w:p w14:paraId="36FF7C12" w14:textId="77777777" w:rsidR="00FA23B0" w:rsidRPr="008B009B" w:rsidRDefault="00FA23B0" w:rsidP="00FA23B0">
      <w:pPr>
        <w:spacing w:before="100" w:beforeAutospacing="1" w:after="100" w:afterAutospacing="1"/>
        <w:rPr>
          <w:sz w:val="24"/>
          <w:szCs w:val="24"/>
        </w:rPr>
      </w:pPr>
      <w:r w:rsidRPr="008B009B">
        <w:rPr>
          <w:noProof/>
          <w:sz w:val="24"/>
          <w:szCs w:val="24"/>
        </w:rPr>
        <w:drawing>
          <wp:inline distT="0" distB="0" distL="0" distR="0" wp14:anchorId="73ADD5B8" wp14:editId="6EECEF79">
            <wp:extent cx="5766265" cy="1895475"/>
            <wp:effectExtent l="0" t="0" r="6350" b="0"/>
            <wp:docPr id="9" name="Picture 9" descr="D:\Công việc 2026\Báo cáo KTXH  -2026\KTXH T8\Thủy sản T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ông việc 2026\Báo cáo KTXH  -2026\KTXH T8\Thủy sản T8-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25659" cy="1914999"/>
                    </a:xfrm>
                    <a:prstGeom prst="rect">
                      <a:avLst/>
                    </a:prstGeom>
                    <a:noFill/>
                    <a:ln>
                      <a:noFill/>
                    </a:ln>
                  </pic:spPr>
                </pic:pic>
              </a:graphicData>
            </a:graphic>
          </wp:inline>
        </w:drawing>
      </w:r>
    </w:p>
    <w:p w14:paraId="4D8BE842" w14:textId="3F8ABDA3" w:rsidR="000A7C39" w:rsidRPr="008B009B" w:rsidRDefault="00FA23B0" w:rsidP="00FA23B0">
      <w:pPr>
        <w:spacing w:before="120" w:after="120" w:line="264" w:lineRule="auto"/>
        <w:ind w:firstLine="720"/>
        <w:jc w:val="both"/>
        <w:rPr>
          <w:b/>
          <w:bCs/>
        </w:rPr>
      </w:pPr>
      <w:r w:rsidRPr="008B009B">
        <w:t xml:space="preserve">Generally, in the eight months of 2026, total fisheries production was estimated at 6,949.4 thousand tones, </w:t>
      </w:r>
      <w:r w:rsidR="002B3607" w:rsidRPr="008B009B">
        <w:t>a year-on-year</w:t>
      </w:r>
      <w:r w:rsidRPr="008B009B">
        <w:t xml:space="preserve"> expansion of 3.8%, of which fish reached 4,816.3 thousand tones (+2.6%</w:t>
      </w:r>
      <w:r w:rsidR="00524970" w:rsidRPr="00524970">
        <w:t xml:space="preserve"> </w:t>
      </w:r>
      <w:r w:rsidR="00524970">
        <w:t>YoY</w:t>
      </w:r>
      <w:r w:rsidRPr="008B009B">
        <w:t>), shrimp reached 1,184.2 thousand tones (+7.4%</w:t>
      </w:r>
      <w:r w:rsidR="00524970" w:rsidRPr="00524970">
        <w:t xml:space="preserve"> </w:t>
      </w:r>
      <w:r w:rsidR="00524970">
        <w:t>YoY</w:t>
      </w:r>
      <w:r w:rsidRPr="008B009B">
        <w:t>), and other aquatic products reached 948.9 thousand tones (+5.8%</w:t>
      </w:r>
      <w:r w:rsidR="00524970" w:rsidRPr="00524970">
        <w:t xml:space="preserve"> </w:t>
      </w:r>
      <w:r w:rsidR="00524970">
        <w:t>YoY</w:t>
      </w:r>
      <w:r w:rsidRPr="008B009B">
        <w:t>).</w:t>
      </w:r>
    </w:p>
    <w:p w14:paraId="43AACC3D" w14:textId="77777777" w:rsidR="00C60EA1" w:rsidRPr="008B009B" w:rsidRDefault="00C60EA1" w:rsidP="00C60EA1">
      <w:pPr>
        <w:widowControl w:val="0"/>
        <w:spacing w:after="120" w:line="264" w:lineRule="auto"/>
        <w:ind w:firstLine="720"/>
        <w:jc w:val="both"/>
        <w:rPr>
          <w:b/>
          <w:bCs/>
        </w:rPr>
      </w:pPr>
      <w:r w:rsidRPr="008B009B">
        <w:rPr>
          <w:b/>
          <w:bCs/>
        </w:rPr>
        <w:t>2. Industrial production</w:t>
      </w:r>
    </w:p>
    <w:p w14:paraId="0A6A1B80" w14:textId="77777777" w:rsidR="00C60EA1" w:rsidRPr="008B009B" w:rsidRDefault="00C60EA1" w:rsidP="00C60EA1">
      <w:pPr>
        <w:spacing w:after="120" w:line="264" w:lineRule="auto"/>
        <w:ind w:firstLine="720"/>
        <w:jc w:val="both"/>
        <w:rPr>
          <w:i/>
        </w:rPr>
      </w:pPr>
      <w:r w:rsidRPr="008B009B">
        <w:rPr>
          <w:i/>
        </w:rPr>
        <w:t>Industrial production in August continued to maintain positive growth momentum.</w:t>
      </w:r>
      <w:r w:rsidRPr="008B009B">
        <w:t xml:space="preserve"> </w:t>
      </w:r>
      <w:r w:rsidRPr="008B009B">
        <w:rPr>
          <w:i/>
        </w:rPr>
        <w:t>The Index of Industrial Production (IIP) for the month recorded an estimated expansion of 1.5% month-on-month</w:t>
      </w:r>
      <w:r w:rsidRPr="008B009B">
        <w:rPr>
          <w:rStyle w:val="FootnoteReference"/>
          <w:i/>
        </w:rPr>
        <w:footnoteReference w:id="11"/>
      </w:r>
      <w:r w:rsidRPr="008B009B">
        <w:rPr>
          <w:i/>
        </w:rPr>
        <w:t xml:space="preserve"> and 14.4% year-on-year. Cumulatively, for the eight months of 2026, the IIP advanced by 11.9% over the </w:t>
      </w:r>
      <w:r w:rsidRPr="008B009B">
        <w:rPr>
          <w:i/>
        </w:rPr>
        <w:lastRenderedPageBreak/>
        <w:t>corresponding period last year, marking the highest growth rate achieved during the eight months of the year across the past years</w:t>
      </w:r>
      <w:r w:rsidRPr="008B009B">
        <w:rPr>
          <w:rStyle w:val="FootnoteReference"/>
          <w:i/>
        </w:rPr>
        <w:footnoteReference w:id="12"/>
      </w:r>
      <w:r w:rsidRPr="008B009B">
        <w:rPr>
          <w:i/>
        </w:rPr>
        <w:t>.</w:t>
      </w:r>
    </w:p>
    <w:p w14:paraId="23ADC116" w14:textId="77777777" w:rsidR="00C60EA1" w:rsidRPr="008B009B" w:rsidRDefault="00C60EA1" w:rsidP="00C60EA1">
      <w:pPr>
        <w:spacing w:after="120" w:line="264" w:lineRule="auto"/>
        <w:ind w:firstLine="720"/>
        <w:jc w:val="both"/>
      </w:pPr>
      <w:r w:rsidRPr="008B009B">
        <w:t>In August 2026, the manufacturing recorded a year-on-year increase of 14.6%; the mining and quarrying rose by 18.5%; the electricity supply increased by 11.8%; and the water supply, sewerage, waste management and remediation activities grew by 9.5%.</w:t>
      </w:r>
    </w:p>
    <w:p w14:paraId="5BD53CB0" w14:textId="42D73ADB" w:rsidR="00C60EA1" w:rsidRPr="008B009B" w:rsidRDefault="00C60EA1" w:rsidP="00C60EA1">
      <w:pPr>
        <w:spacing w:after="120" w:line="264" w:lineRule="auto"/>
        <w:ind w:firstLine="720"/>
        <w:jc w:val="both"/>
      </w:pPr>
      <w:r w:rsidRPr="008B009B">
        <w:t>Generally, in the eight months of 2026, the manufacturing grew by 12.5% (the corresponding figure in 2025 was 10.0%), contributing 9.6 percentage points to the overall growth; the mining and quarrying grew by 8.1% (</w:t>
      </w:r>
      <w:r w:rsidR="00045EB3" w:rsidRPr="008B009B">
        <w:t xml:space="preserve">a </w:t>
      </w:r>
      <w:r w:rsidRPr="008B009B">
        <w:t>2.1% decline in the same period of 2025), contributing 1.3 percentage points; the electricity supply rose by 10.1% (versus 5.0% in 2025), contributing 0.9 percentage points; the water supply, sewerage, waste management and remediation activities increased by 9.4% (versus 8.8% in 2025), contributing 0.1 percentage points.</w:t>
      </w:r>
    </w:p>
    <w:p w14:paraId="1E8601A8" w14:textId="105BBE8B" w:rsidR="00C60EA1" w:rsidRPr="008B009B" w:rsidRDefault="00C60EA1" w:rsidP="00C60EA1">
      <w:pPr>
        <w:spacing w:after="120" w:line="264" w:lineRule="auto"/>
        <w:ind w:firstLine="720"/>
        <w:jc w:val="both"/>
        <w:rPr>
          <w:rFonts w:ascii="Arial" w:hAnsi="Arial" w:cs="Arial"/>
          <w:b/>
          <w:bCs/>
          <w:spacing w:val="-6"/>
          <w:sz w:val="24"/>
          <w:szCs w:val="24"/>
        </w:rPr>
      </w:pPr>
      <w:r w:rsidRPr="008B009B">
        <w:t>In the first 8 months of 2026, the IIP of several key 2-digit activities experienced a year-on-year increase as follows: manufacture of basic metals (+22.4%</w:t>
      </w:r>
      <w:r w:rsidR="009D7EFE">
        <w:t xml:space="preserve"> YoY</w:t>
      </w:r>
      <w:r w:rsidRPr="008B009B">
        <w:t>); manufacture of beverages (+16.4%</w:t>
      </w:r>
      <w:r w:rsidR="009D7EFE">
        <w:t xml:space="preserve"> YoY</w:t>
      </w:r>
      <w:r w:rsidRPr="008B009B">
        <w:t>); manufacture of motor vehicles (+15.9%</w:t>
      </w:r>
      <w:r w:rsidR="009D7EFE">
        <w:t xml:space="preserve"> YoY</w:t>
      </w:r>
      <w:r w:rsidRPr="008B009B">
        <w:t>); manufacture of electrical equipment (+14.6%</w:t>
      </w:r>
      <w:r w:rsidR="009D7EFE">
        <w:t xml:space="preserve"> YoY</w:t>
      </w:r>
      <w:r w:rsidRPr="008B009B">
        <w:t>); manufacture of computer, electronic and optical products (+13.9%</w:t>
      </w:r>
      <w:r w:rsidR="009D7EFE">
        <w:t xml:space="preserve"> YoY</w:t>
      </w:r>
      <w:r w:rsidRPr="008B009B">
        <w:t>); manufacture of furniture (+12.7%</w:t>
      </w:r>
      <w:r w:rsidR="009D7EFE">
        <w:t xml:space="preserve"> YoY</w:t>
      </w:r>
      <w:r w:rsidRPr="008B009B">
        <w:t>); manufacture of other non-metallic mineral products (+12.6%</w:t>
      </w:r>
      <w:r w:rsidR="009D7EFE">
        <w:t xml:space="preserve"> YoY</w:t>
      </w:r>
      <w:r w:rsidRPr="008B009B">
        <w:t>); manufacture of rubber and plastic products (+12.3%</w:t>
      </w:r>
      <w:r w:rsidR="009D7EFE">
        <w:t xml:space="preserve"> YoY</w:t>
      </w:r>
      <w:r w:rsidRPr="008B009B">
        <w:t>); manufacture of wood processing and products made from wood, bamboo and rattan (except furniture), as well as products made from straw and plaiting materials (+12.2%</w:t>
      </w:r>
      <w:r w:rsidR="009D7EFE">
        <w:t xml:space="preserve"> YoY</w:t>
      </w:r>
      <w:r w:rsidRPr="008B009B">
        <w:t>); manufacture of chemicals and chemical products, and extraction of crude petroleum and natural gas both (+11.9%</w:t>
      </w:r>
      <w:r w:rsidR="009D7EFE">
        <w:t xml:space="preserve"> YoY</w:t>
      </w:r>
      <w:r w:rsidRPr="008B009B">
        <w:t>); manufacture of food products (+11.6%</w:t>
      </w:r>
      <w:r w:rsidR="009D7EFE">
        <w:t xml:space="preserve"> YoY</w:t>
      </w:r>
      <w:r w:rsidRPr="008B009B">
        <w:t>). Conversely, the IIP for manufacture of leather and related products saw a low growth of 3.6%, while mining of hard coal and lignite decreased by 1.8%.</w:t>
      </w:r>
    </w:p>
    <w:p w14:paraId="15FA5C15" w14:textId="77777777" w:rsidR="00C60EA1" w:rsidRPr="008B009B" w:rsidRDefault="00C60EA1" w:rsidP="00C60EA1">
      <w:pPr>
        <w:spacing w:after="120" w:line="264" w:lineRule="auto"/>
        <w:jc w:val="center"/>
        <w:rPr>
          <w:rFonts w:ascii="Arial" w:hAnsi="Arial" w:cs="Arial"/>
          <w:b/>
          <w:bCs/>
          <w:spacing w:val="-6"/>
          <w:sz w:val="24"/>
          <w:szCs w:val="24"/>
        </w:rPr>
      </w:pPr>
      <w:r w:rsidRPr="008B009B">
        <w:rPr>
          <w:rFonts w:ascii="Arial" w:hAnsi="Arial" w:cs="Arial"/>
          <w:b/>
          <w:bCs/>
          <w:spacing w:val="-6"/>
          <w:sz w:val="24"/>
          <w:szCs w:val="24"/>
        </w:rPr>
        <w:t xml:space="preserve">Table 1. Year-on-year IIP growth rate for several key industrial activities </w:t>
      </w:r>
    </w:p>
    <w:p w14:paraId="40AB4122" w14:textId="77777777" w:rsidR="00C60EA1" w:rsidRPr="008B009B" w:rsidRDefault="00C60EA1" w:rsidP="00C60EA1">
      <w:pPr>
        <w:spacing w:after="120" w:line="264" w:lineRule="auto"/>
        <w:jc w:val="center"/>
        <w:rPr>
          <w:rFonts w:ascii="Arial" w:hAnsi="Arial" w:cs="Arial"/>
          <w:b/>
          <w:bCs/>
        </w:rPr>
      </w:pPr>
      <w:r w:rsidRPr="008B009B">
        <w:rPr>
          <w:rFonts w:ascii="Arial" w:hAnsi="Arial" w:cs="Arial"/>
          <w:b/>
          <w:bCs/>
          <w:spacing w:val="-6"/>
          <w:sz w:val="24"/>
          <w:szCs w:val="24"/>
        </w:rPr>
        <w:t>in the 8 months of the years 2022 - 2026 (%)</w:t>
      </w:r>
    </w:p>
    <w:tbl>
      <w:tblPr>
        <w:tblW w:w="8890" w:type="dxa"/>
        <w:jc w:val="center"/>
        <w:tblBorders>
          <w:top w:val="single" w:sz="4" w:space="0" w:color="auto"/>
        </w:tblBorders>
        <w:tblLook w:val="04A0" w:firstRow="1" w:lastRow="0" w:firstColumn="1" w:lastColumn="0" w:noHBand="0" w:noVBand="1"/>
      </w:tblPr>
      <w:tblGrid>
        <w:gridCol w:w="4728"/>
        <w:gridCol w:w="831"/>
        <w:gridCol w:w="832"/>
        <w:gridCol w:w="877"/>
        <w:gridCol w:w="790"/>
        <w:gridCol w:w="832"/>
      </w:tblGrid>
      <w:tr w:rsidR="00C60EA1" w:rsidRPr="008B009B" w14:paraId="351E347B" w14:textId="77777777" w:rsidTr="002C32EB">
        <w:trPr>
          <w:trHeight w:val="507"/>
          <w:tblHeader/>
          <w:jc w:val="center"/>
        </w:trPr>
        <w:tc>
          <w:tcPr>
            <w:tcW w:w="4728" w:type="dxa"/>
            <w:tcBorders>
              <w:top w:val="single" w:sz="4" w:space="0" w:color="auto"/>
              <w:left w:val="nil"/>
              <w:bottom w:val="nil"/>
              <w:right w:val="nil"/>
            </w:tcBorders>
            <w:shd w:val="clear" w:color="auto" w:fill="FFFFFF"/>
            <w:hideMark/>
          </w:tcPr>
          <w:p w14:paraId="04EE9557" w14:textId="77777777" w:rsidR="00C60EA1" w:rsidRPr="008B009B" w:rsidRDefault="00C60EA1" w:rsidP="002C32EB">
            <w:pPr>
              <w:jc w:val="center"/>
              <w:rPr>
                <w:rFonts w:ascii="Arial" w:hAnsi="Arial" w:cs="Arial"/>
                <w:b/>
                <w:bCs/>
                <w:sz w:val="20"/>
                <w:szCs w:val="20"/>
              </w:rPr>
            </w:pPr>
            <w:r w:rsidRPr="008B009B">
              <w:rPr>
                <w:b/>
                <w:bCs/>
              </w:rPr>
              <w:t xml:space="preserve">   </w:t>
            </w:r>
            <w:r w:rsidRPr="008B009B">
              <w:rPr>
                <w:rFonts w:ascii="Arial" w:hAnsi="Arial" w:cs="Arial"/>
                <w:b/>
                <w:bCs/>
                <w:sz w:val="20"/>
                <w:szCs w:val="20"/>
              </w:rPr>
              <w:t> </w:t>
            </w:r>
          </w:p>
        </w:tc>
        <w:tc>
          <w:tcPr>
            <w:tcW w:w="831" w:type="dxa"/>
            <w:tcBorders>
              <w:top w:val="single" w:sz="4" w:space="0" w:color="auto"/>
              <w:left w:val="nil"/>
              <w:bottom w:val="single" w:sz="4" w:space="0" w:color="auto"/>
              <w:right w:val="nil"/>
            </w:tcBorders>
            <w:vAlign w:val="center"/>
            <w:hideMark/>
          </w:tcPr>
          <w:p w14:paraId="4FE3D1DE"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2022</w:t>
            </w:r>
          </w:p>
        </w:tc>
        <w:tc>
          <w:tcPr>
            <w:tcW w:w="832" w:type="dxa"/>
            <w:tcBorders>
              <w:top w:val="single" w:sz="4" w:space="0" w:color="auto"/>
              <w:left w:val="nil"/>
              <w:bottom w:val="single" w:sz="4" w:space="0" w:color="auto"/>
              <w:right w:val="nil"/>
            </w:tcBorders>
            <w:vAlign w:val="center"/>
            <w:hideMark/>
          </w:tcPr>
          <w:p w14:paraId="71F71261"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2023</w:t>
            </w:r>
          </w:p>
        </w:tc>
        <w:tc>
          <w:tcPr>
            <w:tcW w:w="877" w:type="dxa"/>
            <w:tcBorders>
              <w:top w:val="single" w:sz="4" w:space="0" w:color="auto"/>
              <w:left w:val="nil"/>
              <w:bottom w:val="single" w:sz="4" w:space="0" w:color="auto"/>
              <w:right w:val="nil"/>
            </w:tcBorders>
            <w:vAlign w:val="center"/>
            <w:hideMark/>
          </w:tcPr>
          <w:p w14:paraId="2E89002F"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2024</w:t>
            </w:r>
          </w:p>
        </w:tc>
        <w:tc>
          <w:tcPr>
            <w:tcW w:w="790" w:type="dxa"/>
            <w:tcBorders>
              <w:top w:val="single" w:sz="4" w:space="0" w:color="auto"/>
              <w:left w:val="nil"/>
              <w:bottom w:val="single" w:sz="4" w:space="0" w:color="auto"/>
              <w:right w:val="nil"/>
            </w:tcBorders>
            <w:vAlign w:val="center"/>
            <w:hideMark/>
          </w:tcPr>
          <w:p w14:paraId="58D8E91C"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2025</w:t>
            </w:r>
          </w:p>
        </w:tc>
        <w:tc>
          <w:tcPr>
            <w:tcW w:w="832" w:type="dxa"/>
            <w:tcBorders>
              <w:top w:val="single" w:sz="4" w:space="0" w:color="auto"/>
              <w:left w:val="nil"/>
              <w:bottom w:val="single" w:sz="4" w:space="0" w:color="auto"/>
              <w:right w:val="nil"/>
            </w:tcBorders>
            <w:vAlign w:val="center"/>
            <w:hideMark/>
          </w:tcPr>
          <w:p w14:paraId="1473AF71"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2026</w:t>
            </w:r>
          </w:p>
        </w:tc>
      </w:tr>
      <w:tr w:rsidR="00C60EA1" w:rsidRPr="008B009B" w14:paraId="4F93C5A2" w14:textId="77777777" w:rsidTr="002C32EB">
        <w:trPr>
          <w:trHeight w:val="272"/>
          <w:jc w:val="center"/>
        </w:trPr>
        <w:tc>
          <w:tcPr>
            <w:tcW w:w="4728" w:type="dxa"/>
            <w:tcBorders>
              <w:top w:val="nil"/>
              <w:left w:val="nil"/>
              <w:bottom w:val="nil"/>
              <w:right w:val="nil"/>
            </w:tcBorders>
            <w:shd w:val="clear" w:color="auto" w:fill="FFFFFF"/>
            <w:noWrap/>
            <w:hideMark/>
          </w:tcPr>
          <w:p w14:paraId="62D00F86" w14:textId="77777777" w:rsidR="00C60EA1" w:rsidRPr="008B009B" w:rsidRDefault="00C60EA1" w:rsidP="002C32EB">
            <w:pPr>
              <w:rPr>
                <w:rFonts w:ascii="Arial" w:hAnsi="Arial" w:cs="Arial"/>
                <w:sz w:val="20"/>
                <w:szCs w:val="20"/>
              </w:rPr>
            </w:pPr>
            <w:r w:rsidRPr="008B009B">
              <w:rPr>
                <w:rFonts w:ascii="Arial" w:hAnsi="Arial" w:cs="Arial"/>
                <w:sz w:val="20"/>
                <w:szCs w:val="20"/>
              </w:rPr>
              <w:t>Mining of hard coal and lignite</w:t>
            </w:r>
          </w:p>
        </w:tc>
        <w:tc>
          <w:tcPr>
            <w:tcW w:w="831" w:type="dxa"/>
            <w:tcBorders>
              <w:top w:val="nil"/>
              <w:left w:val="nil"/>
              <w:bottom w:val="nil"/>
              <w:right w:val="nil"/>
            </w:tcBorders>
            <w:hideMark/>
          </w:tcPr>
          <w:p w14:paraId="62F07466"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6,9</w:t>
            </w:r>
          </w:p>
        </w:tc>
        <w:tc>
          <w:tcPr>
            <w:tcW w:w="832" w:type="dxa"/>
            <w:tcBorders>
              <w:top w:val="nil"/>
              <w:left w:val="nil"/>
              <w:bottom w:val="nil"/>
              <w:right w:val="nil"/>
            </w:tcBorders>
            <w:hideMark/>
          </w:tcPr>
          <w:p w14:paraId="3DAE5C66"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-1,2</w:t>
            </w:r>
          </w:p>
        </w:tc>
        <w:tc>
          <w:tcPr>
            <w:tcW w:w="877" w:type="dxa"/>
            <w:tcBorders>
              <w:top w:val="nil"/>
              <w:left w:val="nil"/>
              <w:bottom w:val="nil"/>
              <w:right w:val="nil"/>
            </w:tcBorders>
            <w:hideMark/>
          </w:tcPr>
          <w:p w14:paraId="651B8BBF"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-3,5</w:t>
            </w:r>
          </w:p>
        </w:tc>
        <w:tc>
          <w:tcPr>
            <w:tcW w:w="790" w:type="dxa"/>
            <w:tcBorders>
              <w:top w:val="nil"/>
              <w:left w:val="nil"/>
              <w:bottom w:val="nil"/>
              <w:right w:val="nil"/>
            </w:tcBorders>
            <w:hideMark/>
          </w:tcPr>
          <w:p w14:paraId="6CCCFE4B"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1,9</w:t>
            </w:r>
          </w:p>
        </w:tc>
        <w:tc>
          <w:tcPr>
            <w:tcW w:w="832" w:type="dxa"/>
            <w:tcBorders>
              <w:top w:val="nil"/>
              <w:left w:val="nil"/>
              <w:bottom w:val="nil"/>
              <w:right w:val="nil"/>
            </w:tcBorders>
            <w:hideMark/>
          </w:tcPr>
          <w:p w14:paraId="0F447045"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-1,8</w:t>
            </w:r>
          </w:p>
        </w:tc>
      </w:tr>
      <w:tr w:rsidR="00C60EA1" w:rsidRPr="008B009B" w14:paraId="6BD30FAA" w14:textId="77777777" w:rsidTr="002C32EB">
        <w:trPr>
          <w:trHeight w:val="272"/>
          <w:jc w:val="center"/>
        </w:trPr>
        <w:tc>
          <w:tcPr>
            <w:tcW w:w="4728" w:type="dxa"/>
            <w:tcBorders>
              <w:top w:val="nil"/>
              <w:left w:val="nil"/>
              <w:bottom w:val="nil"/>
              <w:right w:val="nil"/>
            </w:tcBorders>
            <w:shd w:val="clear" w:color="auto" w:fill="FFFFFF"/>
            <w:noWrap/>
            <w:hideMark/>
          </w:tcPr>
          <w:p w14:paraId="7311A506" w14:textId="77777777" w:rsidR="00C60EA1" w:rsidRPr="008B009B" w:rsidRDefault="00C60EA1" w:rsidP="002C32EB">
            <w:pPr>
              <w:rPr>
                <w:rFonts w:ascii="Arial" w:hAnsi="Arial" w:cs="Arial"/>
                <w:sz w:val="20"/>
                <w:szCs w:val="20"/>
              </w:rPr>
            </w:pPr>
            <w:r w:rsidRPr="008B009B">
              <w:rPr>
                <w:rFonts w:ascii="Arial" w:hAnsi="Arial" w:cs="Arial"/>
                <w:sz w:val="20"/>
                <w:szCs w:val="20"/>
              </w:rPr>
              <w:t>Extraction of crude petroleum and natural gas</w:t>
            </w:r>
          </w:p>
        </w:tc>
        <w:tc>
          <w:tcPr>
            <w:tcW w:w="831" w:type="dxa"/>
            <w:tcBorders>
              <w:top w:val="nil"/>
              <w:left w:val="nil"/>
              <w:bottom w:val="nil"/>
              <w:right w:val="nil"/>
            </w:tcBorders>
            <w:hideMark/>
          </w:tcPr>
          <w:p w14:paraId="06F4DAD5"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-0,6</w:t>
            </w:r>
          </w:p>
        </w:tc>
        <w:tc>
          <w:tcPr>
            <w:tcW w:w="832" w:type="dxa"/>
            <w:tcBorders>
              <w:top w:val="nil"/>
              <w:left w:val="nil"/>
              <w:bottom w:val="nil"/>
              <w:right w:val="nil"/>
            </w:tcBorders>
            <w:hideMark/>
          </w:tcPr>
          <w:p w14:paraId="7A7BD665"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-2,6</w:t>
            </w:r>
          </w:p>
        </w:tc>
        <w:tc>
          <w:tcPr>
            <w:tcW w:w="877" w:type="dxa"/>
            <w:tcBorders>
              <w:top w:val="nil"/>
              <w:left w:val="nil"/>
              <w:bottom w:val="nil"/>
              <w:right w:val="nil"/>
            </w:tcBorders>
            <w:hideMark/>
          </w:tcPr>
          <w:p w14:paraId="7BDCE9A8"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-11,9</w:t>
            </w:r>
          </w:p>
        </w:tc>
        <w:tc>
          <w:tcPr>
            <w:tcW w:w="790" w:type="dxa"/>
            <w:tcBorders>
              <w:top w:val="nil"/>
              <w:left w:val="nil"/>
              <w:bottom w:val="nil"/>
              <w:right w:val="nil"/>
            </w:tcBorders>
            <w:hideMark/>
          </w:tcPr>
          <w:p w14:paraId="64FCD3BB"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-6,8</w:t>
            </w:r>
          </w:p>
        </w:tc>
        <w:tc>
          <w:tcPr>
            <w:tcW w:w="832" w:type="dxa"/>
            <w:tcBorders>
              <w:top w:val="nil"/>
              <w:left w:val="nil"/>
              <w:bottom w:val="nil"/>
              <w:right w:val="nil"/>
            </w:tcBorders>
            <w:hideMark/>
          </w:tcPr>
          <w:p w14:paraId="525396F5"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11,9</w:t>
            </w:r>
          </w:p>
        </w:tc>
      </w:tr>
      <w:tr w:rsidR="00C60EA1" w:rsidRPr="008B009B" w14:paraId="59E7BE2F" w14:textId="77777777" w:rsidTr="002C32EB">
        <w:trPr>
          <w:trHeight w:val="275"/>
          <w:jc w:val="center"/>
        </w:trPr>
        <w:tc>
          <w:tcPr>
            <w:tcW w:w="4728" w:type="dxa"/>
            <w:tcBorders>
              <w:top w:val="nil"/>
              <w:left w:val="nil"/>
              <w:bottom w:val="nil"/>
              <w:right w:val="nil"/>
            </w:tcBorders>
            <w:shd w:val="clear" w:color="auto" w:fill="FFFFFF"/>
            <w:hideMark/>
          </w:tcPr>
          <w:p w14:paraId="1B0CE4B8" w14:textId="77777777" w:rsidR="00C60EA1" w:rsidRPr="008B009B" w:rsidRDefault="00C60EA1" w:rsidP="002C32EB">
            <w:pPr>
              <w:rPr>
                <w:rFonts w:ascii="Arial" w:hAnsi="Arial" w:cs="Arial"/>
                <w:sz w:val="20"/>
                <w:szCs w:val="20"/>
              </w:rPr>
            </w:pPr>
            <w:r w:rsidRPr="008B009B">
              <w:rPr>
                <w:rFonts w:ascii="Arial" w:hAnsi="Arial" w:cs="Arial"/>
                <w:sz w:val="20"/>
                <w:szCs w:val="20"/>
              </w:rPr>
              <w:t>Manufacture of food products</w:t>
            </w:r>
          </w:p>
        </w:tc>
        <w:tc>
          <w:tcPr>
            <w:tcW w:w="831" w:type="dxa"/>
            <w:tcBorders>
              <w:top w:val="nil"/>
              <w:left w:val="nil"/>
              <w:bottom w:val="nil"/>
              <w:right w:val="nil"/>
            </w:tcBorders>
            <w:hideMark/>
          </w:tcPr>
          <w:p w14:paraId="58AF3957"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9,0</w:t>
            </w:r>
          </w:p>
        </w:tc>
        <w:tc>
          <w:tcPr>
            <w:tcW w:w="832" w:type="dxa"/>
            <w:tcBorders>
              <w:top w:val="nil"/>
              <w:left w:val="nil"/>
              <w:bottom w:val="nil"/>
              <w:right w:val="nil"/>
            </w:tcBorders>
            <w:hideMark/>
          </w:tcPr>
          <w:p w14:paraId="553797EB"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4,9</w:t>
            </w:r>
          </w:p>
        </w:tc>
        <w:tc>
          <w:tcPr>
            <w:tcW w:w="877" w:type="dxa"/>
            <w:tcBorders>
              <w:top w:val="nil"/>
              <w:left w:val="nil"/>
              <w:bottom w:val="nil"/>
              <w:right w:val="nil"/>
            </w:tcBorders>
            <w:hideMark/>
          </w:tcPr>
          <w:p w14:paraId="50CBFFFE"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7,3</w:t>
            </w:r>
          </w:p>
        </w:tc>
        <w:tc>
          <w:tcPr>
            <w:tcW w:w="790" w:type="dxa"/>
            <w:tcBorders>
              <w:top w:val="nil"/>
              <w:left w:val="nil"/>
              <w:bottom w:val="nil"/>
              <w:right w:val="nil"/>
            </w:tcBorders>
            <w:hideMark/>
          </w:tcPr>
          <w:p w14:paraId="3D288326"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10,2</w:t>
            </w:r>
          </w:p>
        </w:tc>
        <w:tc>
          <w:tcPr>
            <w:tcW w:w="832" w:type="dxa"/>
            <w:tcBorders>
              <w:top w:val="nil"/>
              <w:left w:val="nil"/>
              <w:bottom w:val="nil"/>
              <w:right w:val="nil"/>
            </w:tcBorders>
            <w:hideMark/>
          </w:tcPr>
          <w:p w14:paraId="563C1468"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11,6</w:t>
            </w:r>
          </w:p>
        </w:tc>
      </w:tr>
      <w:tr w:rsidR="00C60EA1" w:rsidRPr="008B009B" w14:paraId="5882389B" w14:textId="77777777" w:rsidTr="002C32EB">
        <w:trPr>
          <w:trHeight w:val="272"/>
          <w:jc w:val="center"/>
        </w:trPr>
        <w:tc>
          <w:tcPr>
            <w:tcW w:w="4728" w:type="dxa"/>
            <w:tcBorders>
              <w:top w:val="nil"/>
              <w:left w:val="nil"/>
              <w:bottom w:val="nil"/>
              <w:right w:val="nil"/>
            </w:tcBorders>
            <w:shd w:val="clear" w:color="auto" w:fill="FFFFFF"/>
            <w:noWrap/>
            <w:hideMark/>
          </w:tcPr>
          <w:p w14:paraId="2A77FA33" w14:textId="77777777" w:rsidR="00C60EA1" w:rsidRPr="008B009B" w:rsidRDefault="00C60EA1" w:rsidP="002C32EB">
            <w:pPr>
              <w:rPr>
                <w:rFonts w:ascii="Arial" w:hAnsi="Arial" w:cs="Arial"/>
                <w:sz w:val="20"/>
                <w:szCs w:val="20"/>
              </w:rPr>
            </w:pPr>
            <w:r w:rsidRPr="008B009B">
              <w:rPr>
                <w:rFonts w:ascii="Arial" w:hAnsi="Arial" w:cs="Arial"/>
                <w:sz w:val="20"/>
                <w:szCs w:val="20"/>
              </w:rPr>
              <w:t>Manufacture of beverages</w:t>
            </w:r>
          </w:p>
        </w:tc>
        <w:tc>
          <w:tcPr>
            <w:tcW w:w="831" w:type="dxa"/>
            <w:tcBorders>
              <w:top w:val="nil"/>
              <w:left w:val="nil"/>
              <w:bottom w:val="nil"/>
              <w:right w:val="nil"/>
            </w:tcBorders>
            <w:hideMark/>
          </w:tcPr>
          <w:p w14:paraId="57C64A4C"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27,3</w:t>
            </w:r>
          </w:p>
        </w:tc>
        <w:tc>
          <w:tcPr>
            <w:tcW w:w="832" w:type="dxa"/>
            <w:tcBorders>
              <w:top w:val="nil"/>
              <w:left w:val="nil"/>
              <w:bottom w:val="nil"/>
              <w:right w:val="nil"/>
            </w:tcBorders>
            <w:hideMark/>
          </w:tcPr>
          <w:p w14:paraId="6D1D224B"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4,0</w:t>
            </w:r>
          </w:p>
        </w:tc>
        <w:tc>
          <w:tcPr>
            <w:tcW w:w="877" w:type="dxa"/>
            <w:tcBorders>
              <w:top w:val="nil"/>
              <w:left w:val="nil"/>
              <w:bottom w:val="nil"/>
              <w:right w:val="nil"/>
            </w:tcBorders>
            <w:hideMark/>
          </w:tcPr>
          <w:p w14:paraId="11B98B8A"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0,2</w:t>
            </w:r>
          </w:p>
        </w:tc>
        <w:tc>
          <w:tcPr>
            <w:tcW w:w="790" w:type="dxa"/>
            <w:tcBorders>
              <w:top w:val="nil"/>
              <w:left w:val="nil"/>
              <w:bottom w:val="nil"/>
              <w:right w:val="nil"/>
            </w:tcBorders>
            <w:hideMark/>
          </w:tcPr>
          <w:p w14:paraId="162ADD04"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2,7</w:t>
            </w:r>
          </w:p>
        </w:tc>
        <w:tc>
          <w:tcPr>
            <w:tcW w:w="832" w:type="dxa"/>
            <w:tcBorders>
              <w:top w:val="nil"/>
              <w:left w:val="nil"/>
              <w:bottom w:val="nil"/>
              <w:right w:val="nil"/>
            </w:tcBorders>
            <w:hideMark/>
          </w:tcPr>
          <w:p w14:paraId="056D988E"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16,4</w:t>
            </w:r>
          </w:p>
        </w:tc>
      </w:tr>
      <w:tr w:rsidR="00C60EA1" w:rsidRPr="008B009B" w14:paraId="14E84A08" w14:textId="77777777" w:rsidTr="002C32EB">
        <w:trPr>
          <w:trHeight w:val="272"/>
          <w:jc w:val="center"/>
        </w:trPr>
        <w:tc>
          <w:tcPr>
            <w:tcW w:w="4728" w:type="dxa"/>
            <w:tcBorders>
              <w:top w:val="nil"/>
              <w:left w:val="nil"/>
              <w:bottom w:val="nil"/>
              <w:right w:val="nil"/>
            </w:tcBorders>
            <w:shd w:val="clear" w:color="auto" w:fill="FFFFFF"/>
            <w:noWrap/>
            <w:hideMark/>
          </w:tcPr>
          <w:p w14:paraId="16C274EB" w14:textId="77777777" w:rsidR="00C60EA1" w:rsidRPr="008B009B" w:rsidRDefault="00C60EA1" w:rsidP="002C32EB">
            <w:pPr>
              <w:rPr>
                <w:rFonts w:ascii="Arial" w:hAnsi="Arial" w:cs="Arial"/>
                <w:sz w:val="20"/>
                <w:szCs w:val="20"/>
              </w:rPr>
            </w:pPr>
            <w:r w:rsidRPr="008B009B">
              <w:rPr>
                <w:rFonts w:ascii="Arial" w:hAnsi="Arial" w:cs="Arial"/>
                <w:sz w:val="20"/>
                <w:szCs w:val="20"/>
              </w:rPr>
              <w:t>Manufacture of leather and related products</w:t>
            </w:r>
          </w:p>
        </w:tc>
        <w:tc>
          <w:tcPr>
            <w:tcW w:w="831" w:type="dxa"/>
            <w:tcBorders>
              <w:top w:val="nil"/>
              <w:left w:val="nil"/>
              <w:bottom w:val="nil"/>
              <w:right w:val="nil"/>
            </w:tcBorders>
            <w:hideMark/>
          </w:tcPr>
          <w:p w14:paraId="3D0C1059"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18,0</w:t>
            </w:r>
          </w:p>
        </w:tc>
        <w:tc>
          <w:tcPr>
            <w:tcW w:w="832" w:type="dxa"/>
            <w:tcBorders>
              <w:top w:val="nil"/>
              <w:left w:val="nil"/>
              <w:bottom w:val="nil"/>
              <w:right w:val="nil"/>
            </w:tcBorders>
            <w:hideMark/>
          </w:tcPr>
          <w:p w14:paraId="12DBE9EC"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-2,4</w:t>
            </w:r>
          </w:p>
        </w:tc>
        <w:tc>
          <w:tcPr>
            <w:tcW w:w="877" w:type="dxa"/>
            <w:tcBorders>
              <w:top w:val="nil"/>
              <w:left w:val="nil"/>
              <w:bottom w:val="nil"/>
              <w:right w:val="nil"/>
            </w:tcBorders>
            <w:hideMark/>
          </w:tcPr>
          <w:p w14:paraId="19A9B012"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10,8</w:t>
            </w:r>
          </w:p>
        </w:tc>
        <w:tc>
          <w:tcPr>
            <w:tcW w:w="790" w:type="dxa"/>
            <w:tcBorders>
              <w:top w:val="nil"/>
              <w:left w:val="nil"/>
              <w:bottom w:val="nil"/>
              <w:right w:val="nil"/>
            </w:tcBorders>
            <w:hideMark/>
          </w:tcPr>
          <w:p w14:paraId="1DD451E5"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13,1</w:t>
            </w:r>
          </w:p>
        </w:tc>
        <w:tc>
          <w:tcPr>
            <w:tcW w:w="832" w:type="dxa"/>
            <w:tcBorders>
              <w:top w:val="nil"/>
              <w:left w:val="nil"/>
              <w:bottom w:val="nil"/>
              <w:right w:val="nil"/>
            </w:tcBorders>
            <w:hideMark/>
          </w:tcPr>
          <w:p w14:paraId="7556903C"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3,6</w:t>
            </w:r>
          </w:p>
        </w:tc>
      </w:tr>
      <w:tr w:rsidR="00C60EA1" w:rsidRPr="008B009B" w14:paraId="2CFB46CB" w14:textId="77777777" w:rsidTr="002C32EB">
        <w:trPr>
          <w:trHeight w:val="272"/>
          <w:jc w:val="center"/>
        </w:trPr>
        <w:tc>
          <w:tcPr>
            <w:tcW w:w="4728" w:type="dxa"/>
            <w:tcBorders>
              <w:top w:val="nil"/>
              <w:left w:val="nil"/>
              <w:bottom w:val="nil"/>
              <w:right w:val="nil"/>
            </w:tcBorders>
            <w:shd w:val="clear" w:color="auto" w:fill="FFFFFF"/>
            <w:noWrap/>
            <w:hideMark/>
          </w:tcPr>
          <w:p w14:paraId="2E6CCEAD" w14:textId="77777777" w:rsidR="00C60EA1" w:rsidRPr="008B009B" w:rsidRDefault="00C60EA1" w:rsidP="002C32EB">
            <w:pPr>
              <w:rPr>
                <w:rFonts w:ascii="Arial" w:hAnsi="Arial" w:cs="Arial"/>
                <w:sz w:val="20"/>
                <w:szCs w:val="20"/>
              </w:rPr>
            </w:pPr>
            <w:r w:rsidRPr="008B009B">
              <w:rPr>
                <w:rFonts w:ascii="Arial" w:hAnsi="Arial" w:cs="Arial"/>
                <w:sz w:val="20"/>
                <w:szCs w:val="20"/>
              </w:rPr>
              <w:t>Manufacture of wood processing and products made from wood, bamboo and rattan (except furniture), as well as products made from straw and plaiting materials</w:t>
            </w:r>
          </w:p>
        </w:tc>
        <w:tc>
          <w:tcPr>
            <w:tcW w:w="831" w:type="dxa"/>
            <w:tcBorders>
              <w:top w:val="nil"/>
              <w:left w:val="nil"/>
              <w:bottom w:val="nil"/>
              <w:right w:val="nil"/>
            </w:tcBorders>
            <w:hideMark/>
          </w:tcPr>
          <w:p w14:paraId="1F419E6A"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13,5</w:t>
            </w:r>
          </w:p>
        </w:tc>
        <w:tc>
          <w:tcPr>
            <w:tcW w:w="832" w:type="dxa"/>
            <w:tcBorders>
              <w:top w:val="nil"/>
              <w:left w:val="nil"/>
              <w:bottom w:val="nil"/>
              <w:right w:val="nil"/>
            </w:tcBorders>
            <w:hideMark/>
          </w:tcPr>
          <w:p w14:paraId="3366FAA3"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-4,6</w:t>
            </w:r>
          </w:p>
        </w:tc>
        <w:tc>
          <w:tcPr>
            <w:tcW w:w="877" w:type="dxa"/>
            <w:tcBorders>
              <w:top w:val="nil"/>
              <w:left w:val="nil"/>
              <w:bottom w:val="nil"/>
              <w:right w:val="nil"/>
            </w:tcBorders>
            <w:hideMark/>
          </w:tcPr>
          <w:p w14:paraId="10AA068D"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9,8</w:t>
            </w:r>
          </w:p>
        </w:tc>
        <w:tc>
          <w:tcPr>
            <w:tcW w:w="790" w:type="dxa"/>
            <w:tcBorders>
              <w:top w:val="nil"/>
              <w:left w:val="nil"/>
              <w:bottom w:val="nil"/>
              <w:right w:val="nil"/>
            </w:tcBorders>
            <w:hideMark/>
          </w:tcPr>
          <w:p w14:paraId="65C9FFB3"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9,7</w:t>
            </w:r>
          </w:p>
        </w:tc>
        <w:tc>
          <w:tcPr>
            <w:tcW w:w="832" w:type="dxa"/>
            <w:tcBorders>
              <w:top w:val="nil"/>
              <w:left w:val="nil"/>
              <w:bottom w:val="nil"/>
              <w:right w:val="nil"/>
            </w:tcBorders>
            <w:hideMark/>
          </w:tcPr>
          <w:p w14:paraId="116363E0"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12,2</w:t>
            </w:r>
          </w:p>
        </w:tc>
      </w:tr>
      <w:tr w:rsidR="00C60EA1" w:rsidRPr="008B009B" w14:paraId="2CD4055C" w14:textId="77777777" w:rsidTr="002C32EB">
        <w:trPr>
          <w:trHeight w:val="272"/>
          <w:jc w:val="center"/>
        </w:trPr>
        <w:tc>
          <w:tcPr>
            <w:tcW w:w="4728" w:type="dxa"/>
            <w:tcBorders>
              <w:top w:val="nil"/>
              <w:left w:val="nil"/>
              <w:bottom w:val="nil"/>
              <w:right w:val="nil"/>
            </w:tcBorders>
            <w:shd w:val="clear" w:color="auto" w:fill="FFFFFF"/>
            <w:noWrap/>
            <w:hideMark/>
          </w:tcPr>
          <w:p w14:paraId="3ED798FC" w14:textId="77777777" w:rsidR="00C60EA1" w:rsidRPr="008B009B" w:rsidRDefault="00C60EA1" w:rsidP="002C32EB">
            <w:pPr>
              <w:rPr>
                <w:rFonts w:ascii="Arial" w:hAnsi="Arial" w:cs="Arial"/>
                <w:sz w:val="20"/>
                <w:szCs w:val="20"/>
              </w:rPr>
            </w:pPr>
            <w:r w:rsidRPr="008B009B">
              <w:rPr>
                <w:rFonts w:ascii="Arial" w:hAnsi="Arial" w:cs="Arial"/>
                <w:sz w:val="20"/>
                <w:szCs w:val="20"/>
              </w:rPr>
              <w:lastRenderedPageBreak/>
              <w:t>Manufacture of chemicals and chemical products</w:t>
            </w:r>
          </w:p>
        </w:tc>
        <w:tc>
          <w:tcPr>
            <w:tcW w:w="831" w:type="dxa"/>
            <w:tcBorders>
              <w:top w:val="nil"/>
              <w:left w:val="nil"/>
              <w:bottom w:val="nil"/>
              <w:right w:val="nil"/>
            </w:tcBorders>
            <w:hideMark/>
          </w:tcPr>
          <w:p w14:paraId="7014E112"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4,8</w:t>
            </w:r>
          </w:p>
        </w:tc>
        <w:tc>
          <w:tcPr>
            <w:tcW w:w="832" w:type="dxa"/>
            <w:tcBorders>
              <w:top w:val="nil"/>
              <w:left w:val="nil"/>
              <w:bottom w:val="nil"/>
              <w:right w:val="nil"/>
            </w:tcBorders>
            <w:hideMark/>
          </w:tcPr>
          <w:p w14:paraId="6C0B7476"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5,2</w:t>
            </w:r>
          </w:p>
        </w:tc>
        <w:tc>
          <w:tcPr>
            <w:tcW w:w="877" w:type="dxa"/>
            <w:tcBorders>
              <w:top w:val="nil"/>
              <w:left w:val="nil"/>
              <w:bottom w:val="nil"/>
              <w:right w:val="nil"/>
            </w:tcBorders>
            <w:hideMark/>
          </w:tcPr>
          <w:p w14:paraId="0E7FB5B3"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16,5</w:t>
            </w:r>
          </w:p>
        </w:tc>
        <w:tc>
          <w:tcPr>
            <w:tcW w:w="790" w:type="dxa"/>
            <w:tcBorders>
              <w:top w:val="nil"/>
              <w:left w:val="nil"/>
              <w:bottom w:val="nil"/>
              <w:right w:val="nil"/>
            </w:tcBorders>
            <w:hideMark/>
          </w:tcPr>
          <w:p w14:paraId="546A5DFB"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7,3</w:t>
            </w:r>
          </w:p>
        </w:tc>
        <w:tc>
          <w:tcPr>
            <w:tcW w:w="832" w:type="dxa"/>
            <w:tcBorders>
              <w:top w:val="nil"/>
              <w:left w:val="nil"/>
              <w:bottom w:val="nil"/>
              <w:right w:val="nil"/>
            </w:tcBorders>
            <w:hideMark/>
          </w:tcPr>
          <w:p w14:paraId="0FA44ABE"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11,9</w:t>
            </w:r>
          </w:p>
        </w:tc>
      </w:tr>
      <w:tr w:rsidR="00C60EA1" w:rsidRPr="008B009B" w14:paraId="7256755C" w14:textId="77777777" w:rsidTr="002C32EB">
        <w:trPr>
          <w:trHeight w:val="272"/>
          <w:jc w:val="center"/>
        </w:trPr>
        <w:tc>
          <w:tcPr>
            <w:tcW w:w="4728" w:type="dxa"/>
            <w:tcBorders>
              <w:top w:val="nil"/>
              <w:left w:val="nil"/>
              <w:bottom w:val="nil"/>
              <w:right w:val="nil"/>
            </w:tcBorders>
            <w:shd w:val="clear" w:color="auto" w:fill="FFFFFF"/>
            <w:noWrap/>
            <w:hideMark/>
          </w:tcPr>
          <w:p w14:paraId="5CDE65F3" w14:textId="77777777" w:rsidR="00C60EA1" w:rsidRPr="008B009B" w:rsidRDefault="00C60EA1" w:rsidP="002C32EB">
            <w:pPr>
              <w:rPr>
                <w:rFonts w:ascii="Arial" w:hAnsi="Arial" w:cs="Arial"/>
                <w:sz w:val="20"/>
                <w:szCs w:val="20"/>
              </w:rPr>
            </w:pPr>
            <w:r w:rsidRPr="008B009B">
              <w:rPr>
                <w:rFonts w:ascii="Arial" w:hAnsi="Arial" w:cs="Arial"/>
                <w:sz w:val="20"/>
                <w:szCs w:val="20"/>
              </w:rPr>
              <w:t>Manufacture of rubber and plastic products</w:t>
            </w:r>
          </w:p>
        </w:tc>
        <w:tc>
          <w:tcPr>
            <w:tcW w:w="831" w:type="dxa"/>
            <w:tcBorders>
              <w:top w:val="nil"/>
              <w:left w:val="nil"/>
              <w:bottom w:val="nil"/>
              <w:right w:val="nil"/>
            </w:tcBorders>
            <w:hideMark/>
          </w:tcPr>
          <w:p w14:paraId="5AF9F8B6"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-6,6</w:t>
            </w:r>
          </w:p>
        </w:tc>
        <w:tc>
          <w:tcPr>
            <w:tcW w:w="832" w:type="dxa"/>
            <w:tcBorders>
              <w:top w:val="nil"/>
              <w:left w:val="nil"/>
              <w:bottom w:val="nil"/>
              <w:right w:val="nil"/>
            </w:tcBorders>
            <w:hideMark/>
          </w:tcPr>
          <w:p w14:paraId="42C74B5D"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8,5</w:t>
            </w:r>
          </w:p>
        </w:tc>
        <w:tc>
          <w:tcPr>
            <w:tcW w:w="877" w:type="dxa"/>
            <w:tcBorders>
              <w:top w:val="nil"/>
              <w:left w:val="nil"/>
              <w:bottom w:val="nil"/>
              <w:right w:val="nil"/>
            </w:tcBorders>
            <w:hideMark/>
          </w:tcPr>
          <w:p w14:paraId="72A3022D"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29,3</w:t>
            </w:r>
          </w:p>
        </w:tc>
        <w:tc>
          <w:tcPr>
            <w:tcW w:w="790" w:type="dxa"/>
            <w:tcBorders>
              <w:top w:val="nil"/>
              <w:left w:val="nil"/>
              <w:bottom w:val="nil"/>
              <w:right w:val="nil"/>
            </w:tcBorders>
            <w:hideMark/>
          </w:tcPr>
          <w:p w14:paraId="72977EEB"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17,0</w:t>
            </w:r>
          </w:p>
        </w:tc>
        <w:tc>
          <w:tcPr>
            <w:tcW w:w="832" w:type="dxa"/>
            <w:tcBorders>
              <w:top w:val="nil"/>
              <w:left w:val="nil"/>
              <w:bottom w:val="nil"/>
              <w:right w:val="nil"/>
            </w:tcBorders>
            <w:hideMark/>
          </w:tcPr>
          <w:p w14:paraId="38ECDFE7"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12,3</w:t>
            </w:r>
          </w:p>
        </w:tc>
      </w:tr>
      <w:tr w:rsidR="00C60EA1" w:rsidRPr="008B009B" w14:paraId="357BABD2" w14:textId="77777777" w:rsidTr="002C32EB">
        <w:trPr>
          <w:trHeight w:val="272"/>
          <w:jc w:val="center"/>
        </w:trPr>
        <w:tc>
          <w:tcPr>
            <w:tcW w:w="4728" w:type="dxa"/>
            <w:tcBorders>
              <w:top w:val="nil"/>
              <w:left w:val="nil"/>
              <w:bottom w:val="nil"/>
              <w:right w:val="nil"/>
            </w:tcBorders>
            <w:shd w:val="clear" w:color="auto" w:fill="FFFFFF"/>
            <w:noWrap/>
            <w:hideMark/>
          </w:tcPr>
          <w:p w14:paraId="79E13F75" w14:textId="77777777" w:rsidR="00C60EA1" w:rsidRPr="008B009B" w:rsidRDefault="00C60EA1" w:rsidP="002C32EB">
            <w:pPr>
              <w:rPr>
                <w:rFonts w:ascii="Arial" w:hAnsi="Arial" w:cs="Arial"/>
                <w:sz w:val="20"/>
                <w:szCs w:val="20"/>
              </w:rPr>
            </w:pPr>
            <w:r w:rsidRPr="008B009B">
              <w:rPr>
                <w:rFonts w:ascii="Arial" w:hAnsi="Arial" w:cs="Arial"/>
                <w:sz w:val="20"/>
                <w:szCs w:val="20"/>
              </w:rPr>
              <w:t>Manufacture of other non-metallic mineral products</w:t>
            </w:r>
          </w:p>
        </w:tc>
        <w:tc>
          <w:tcPr>
            <w:tcW w:w="831" w:type="dxa"/>
            <w:tcBorders>
              <w:top w:val="nil"/>
              <w:left w:val="nil"/>
              <w:bottom w:val="nil"/>
              <w:right w:val="nil"/>
            </w:tcBorders>
            <w:hideMark/>
          </w:tcPr>
          <w:p w14:paraId="514C6137"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7,2</w:t>
            </w:r>
          </w:p>
        </w:tc>
        <w:tc>
          <w:tcPr>
            <w:tcW w:w="832" w:type="dxa"/>
            <w:tcBorders>
              <w:top w:val="nil"/>
              <w:left w:val="nil"/>
              <w:bottom w:val="nil"/>
              <w:right w:val="nil"/>
            </w:tcBorders>
            <w:hideMark/>
          </w:tcPr>
          <w:p w14:paraId="7A3A629A"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-4,3</w:t>
            </w:r>
          </w:p>
        </w:tc>
        <w:tc>
          <w:tcPr>
            <w:tcW w:w="877" w:type="dxa"/>
            <w:tcBorders>
              <w:top w:val="nil"/>
              <w:left w:val="nil"/>
              <w:bottom w:val="nil"/>
              <w:right w:val="nil"/>
            </w:tcBorders>
            <w:hideMark/>
          </w:tcPr>
          <w:p w14:paraId="2CE5B62B"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-1,0</w:t>
            </w:r>
          </w:p>
        </w:tc>
        <w:tc>
          <w:tcPr>
            <w:tcW w:w="790" w:type="dxa"/>
            <w:tcBorders>
              <w:top w:val="nil"/>
              <w:left w:val="nil"/>
              <w:bottom w:val="nil"/>
              <w:right w:val="nil"/>
            </w:tcBorders>
            <w:hideMark/>
          </w:tcPr>
          <w:p w14:paraId="038A4BCB"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14,7</w:t>
            </w:r>
          </w:p>
        </w:tc>
        <w:tc>
          <w:tcPr>
            <w:tcW w:w="832" w:type="dxa"/>
            <w:tcBorders>
              <w:top w:val="nil"/>
              <w:left w:val="nil"/>
              <w:bottom w:val="nil"/>
              <w:right w:val="nil"/>
            </w:tcBorders>
            <w:hideMark/>
          </w:tcPr>
          <w:p w14:paraId="6B8A58C0"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12,6</w:t>
            </w:r>
          </w:p>
        </w:tc>
      </w:tr>
      <w:tr w:rsidR="00C60EA1" w:rsidRPr="008B009B" w14:paraId="044A6722" w14:textId="77777777" w:rsidTr="002C32EB">
        <w:trPr>
          <w:trHeight w:val="272"/>
          <w:jc w:val="center"/>
        </w:trPr>
        <w:tc>
          <w:tcPr>
            <w:tcW w:w="4728" w:type="dxa"/>
            <w:tcBorders>
              <w:top w:val="nil"/>
              <w:left w:val="nil"/>
              <w:bottom w:val="nil"/>
              <w:right w:val="nil"/>
            </w:tcBorders>
            <w:shd w:val="clear" w:color="auto" w:fill="FFFFFF"/>
            <w:noWrap/>
            <w:hideMark/>
          </w:tcPr>
          <w:p w14:paraId="647B6AAF" w14:textId="77777777" w:rsidR="00C60EA1" w:rsidRPr="008B009B" w:rsidRDefault="00C60EA1" w:rsidP="002C32EB">
            <w:pPr>
              <w:rPr>
                <w:rFonts w:ascii="Arial" w:hAnsi="Arial" w:cs="Arial"/>
                <w:sz w:val="20"/>
                <w:szCs w:val="20"/>
              </w:rPr>
            </w:pPr>
            <w:r w:rsidRPr="008B009B">
              <w:rPr>
                <w:rFonts w:ascii="Arial" w:hAnsi="Arial" w:cs="Arial"/>
                <w:sz w:val="20"/>
                <w:szCs w:val="20"/>
              </w:rPr>
              <w:t>Manufacture of basic metals</w:t>
            </w:r>
          </w:p>
        </w:tc>
        <w:tc>
          <w:tcPr>
            <w:tcW w:w="831" w:type="dxa"/>
            <w:tcBorders>
              <w:top w:val="nil"/>
              <w:left w:val="nil"/>
              <w:bottom w:val="nil"/>
              <w:right w:val="nil"/>
            </w:tcBorders>
            <w:hideMark/>
          </w:tcPr>
          <w:p w14:paraId="6DB89BC8"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-1,2</w:t>
            </w:r>
          </w:p>
        </w:tc>
        <w:tc>
          <w:tcPr>
            <w:tcW w:w="832" w:type="dxa"/>
            <w:tcBorders>
              <w:top w:val="nil"/>
              <w:left w:val="nil"/>
              <w:bottom w:val="nil"/>
              <w:right w:val="nil"/>
            </w:tcBorders>
            <w:hideMark/>
          </w:tcPr>
          <w:p w14:paraId="5E3D2A2F"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0,6</w:t>
            </w:r>
          </w:p>
        </w:tc>
        <w:tc>
          <w:tcPr>
            <w:tcW w:w="877" w:type="dxa"/>
            <w:tcBorders>
              <w:top w:val="nil"/>
              <w:left w:val="nil"/>
              <w:bottom w:val="nil"/>
              <w:right w:val="nil"/>
            </w:tcBorders>
            <w:hideMark/>
          </w:tcPr>
          <w:p w14:paraId="6B8847E1"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12,3</w:t>
            </w:r>
          </w:p>
        </w:tc>
        <w:tc>
          <w:tcPr>
            <w:tcW w:w="790" w:type="dxa"/>
            <w:tcBorders>
              <w:top w:val="nil"/>
              <w:left w:val="nil"/>
              <w:bottom w:val="nil"/>
              <w:right w:val="nil"/>
            </w:tcBorders>
            <w:hideMark/>
          </w:tcPr>
          <w:p w14:paraId="663A77C6"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10,5</w:t>
            </w:r>
          </w:p>
        </w:tc>
        <w:tc>
          <w:tcPr>
            <w:tcW w:w="832" w:type="dxa"/>
            <w:tcBorders>
              <w:top w:val="nil"/>
              <w:left w:val="nil"/>
              <w:bottom w:val="nil"/>
              <w:right w:val="nil"/>
            </w:tcBorders>
            <w:hideMark/>
          </w:tcPr>
          <w:p w14:paraId="6C11DCA4"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22,4</w:t>
            </w:r>
          </w:p>
        </w:tc>
      </w:tr>
      <w:tr w:rsidR="00C60EA1" w:rsidRPr="008B009B" w14:paraId="1C7FA56C" w14:textId="77777777" w:rsidTr="002C32EB">
        <w:trPr>
          <w:trHeight w:val="272"/>
          <w:jc w:val="center"/>
        </w:trPr>
        <w:tc>
          <w:tcPr>
            <w:tcW w:w="4728" w:type="dxa"/>
            <w:tcBorders>
              <w:top w:val="nil"/>
              <w:left w:val="nil"/>
              <w:bottom w:val="nil"/>
              <w:right w:val="nil"/>
            </w:tcBorders>
            <w:shd w:val="clear" w:color="auto" w:fill="FFFFFF"/>
            <w:noWrap/>
            <w:hideMark/>
          </w:tcPr>
          <w:p w14:paraId="35633807" w14:textId="77777777" w:rsidR="00C60EA1" w:rsidRPr="008B009B" w:rsidRDefault="00C60EA1" w:rsidP="002C32EB">
            <w:pPr>
              <w:rPr>
                <w:rFonts w:ascii="Arial" w:hAnsi="Arial" w:cs="Arial"/>
                <w:sz w:val="20"/>
                <w:szCs w:val="20"/>
              </w:rPr>
            </w:pPr>
            <w:r w:rsidRPr="008B009B">
              <w:rPr>
                <w:rFonts w:ascii="Arial" w:hAnsi="Arial" w:cs="Arial"/>
                <w:sz w:val="20"/>
                <w:szCs w:val="20"/>
              </w:rPr>
              <w:t>Manufacture of computer, electronic and optical products</w:t>
            </w:r>
          </w:p>
        </w:tc>
        <w:tc>
          <w:tcPr>
            <w:tcW w:w="831" w:type="dxa"/>
            <w:tcBorders>
              <w:top w:val="nil"/>
              <w:left w:val="nil"/>
              <w:bottom w:val="nil"/>
              <w:right w:val="nil"/>
            </w:tcBorders>
            <w:hideMark/>
          </w:tcPr>
          <w:p w14:paraId="3A69329E"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11,0</w:t>
            </w:r>
          </w:p>
        </w:tc>
        <w:tc>
          <w:tcPr>
            <w:tcW w:w="832" w:type="dxa"/>
            <w:tcBorders>
              <w:top w:val="nil"/>
              <w:left w:val="nil"/>
              <w:bottom w:val="nil"/>
              <w:right w:val="nil"/>
            </w:tcBorders>
            <w:hideMark/>
          </w:tcPr>
          <w:p w14:paraId="70C7BB93"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-3,2</w:t>
            </w:r>
          </w:p>
        </w:tc>
        <w:tc>
          <w:tcPr>
            <w:tcW w:w="877" w:type="dxa"/>
            <w:tcBorders>
              <w:top w:val="nil"/>
              <w:left w:val="nil"/>
              <w:bottom w:val="nil"/>
              <w:right w:val="nil"/>
            </w:tcBorders>
            <w:hideMark/>
          </w:tcPr>
          <w:p w14:paraId="3973F0FC"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9,5</w:t>
            </w:r>
          </w:p>
        </w:tc>
        <w:tc>
          <w:tcPr>
            <w:tcW w:w="790" w:type="dxa"/>
            <w:tcBorders>
              <w:top w:val="nil"/>
              <w:left w:val="nil"/>
              <w:bottom w:val="nil"/>
              <w:right w:val="nil"/>
            </w:tcBorders>
            <w:hideMark/>
          </w:tcPr>
          <w:p w14:paraId="2FF0D3AE"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8,0</w:t>
            </w:r>
          </w:p>
        </w:tc>
        <w:tc>
          <w:tcPr>
            <w:tcW w:w="832" w:type="dxa"/>
            <w:tcBorders>
              <w:top w:val="nil"/>
              <w:left w:val="nil"/>
              <w:bottom w:val="nil"/>
              <w:right w:val="nil"/>
            </w:tcBorders>
            <w:hideMark/>
          </w:tcPr>
          <w:p w14:paraId="44F595C6"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13,9</w:t>
            </w:r>
          </w:p>
        </w:tc>
      </w:tr>
      <w:tr w:rsidR="00C60EA1" w:rsidRPr="008B009B" w14:paraId="43E3DE19" w14:textId="77777777" w:rsidTr="002C32EB">
        <w:trPr>
          <w:trHeight w:val="272"/>
          <w:jc w:val="center"/>
        </w:trPr>
        <w:tc>
          <w:tcPr>
            <w:tcW w:w="4728" w:type="dxa"/>
            <w:tcBorders>
              <w:top w:val="nil"/>
              <w:left w:val="nil"/>
              <w:bottom w:val="nil"/>
              <w:right w:val="nil"/>
            </w:tcBorders>
            <w:shd w:val="clear" w:color="auto" w:fill="FFFFFF"/>
            <w:noWrap/>
            <w:hideMark/>
          </w:tcPr>
          <w:p w14:paraId="67F9E790" w14:textId="77777777" w:rsidR="00C60EA1" w:rsidRPr="008B009B" w:rsidRDefault="00C60EA1" w:rsidP="002C32EB">
            <w:pPr>
              <w:rPr>
                <w:rFonts w:ascii="Arial" w:hAnsi="Arial" w:cs="Arial"/>
                <w:sz w:val="20"/>
                <w:szCs w:val="20"/>
              </w:rPr>
            </w:pPr>
            <w:r w:rsidRPr="008B009B">
              <w:rPr>
                <w:rFonts w:ascii="Arial" w:hAnsi="Arial" w:cs="Arial"/>
                <w:sz w:val="20"/>
                <w:szCs w:val="20"/>
              </w:rPr>
              <w:t>Manufacture of electrical equipment</w:t>
            </w:r>
          </w:p>
        </w:tc>
        <w:tc>
          <w:tcPr>
            <w:tcW w:w="831" w:type="dxa"/>
            <w:tcBorders>
              <w:top w:val="nil"/>
              <w:left w:val="nil"/>
              <w:bottom w:val="nil"/>
              <w:right w:val="nil"/>
            </w:tcBorders>
            <w:hideMark/>
          </w:tcPr>
          <w:p w14:paraId="79357C84"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16,9</w:t>
            </w:r>
          </w:p>
        </w:tc>
        <w:tc>
          <w:tcPr>
            <w:tcW w:w="832" w:type="dxa"/>
            <w:tcBorders>
              <w:top w:val="nil"/>
              <w:left w:val="nil"/>
              <w:bottom w:val="nil"/>
              <w:right w:val="nil"/>
            </w:tcBorders>
            <w:hideMark/>
          </w:tcPr>
          <w:p w14:paraId="13F6C1CD"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2,1</w:t>
            </w:r>
          </w:p>
        </w:tc>
        <w:tc>
          <w:tcPr>
            <w:tcW w:w="877" w:type="dxa"/>
            <w:tcBorders>
              <w:top w:val="nil"/>
              <w:left w:val="nil"/>
              <w:bottom w:val="nil"/>
              <w:right w:val="nil"/>
            </w:tcBorders>
            <w:hideMark/>
          </w:tcPr>
          <w:p w14:paraId="7C759409"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10,5</w:t>
            </w:r>
          </w:p>
        </w:tc>
        <w:tc>
          <w:tcPr>
            <w:tcW w:w="790" w:type="dxa"/>
            <w:tcBorders>
              <w:top w:val="nil"/>
              <w:left w:val="nil"/>
              <w:bottom w:val="nil"/>
              <w:right w:val="nil"/>
            </w:tcBorders>
            <w:hideMark/>
          </w:tcPr>
          <w:p w14:paraId="45BD10CF"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5,1</w:t>
            </w:r>
          </w:p>
        </w:tc>
        <w:tc>
          <w:tcPr>
            <w:tcW w:w="832" w:type="dxa"/>
            <w:tcBorders>
              <w:top w:val="nil"/>
              <w:left w:val="nil"/>
              <w:bottom w:val="nil"/>
              <w:right w:val="nil"/>
            </w:tcBorders>
            <w:hideMark/>
          </w:tcPr>
          <w:p w14:paraId="013AB2A4"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14,6</w:t>
            </w:r>
          </w:p>
        </w:tc>
      </w:tr>
      <w:tr w:rsidR="00C60EA1" w:rsidRPr="008B009B" w14:paraId="1EA65CC6" w14:textId="77777777" w:rsidTr="002C32EB">
        <w:trPr>
          <w:trHeight w:val="272"/>
          <w:jc w:val="center"/>
        </w:trPr>
        <w:tc>
          <w:tcPr>
            <w:tcW w:w="4728" w:type="dxa"/>
            <w:tcBorders>
              <w:top w:val="nil"/>
              <w:left w:val="nil"/>
              <w:bottom w:val="nil"/>
              <w:right w:val="nil"/>
            </w:tcBorders>
            <w:shd w:val="clear" w:color="auto" w:fill="FFFFFF"/>
            <w:noWrap/>
            <w:hideMark/>
          </w:tcPr>
          <w:p w14:paraId="17CC387B" w14:textId="77777777" w:rsidR="00C60EA1" w:rsidRPr="008B009B" w:rsidRDefault="00C60EA1" w:rsidP="002C32EB">
            <w:pPr>
              <w:rPr>
                <w:rFonts w:ascii="Arial" w:hAnsi="Arial" w:cs="Arial"/>
                <w:sz w:val="20"/>
                <w:szCs w:val="20"/>
              </w:rPr>
            </w:pPr>
            <w:r w:rsidRPr="008B009B">
              <w:rPr>
                <w:rFonts w:ascii="Arial" w:hAnsi="Arial" w:cs="Arial"/>
                <w:sz w:val="20"/>
                <w:szCs w:val="20"/>
              </w:rPr>
              <w:t>Manufacture of motor vehicles</w:t>
            </w:r>
          </w:p>
        </w:tc>
        <w:tc>
          <w:tcPr>
            <w:tcW w:w="831" w:type="dxa"/>
            <w:tcBorders>
              <w:top w:val="nil"/>
              <w:left w:val="nil"/>
              <w:bottom w:val="nil"/>
              <w:right w:val="nil"/>
            </w:tcBorders>
            <w:hideMark/>
          </w:tcPr>
          <w:p w14:paraId="109F8BFF"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3,9</w:t>
            </w:r>
          </w:p>
        </w:tc>
        <w:tc>
          <w:tcPr>
            <w:tcW w:w="832" w:type="dxa"/>
            <w:tcBorders>
              <w:top w:val="nil"/>
              <w:left w:val="nil"/>
              <w:bottom w:val="nil"/>
              <w:right w:val="nil"/>
            </w:tcBorders>
            <w:hideMark/>
          </w:tcPr>
          <w:p w14:paraId="53CA69C9"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-6,6</w:t>
            </w:r>
          </w:p>
        </w:tc>
        <w:tc>
          <w:tcPr>
            <w:tcW w:w="877" w:type="dxa"/>
            <w:tcBorders>
              <w:top w:val="nil"/>
              <w:left w:val="nil"/>
              <w:bottom w:val="nil"/>
              <w:right w:val="nil"/>
            </w:tcBorders>
            <w:hideMark/>
          </w:tcPr>
          <w:p w14:paraId="17492E0C"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11,2</w:t>
            </w:r>
          </w:p>
        </w:tc>
        <w:tc>
          <w:tcPr>
            <w:tcW w:w="790" w:type="dxa"/>
            <w:tcBorders>
              <w:top w:val="nil"/>
              <w:left w:val="nil"/>
              <w:bottom w:val="nil"/>
              <w:right w:val="nil"/>
            </w:tcBorders>
            <w:hideMark/>
          </w:tcPr>
          <w:p w14:paraId="6D7836A8"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27,2</w:t>
            </w:r>
          </w:p>
        </w:tc>
        <w:tc>
          <w:tcPr>
            <w:tcW w:w="832" w:type="dxa"/>
            <w:tcBorders>
              <w:top w:val="nil"/>
              <w:left w:val="nil"/>
              <w:bottom w:val="nil"/>
              <w:right w:val="nil"/>
            </w:tcBorders>
            <w:hideMark/>
          </w:tcPr>
          <w:p w14:paraId="37D5C2FE"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15,9</w:t>
            </w:r>
          </w:p>
        </w:tc>
      </w:tr>
      <w:tr w:rsidR="00C60EA1" w:rsidRPr="008B009B" w14:paraId="349BFBB1" w14:textId="77777777" w:rsidTr="002C32EB">
        <w:trPr>
          <w:trHeight w:val="272"/>
          <w:jc w:val="center"/>
        </w:trPr>
        <w:tc>
          <w:tcPr>
            <w:tcW w:w="4728" w:type="dxa"/>
            <w:tcBorders>
              <w:top w:val="nil"/>
              <w:left w:val="nil"/>
              <w:bottom w:val="single" w:sz="4" w:space="0" w:color="auto"/>
              <w:right w:val="nil"/>
            </w:tcBorders>
            <w:shd w:val="clear" w:color="auto" w:fill="FFFFFF"/>
            <w:noWrap/>
            <w:hideMark/>
          </w:tcPr>
          <w:p w14:paraId="6F41CAE1" w14:textId="77777777" w:rsidR="00C60EA1" w:rsidRPr="008B009B" w:rsidRDefault="00C60EA1" w:rsidP="002C32EB">
            <w:pPr>
              <w:rPr>
                <w:rFonts w:ascii="Arial" w:hAnsi="Arial" w:cs="Arial"/>
                <w:sz w:val="20"/>
                <w:szCs w:val="20"/>
              </w:rPr>
            </w:pPr>
            <w:r w:rsidRPr="008B009B">
              <w:rPr>
                <w:rFonts w:ascii="Arial" w:hAnsi="Arial" w:cs="Arial"/>
                <w:sz w:val="20"/>
                <w:szCs w:val="20"/>
              </w:rPr>
              <w:t>Manufacture of furniture</w:t>
            </w:r>
          </w:p>
        </w:tc>
        <w:tc>
          <w:tcPr>
            <w:tcW w:w="831" w:type="dxa"/>
            <w:tcBorders>
              <w:top w:val="nil"/>
              <w:left w:val="nil"/>
              <w:bottom w:val="single" w:sz="4" w:space="0" w:color="auto"/>
              <w:right w:val="nil"/>
            </w:tcBorders>
            <w:hideMark/>
          </w:tcPr>
          <w:p w14:paraId="4A11075C"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5,3</w:t>
            </w:r>
          </w:p>
        </w:tc>
        <w:tc>
          <w:tcPr>
            <w:tcW w:w="832" w:type="dxa"/>
            <w:tcBorders>
              <w:top w:val="nil"/>
              <w:left w:val="nil"/>
              <w:bottom w:val="single" w:sz="4" w:space="0" w:color="auto"/>
              <w:right w:val="nil"/>
            </w:tcBorders>
            <w:hideMark/>
          </w:tcPr>
          <w:p w14:paraId="0A542460"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0,8</w:t>
            </w:r>
          </w:p>
        </w:tc>
        <w:tc>
          <w:tcPr>
            <w:tcW w:w="877" w:type="dxa"/>
            <w:tcBorders>
              <w:top w:val="nil"/>
              <w:left w:val="nil"/>
              <w:bottom w:val="single" w:sz="4" w:space="0" w:color="auto"/>
              <w:right w:val="nil"/>
            </w:tcBorders>
            <w:hideMark/>
          </w:tcPr>
          <w:p w14:paraId="59042315"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22,9</w:t>
            </w:r>
          </w:p>
        </w:tc>
        <w:tc>
          <w:tcPr>
            <w:tcW w:w="790" w:type="dxa"/>
            <w:tcBorders>
              <w:top w:val="nil"/>
              <w:left w:val="nil"/>
              <w:bottom w:val="single" w:sz="4" w:space="0" w:color="auto"/>
              <w:right w:val="nil"/>
            </w:tcBorders>
            <w:hideMark/>
          </w:tcPr>
          <w:p w14:paraId="0EC2BCEA"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11,1</w:t>
            </w:r>
          </w:p>
        </w:tc>
        <w:tc>
          <w:tcPr>
            <w:tcW w:w="832" w:type="dxa"/>
            <w:tcBorders>
              <w:top w:val="nil"/>
              <w:left w:val="nil"/>
              <w:bottom w:val="single" w:sz="4" w:space="0" w:color="auto"/>
              <w:right w:val="nil"/>
            </w:tcBorders>
            <w:hideMark/>
          </w:tcPr>
          <w:p w14:paraId="5FD62024" w14:textId="77777777" w:rsidR="00C60EA1" w:rsidRPr="008B009B" w:rsidRDefault="00C60EA1" w:rsidP="002C32EB">
            <w:pPr>
              <w:jc w:val="right"/>
              <w:rPr>
                <w:rFonts w:ascii="Arial" w:hAnsi="Arial" w:cs="Arial"/>
                <w:sz w:val="20"/>
                <w:szCs w:val="20"/>
              </w:rPr>
            </w:pPr>
            <w:r w:rsidRPr="008B009B">
              <w:rPr>
                <w:rFonts w:ascii="Arial" w:hAnsi="Arial" w:cs="Arial"/>
                <w:sz w:val="20"/>
                <w:szCs w:val="20"/>
              </w:rPr>
              <w:t>12,7</w:t>
            </w:r>
          </w:p>
        </w:tc>
      </w:tr>
    </w:tbl>
    <w:p w14:paraId="5F137D61" w14:textId="77777777" w:rsidR="00C60EA1" w:rsidRPr="008B009B" w:rsidRDefault="00C60EA1" w:rsidP="00C60EA1">
      <w:pPr>
        <w:spacing w:after="120" w:line="264" w:lineRule="auto"/>
        <w:ind w:firstLine="720"/>
        <w:jc w:val="both"/>
        <w:rPr>
          <w:sz w:val="6"/>
          <w:szCs w:val="6"/>
        </w:rPr>
      </w:pPr>
    </w:p>
    <w:p w14:paraId="09BDE867" w14:textId="77777777" w:rsidR="00C60EA1" w:rsidRPr="008B009B" w:rsidRDefault="00C60EA1" w:rsidP="00C60EA1">
      <w:pPr>
        <w:spacing w:after="120"/>
        <w:jc w:val="center"/>
        <w:rPr>
          <w:rFonts w:ascii="Arial" w:hAnsi="Arial" w:cs="Arial"/>
          <w:b/>
          <w:bCs/>
          <w:sz w:val="24"/>
          <w:szCs w:val="24"/>
        </w:rPr>
      </w:pPr>
      <w:r w:rsidRPr="008B009B">
        <w:rPr>
          <w:rFonts w:ascii="Arial" w:hAnsi="Arial" w:cs="Arial"/>
          <w:b/>
          <w:bCs/>
          <w:sz w:val="24"/>
          <w:szCs w:val="24"/>
        </w:rPr>
        <w:t xml:space="preserve">Figure 1. Year-on-year IIP growth rate for several key industrial activities </w:t>
      </w:r>
    </w:p>
    <w:p w14:paraId="55897C0D" w14:textId="77777777" w:rsidR="00C60EA1" w:rsidRPr="008B009B" w:rsidRDefault="00C60EA1" w:rsidP="00C60EA1">
      <w:pPr>
        <w:spacing w:after="120"/>
        <w:jc w:val="center"/>
        <w:rPr>
          <w:b/>
          <w:bCs/>
        </w:rPr>
      </w:pPr>
      <w:r w:rsidRPr="008B009B">
        <w:rPr>
          <w:rFonts w:ascii="Arial" w:hAnsi="Arial" w:cs="Arial"/>
          <w:b/>
          <w:bCs/>
          <w:sz w:val="24"/>
          <w:szCs w:val="24"/>
        </w:rPr>
        <w:t>in the 8 months of the years 2022 - 2026</w:t>
      </w:r>
    </w:p>
    <w:tbl>
      <w:tblPr>
        <w:tblStyle w:val="TableGrid"/>
        <w:tblW w:w="107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6"/>
        <w:gridCol w:w="5326"/>
      </w:tblGrid>
      <w:tr w:rsidR="00C60EA1" w:rsidRPr="008B009B" w14:paraId="0833F096" w14:textId="77777777" w:rsidTr="002C32EB">
        <w:trPr>
          <w:trHeight w:val="2851"/>
          <w:jc w:val="center"/>
        </w:trPr>
        <w:tc>
          <w:tcPr>
            <w:tcW w:w="5466" w:type="dxa"/>
            <w:hideMark/>
          </w:tcPr>
          <w:p w14:paraId="1668E740" w14:textId="77777777" w:rsidR="00C60EA1" w:rsidRPr="008B009B" w:rsidRDefault="00C60EA1" w:rsidP="002C32EB">
            <w:pPr>
              <w:spacing w:after="120"/>
              <w:jc w:val="center"/>
              <w:rPr>
                <w:b/>
                <w:bCs/>
                <w:lang w:val="en-US"/>
              </w:rPr>
            </w:pPr>
            <w:r w:rsidRPr="008B009B">
              <w:rPr>
                <w:b/>
                <w:bCs/>
                <w:spacing w:val="-6"/>
                <w:lang w:val="en-US"/>
              </w:rPr>
              <w:t>Top of 10 localities by IIP growth rate</w:t>
            </w:r>
            <w:r w:rsidRPr="008B009B">
              <w:rPr>
                <w:lang w:val="en-US"/>
              </w:rPr>
              <w:t xml:space="preserve"> </w:t>
            </w:r>
          </w:p>
          <w:p w14:paraId="517C44A3" w14:textId="77777777" w:rsidR="00C60EA1" w:rsidRPr="008B009B" w:rsidRDefault="00C60EA1" w:rsidP="002C32EB">
            <w:pPr>
              <w:spacing w:after="120"/>
              <w:jc w:val="center"/>
              <w:rPr>
                <w:b/>
                <w:bCs/>
                <w:lang w:val="en-US"/>
              </w:rPr>
            </w:pPr>
            <w:r w:rsidRPr="008B009B">
              <w:rPr>
                <w:b/>
                <w:bCs/>
                <w:noProof/>
              </w:rPr>
              <w:drawing>
                <wp:inline distT="0" distB="0" distL="0" distR="0" wp14:anchorId="6130B790" wp14:editId="24FEF78A">
                  <wp:extent cx="3327400" cy="191135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73483" cy="1937821"/>
                          </a:xfrm>
                          <a:prstGeom prst="rect">
                            <a:avLst/>
                          </a:prstGeom>
                        </pic:spPr>
                      </pic:pic>
                    </a:graphicData>
                  </a:graphic>
                </wp:inline>
              </w:drawing>
            </w:r>
          </w:p>
        </w:tc>
        <w:tc>
          <w:tcPr>
            <w:tcW w:w="5326" w:type="dxa"/>
            <w:hideMark/>
          </w:tcPr>
          <w:p w14:paraId="2761F882" w14:textId="77777777" w:rsidR="00C60EA1" w:rsidRPr="008B009B" w:rsidRDefault="00C60EA1" w:rsidP="002C32EB">
            <w:pPr>
              <w:spacing w:after="120"/>
              <w:ind w:firstLine="17"/>
              <w:jc w:val="center"/>
              <w:rPr>
                <w:b/>
                <w:bCs/>
                <w:lang w:val="en-US"/>
              </w:rPr>
            </w:pPr>
            <w:r w:rsidRPr="008B009B">
              <w:rPr>
                <w:b/>
                <w:bCs/>
                <w:spacing w:val="-8"/>
                <w:lang w:val="en-US"/>
              </w:rPr>
              <w:t>Bottom of 10 localities by IIP growth rate</w:t>
            </w:r>
            <w:r w:rsidRPr="008B009B">
              <w:rPr>
                <w:lang w:val="en-US"/>
              </w:rPr>
              <w:t xml:space="preserve"> </w:t>
            </w:r>
          </w:p>
          <w:p w14:paraId="74875E27" w14:textId="77777777" w:rsidR="00C60EA1" w:rsidRPr="008B009B" w:rsidRDefault="00C60EA1" w:rsidP="002C32EB">
            <w:pPr>
              <w:spacing w:after="120"/>
              <w:ind w:firstLine="17"/>
              <w:jc w:val="center"/>
              <w:rPr>
                <w:b/>
                <w:bCs/>
                <w:lang w:val="en-US"/>
              </w:rPr>
            </w:pPr>
            <w:r w:rsidRPr="008B009B">
              <w:rPr>
                <w:lang w:val="en-US"/>
              </w:rPr>
              <w:t xml:space="preserve"> </w:t>
            </w:r>
            <w:r w:rsidRPr="008B009B">
              <w:rPr>
                <w:noProof/>
              </w:rPr>
              <w:drawing>
                <wp:inline distT="0" distB="0" distL="0" distR="0" wp14:anchorId="646B3602" wp14:editId="0003D282">
                  <wp:extent cx="3244850" cy="16757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31462" cy="1720495"/>
                          </a:xfrm>
                          <a:prstGeom prst="rect">
                            <a:avLst/>
                          </a:prstGeom>
                        </pic:spPr>
                      </pic:pic>
                    </a:graphicData>
                  </a:graphic>
                </wp:inline>
              </w:drawing>
            </w:r>
          </w:p>
        </w:tc>
      </w:tr>
    </w:tbl>
    <w:p w14:paraId="4BA16C0E" w14:textId="2AE7623F" w:rsidR="00C60EA1" w:rsidRPr="008B009B" w:rsidRDefault="00C60EA1" w:rsidP="00C60EA1">
      <w:pPr>
        <w:spacing w:after="120"/>
        <w:ind w:firstLine="720"/>
        <w:jc w:val="both"/>
      </w:pPr>
      <w:r w:rsidRPr="008B009B">
        <w:t>The IIP in the 8 months of 2026 experienced a year-on-year increase in all 34 provinces and municipalities. Several provinces saw a fairly high growth rate in the IIP thanks to the surge in the manufacturing and the electricity supply</w:t>
      </w:r>
      <w:r w:rsidRPr="008B009B">
        <w:rPr>
          <w:vertAlign w:val="superscript"/>
        </w:rPr>
        <w:footnoteReference w:id="13"/>
      </w:r>
      <w:r w:rsidRPr="008B009B">
        <w:t xml:space="preserve">. Conversely, the IIP in several provinces and municipalities nudged up due to slow growth or decrease in the manufacturing, the mining and quarrying, and the electricity </w:t>
      </w:r>
      <w:r w:rsidR="00F73EC7" w:rsidRPr="008B009B">
        <w:t>supply</w:t>
      </w:r>
      <w:r w:rsidRPr="008B009B">
        <w:rPr>
          <w:vertAlign w:val="superscript"/>
        </w:rPr>
        <w:footnoteReference w:id="14"/>
      </w:r>
      <w:r w:rsidRPr="008B009B">
        <w:t>.</w:t>
      </w:r>
    </w:p>
    <w:p w14:paraId="0ABB2C75" w14:textId="1E0D8C5D" w:rsidR="00C60EA1" w:rsidRPr="008B009B" w:rsidRDefault="00C60EA1" w:rsidP="00C60EA1">
      <w:pPr>
        <w:spacing w:after="120" w:line="259" w:lineRule="auto"/>
        <w:ind w:firstLine="720"/>
        <w:jc w:val="both"/>
      </w:pPr>
      <w:r w:rsidRPr="008B009B">
        <w:t>During the eight months of 2026, several key industrial products registered notable year-on-year increases, led by motorbike (+27.9%</w:t>
      </w:r>
      <w:r w:rsidR="009D7EFE">
        <w:t xml:space="preserve"> YoY</w:t>
      </w:r>
      <w:r w:rsidRPr="008B009B">
        <w:t>), laptop (+25.7%</w:t>
      </w:r>
      <w:r w:rsidR="009D7EFE" w:rsidRPr="009D7EFE">
        <w:t xml:space="preserve"> </w:t>
      </w:r>
      <w:r w:rsidR="009D7EFE">
        <w:t>YoY</w:t>
      </w:r>
      <w:r w:rsidRPr="008B009B">
        <w:t>), automobiles (+24.0%</w:t>
      </w:r>
      <w:r w:rsidR="009D7EFE" w:rsidRPr="009D7EFE">
        <w:t xml:space="preserve"> </w:t>
      </w:r>
      <w:r w:rsidR="009D7EFE">
        <w:t>YoY</w:t>
      </w:r>
      <w:r w:rsidRPr="008B009B">
        <w:t>), rolled steel (+23.4%</w:t>
      </w:r>
      <w:r w:rsidR="009D7EFE" w:rsidRPr="009D7EFE">
        <w:t xml:space="preserve"> </w:t>
      </w:r>
      <w:r w:rsidR="009D7EFE">
        <w:t>YoY</w:t>
      </w:r>
      <w:r w:rsidRPr="008B009B">
        <w:t>), processed seafood (+21.4%</w:t>
      </w:r>
      <w:r w:rsidR="009D7EFE" w:rsidRPr="009D7EFE">
        <w:t xml:space="preserve"> </w:t>
      </w:r>
      <w:r w:rsidR="009D7EFE">
        <w:t>YoY</w:t>
      </w:r>
      <w:r w:rsidRPr="008B009B">
        <w:t>), refined sugar (+18.5%</w:t>
      </w:r>
      <w:r w:rsidR="009D7EFE" w:rsidRPr="009D7EFE">
        <w:t xml:space="preserve"> </w:t>
      </w:r>
      <w:r w:rsidR="009D7EFE">
        <w:t>YoY</w:t>
      </w:r>
      <w:r w:rsidRPr="008B009B">
        <w:t>), steel bar, angle bar (+15.2%</w:t>
      </w:r>
      <w:r w:rsidR="009D7EFE" w:rsidRPr="009D7EFE">
        <w:t xml:space="preserve"> </w:t>
      </w:r>
      <w:r w:rsidR="009D7EFE">
        <w:t>YoY</w:t>
      </w:r>
      <w:r w:rsidRPr="008B009B">
        <w:t>), beer (+14.4%</w:t>
      </w:r>
      <w:r w:rsidR="009D7EFE" w:rsidRPr="009D7EFE">
        <w:t xml:space="preserve"> </w:t>
      </w:r>
      <w:r w:rsidR="009D7EFE">
        <w:t>YoY</w:t>
      </w:r>
      <w:r w:rsidRPr="008B009B">
        <w:t>), and chemical paint (+12.2%</w:t>
      </w:r>
      <w:r w:rsidR="009D7EFE" w:rsidRPr="009D7EFE">
        <w:t xml:space="preserve"> </w:t>
      </w:r>
      <w:r w:rsidR="009D7EFE">
        <w:t>YoY</w:t>
      </w:r>
      <w:r w:rsidRPr="008B009B">
        <w:t xml:space="preserve">). On the </w:t>
      </w:r>
      <w:r w:rsidRPr="008B009B">
        <w:lastRenderedPageBreak/>
        <w:t>other hand, several commodities posted output reductions, including NPK fertilizers (-8.6%</w:t>
      </w:r>
      <w:r w:rsidR="009D7EFE" w:rsidRPr="009D7EFE">
        <w:t xml:space="preserve"> </w:t>
      </w:r>
      <w:r w:rsidR="009D7EFE">
        <w:t>YoY</w:t>
      </w:r>
      <w:r w:rsidRPr="008B009B">
        <w:t>), sodium glutamate (-8.1%</w:t>
      </w:r>
      <w:r w:rsidR="009D7EFE" w:rsidRPr="009D7EFE">
        <w:t xml:space="preserve"> </w:t>
      </w:r>
      <w:r w:rsidR="009D7EFE">
        <w:t>YoY</w:t>
      </w:r>
      <w:r w:rsidRPr="008B009B">
        <w:t>), leather shoes and sandals (-4.2%</w:t>
      </w:r>
      <w:r w:rsidR="009D7EFE" w:rsidRPr="009D7EFE">
        <w:t xml:space="preserve"> </w:t>
      </w:r>
      <w:r w:rsidR="009D7EFE">
        <w:t>YoY</w:t>
      </w:r>
      <w:r w:rsidRPr="008B009B">
        <w:t>), and liquefied petroleum gas (LPG) (-3.2%</w:t>
      </w:r>
      <w:r w:rsidR="009D7EFE" w:rsidRPr="009D7EFE">
        <w:t xml:space="preserve"> </w:t>
      </w:r>
      <w:r w:rsidR="009D7EFE">
        <w:t>YoY</w:t>
      </w:r>
      <w:r w:rsidRPr="008B009B">
        <w:t>).</w:t>
      </w:r>
    </w:p>
    <w:p w14:paraId="1FCFF1C1" w14:textId="5C5A88BE" w:rsidR="000A7C39" w:rsidRPr="008B009B" w:rsidRDefault="00C60EA1" w:rsidP="00C60EA1">
      <w:pPr>
        <w:ind w:firstLine="720"/>
        <w:jc w:val="both"/>
      </w:pPr>
      <w:r w:rsidRPr="008B009B">
        <w:t>Number of employees in industrial enterprises as of August 1</w:t>
      </w:r>
      <w:r w:rsidR="00B11C13">
        <w:rPr>
          <w:vertAlign w:val="superscript"/>
        </w:rPr>
        <w:t>st</w:t>
      </w:r>
      <w:r w:rsidRPr="008B009B">
        <w:t>, 2026, expanded by 1.0% month-on-month and 3.8% year-on-year. By kind of economic activity, the number of employees in the mining and quarrying fell by 0.1% month-on-month (MoM) and experienced a year-on-year decrease of 0.7%. The number of employees in the manufacturing advanced by 1.0% MoM and 4.0% YoY. The electricity, gas, steam, and air conditioning supply workforce remained unchanged MoM and increased by 1.9% YoY, while water supply, sewerage, waste management, and remediation activities recorded a month-on-month increase of 0.1% and a year-on-year expansion of 5.0%.</w:t>
      </w:r>
    </w:p>
    <w:p w14:paraId="3675DF0C" w14:textId="77777777" w:rsidR="00FA23B0" w:rsidRPr="008B009B" w:rsidRDefault="00FA23B0" w:rsidP="00FA23B0">
      <w:pPr>
        <w:spacing w:after="120" w:line="252" w:lineRule="auto"/>
        <w:ind w:firstLine="720"/>
        <w:jc w:val="both"/>
        <w:rPr>
          <w:i/>
        </w:rPr>
      </w:pPr>
      <w:r w:rsidRPr="008B009B">
        <w:rPr>
          <w:b/>
          <w:bCs/>
        </w:rPr>
        <w:t xml:space="preserve">3. </w:t>
      </w:r>
      <w:r w:rsidRPr="008B009B">
        <w:rPr>
          <w:b/>
        </w:rPr>
        <w:t>Enterprise registration</w:t>
      </w:r>
    </w:p>
    <w:p w14:paraId="62FAA2FA" w14:textId="6C8CA41D" w:rsidR="00FA23B0" w:rsidRPr="008B009B" w:rsidRDefault="00FA23B0" w:rsidP="00FA23B0">
      <w:pPr>
        <w:spacing w:after="120" w:line="254" w:lineRule="auto"/>
        <w:ind w:firstLine="720"/>
        <w:jc w:val="both"/>
        <w:rPr>
          <w:spacing w:val="-4"/>
        </w:rPr>
      </w:pPr>
      <w:r w:rsidRPr="008B009B">
        <w:t xml:space="preserve">In </w:t>
      </w:r>
      <w:r w:rsidRPr="008B009B">
        <w:rPr>
          <w:spacing w:val="-4"/>
        </w:rPr>
        <w:t>August</w:t>
      </w:r>
      <w:r w:rsidRPr="008B009B">
        <w:t xml:space="preserve">, the country had </w:t>
      </w:r>
      <w:r w:rsidRPr="008B009B">
        <w:rPr>
          <w:spacing w:val="-4"/>
        </w:rPr>
        <w:t>nearly</w:t>
      </w:r>
      <w:r w:rsidRPr="008B009B">
        <w:t xml:space="preserve"> 12.2 thousand newly established enterprises with a registered capital of nearly </w:t>
      </w:r>
      <w:r w:rsidRPr="008B009B">
        <w:rPr>
          <w:spacing w:val="-4"/>
        </w:rPr>
        <w:t xml:space="preserve">189.4 </w:t>
      </w:r>
      <w:r w:rsidRPr="008B009B">
        <w:t xml:space="preserve">trillion VND and registered employees of nearly 60.4 thousand employees, a month-on-month decrease of </w:t>
      </w:r>
      <w:r w:rsidRPr="008B009B">
        <w:rPr>
          <w:spacing w:val="-4"/>
        </w:rPr>
        <w:t>14.4</w:t>
      </w:r>
      <w:r w:rsidRPr="008B009B">
        <w:t xml:space="preserve">%, </w:t>
      </w:r>
      <w:r w:rsidR="00E704B7" w:rsidRPr="008B009B">
        <w:t>an increase of 13.9% in registered capital</w:t>
      </w:r>
      <w:r w:rsidR="00E704B7" w:rsidRPr="008B009B">
        <w:rPr>
          <w:spacing w:val="-4"/>
        </w:rPr>
        <w:t xml:space="preserve"> </w:t>
      </w:r>
      <w:r w:rsidRPr="008B009B">
        <w:rPr>
          <w:spacing w:val="-4"/>
        </w:rPr>
        <w:t>13.9</w:t>
      </w:r>
      <w:r w:rsidRPr="008B009B">
        <w:t xml:space="preserve">%, and </w:t>
      </w:r>
      <w:r w:rsidR="00E704B7" w:rsidRPr="008B009B">
        <w:t xml:space="preserve">a decrease of 26.4% </w:t>
      </w:r>
      <w:r w:rsidRPr="008B009B">
        <w:t xml:space="preserve">in the number of enterprises, in the registered capital, and in the number of employees, respectively. In comparison with the same period last year, in the number of enterprises, in the number of registered capital and the number of employees showed a decrease of 40.5%, </w:t>
      </w:r>
      <w:r w:rsidR="00F73EC7" w:rsidRPr="008B009B">
        <w:rPr>
          <w:spacing w:val="-4"/>
        </w:rPr>
        <w:t>41.</w:t>
      </w:r>
      <w:r w:rsidRPr="008B009B">
        <w:rPr>
          <w:spacing w:val="-4"/>
        </w:rPr>
        <w:t xml:space="preserve">9% </w:t>
      </w:r>
      <w:r w:rsidR="00F73EC7" w:rsidRPr="008B009B">
        <w:rPr>
          <w:spacing w:val="-4"/>
        </w:rPr>
        <w:t>and 43.5</w:t>
      </w:r>
      <w:r w:rsidRPr="008B009B">
        <w:rPr>
          <w:spacing w:val="-4"/>
        </w:rPr>
        <w:t xml:space="preserve">%, </w:t>
      </w:r>
      <w:r w:rsidRPr="008B009B">
        <w:t xml:space="preserve">respectively. The average registered capital per newly established enterprise in </w:t>
      </w:r>
      <w:r w:rsidRPr="008B009B">
        <w:rPr>
          <w:spacing w:val="-4"/>
        </w:rPr>
        <w:t>August</w:t>
      </w:r>
      <w:r w:rsidRPr="008B009B">
        <w:t xml:space="preserve"> reached 15.6 billion VND (+33.2% MoM and -2.3% YoY). In addition, the country had nearly 9.5 thousand resumed operations enterprises (-6.5% MoM and -23.8% YoY).</w:t>
      </w:r>
    </w:p>
    <w:p w14:paraId="444B45EF" w14:textId="77777777" w:rsidR="00FA23B0" w:rsidRPr="008B009B" w:rsidRDefault="00FA23B0" w:rsidP="00FA23B0">
      <w:pPr>
        <w:spacing w:after="120" w:line="254" w:lineRule="auto"/>
        <w:ind w:firstLine="720"/>
        <w:jc w:val="both"/>
      </w:pPr>
      <w:r w:rsidRPr="008B009B">
        <w:t xml:space="preserve">In </w:t>
      </w:r>
      <w:r w:rsidRPr="008B009B">
        <w:rPr>
          <w:spacing w:val="-4"/>
        </w:rPr>
        <w:t>August</w:t>
      </w:r>
      <w:r w:rsidRPr="008B009B">
        <w:t>, there were 5,322 enterprises registered to temporarily suspended for a definite time (-39% MoM and -18.5% YoY); 7,566 enterprises suspended operation waiting for dissolution procedures (-27.1% MoM and +10.1% YoY); 9,631 enterprises completed procedures for dissolution (+33.6% MoM and +151.2 YoY).</w:t>
      </w:r>
    </w:p>
    <w:p w14:paraId="16C6B7FF" w14:textId="77777777" w:rsidR="00FA23B0" w:rsidRPr="008B009B" w:rsidRDefault="00FA23B0" w:rsidP="00FA23B0">
      <w:pPr>
        <w:spacing w:after="120" w:line="254" w:lineRule="auto"/>
        <w:ind w:firstLine="720"/>
        <w:jc w:val="both"/>
      </w:pPr>
      <w:r w:rsidRPr="008B009B">
        <w:t>Overall, in the eight months of 2026, the whole country had nearly 138.1 thousand newly registered enterprises with a total registered capital of nearly 1,708.3 trillion VND and total registered employees of nearly 657.7 thousand persons, a year-on-year increase of 7.7%, 36.2% in the number of enterprises, in registered capital, respectively and a decrease of 15.4% in the number of employees. The average registered capital per newly established enterprise in the eight months of 2026 reached 12.4 billion VND (+26.4% YoY). The total registered capital added to the economy in the eight months of 2026 reached nearly 4.4 quadrillion VND (+5.7% YoY). In addition, the country had nearly 68.3 thousand resumed operation enterprises (-15.8% YoY), bringing the total number of newly established and resumed</w:t>
      </w:r>
      <w:r w:rsidRPr="008B009B">
        <w:rPr>
          <w:spacing w:val="-4"/>
        </w:rPr>
        <w:t xml:space="preserve"> </w:t>
      </w:r>
      <w:r w:rsidRPr="008B009B">
        <w:t xml:space="preserve">operation </w:t>
      </w:r>
      <w:r w:rsidRPr="008B009B">
        <w:rPr>
          <w:spacing w:val="-4"/>
        </w:rPr>
        <w:t>enterprises</w:t>
      </w:r>
      <w:r w:rsidRPr="008B009B">
        <w:t xml:space="preserve"> in the eight </w:t>
      </w:r>
      <w:r w:rsidRPr="008B009B">
        <w:lastRenderedPageBreak/>
        <w:t xml:space="preserve">months of 2026 to nearly 206.4 thousand enterprises (-1.4% YoY). On average, there were 25.8 thousand newly </w:t>
      </w:r>
      <w:r w:rsidRPr="008B009B">
        <w:rPr>
          <w:spacing w:val="-2"/>
        </w:rPr>
        <w:t xml:space="preserve">established </w:t>
      </w:r>
      <w:r w:rsidRPr="008B009B">
        <w:t>and resumed operation enterprises per month.</w:t>
      </w:r>
    </w:p>
    <w:p w14:paraId="608D60C4" w14:textId="77777777" w:rsidR="00FA23B0" w:rsidRPr="008B009B" w:rsidRDefault="00FA23B0" w:rsidP="00FA23B0">
      <w:pPr>
        <w:spacing w:after="120" w:line="269" w:lineRule="auto"/>
        <w:ind w:firstLine="720"/>
        <w:jc w:val="both"/>
      </w:pPr>
      <w:r w:rsidRPr="008B009B">
        <w:t xml:space="preserve">By economic sector, in the eight months of 2026, the number of newly </w:t>
      </w:r>
      <w:r w:rsidRPr="008B009B">
        <w:rPr>
          <w:spacing w:val="-2"/>
        </w:rPr>
        <w:t>registered</w:t>
      </w:r>
      <w:r w:rsidRPr="008B009B">
        <w:t xml:space="preserve"> enterprises in the agriculture, forestry and fishing sector; the industry and construction sector and the services sector reached 1,448 enterprises (+24.1% YoY); nearly 34.1 thousand enterprises (+19.8% YoY); 102.6 thousand enterprises (+4.1% YoY), respectively.</w:t>
      </w:r>
    </w:p>
    <w:p w14:paraId="2AC622B6" w14:textId="0CD9E216" w:rsidR="00FA23B0" w:rsidRPr="008B009B" w:rsidRDefault="00FA23B0" w:rsidP="00FA23B0">
      <w:pPr>
        <w:spacing w:after="120" w:line="264" w:lineRule="auto"/>
        <w:jc w:val="center"/>
        <w:rPr>
          <w:b/>
        </w:rPr>
      </w:pPr>
      <w:r w:rsidRPr="008B009B">
        <w:rPr>
          <w:b/>
        </w:rPr>
        <w:t xml:space="preserve">Figure 5. Enterprise registration in the eight months of 2026                        </w:t>
      </w:r>
      <w:r w:rsidR="00B11C13" w:rsidRPr="008B009B">
        <w:rPr>
          <w:b/>
        </w:rPr>
        <w:t xml:space="preserve">  (</w:t>
      </w:r>
      <w:r w:rsidRPr="008B009B">
        <w:rPr>
          <w:b/>
        </w:rPr>
        <w:t>YoY growth rate)</w:t>
      </w:r>
    </w:p>
    <w:p w14:paraId="460EB447" w14:textId="77777777" w:rsidR="00FA23B0" w:rsidRPr="008B009B" w:rsidRDefault="00FA23B0" w:rsidP="00FA23B0">
      <w:pPr>
        <w:tabs>
          <w:tab w:val="left" w:pos="0"/>
        </w:tabs>
        <w:spacing w:after="120" w:line="264" w:lineRule="auto"/>
        <w:ind w:firstLine="567"/>
        <w:jc w:val="center"/>
      </w:pPr>
      <w:r w:rsidRPr="008B009B">
        <w:rPr>
          <w:noProof/>
        </w:rPr>
        <w:drawing>
          <wp:inline distT="0" distB="0" distL="0" distR="0" wp14:anchorId="42B0F23F" wp14:editId="194A315B">
            <wp:extent cx="4170045" cy="2184309"/>
            <wp:effectExtent l="0" t="0" r="1905" b="6985"/>
            <wp:docPr id="1" name="Picture 1" descr="H:\6. Bao cao KTXH hang quy\2026\Dich BC KTXH thang 8-2026\Info-Enterpri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6. Bao cao KTXH hang quy\2026\Dich BC KTXH thang 8-2026\Info-Enterprise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92164" cy="2195895"/>
                    </a:xfrm>
                    <a:prstGeom prst="rect">
                      <a:avLst/>
                    </a:prstGeom>
                    <a:noFill/>
                    <a:ln>
                      <a:noFill/>
                    </a:ln>
                  </pic:spPr>
                </pic:pic>
              </a:graphicData>
            </a:graphic>
          </wp:inline>
        </w:drawing>
      </w:r>
    </w:p>
    <w:p w14:paraId="19B03E3F" w14:textId="77777777" w:rsidR="00FA23B0" w:rsidRPr="008B009B" w:rsidRDefault="00FA23B0" w:rsidP="00FA23B0">
      <w:pPr>
        <w:tabs>
          <w:tab w:val="left" w:pos="0"/>
        </w:tabs>
        <w:spacing w:after="120" w:line="264" w:lineRule="auto"/>
        <w:ind w:firstLine="567"/>
        <w:jc w:val="both"/>
        <w:rPr>
          <w:b/>
        </w:rPr>
      </w:pPr>
      <w:r w:rsidRPr="008B009B">
        <w:t>Overall, in the eight months of 2026, the number of enterprises temporarily suspending for a definite time was over 88.0 thousand enterprises (-7.3% YoY); nearly 28.6 thousand enterprises suspended operation waiting for dissolution procedures</w:t>
      </w:r>
      <w:r w:rsidRPr="008B009B" w:rsidDel="00052970">
        <w:t xml:space="preserve"> </w:t>
      </w:r>
      <w:r w:rsidRPr="008B009B">
        <w:t>(-40.3% YoY); over 40.8 thousand enterprises completed procedures for dissolution</w:t>
      </w:r>
      <w:r w:rsidRPr="008B009B" w:rsidDel="00052970">
        <w:t xml:space="preserve"> </w:t>
      </w:r>
      <w:r w:rsidRPr="008B009B">
        <w:t>(+125.5% YoY). On average, 19.7 thousand enterprises withdrew from the market per month.</w:t>
      </w:r>
    </w:p>
    <w:p w14:paraId="1950C364" w14:textId="77777777" w:rsidR="00FA23B0" w:rsidRPr="008B009B" w:rsidRDefault="00FA23B0" w:rsidP="00FA23B0">
      <w:pPr>
        <w:tabs>
          <w:tab w:val="left" w:pos="6810"/>
        </w:tabs>
        <w:spacing w:after="120" w:line="264" w:lineRule="auto"/>
        <w:jc w:val="center"/>
        <w:rPr>
          <w:b/>
        </w:rPr>
      </w:pPr>
      <w:r w:rsidRPr="008B009B">
        <w:rPr>
          <w:b/>
        </w:rPr>
        <w:t>Table 2. Newly established and completely dissolved enterprises                                 in the eight months of 2026 by kind of economic activity</w:t>
      </w:r>
    </w:p>
    <w:p w14:paraId="4A649843" w14:textId="77777777" w:rsidR="00FA23B0" w:rsidRPr="008B009B" w:rsidRDefault="00FA23B0" w:rsidP="00FA23B0">
      <w:pPr>
        <w:tabs>
          <w:tab w:val="left" w:pos="6810"/>
        </w:tabs>
        <w:spacing w:after="120" w:line="264" w:lineRule="auto"/>
        <w:ind w:firstLine="567"/>
        <w:jc w:val="center"/>
        <w:rPr>
          <w:b/>
        </w:rPr>
      </w:pPr>
    </w:p>
    <w:tbl>
      <w:tblPr>
        <w:tblW w:w="9498" w:type="dxa"/>
        <w:jc w:val="center"/>
        <w:tblLayout w:type="fixed"/>
        <w:tblLook w:val="04A0" w:firstRow="1" w:lastRow="0" w:firstColumn="1" w:lastColumn="0" w:noHBand="0" w:noVBand="1"/>
      </w:tblPr>
      <w:tblGrid>
        <w:gridCol w:w="3924"/>
        <w:gridCol w:w="1463"/>
        <w:gridCol w:w="1270"/>
        <w:gridCol w:w="236"/>
        <w:gridCol w:w="1329"/>
        <w:gridCol w:w="1276"/>
      </w:tblGrid>
      <w:tr w:rsidR="00FA23B0" w:rsidRPr="008B009B" w14:paraId="6285CEC9" w14:textId="77777777" w:rsidTr="002C32EB">
        <w:trPr>
          <w:cantSplit/>
          <w:trHeight w:val="658"/>
          <w:jc w:val="center"/>
        </w:trPr>
        <w:tc>
          <w:tcPr>
            <w:tcW w:w="3924" w:type="dxa"/>
            <w:vMerge w:val="restart"/>
            <w:tcBorders>
              <w:top w:val="single" w:sz="4" w:space="0" w:color="auto"/>
            </w:tcBorders>
            <w:noWrap/>
            <w:vAlign w:val="bottom"/>
            <w:hideMark/>
          </w:tcPr>
          <w:p w14:paraId="10322061" w14:textId="77777777" w:rsidR="00FA23B0" w:rsidRPr="008B009B" w:rsidRDefault="00FA23B0" w:rsidP="002C32EB">
            <w:pPr>
              <w:jc w:val="center"/>
              <w:rPr>
                <w:rFonts w:ascii="Arial" w:hAnsi="Arial" w:cs="Arial"/>
                <w:sz w:val="20"/>
                <w:szCs w:val="20"/>
              </w:rPr>
            </w:pPr>
            <w:r w:rsidRPr="008B009B">
              <w:rPr>
                <w:rFonts w:ascii="Arial" w:hAnsi="Arial" w:cs="Arial"/>
                <w:sz w:val="20"/>
                <w:szCs w:val="20"/>
              </w:rPr>
              <w:t> </w:t>
            </w:r>
          </w:p>
        </w:tc>
        <w:tc>
          <w:tcPr>
            <w:tcW w:w="2733" w:type="dxa"/>
            <w:gridSpan w:val="2"/>
            <w:tcBorders>
              <w:top w:val="single" w:sz="4" w:space="0" w:color="auto"/>
              <w:bottom w:val="single" w:sz="4" w:space="0" w:color="auto"/>
            </w:tcBorders>
            <w:vAlign w:val="center"/>
            <w:hideMark/>
          </w:tcPr>
          <w:p w14:paraId="6E10DB23" w14:textId="77777777" w:rsidR="00FA23B0" w:rsidRPr="008B009B" w:rsidRDefault="00FA23B0" w:rsidP="002C32EB">
            <w:pPr>
              <w:jc w:val="center"/>
              <w:rPr>
                <w:rFonts w:ascii="Arial" w:hAnsi="Arial" w:cs="Arial"/>
                <w:bCs/>
                <w:sz w:val="20"/>
                <w:szCs w:val="20"/>
              </w:rPr>
            </w:pPr>
            <w:r w:rsidRPr="008B009B">
              <w:rPr>
                <w:rFonts w:ascii="Arial" w:hAnsi="Arial" w:cs="Arial"/>
                <w:bCs/>
                <w:sz w:val="20"/>
                <w:szCs w:val="20"/>
              </w:rPr>
              <w:t>Number of enterprises (Enterprises)</w:t>
            </w:r>
          </w:p>
        </w:tc>
        <w:tc>
          <w:tcPr>
            <w:tcW w:w="236" w:type="dxa"/>
            <w:tcBorders>
              <w:top w:val="single" w:sz="4" w:space="0" w:color="auto"/>
            </w:tcBorders>
          </w:tcPr>
          <w:p w14:paraId="17B3CCDF" w14:textId="77777777" w:rsidR="00FA23B0" w:rsidRPr="008B009B" w:rsidRDefault="00FA23B0" w:rsidP="002C32EB">
            <w:pPr>
              <w:jc w:val="center"/>
              <w:rPr>
                <w:rFonts w:ascii="Arial" w:hAnsi="Arial" w:cs="Arial"/>
                <w:bCs/>
                <w:sz w:val="20"/>
                <w:szCs w:val="20"/>
              </w:rPr>
            </w:pPr>
          </w:p>
        </w:tc>
        <w:tc>
          <w:tcPr>
            <w:tcW w:w="2605" w:type="dxa"/>
            <w:gridSpan w:val="2"/>
            <w:tcBorders>
              <w:top w:val="single" w:sz="4" w:space="0" w:color="auto"/>
              <w:bottom w:val="single" w:sz="4" w:space="0" w:color="auto"/>
            </w:tcBorders>
            <w:vAlign w:val="center"/>
            <w:hideMark/>
          </w:tcPr>
          <w:p w14:paraId="67C743ED" w14:textId="77777777" w:rsidR="00FA23B0" w:rsidRPr="008B009B" w:rsidRDefault="00FA23B0" w:rsidP="002C32EB">
            <w:pPr>
              <w:jc w:val="center"/>
              <w:rPr>
                <w:rFonts w:ascii="Arial" w:hAnsi="Arial" w:cs="Arial"/>
                <w:bCs/>
                <w:sz w:val="20"/>
                <w:szCs w:val="20"/>
              </w:rPr>
            </w:pPr>
            <w:r w:rsidRPr="008B009B">
              <w:rPr>
                <w:rFonts w:ascii="Arial" w:hAnsi="Arial" w:cs="Arial"/>
                <w:bCs/>
                <w:sz w:val="20"/>
                <w:szCs w:val="20"/>
              </w:rPr>
              <w:t>YoY growth rate (%)</w:t>
            </w:r>
          </w:p>
        </w:tc>
      </w:tr>
      <w:tr w:rsidR="00FA23B0" w:rsidRPr="008B009B" w14:paraId="41DE1F90" w14:textId="77777777" w:rsidTr="002C32EB">
        <w:trPr>
          <w:cantSplit/>
          <w:trHeight w:val="345"/>
          <w:jc w:val="center"/>
        </w:trPr>
        <w:tc>
          <w:tcPr>
            <w:tcW w:w="3924" w:type="dxa"/>
            <w:vMerge/>
            <w:vAlign w:val="center"/>
            <w:hideMark/>
          </w:tcPr>
          <w:p w14:paraId="425AE03E" w14:textId="77777777" w:rsidR="00FA23B0" w:rsidRPr="008B009B" w:rsidRDefault="00FA23B0" w:rsidP="002C32EB">
            <w:pPr>
              <w:rPr>
                <w:rFonts w:ascii="Arial" w:hAnsi="Arial" w:cs="Arial"/>
                <w:sz w:val="20"/>
                <w:szCs w:val="20"/>
              </w:rPr>
            </w:pPr>
          </w:p>
        </w:tc>
        <w:tc>
          <w:tcPr>
            <w:tcW w:w="1463" w:type="dxa"/>
            <w:tcBorders>
              <w:top w:val="single" w:sz="4" w:space="0" w:color="auto"/>
              <w:bottom w:val="single" w:sz="4" w:space="0" w:color="auto"/>
            </w:tcBorders>
            <w:vAlign w:val="center"/>
            <w:hideMark/>
          </w:tcPr>
          <w:p w14:paraId="33598197" w14:textId="77777777" w:rsidR="00FA23B0" w:rsidRPr="008B009B" w:rsidRDefault="00FA23B0" w:rsidP="002C32EB">
            <w:pPr>
              <w:jc w:val="center"/>
              <w:rPr>
                <w:rFonts w:ascii="Arial" w:hAnsi="Arial" w:cs="Arial"/>
                <w:bCs/>
                <w:sz w:val="20"/>
                <w:szCs w:val="20"/>
              </w:rPr>
            </w:pPr>
            <w:r w:rsidRPr="008B009B">
              <w:rPr>
                <w:rFonts w:ascii="Arial" w:hAnsi="Arial" w:cs="Arial"/>
                <w:bCs/>
                <w:sz w:val="20"/>
                <w:szCs w:val="20"/>
              </w:rPr>
              <w:t>Newly established</w:t>
            </w:r>
          </w:p>
        </w:tc>
        <w:tc>
          <w:tcPr>
            <w:tcW w:w="1270" w:type="dxa"/>
            <w:tcBorders>
              <w:top w:val="single" w:sz="4" w:space="0" w:color="auto"/>
              <w:bottom w:val="single" w:sz="4" w:space="0" w:color="auto"/>
            </w:tcBorders>
            <w:vAlign w:val="center"/>
            <w:hideMark/>
          </w:tcPr>
          <w:p w14:paraId="0BCD5A3F" w14:textId="77777777" w:rsidR="00FA23B0" w:rsidRPr="008B009B" w:rsidRDefault="00FA23B0" w:rsidP="002C32EB">
            <w:pPr>
              <w:jc w:val="center"/>
              <w:rPr>
                <w:rFonts w:ascii="Arial" w:hAnsi="Arial" w:cs="Arial"/>
                <w:bCs/>
                <w:sz w:val="20"/>
                <w:szCs w:val="20"/>
              </w:rPr>
            </w:pPr>
            <w:r w:rsidRPr="008B009B">
              <w:rPr>
                <w:rFonts w:ascii="Arial" w:hAnsi="Arial" w:cs="Arial"/>
                <w:bCs/>
                <w:sz w:val="20"/>
                <w:szCs w:val="20"/>
              </w:rPr>
              <w:t>Completely dissolved</w:t>
            </w:r>
          </w:p>
        </w:tc>
        <w:tc>
          <w:tcPr>
            <w:tcW w:w="236" w:type="dxa"/>
          </w:tcPr>
          <w:p w14:paraId="600BD4F0" w14:textId="77777777" w:rsidR="00FA23B0" w:rsidRPr="008B009B" w:rsidRDefault="00FA23B0" w:rsidP="002C32EB">
            <w:pPr>
              <w:jc w:val="center"/>
              <w:rPr>
                <w:rFonts w:ascii="Arial" w:hAnsi="Arial" w:cs="Arial"/>
                <w:bCs/>
                <w:sz w:val="20"/>
                <w:szCs w:val="20"/>
              </w:rPr>
            </w:pPr>
          </w:p>
        </w:tc>
        <w:tc>
          <w:tcPr>
            <w:tcW w:w="1329" w:type="dxa"/>
            <w:tcBorders>
              <w:top w:val="single" w:sz="4" w:space="0" w:color="auto"/>
              <w:bottom w:val="single" w:sz="4" w:space="0" w:color="auto"/>
            </w:tcBorders>
            <w:vAlign w:val="center"/>
            <w:hideMark/>
          </w:tcPr>
          <w:p w14:paraId="40F4E1EA" w14:textId="77777777" w:rsidR="00FA23B0" w:rsidRPr="008B009B" w:rsidRDefault="00FA23B0" w:rsidP="002C32EB">
            <w:pPr>
              <w:jc w:val="center"/>
              <w:rPr>
                <w:rFonts w:ascii="Arial" w:hAnsi="Arial" w:cs="Arial"/>
                <w:bCs/>
                <w:sz w:val="20"/>
                <w:szCs w:val="20"/>
              </w:rPr>
            </w:pPr>
            <w:r w:rsidRPr="008B009B">
              <w:rPr>
                <w:rFonts w:ascii="Arial" w:hAnsi="Arial" w:cs="Arial"/>
                <w:bCs/>
                <w:sz w:val="20"/>
                <w:szCs w:val="20"/>
              </w:rPr>
              <w:t>Newly established</w:t>
            </w:r>
          </w:p>
        </w:tc>
        <w:tc>
          <w:tcPr>
            <w:tcW w:w="1276" w:type="dxa"/>
            <w:tcBorders>
              <w:top w:val="single" w:sz="4" w:space="0" w:color="auto"/>
              <w:bottom w:val="single" w:sz="4" w:space="0" w:color="auto"/>
            </w:tcBorders>
            <w:vAlign w:val="center"/>
            <w:hideMark/>
          </w:tcPr>
          <w:p w14:paraId="0D8BA8F9" w14:textId="77777777" w:rsidR="00FA23B0" w:rsidRPr="008B009B" w:rsidRDefault="00FA23B0" w:rsidP="002C32EB">
            <w:pPr>
              <w:jc w:val="center"/>
              <w:rPr>
                <w:rFonts w:ascii="Arial" w:hAnsi="Arial" w:cs="Arial"/>
                <w:bCs/>
                <w:sz w:val="20"/>
                <w:szCs w:val="20"/>
              </w:rPr>
            </w:pPr>
            <w:r w:rsidRPr="008B009B">
              <w:rPr>
                <w:rFonts w:ascii="Arial" w:hAnsi="Arial" w:cs="Arial"/>
                <w:bCs/>
                <w:sz w:val="20"/>
                <w:szCs w:val="20"/>
              </w:rPr>
              <w:t>Completely dissolved</w:t>
            </w:r>
          </w:p>
        </w:tc>
      </w:tr>
      <w:tr w:rsidR="00FA23B0" w:rsidRPr="008B009B" w14:paraId="536F4A2F" w14:textId="77777777" w:rsidTr="002C32EB">
        <w:trPr>
          <w:cantSplit/>
          <w:trHeight w:val="312"/>
          <w:jc w:val="center"/>
        </w:trPr>
        <w:tc>
          <w:tcPr>
            <w:tcW w:w="3924" w:type="dxa"/>
            <w:noWrap/>
            <w:vAlign w:val="bottom"/>
            <w:hideMark/>
          </w:tcPr>
          <w:p w14:paraId="016DBF9E" w14:textId="77777777" w:rsidR="00FA23B0" w:rsidRPr="008B009B" w:rsidRDefault="00FA23B0" w:rsidP="002C32EB">
            <w:pPr>
              <w:rPr>
                <w:rFonts w:ascii="Arial" w:hAnsi="Arial" w:cs="Arial"/>
                <w:sz w:val="20"/>
                <w:szCs w:val="20"/>
              </w:rPr>
            </w:pPr>
            <w:r w:rsidRPr="008B009B">
              <w:rPr>
                <w:rFonts w:ascii="Arial" w:hAnsi="Arial" w:cs="Arial"/>
                <w:sz w:val="20"/>
                <w:szCs w:val="20"/>
              </w:rPr>
              <w:t>Wholesale and retail, repair of motor vehicle and motorcycle</w:t>
            </w:r>
          </w:p>
        </w:tc>
        <w:tc>
          <w:tcPr>
            <w:tcW w:w="1463" w:type="dxa"/>
            <w:tcBorders>
              <w:top w:val="single" w:sz="4" w:space="0" w:color="auto"/>
            </w:tcBorders>
            <w:noWrap/>
            <w:vAlign w:val="bottom"/>
          </w:tcPr>
          <w:p w14:paraId="6A5CBDE1"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55,570</w:t>
            </w:r>
          </w:p>
        </w:tc>
        <w:tc>
          <w:tcPr>
            <w:tcW w:w="1270" w:type="dxa"/>
            <w:tcBorders>
              <w:top w:val="single" w:sz="4" w:space="0" w:color="auto"/>
            </w:tcBorders>
            <w:noWrap/>
            <w:vAlign w:val="bottom"/>
          </w:tcPr>
          <w:p w14:paraId="02ED4466"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15,474</w:t>
            </w:r>
          </w:p>
        </w:tc>
        <w:tc>
          <w:tcPr>
            <w:tcW w:w="236" w:type="dxa"/>
          </w:tcPr>
          <w:p w14:paraId="6365ABF5" w14:textId="77777777" w:rsidR="00FA23B0" w:rsidRPr="008B009B" w:rsidRDefault="00FA23B0" w:rsidP="002C32EB">
            <w:pPr>
              <w:ind w:right="316"/>
              <w:jc w:val="right"/>
              <w:rPr>
                <w:rFonts w:ascii="Arial" w:hAnsi="Arial" w:cs="Arial"/>
                <w:sz w:val="20"/>
                <w:szCs w:val="20"/>
              </w:rPr>
            </w:pPr>
          </w:p>
        </w:tc>
        <w:tc>
          <w:tcPr>
            <w:tcW w:w="1329" w:type="dxa"/>
            <w:tcBorders>
              <w:top w:val="single" w:sz="4" w:space="0" w:color="auto"/>
            </w:tcBorders>
            <w:noWrap/>
            <w:vAlign w:val="bottom"/>
          </w:tcPr>
          <w:p w14:paraId="4E82CAF8" w14:textId="77777777" w:rsidR="00FA23B0" w:rsidRPr="008B009B" w:rsidRDefault="00FA23B0" w:rsidP="002C32EB">
            <w:pPr>
              <w:ind w:right="316"/>
              <w:jc w:val="right"/>
              <w:rPr>
                <w:rFonts w:ascii="Arial" w:hAnsi="Arial" w:cs="Arial"/>
                <w:sz w:val="20"/>
                <w:szCs w:val="20"/>
              </w:rPr>
            </w:pPr>
            <w:r w:rsidRPr="008B009B">
              <w:rPr>
                <w:rFonts w:ascii="Arial" w:hAnsi="Arial" w:cs="Arial"/>
                <w:sz w:val="20"/>
                <w:szCs w:val="20"/>
              </w:rPr>
              <w:t>0,9</w:t>
            </w:r>
          </w:p>
        </w:tc>
        <w:tc>
          <w:tcPr>
            <w:tcW w:w="1276" w:type="dxa"/>
            <w:tcBorders>
              <w:top w:val="single" w:sz="4" w:space="0" w:color="auto"/>
            </w:tcBorders>
            <w:noWrap/>
            <w:vAlign w:val="bottom"/>
          </w:tcPr>
          <w:p w14:paraId="0AB16B55"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133,5</w:t>
            </w:r>
          </w:p>
        </w:tc>
      </w:tr>
      <w:tr w:rsidR="00FA23B0" w:rsidRPr="008B009B" w14:paraId="10D5292E" w14:textId="77777777" w:rsidTr="002C32EB">
        <w:trPr>
          <w:cantSplit/>
          <w:trHeight w:val="328"/>
          <w:jc w:val="center"/>
        </w:trPr>
        <w:tc>
          <w:tcPr>
            <w:tcW w:w="3924" w:type="dxa"/>
            <w:noWrap/>
            <w:vAlign w:val="bottom"/>
            <w:hideMark/>
          </w:tcPr>
          <w:p w14:paraId="6F7DD0A7" w14:textId="77777777" w:rsidR="00FA23B0" w:rsidRPr="008B009B" w:rsidRDefault="00FA23B0" w:rsidP="002C32EB">
            <w:pPr>
              <w:rPr>
                <w:rFonts w:ascii="Arial" w:hAnsi="Arial" w:cs="Arial"/>
                <w:sz w:val="20"/>
                <w:szCs w:val="20"/>
              </w:rPr>
            </w:pPr>
            <w:r w:rsidRPr="008B009B">
              <w:rPr>
                <w:rFonts w:ascii="Arial" w:hAnsi="Arial" w:cs="Arial"/>
                <w:sz w:val="20"/>
                <w:szCs w:val="20"/>
              </w:rPr>
              <w:t xml:space="preserve">Manufacturing </w:t>
            </w:r>
          </w:p>
        </w:tc>
        <w:tc>
          <w:tcPr>
            <w:tcW w:w="1463" w:type="dxa"/>
            <w:noWrap/>
            <w:vAlign w:val="bottom"/>
          </w:tcPr>
          <w:p w14:paraId="48BA7FDE"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18,016</w:t>
            </w:r>
          </w:p>
        </w:tc>
        <w:tc>
          <w:tcPr>
            <w:tcW w:w="1270" w:type="dxa"/>
            <w:noWrap/>
            <w:vAlign w:val="bottom"/>
          </w:tcPr>
          <w:p w14:paraId="35C84263"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4,407</w:t>
            </w:r>
          </w:p>
        </w:tc>
        <w:tc>
          <w:tcPr>
            <w:tcW w:w="236" w:type="dxa"/>
          </w:tcPr>
          <w:p w14:paraId="5EA7A887" w14:textId="77777777" w:rsidR="00FA23B0" w:rsidRPr="008B009B" w:rsidRDefault="00FA23B0" w:rsidP="002C32EB">
            <w:pPr>
              <w:ind w:right="316"/>
              <w:jc w:val="right"/>
              <w:rPr>
                <w:rFonts w:ascii="Arial" w:hAnsi="Arial" w:cs="Arial"/>
                <w:sz w:val="20"/>
                <w:szCs w:val="20"/>
              </w:rPr>
            </w:pPr>
          </w:p>
        </w:tc>
        <w:tc>
          <w:tcPr>
            <w:tcW w:w="1329" w:type="dxa"/>
            <w:noWrap/>
            <w:vAlign w:val="bottom"/>
          </w:tcPr>
          <w:p w14:paraId="60F937B4" w14:textId="77777777" w:rsidR="00FA23B0" w:rsidRPr="008B009B" w:rsidRDefault="00FA23B0" w:rsidP="002C32EB">
            <w:pPr>
              <w:ind w:right="316"/>
              <w:jc w:val="right"/>
              <w:rPr>
                <w:rFonts w:ascii="Arial" w:hAnsi="Arial" w:cs="Arial"/>
                <w:sz w:val="20"/>
                <w:szCs w:val="20"/>
              </w:rPr>
            </w:pPr>
            <w:r w:rsidRPr="008B009B">
              <w:rPr>
                <w:rFonts w:ascii="Arial" w:hAnsi="Arial" w:cs="Arial"/>
                <w:sz w:val="20"/>
                <w:szCs w:val="20"/>
              </w:rPr>
              <w:t>4,7</w:t>
            </w:r>
          </w:p>
        </w:tc>
        <w:tc>
          <w:tcPr>
            <w:tcW w:w="1276" w:type="dxa"/>
            <w:noWrap/>
            <w:vAlign w:val="bottom"/>
          </w:tcPr>
          <w:p w14:paraId="53DAED79"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123,8</w:t>
            </w:r>
          </w:p>
        </w:tc>
      </w:tr>
      <w:tr w:rsidR="00FA23B0" w:rsidRPr="008B009B" w14:paraId="4F7D9139" w14:textId="77777777" w:rsidTr="002C32EB">
        <w:trPr>
          <w:cantSplit/>
          <w:trHeight w:val="328"/>
          <w:jc w:val="center"/>
        </w:trPr>
        <w:tc>
          <w:tcPr>
            <w:tcW w:w="3924" w:type="dxa"/>
            <w:noWrap/>
            <w:vAlign w:val="bottom"/>
            <w:hideMark/>
          </w:tcPr>
          <w:p w14:paraId="5C99849A" w14:textId="77777777" w:rsidR="00FA23B0" w:rsidRPr="008B009B" w:rsidRDefault="00FA23B0" w:rsidP="002C32EB">
            <w:pPr>
              <w:rPr>
                <w:rFonts w:ascii="Arial" w:hAnsi="Arial" w:cs="Arial"/>
                <w:sz w:val="20"/>
                <w:szCs w:val="20"/>
              </w:rPr>
            </w:pPr>
            <w:r w:rsidRPr="008B009B">
              <w:rPr>
                <w:rFonts w:ascii="Arial" w:hAnsi="Arial" w:cs="Arial"/>
                <w:sz w:val="20"/>
                <w:szCs w:val="20"/>
              </w:rPr>
              <w:t>Construction</w:t>
            </w:r>
          </w:p>
        </w:tc>
        <w:tc>
          <w:tcPr>
            <w:tcW w:w="1463" w:type="dxa"/>
            <w:noWrap/>
            <w:vAlign w:val="bottom"/>
          </w:tcPr>
          <w:p w14:paraId="0880FF4F"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13,746</w:t>
            </w:r>
          </w:p>
        </w:tc>
        <w:tc>
          <w:tcPr>
            <w:tcW w:w="1270" w:type="dxa"/>
            <w:noWrap/>
            <w:vAlign w:val="bottom"/>
          </w:tcPr>
          <w:p w14:paraId="57CF3ABC"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3,095</w:t>
            </w:r>
          </w:p>
        </w:tc>
        <w:tc>
          <w:tcPr>
            <w:tcW w:w="236" w:type="dxa"/>
          </w:tcPr>
          <w:p w14:paraId="440D319D" w14:textId="77777777" w:rsidR="00FA23B0" w:rsidRPr="008B009B" w:rsidRDefault="00FA23B0" w:rsidP="002C32EB">
            <w:pPr>
              <w:ind w:right="316"/>
              <w:jc w:val="right"/>
              <w:rPr>
                <w:rFonts w:ascii="Arial" w:hAnsi="Arial" w:cs="Arial"/>
                <w:sz w:val="20"/>
                <w:szCs w:val="20"/>
              </w:rPr>
            </w:pPr>
          </w:p>
        </w:tc>
        <w:tc>
          <w:tcPr>
            <w:tcW w:w="1329" w:type="dxa"/>
            <w:noWrap/>
            <w:vAlign w:val="bottom"/>
          </w:tcPr>
          <w:p w14:paraId="49351C6A" w14:textId="77777777" w:rsidR="00FA23B0" w:rsidRPr="008B009B" w:rsidRDefault="00FA23B0" w:rsidP="002C32EB">
            <w:pPr>
              <w:ind w:right="316"/>
              <w:jc w:val="right"/>
              <w:rPr>
                <w:rFonts w:ascii="Arial" w:hAnsi="Arial" w:cs="Arial"/>
                <w:sz w:val="20"/>
                <w:szCs w:val="20"/>
              </w:rPr>
            </w:pPr>
            <w:r w:rsidRPr="008B009B">
              <w:rPr>
                <w:rFonts w:ascii="Arial" w:hAnsi="Arial" w:cs="Arial"/>
                <w:sz w:val="20"/>
                <w:szCs w:val="20"/>
              </w:rPr>
              <w:t>40,1</w:t>
            </w:r>
          </w:p>
        </w:tc>
        <w:tc>
          <w:tcPr>
            <w:tcW w:w="1276" w:type="dxa"/>
            <w:noWrap/>
            <w:vAlign w:val="bottom"/>
          </w:tcPr>
          <w:p w14:paraId="158FFA2F"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141,6</w:t>
            </w:r>
          </w:p>
        </w:tc>
      </w:tr>
      <w:tr w:rsidR="00FA23B0" w:rsidRPr="008B009B" w14:paraId="2131F07C" w14:textId="77777777" w:rsidTr="002C32EB">
        <w:trPr>
          <w:cantSplit/>
          <w:trHeight w:val="328"/>
          <w:jc w:val="center"/>
        </w:trPr>
        <w:tc>
          <w:tcPr>
            <w:tcW w:w="3924" w:type="dxa"/>
            <w:noWrap/>
            <w:vAlign w:val="bottom"/>
            <w:hideMark/>
          </w:tcPr>
          <w:p w14:paraId="1F3921BC" w14:textId="77777777" w:rsidR="00FA23B0" w:rsidRPr="008B009B" w:rsidRDefault="00FA23B0" w:rsidP="002C32EB">
            <w:pPr>
              <w:rPr>
                <w:rFonts w:ascii="Arial" w:hAnsi="Arial" w:cs="Arial"/>
                <w:sz w:val="20"/>
                <w:szCs w:val="20"/>
              </w:rPr>
            </w:pPr>
            <w:r w:rsidRPr="008B009B">
              <w:rPr>
                <w:rFonts w:ascii="Arial" w:hAnsi="Arial" w:cs="Arial"/>
                <w:sz w:val="20"/>
                <w:szCs w:val="20"/>
              </w:rPr>
              <w:t>Real estate business</w:t>
            </w:r>
          </w:p>
        </w:tc>
        <w:tc>
          <w:tcPr>
            <w:tcW w:w="1463" w:type="dxa"/>
            <w:noWrap/>
            <w:vAlign w:val="bottom"/>
          </w:tcPr>
          <w:p w14:paraId="6DCFDD98"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4,078</w:t>
            </w:r>
          </w:p>
        </w:tc>
        <w:tc>
          <w:tcPr>
            <w:tcW w:w="1270" w:type="dxa"/>
            <w:noWrap/>
            <w:vAlign w:val="bottom"/>
          </w:tcPr>
          <w:p w14:paraId="5A75082D"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2,384</w:t>
            </w:r>
          </w:p>
        </w:tc>
        <w:tc>
          <w:tcPr>
            <w:tcW w:w="236" w:type="dxa"/>
          </w:tcPr>
          <w:p w14:paraId="56C79F35" w14:textId="77777777" w:rsidR="00FA23B0" w:rsidRPr="008B009B" w:rsidRDefault="00FA23B0" w:rsidP="002C32EB">
            <w:pPr>
              <w:ind w:right="316"/>
              <w:jc w:val="right"/>
              <w:rPr>
                <w:rFonts w:ascii="Arial" w:hAnsi="Arial" w:cs="Arial"/>
                <w:sz w:val="20"/>
                <w:szCs w:val="20"/>
              </w:rPr>
            </w:pPr>
          </w:p>
        </w:tc>
        <w:tc>
          <w:tcPr>
            <w:tcW w:w="1329" w:type="dxa"/>
            <w:noWrap/>
            <w:vAlign w:val="bottom"/>
          </w:tcPr>
          <w:p w14:paraId="43338D92" w14:textId="77777777" w:rsidR="00FA23B0" w:rsidRPr="008B009B" w:rsidRDefault="00FA23B0" w:rsidP="002C32EB">
            <w:pPr>
              <w:ind w:right="316"/>
              <w:jc w:val="right"/>
              <w:rPr>
                <w:rFonts w:ascii="Arial" w:hAnsi="Arial" w:cs="Arial"/>
                <w:sz w:val="20"/>
                <w:szCs w:val="20"/>
              </w:rPr>
            </w:pPr>
            <w:r w:rsidRPr="008B009B">
              <w:rPr>
                <w:rFonts w:ascii="Arial" w:hAnsi="Arial" w:cs="Arial"/>
                <w:sz w:val="20"/>
                <w:szCs w:val="20"/>
              </w:rPr>
              <w:t>15,1</w:t>
            </w:r>
          </w:p>
        </w:tc>
        <w:tc>
          <w:tcPr>
            <w:tcW w:w="1276" w:type="dxa"/>
            <w:noWrap/>
            <w:vAlign w:val="bottom"/>
          </w:tcPr>
          <w:p w14:paraId="2BCAE14C"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135,1</w:t>
            </w:r>
          </w:p>
        </w:tc>
      </w:tr>
      <w:tr w:rsidR="00FA23B0" w:rsidRPr="008B009B" w14:paraId="24AE5F12" w14:textId="77777777" w:rsidTr="002C32EB">
        <w:trPr>
          <w:cantSplit/>
          <w:trHeight w:val="328"/>
          <w:jc w:val="center"/>
        </w:trPr>
        <w:tc>
          <w:tcPr>
            <w:tcW w:w="3924" w:type="dxa"/>
            <w:noWrap/>
            <w:vAlign w:val="bottom"/>
            <w:hideMark/>
          </w:tcPr>
          <w:p w14:paraId="13E390A7" w14:textId="77777777" w:rsidR="00FA23B0" w:rsidRPr="008B009B" w:rsidRDefault="00FA23B0" w:rsidP="002C32EB">
            <w:pPr>
              <w:rPr>
                <w:rFonts w:ascii="Arial" w:hAnsi="Arial" w:cs="Arial"/>
                <w:sz w:val="20"/>
                <w:szCs w:val="20"/>
              </w:rPr>
            </w:pPr>
            <w:r w:rsidRPr="008B009B">
              <w:rPr>
                <w:rFonts w:ascii="Arial" w:hAnsi="Arial" w:cs="Arial"/>
                <w:kern w:val="2"/>
                <w:sz w:val="20"/>
                <w:szCs w:val="20"/>
                <w14:ligatures w14:val="standardContextual"/>
              </w:rPr>
              <w:t>Transportation and storage</w:t>
            </w:r>
          </w:p>
        </w:tc>
        <w:tc>
          <w:tcPr>
            <w:tcW w:w="1463" w:type="dxa"/>
            <w:noWrap/>
            <w:vAlign w:val="bottom"/>
          </w:tcPr>
          <w:p w14:paraId="1C3114B6"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9,408</w:t>
            </w:r>
          </w:p>
        </w:tc>
        <w:tc>
          <w:tcPr>
            <w:tcW w:w="1270" w:type="dxa"/>
            <w:noWrap/>
            <w:vAlign w:val="bottom"/>
          </w:tcPr>
          <w:p w14:paraId="21F44CE1"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1,629</w:t>
            </w:r>
          </w:p>
        </w:tc>
        <w:tc>
          <w:tcPr>
            <w:tcW w:w="236" w:type="dxa"/>
          </w:tcPr>
          <w:p w14:paraId="34362782" w14:textId="77777777" w:rsidR="00FA23B0" w:rsidRPr="008B009B" w:rsidRDefault="00FA23B0" w:rsidP="002C32EB">
            <w:pPr>
              <w:ind w:right="316"/>
              <w:jc w:val="right"/>
              <w:rPr>
                <w:rFonts w:ascii="Arial" w:hAnsi="Arial" w:cs="Arial"/>
                <w:sz w:val="20"/>
                <w:szCs w:val="20"/>
              </w:rPr>
            </w:pPr>
          </w:p>
        </w:tc>
        <w:tc>
          <w:tcPr>
            <w:tcW w:w="1329" w:type="dxa"/>
            <w:noWrap/>
            <w:vAlign w:val="bottom"/>
          </w:tcPr>
          <w:p w14:paraId="1C9682EA" w14:textId="77777777" w:rsidR="00FA23B0" w:rsidRPr="008B009B" w:rsidRDefault="00FA23B0" w:rsidP="002C32EB">
            <w:pPr>
              <w:ind w:right="316"/>
              <w:jc w:val="right"/>
              <w:rPr>
                <w:rFonts w:ascii="Arial" w:hAnsi="Arial" w:cs="Arial"/>
                <w:sz w:val="20"/>
                <w:szCs w:val="20"/>
              </w:rPr>
            </w:pPr>
            <w:r w:rsidRPr="008B009B">
              <w:rPr>
                <w:rFonts w:ascii="Arial" w:hAnsi="Arial" w:cs="Arial"/>
                <w:sz w:val="20"/>
                <w:szCs w:val="20"/>
              </w:rPr>
              <w:t>29,4</w:t>
            </w:r>
          </w:p>
        </w:tc>
        <w:tc>
          <w:tcPr>
            <w:tcW w:w="1276" w:type="dxa"/>
            <w:noWrap/>
            <w:vAlign w:val="bottom"/>
          </w:tcPr>
          <w:p w14:paraId="552918EF"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135,4</w:t>
            </w:r>
          </w:p>
        </w:tc>
      </w:tr>
      <w:tr w:rsidR="00FA23B0" w:rsidRPr="008B009B" w14:paraId="1706B8F0" w14:textId="77777777" w:rsidTr="002C32EB">
        <w:trPr>
          <w:cantSplit/>
          <w:trHeight w:val="328"/>
          <w:jc w:val="center"/>
        </w:trPr>
        <w:tc>
          <w:tcPr>
            <w:tcW w:w="3924" w:type="dxa"/>
            <w:noWrap/>
            <w:vAlign w:val="bottom"/>
            <w:hideMark/>
          </w:tcPr>
          <w:p w14:paraId="5081EBA3" w14:textId="77777777" w:rsidR="00FA23B0" w:rsidRPr="008B009B" w:rsidRDefault="00FA23B0" w:rsidP="002C32EB">
            <w:pPr>
              <w:rPr>
                <w:rFonts w:ascii="Arial" w:hAnsi="Arial" w:cs="Arial"/>
                <w:sz w:val="20"/>
                <w:szCs w:val="20"/>
              </w:rPr>
            </w:pPr>
            <w:r w:rsidRPr="008B009B">
              <w:rPr>
                <w:rFonts w:ascii="Arial" w:hAnsi="Arial" w:cs="Arial"/>
                <w:sz w:val="20"/>
                <w:szCs w:val="20"/>
              </w:rPr>
              <w:t>Accommodation and food services</w:t>
            </w:r>
          </w:p>
        </w:tc>
        <w:tc>
          <w:tcPr>
            <w:tcW w:w="1463" w:type="dxa"/>
            <w:noWrap/>
            <w:vAlign w:val="bottom"/>
          </w:tcPr>
          <w:p w14:paraId="2339AB9A"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6177</w:t>
            </w:r>
          </w:p>
        </w:tc>
        <w:tc>
          <w:tcPr>
            <w:tcW w:w="1270" w:type="dxa"/>
            <w:noWrap/>
            <w:vAlign w:val="bottom"/>
          </w:tcPr>
          <w:p w14:paraId="7678EF2F"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2,001</w:t>
            </w:r>
          </w:p>
        </w:tc>
        <w:tc>
          <w:tcPr>
            <w:tcW w:w="236" w:type="dxa"/>
          </w:tcPr>
          <w:p w14:paraId="187CDFC7" w14:textId="77777777" w:rsidR="00FA23B0" w:rsidRPr="008B009B" w:rsidRDefault="00FA23B0" w:rsidP="002C32EB">
            <w:pPr>
              <w:ind w:right="316"/>
              <w:jc w:val="right"/>
              <w:rPr>
                <w:rFonts w:ascii="Arial" w:hAnsi="Arial" w:cs="Arial"/>
                <w:sz w:val="20"/>
                <w:szCs w:val="20"/>
              </w:rPr>
            </w:pPr>
          </w:p>
        </w:tc>
        <w:tc>
          <w:tcPr>
            <w:tcW w:w="1329" w:type="dxa"/>
            <w:noWrap/>
            <w:vAlign w:val="bottom"/>
          </w:tcPr>
          <w:p w14:paraId="09A198F5" w14:textId="77777777" w:rsidR="00FA23B0" w:rsidRPr="008B009B" w:rsidRDefault="00FA23B0" w:rsidP="002C32EB">
            <w:pPr>
              <w:ind w:right="316"/>
              <w:jc w:val="right"/>
              <w:rPr>
                <w:rFonts w:ascii="Arial" w:hAnsi="Arial" w:cs="Arial"/>
                <w:sz w:val="20"/>
                <w:szCs w:val="20"/>
              </w:rPr>
            </w:pPr>
            <w:r w:rsidRPr="008B009B">
              <w:rPr>
                <w:rFonts w:ascii="Arial" w:hAnsi="Arial" w:cs="Arial"/>
                <w:sz w:val="20"/>
                <w:szCs w:val="20"/>
              </w:rPr>
              <w:t>32,0</w:t>
            </w:r>
          </w:p>
        </w:tc>
        <w:tc>
          <w:tcPr>
            <w:tcW w:w="1276" w:type="dxa"/>
            <w:noWrap/>
            <w:vAlign w:val="bottom"/>
          </w:tcPr>
          <w:p w14:paraId="1775A34F"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117,0</w:t>
            </w:r>
          </w:p>
        </w:tc>
      </w:tr>
      <w:tr w:rsidR="00FA23B0" w:rsidRPr="008B009B" w14:paraId="410C46B5" w14:textId="77777777" w:rsidTr="002C32EB">
        <w:trPr>
          <w:cantSplit/>
          <w:trHeight w:val="328"/>
          <w:jc w:val="center"/>
        </w:trPr>
        <w:tc>
          <w:tcPr>
            <w:tcW w:w="3924" w:type="dxa"/>
            <w:tcBorders>
              <w:bottom w:val="single" w:sz="4" w:space="0" w:color="auto"/>
            </w:tcBorders>
            <w:noWrap/>
            <w:vAlign w:val="bottom"/>
          </w:tcPr>
          <w:p w14:paraId="77F17B3E" w14:textId="77777777" w:rsidR="00FA23B0" w:rsidRPr="008B009B" w:rsidRDefault="00FA23B0" w:rsidP="002C32EB">
            <w:pPr>
              <w:rPr>
                <w:rFonts w:ascii="Arial" w:hAnsi="Arial" w:cs="Arial"/>
                <w:sz w:val="20"/>
                <w:szCs w:val="20"/>
              </w:rPr>
            </w:pPr>
            <w:r w:rsidRPr="008B009B">
              <w:rPr>
                <w:rFonts w:ascii="Arial" w:hAnsi="Arial" w:cs="Arial"/>
                <w:kern w:val="2"/>
                <w:sz w:val="20"/>
                <w:szCs w:val="20"/>
                <w14:ligatures w14:val="standardContextual"/>
              </w:rPr>
              <w:lastRenderedPageBreak/>
              <w:t>Electricity, water and gas supply</w:t>
            </w:r>
          </w:p>
        </w:tc>
        <w:tc>
          <w:tcPr>
            <w:tcW w:w="1463" w:type="dxa"/>
            <w:tcBorders>
              <w:bottom w:val="single" w:sz="4" w:space="0" w:color="auto"/>
            </w:tcBorders>
            <w:noWrap/>
            <w:vAlign w:val="bottom"/>
          </w:tcPr>
          <w:p w14:paraId="0611F23D"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1,546</w:t>
            </w:r>
          </w:p>
        </w:tc>
        <w:tc>
          <w:tcPr>
            <w:tcW w:w="1270" w:type="dxa"/>
            <w:tcBorders>
              <w:bottom w:val="single" w:sz="4" w:space="0" w:color="auto"/>
            </w:tcBorders>
            <w:noWrap/>
            <w:vAlign w:val="bottom"/>
          </w:tcPr>
          <w:p w14:paraId="7986B33F"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440</w:t>
            </w:r>
          </w:p>
        </w:tc>
        <w:tc>
          <w:tcPr>
            <w:tcW w:w="236" w:type="dxa"/>
            <w:tcBorders>
              <w:bottom w:val="single" w:sz="4" w:space="0" w:color="auto"/>
            </w:tcBorders>
          </w:tcPr>
          <w:p w14:paraId="3F9774B8" w14:textId="77777777" w:rsidR="00FA23B0" w:rsidRPr="008B009B" w:rsidRDefault="00FA23B0" w:rsidP="002C32EB">
            <w:pPr>
              <w:ind w:right="316"/>
              <w:jc w:val="right"/>
              <w:rPr>
                <w:rFonts w:ascii="Arial" w:hAnsi="Arial" w:cs="Arial"/>
                <w:sz w:val="20"/>
                <w:szCs w:val="20"/>
              </w:rPr>
            </w:pPr>
          </w:p>
        </w:tc>
        <w:tc>
          <w:tcPr>
            <w:tcW w:w="1329" w:type="dxa"/>
            <w:tcBorders>
              <w:bottom w:val="single" w:sz="4" w:space="0" w:color="auto"/>
            </w:tcBorders>
            <w:noWrap/>
            <w:vAlign w:val="bottom"/>
          </w:tcPr>
          <w:p w14:paraId="30658200" w14:textId="77777777" w:rsidR="00FA23B0" w:rsidRPr="008B009B" w:rsidRDefault="00FA23B0" w:rsidP="002C32EB">
            <w:pPr>
              <w:ind w:right="316"/>
              <w:jc w:val="right"/>
              <w:rPr>
                <w:rFonts w:ascii="Arial" w:hAnsi="Arial" w:cs="Arial"/>
                <w:sz w:val="20"/>
                <w:szCs w:val="20"/>
              </w:rPr>
            </w:pPr>
            <w:r w:rsidRPr="008B009B">
              <w:rPr>
                <w:rFonts w:ascii="Arial" w:hAnsi="Arial" w:cs="Arial"/>
                <w:sz w:val="20"/>
                <w:szCs w:val="20"/>
              </w:rPr>
              <w:t>60,2</w:t>
            </w:r>
          </w:p>
        </w:tc>
        <w:tc>
          <w:tcPr>
            <w:tcW w:w="1276" w:type="dxa"/>
            <w:tcBorders>
              <w:bottom w:val="single" w:sz="4" w:space="0" w:color="auto"/>
            </w:tcBorders>
            <w:noWrap/>
            <w:vAlign w:val="bottom"/>
          </w:tcPr>
          <w:p w14:paraId="4138F498" w14:textId="77777777" w:rsidR="00FA23B0" w:rsidRPr="008B009B" w:rsidRDefault="00FA23B0" w:rsidP="002C32EB">
            <w:pPr>
              <w:ind w:right="176"/>
              <w:jc w:val="right"/>
              <w:rPr>
                <w:rFonts w:ascii="Arial" w:hAnsi="Arial" w:cs="Arial"/>
                <w:sz w:val="20"/>
                <w:szCs w:val="20"/>
              </w:rPr>
            </w:pPr>
            <w:r w:rsidRPr="008B009B">
              <w:rPr>
                <w:rFonts w:ascii="Arial" w:hAnsi="Arial" w:cs="Arial"/>
                <w:sz w:val="20"/>
                <w:szCs w:val="20"/>
              </w:rPr>
              <w:t>100,9</w:t>
            </w:r>
          </w:p>
        </w:tc>
      </w:tr>
    </w:tbl>
    <w:p w14:paraId="2933C5D8" w14:textId="77777777" w:rsidR="001439EB" w:rsidRPr="008B009B" w:rsidRDefault="001439EB" w:rsidP="001439EB">
      <w:pPr>
        <w:spacing w:before="240" w:after="120" w:line="264" w:lineRule="auto"/>
        <w:ind w:firstLine="720"/>
        <w:jc w:val="both"/>
        <w:rPr>
          <w:b/>
          <w:bCs/>
        </w:rPr>
      </w:pPr>
      <w:bookmarkStart w:id="0" w:name="_Hlk194647683"/>
      <w:r w:rsidRPr="008B009B">
        <w:rPr>
          <w:b/>
          <w:bCs/>
        </w:rPr>
        <w:t>4. Investment</w:t>
      </w:r>
    </w:p>
    <w:p w14:paraId="4239C509" w14:textId="72F39C7A" w:rsidR="001439EB" w:rsidRPr="008B009B" w:rsidRDefault="001439EB" w:rsidP="001439EB">
      <w:pPr>
        <w:spacing w:after="120" w:line="264" w:lineRule="auto"/>
        <w:ind w:firstLine="720"/>
        <w:jc w:val="both"/>
        <w:rPr>
          <w:i/>
          <w:iCs/>
          <w:spacing w:val="-4"/>
        </w:rPr>
      </w:pPr>
      <w:r w:rsidRPr="008B009B">
        <w:rPr>
          <w:i/>
          <w:spacing w:val="-4"/>
        </w:rPr>
        <w:t>State budget investment in August was actively promoted by ministries, agencies and localities contributing a boost to the economic growth. Overall, in during the first eight months of 2026, disbursed investment from the state budget was estimated at 50.5% of the annual plan, representing an 18.5% increase compared to the corresponding period last year. Disbursed foreign direct investment (FDI) in Viet Nam during the same eight-month period stood at an estimated 17.25 billion USD, making up a year-on-year increase of 12</w:t>
      </w:r>
      <w:r w:rsidR="00F73EC7" w:rsidRPr="008B009B">
        <w:rPr>
          <w:i/>
          <w:spacing w:val="-4"/>
        </w:rPr>
        <w:t>%.</w:t>
      </w:r>
    </w:p>
    <w:p w14:paraId="3D48D4BE" w14:textId="622A9174" w:rsidR="001439EB" w:rsidRPr="008B009B" w:rsidRDefault="001439EB" w:rsidP="001439EB">
      <w:pPr>
        <w:spacing w:after="120" w:line="264" w:lineRule="auto"/>
        <w:ind w:firstLine="720"/>
        <w:jc w:val="both"/>
      </w:pPr>
      <w:r w:rsidRPr="008B009B">
        <w:t xml:space="preserve">In August alone, disbursed investment from the State budget reached 105.7 trillion VND (+24.1% YoY); </w:t>
      </w:r>
      <w:r w:rsidR="00F73EC7" w:rsidRPr="008B009B">
        <w:t>this</w:t>
      </w:r>
      <w:r w:rsidRPr="008B009B">
        <w:t xml:space="preserve"> total comprised centrally-managed investment at 15.0 trillion </w:t>
      </w:r>
      <w:r w:rsidR="00F73EC7" w:rsidRPr="008B009B">
        <w:t>VND (</w:t>
      </w:r>
      <w:r w:rsidRPr="008B009B">
        <w:t xml:space="preserve">up 8.3%) and locally-managed </w:t>
      </w:r>
      <w:r w:rsidR="00F73EC7" w:rsidRPr="008B009B">
        <w:t>at 90.7</w:t>
      </w:r>
      <w:r w:rsidRPr="008B009B">
        <w:t xml:space="preserve"> trillion VND (up 27.2%). Cumulatively, for the eight months of 2026, overall disbursed State budget investment was estimated </w:t>
      </w:r>
      <w:r w:rsidR="00B11C13" w:rsidRPr="008B009B">
        <w:t>at 546.8</w:t>
      </w:r>
      <w:r w:rsidRPr="008B009B">
        <w:t xml:space="preserve"> trillion VND, equivalent </w:t>
      </w:r>
      <w:r w:rsidR="006B7BC8" w:rsidRPr="008B009B">
        <w:t xml:space="preserve">to 50.5% of the annual plan, </w:t>
      </w:r>
      <w:r w:rsidRPr="008B009B">
        <w:t xml:space="preserve">representing </w:t>
      </w:r>
      <w:r w:rsidR="006B7BC8" w:rsidRPr="008B009B">
        <w:t xml:space="preserve">an increase of </w:t>
      </w:r>
      <w:r w:rsidRPr="008B009B">
        <w:t>+18.5% YoY (corresponding figure in 2025 were 45.3% of the plan and +26.4% YoY). Specifically:</w:t>
      </w:r>
    </w:p>
    <w:p w14:paraId="2E165B23" w14:textId="1A92C72D" w:rsidR="001439EB" w:rsidRPr="008B009B" w:rsidRDefault="001439EB" w:rsidP="001439EB">
      <w:pPr>
        <w:spacing w:after="120" w:line="264" w:lineRule="auto"/>
        <w:ind w:firstLine="720"/>
        <w:jc w:val="both"/>
      </w:pPr>
      <w:r w:rsidRPr="008B009B">
        <w:rPr>
          <w:bCs/>
          <w:iCs/>
        </w:rPr>
        <w:t xml:space="preserve">- Centrally-managed investment was estimated to reach 75.9 trillion VND, representing 48.2% of the annual plan (+7.9% YoY). Of which, investment managed by specific ministries recorded decreased trends decreases such as: Ministry of Construction </w:t>
      </w:r>
      <w:r w:rsidR="00F73EC7" w:rsidRPr="008B009B">
        <w:rPr>
          <w:bCs/>
          <w:iCs/>
        </w:rPr>
        <w:t>with 19.8</w:t>
      </w:r>
      <w:r w:rsidRPr="008B009B">
        <w:rPr>
          <w:bCs/>
          <w:iCs/>
        </w:rPr>
        <w:t xml:space="preserve"> trillion VND (-49.3%); Ministry of Agriculture and Environment with 3.8 trillion VND (-59.3%); Ministry of Health </w:t>
      </w:r>
      <w:r w:rsidR="00F73EC7" w:rsidRPr="008B009B">
        <w:rPr>
          <w:bCs/>
          <w:iCs/>
        </w:rPr>
        <w:t>with 739.7</w:t>
      </w:r>
      <w:r w:rsidRPr="008B009B">
        <w:rPr>
          <w:bCs/>
          <w:iCs/>
        </w:rPr>
        <w:t xml:space="preserve"> billion VND (-56.4%); and Ministry of Education and Training with 549.1 billion VND (-44.9%)</w:t>
      </w:r>
      <w:r w:rsidRPr="008B009B">
        <w:t xml:space="preserve">. </w:t>
      </w:r>
    </w:p>
    <w:p w14:paraId="2AB30696" w14:textId="070C1DC0" w:rsidR="001439EB" w:rsidRPr="008B009B" w:rsidRDefault="001439EB" w:rsidP="001439EB">
      <w:pPr>
        <w:spacing w:after="120" w:line="264" w:lineRule="auto"/>
        <w:ind w:firstLine="720"/>
        <w:jc w:val="both"/>
        <w:rPr>
          <w:bCs/>
          <w:iCs/>
        </w:rPr>
      </w:pPr>
      <w:r w:rsidRPr="008B009B">
        <w:rPr>
          <w:bCs/>
          <w:iCs/>
        </w:rPr>
        <w:t xml:space="preserve">- Locally-managed investment was estimated </w:t>
      </w:r>
      <w:r w:rsidR="00F73EC7" w:rsidRPr="008B009B">
        <w:rPr>
          <w:bCs/>
          <w:iCs/>
        </w:rPr>
        <w:t>at 470.9</w:t>
      </w:r>
      <w:r w:rsidRPr="008B009B">
        <w:rPr>
          <w:bCs/>
          <w:iCs/>
        </w:rPr>
        <w:t xml:space="preserve"> trillion VND, equivalent to 50.9% of the annual plan and a year-on-year increase of 20.4%, including:</w:t>
      </w:r>
    </w:p>
    <w:p w14:paraId="31107D2A" w14:textId="01A9110C" w:rsidR="001439EB" w:rsidRPr="008B009B" w:rsidRDefault="001439EB" w:rsidP="001439EB">
      <w:pPr>
        <w:pStyle w:val="ListParagraph"/>
        <w:spacing w:after="120" w:line="264" w:lineRule="auto"/>
        <w:ind w:left="0" w:firstLine="720"/>
        <w:contextualSpacing w:val="0"/>
        <w:jc w:val="both"/>
        <w:rPr>
          <w:bCs/>
          <w:iCs/>
        </w:rPr>
      </w:pPr>
      <w:r w:rsidRPr="008B009B">
        <w:rPr>
          <w:bCs/>
          <w:iCs/>
        </w:rPr>
        <w:t xml:space="preserve">State budget investment at provincial </w:t>
      </w:r>
      <w:r w:rsidR="00F73EC7" w:rsidRPr="008B009B">
        <w:rPr>
          <w:bCs/>
          <w:iCs/>
        </w:rPr>
        <w:t>level reached 379.6</w:t>
      </w:r>
      <w:r w:rsidRPr="008B009B">
        <w:rPr>
          <w:bCs/>
          <w:iCs/>
        </w:rPr>
        <w:t xml:space="preserve"> trillion VND, representing 52.0% and a year-on-year upturn of 19.6%;</w:t>
      </w:r>
    </w:p>
    <w:p w14:paraId="609E7179" w14:textId="45802272" w:rsidR="001439EB" w:rsidRPr="008B009B" w:rsidRDefault="001439EB" w:rsidP="001439EB">
      <w:pPr>
        <w:pStyle w:val="ListParagraph"/>
        <w:spacing w:after="120" w:line="264" w:lineRule="auto"/>
        <w:ind w:left="0" w:firstLine="720"/>
        <w:contextualSpacing w:val="0"/>
        <w:jc w:val="both"/>
        <w:rPr>
          <w:rFonts w:eastAsia="Times New Roman"/>
          <w:bCs/>
          <w:iCs/>
        </w:rPr>
      </w:pPr>
      <w:r w:rsidRPr="008B009B">
        <w:rPr>
          <w:bCs/>
          <w:iCs/>
        </w:rPr>
        <w:t xml:space="preserve">State budget investment at commune level </w:t>
      </w:r>
      <w:r w:rsidR="00F73EC7" w:rsidRPr="008B009B">
        <w:rPr>
          <w:bCs/>
          <w:iCs/>
        </w:rPr>
        <w:t>reached 91.3</w:t>
      </w:r>
      <w:r w:rsidRPr="008B009B">
        <w:rPr>
          <w:bCs/>
          <w:iCs/>
        </w:rPr>
        <w:t xml:space="preserve"> trillion VND, equivalent to 46.9%</w:t>
      </w:r>
      <w:r w:rsidR="00D564B1" w:rsidRPr="008B009B">
        <w:rPr>
          <w:bCs/>
          <w:iCs/>
        </w:rPr>
        <w:t>,</w:t>
      </w:r>
      <w:r w:rsidRPr="008B009B">
        <w:rPr>
          <w:bCs/>
          <w:iCs/>
        </w:rPr>
        <w:t xml:space="preserve"> and </w:t>
      </w:r>
      <w:r w:rsidR="00F73EC7" w:rsidRPr="008B009B">
        <w:rPr>
          <w:bCs/>
          <w:iCs/>
        </w:rPr>
        <w:t>a 24.1</w:t>
      </w:r>
      <w:r w:rsidRPr="008B009B">
        <w:rPr>
          <w:bCs/>
          <w:iCs/>
        </w:rPr>
        <w:t>% increase compared to that in 2025</w:t>
      </w:r>
      <w:r w:rsidRPr="008B009B">
        <w:rPr>
          <w:rFonts w:eastAsia="Times New Roman"/>
          <w:bCs/>
          <w:iCs/>
        </w:rPr>
        <w:t>.</w:t>
      </w:r>
    </w:p>
    <w:p w14:paraId="39741828" w14:textId="77777777" w:rsidR="001439EB" w:rsidRPr="008B009B" w:rsidRDefault="001439EB" w:rsidP="001439EB">
      <w:pPr>
        <w:spacing w:after="120" w:line="264" w:lineRule="auto"/>
        <w:ind w:firstLine="720"/>
        <w:jc w:val="both"/>
        <w:rPr>
          <w:bCs/>
          <w:iCs/>
          <w:spacing w:val="-4"/>
        </w:rPr>
      </w:pPr>
      <w:r w:rsidRPr="008B009B">
        <w:rPr>
          <w:bCs/>
          <w:iCs/>
          <w:spacing w:val="-4"/>
        </w:rPr>
        <w:t>Disbursed investment from the State budget during the eight months of 2026 witnessed a sharp increase across many provinces and centrally-run cities.</w:t>
      </w:r>
    </w:p>
    <w:p w14:paraId="35CF9145" w14:textId="77777777" w:rsidR="001439EB" w:rsidRPr="008B009B" w:rsidRDefault="001439EB" w:rsidP="001439EB">
      <w:pPr>
        <w:spacing w:line="276" w:lineRule="auto"/>
        <w:jc w:val="center"/>
        <w:rPr>
          <w:rFonts w:ascii="Arial" w:hAnsi="Arial" w:cs="Arial"/>
          <w:b/>
          <w:bCs/>
          <w:sz w:val="24"/>
          <w:szCs w:val="24"/>
        </w:rPr>
      </w:pPr>
      <w:r w:rsidRPr="008B009B">
        <w:rPr>
          <w:rFonts w:ascii="Arial" w:hAnsi="Arial" w:cs="Arial"/>
          <w:b/>
          <w:bCs/>
          <w:sz w:val="24"/>
          <w:szCs w:val="24"/>
        </w:rPr>
        <w:t>Figure 6. Disbursed investment from the State budget</w:t>
      </w:r>
    </w:p>
    <w:p w14:paraId="7704DCA1" w14:textId="77777777" w:rsidR="001439EB" w:rsidRPr="008B009B" w:rsidRDefault="001439EB" w:rsidP="001439EB">
      <w:pPr>
        <w:spacing w:line="276" w:lineRule="auto"/>
        <w:jc w:val="center"/>
        <w:rPr>
          <w:rFonts w:ascii="Arial" w:hAnsi="Arial" w:cs="Arial"/>
          <w:b/>
          <w:bCs/>
          <w:sz w:val="24"/>
          <w:szCs w:val="24"/>
        </w:rPr>
      </w:pPr>
      <w:r w:rsidRPr="008B009B">
        <w:rPr>
          <w:rFonts w:ascii="Arial" w:hAnsi="Arial" w:cs="Arial"/>
          <w:b/>
          <w:bCs/>
          <w:sz w:val="24"/>
          <w:szCs w:val="24"/>
        </w:rPr>
        <w:t>in the eight months of 2026 in selected localities</w:t>
      </w:r>
    </w:p>
    <w:p w14:paraId="10910128" w14:textId="77777777" w:rsidR="001439EB" w:rsidRPr="008B009B" w:rsidRDefault="001439EB" w:rsidP="001439EB">
      <w:pPr>
        <w:spacing w:line="276" w:lineRule="auto"/>
        <w:jc w:val="center"/>
        <w:rPr>
          <w:rFonts w:ascii="Arial" w:hAnsi="Arial" w:cs="Arial"/>
          <w:b/>
          <w:bCs/>
          <w:sz w:val="24"/>
          <w:szCs w:val="24"/>
        </w:rPr>
      </w:pPr>
    </w:p>
    <w:p w14:paraId="25E607F7" w14:textId="77777777" w:rsidR="001439EB" w:rsidRPr="008B009B" w:rsidRDefault="001439EB" w:rsidP="001439EB">
      <w:pPr>
        <w:spacing w:line="276" w:lineRule="auto"/>
        <w:jc w:val="center"/>
        <w:rPr>
          <w:rFonts w:ascii="Arial" w:hAnsi="Arial" w:cs="Arial"/>
          <w:b/>
          <w:bCs/>
          <w:sz w:val="24"/>
          <w:szCs w:val="24"/>
        </w:rPr>
      </w:pPr>
      <w:r w:rsidRPr="008B009B">
        <w:rPr>
          <w:noProof/>
        </w:rPr>
        <w:lastRenderedPageBreak/>
        <w:drawing>
          <wp:inline distT="0" distB="0" distL="114300" distR="114300" wp14:anchorId="2035C21F" wp14:editId="4964F102">
            <wp:extent cx="5756910" cy="2825750"/>
            <wp:effectExtent l="4445" t="4445" r="10795" b="8255"/>
            <wp:docPr id="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005A395" w14:textId="70FE323C" w:rsidR="001439EB" w:rsidRPr="008B009B" w:rsidRDefault="001439EB" w:rsidP="001439EB">
      <w:pPr>
        <w:spacing w:before="120" w:after="120" w:line="264" w:lineRule="auto"/>
        <w:ind w:firstLine="720"/>
        <w:jc w:val="both"/>
        <w:rPr>
          <w:iCs/>
        </w:rPr>
      </w:pPr>
      <w:r w:rsidRPr="008B009B">
        <w:rPr>
          <w:i/>
          <w:iCs/>
        </w:rPr>
        <w:t>Total inward foreign investment in Viet Nam</w:t>
      </w:r>
      <w:r w:rsidRPr="008B009B">
        <w:rPr>
          <w:i/>
          <w:iCs/>
          <w:vertAlign w:val="superscript"/>
        </w:rPr>
        <w:footnoteReference w:id="15"/>
      </w:r>
      <w:r w:rsidRPr="008B009B">
        <w:rPr>
          <w:i/>
          <w:iCs/>
        </w:rPr>
        <w:t xml:space="preserve"> a</w:t>
      </w:r>
      <w:r w:rsidRPr="008B009B">
        <w:rPr>
          <w:iCs/>
        </w:rPr>
        <w:t>s of August 31</w:t>
      </w:r>
      <w:r w:rsidR="00B11C13">
        <w:rPr>
          <w:iCs/>
          <w:vertAlign w:val="superscript"/>
        </w:rPr>
        <w:t>st</w:t>
      </w:r>
      <w:r w:rsidRPr="008B009B">
        <w:rPr>
          <w:iCs/>
        </w:rPr>
        <w:t>, 2026</w:t>
      </w:r>
      <w:r w:rsidR="00F73EC7" w:rsidRPr="008B009B">
        <w:rPr>
          <w:iCs/>
        </w:rPr>
        <w:t>, including</w:t>
      </w:r>
      <w:r w:rsidRPr="008B009B">
        <w:rPr>
          <w:iCs/>
        </w:rPr>
        <w:t xml:space="preserve"> newly registered capital, adjusting registered capital, and the value of capital contribution and purchasing </w:t>
      </w:r>
      <w:r w:rsidR="00F73EC7" w:rsidRPr="008B009B">
        <w:rPr>
          <w:iCs/>
        </w:rPr>
        <w:t>shares by</w:t>
      </w:r>
      <w:r w:rsidRPr="008B009B">
        <w:rPr>
          <w:iCs/>
        </w:rPr>
        <w:t xml:space="preserve"> foreign investors reached 40.63 billion USD, a year-on-year increase of 55.4%.</w:t>
      </w:r>
    </w:p>
    <w:p w14:paraId="436148A5" w14:textId="77777777" w:rsidR="001439EB" w:rsidRPr="008B009B" w:rsidRDefault="001439EB" w:rsidP="001439EB">
      <w:pPr>
        <w:jc w:val="center"/>
        <w:rPr>
          <w:rFonts w:ascii="Arial" w:hAnsi="Arial" w:cs="Arial"/>
          <w:b/>
          <w:bCs/>
          <w:sz w:val="24"/>
          <w:szCs w:val="24"/>
        </w:rPr>
      </w:pPr>
      <w:r w:rsidRPr="008B009B">
        <w:rPr>
          <w:rFonts w:ascii="Arial" w:hAnsi="Arial" w:cs="Arial"/>
          <w:b/>
          <w:bCs/>
          <w:sz w:val="24"/>
          <w:szCs w:val="24"/>
        </w:rPr>
        <w:t xml:space="preserve">Figure 7. Inward foreign investment in Viet Nam </w:t>
      </w:r>
    </w:p>
    <w:p w14:paraId="062CC0A8" w14:textId="77777777" w:rsidR="001439EB" w:rsidRPr="008B009B" w:rsidRDefault="001439EB" w:rsidP="001439EB">
      <w:pPr>
        <w:jc w:val="center"/>
        <w:rPr>
          <w:rFonts w:ascii="Arial" w:hAnsi="Arial" w:cs="Arial"/>
          <w:b/>
          <w:bCs/>
          <w:sz w:val="24"/>
          <w:szCs w:val="24"/>
        </w:rPr>
      </w:pPr>
      <w:r w:rsidRPr="008B009B">
        <w:rPr>
          <w:rFonts w:ascii="Arial" w:hAnsi="Arial" w:cs="Arial"/>
          <w:b/>
          <w:bCs/>
          <w:sz w:val="24"/>
          <w:szCs w:val="24"/>
        </w:rPr>
        <w:t>In the eight months of 2022-2026 (Billion USD)</w:t>
      </w:r>
    </w:p>
    <w:p w14:paraId="7DE790EB" w14:textId="77777777" w:rsidR="001439EB" w:rsidRPr="008B009B" w:rsidRDefault="001439EB" w:rsidP="001439EB">
      <w:pPr>
        <w:jc w:val="center"/>
        <w:rPr>
          <w:rFonts w:ascii="Arial" w:hAnsi="Arial" w:cs="Arial"/>
          <w:b/>
          <w:bCs/>
          <w:sz w:val="24"/>
          <w:szCs w:val="24"/>
        </w:rPr>
      </w:pPr>
      <w:r w:rsidRPr="008B009B">
        <w:rPr>
          <w:noProof/>
        </w:rPr>
        <w:drawing>
          <wp:inline distT="0" distB="0" distL="114300" distR="114300" wp14:anchorId="407EBA16" wp14:editId="58B5A818">
            <wp:extent cx="6106795" cy="3129915"/>
            <wp:effectExtent l="4445" t="4445" r="22860" b="889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F983D6" w14:textId="3CDC5856" w:rsidR="001439EB" w:rsidRPr="008B009B" w:rsidRDefault="001439EB" w:rsidP="001439EB">
      <w:pPr>
        <w:spacing w:before="240" w:after="120" w:line="264" w:lineRule="auto"/>
        <w:ind w:firstLine="720"/>
        <w:jc w:val="both"/>
        <w:rPr>
          <w:iCs/>
          <w:spacing w:val="-4"/>
        </w:rPr>
      </w:pPr>
      <w:r w:rsidRPr="008B009B">
        <w:rPr>
          <w:iCs/>
          <w:spacing w:val="-4"/>
        </w:rPr>
        <w:t xml:space="preserve">- In terms of newly registered capital: 2,771 projects were licensed with a total registered capital of 21.72 billion USD; a year-on-year increase of 9.4% in the number of projects and an upturn of 96.8% in registered capital. Of which, the largest newly licensed FDI was the manufacturing with 12.15 billion USD, </w:t>
      </w:r>
      <w:r w:rsidRPr="008B009B">
        <w:rPr>
          <w:iCs/>
          <w:spacing w:val="-4"/>
        </w:rPr>
        <w:lastRenderedPageBreak/>
        <w:t>accounting for 55.9% of the total newly registered capital; the electricity, gas, steam and air conditioning supply reached 3.13 bil</w:t>
      </w:r>
      <w:r w:rsidR="00C11EA7" w:rsidRPr="008B009B">
        <w:rPr>
          <w:iCs/>
          <w:spacing w:val="-4"/>
        </w:rPr>
        <w:t>lion USD (</w:t>
      </w:r>
      <w:r w:rsidRPr="008B009B">
        <w:rPr>
          <w:iCs/>
          <w:spacing w:val="-4"/>
        </w:rPr>
        <w:t>making up 14.4%</w:t>
      </w:r>
      <w:r w:rsidR="00C11EA7" w:rsidRPr="008B009B">
        <w:rPr>
          <w:iCs/>
          <w:spacing w:val="-4"/>
        </w:rPr>
        <w:t>)</w:t>
      </w:r>
      <w:r w:rsidRPr="008B009B">
        <w:rPr>
          <w:iCs/>
          <w:spacing w:val="-4"/>
        </w:rPr>
        <w:t xml:space="preserve">; and other </w:t>
      </w:r>
      <w:r w:rsidR="00C11EA7" w:rsidRPr="008B009B">
        <w:rPr>
          <w:iCs/>
          <w:spacing w:val="-4"/>
        </w:rPr>
        <w:t>activities was 6.44 billion USD (</w:t>
      </w:r>
      <w:r w:rsidRPr="008B009B">
        <w:rPr>
          <w:iCs/>
          <w:spacing w:val="-4"/>
        </w:rPr>
        <w:t>constituting 29.7%</w:t>
      </w:r>
      <w:r w:rsidR="00C11EA7" w:rsidRPr="008B009B">
        <w:rPr>
          <w:iCs/>
          <w:spacing w:val="-4"/>
        </w:rPr>
        <w:t>)</w:t>
      </w:r>
      <w:r w:rsidRPr="008B009B">
        <w:rPr>
          <w:iCs/>
          <w:spacing w:val="-4"/>
        </w:rPr>
        <w:t>.</w:t>
      </w:r>
    </w:p>
    <w:p w14:paraId="764383B4" w14:textId="77777777" w:rsidR="001439EB" w:rsidRPr="008B009B" w:rsidRDefault="001439EB" w:rsidP="001439EB">
      <w:pPr>
        <w:spacing w:after="120" w:line="264" w:lineRule="auto"/>
        <w:ind w:firstLine="720"/>
        <w:jc w:val="both"/>
        <w:rPr>
          <w:iCs/>
        </w:rPr>
      </w:pPr>
      <w:r w:rsidRPr="008B009B">
        <w:rPr>
          <w:iCs/>
        </w:rPr>
        <w:t xml:space="preserve">Among the 73 countries and territories with newly licensed investment projects in Viet Nam during the eight months of 2026, Singapore was the largest investor with 7.62 billion USD, accounting for 35.1% of total newly registered capital; followed by South Korea with 5.67 billion USD, making up 26.1%; Hong Kong SAR (China) with 2.96 billion USD, comprising 13.6%; China with 1.93 billion USD, representing 8.9%; Japan with 1.42 billion USD, constituting 6.5%; and the Netherlands with 424.3 million USD, accounting for 2.0%. </w:t>
      </w:r>
    </w:p>
    <w:p w14:paraId="17207DDD" w14:textId="5F428596" w:rsidR="001439EB" w:rsidRPr="008B009B" w:rsidRDefault="001439EB" w:rsidP="001439EB">
      <w:pPr>
        <w:spacing w:after="120" w:line="264" w:lineRule="auto"/>
        <w:ind w:firstLine="720"/>
        <w:jc w:val="both"/>
        <w:rPr>
          <w:iCs/>
        </w:rPr>
      </w:pPr>
      <w:r w:rsidRPr="008B009B">
        <w:rPr>
          <w:iCs/>
        </w:rPr>
        <w:t xml:space="preserve"> - Regarding adjusting registered capital: 819 turns of projects licensed from previous years registered to adjust investment capital upward by </w:t>
      </w:r>
      <w:r w:rsidR="00F73EC7" w:rsidRPr="008B009B">
        <w:rPr>
          <w:iCs/>
        </w:rPr>
        <w:t>a 12.21</w:t>
      </w:r>
      <w:r w:rsidRPr="008B009B">
        <w:rPr>
          <w:iCs/>
        </w:rPr>
        <w:t xml:space="preserve"> billion USD, a year-on-year increase of 14.7</w:t>
      </w:r>
      <w:r w:rsidR="00F73EC7" w:rsidRPr="008B009B">
        <w:rPr>
          <w:iCs/>
        </w:rPr>
        <w:t>%.</w:t>
      </w:r>
    </w:p>
    <w:p w14:paraId="5489494C" w14:textId="599E6ADB" w:rsidR="001439EB" w:rsidRPr="008B009B" w:rsidRDefault="001439EB" w:rsidP="001439EB">
      <w:pPr>
        <w:spacing w:after="120" w:line="264" w:lineRule="auto"/>
        <w:ind w:firstLine="720"/>
        <w:jc w:val="both"/>
        <w:rPr>
          <w:iCs/>
        </w:rPr>
      </w:pPr>
      <w:r w:rsidRPr="008B009B">
        <w:rPr>
          <w:iCs/>
        </w:rPr>
        <w:t xml:space="preserve">If including newly registered capital and adjusting registered capital of licensed </w:t>
      </w:r>
      <w:r w:rsidR="00F73EC7" w:rsidRPr="008B009B">
        <w:rPr>
          <w:iCs/>
        </w:rPr>
        <w:t>projects in</w:t>
      </w:r>
      <w:r w:rsidRPr="008B009B">
        <w:rPr>
          <w:iCs/>
        </w:rPr>
        <w:t xml:space="preserve"> previous years, the registered FDI in the manufacturing reached 20.18 billion USD, accounting for 59.5% of the total newly registered and additional capital; the real estate activities reached 5.32 billion USD, accounting for 15.7%; and other activities reached 8.42 billion USD, making up 24.8%.</w:t>
      </w:r>
    </w:p>
    <w:p w14:paraId="31CDC36C" w14:textId="6971C97B" w:rsidR="001439EB" w:rsidRPr="008B009B" w:rsidRDefault="001439EB" w:rsidP="001439EB">
      <w:pPr>
        <w:spacing w:after="120" w:line="252" w:lineRule="auto"/>
        <w:ind w:firstLine="720"/>
        <w:jc w:val="both"/>
        <w:rPr>
          <w:iCs/>
        </w:rPr>
      </w:pPr>
      <w:r w:rsidRPr="008B009B">
        <w:rPr>
          <w:iCs/>
        </w:rPr>
        <w:t xml:space="preserve">- There </w:t>
      </w:r>
      <w:r w:rsidR="00582F65" w:rsidRPr="008B009B">
        <w:rPr>
          <w:iCs/>
        </w:rPr>
        <w:t>were 2,062</w:t>
      </w:r>
      <w:r w:rsidRPr="008B009B">
        <w:rPr>
          <w:iCs/>
        </w:rPr>
        <w:t xml:space="preserve"> turns of the capital contributions and purchasing shares by foreign investors with a total value </w:t>
      </w:r>
      <w:r w:rsidR="00582F65" w:rsidRPr="008B009B">
        <w:rPr>
          <w:iCs/>
        </w:rPr>
        <w:t>of 6.7</w:t>
      </w:r>
      <w:r w:rsidRPr="008B009B">
        <w:rPr>
          <w:iCs/>
        </w:rPr>
        <w:t xml:space="preserve"> billion USD, a year-on-year increase of 50.1%. Of which, 652 turns of capital contributions and purchasing shares increased in the enterprises</w:t>
      </w:r>
      <w:r w:rsidR="00582F65" w:rsidRPr="008B009B">
        <w:rPr>
          <w:iCs/>
        </w:rPr>
        <w:t>’</w:t>
      </w:r>
      <w:r w:rsidRPr="008B009B">
        <w:rPr>
          <w:iCs/>
        </w:rPr>
        <w:t xml:space="preserve"> charter capital with a capital contribution value of 2.55 billion USD, and 1,410 foreign investors </w:t>
      </w:r>
      <w:r w:rsidR="006174D7" w:rsidRPr="008B009B">
        <w:rPr>
          <w:iCs/>
        </w:rPr>
        <w:t xml:space="preserve">repurchased </w:t>
      </w:r>
      <w:r w:rsidRPr="008B009B">
        <w:rPr>
          <w:iCs/>
        </w:rPr>
        <w:t>domestic shares without making the charter capital increase with a value of 4.15 billion USD. Among capital distribution and purchasing shares by foreign investors, the professional, scientific, and technical activities attracted 2.74 billion USD, accounting for 40.9% of the total contribution value; the wholesale and retail trade and motor vehicles and motorcycles repair achieved 2.01 billion USD, accounting for 30.0%; and other activities reached 1.95 billion USD, making up 29.1%.</w:t>
      </w:r>
    </w:p>
    <w:p w14:paraId="3DCEE5C5" w14:textId="291FCFC6" w:rsidR="001439EB" w:rsidRPr="008B009B" w:rsidRDefault="001439EB" w:rsidP="001439EB">
      <w:pPr>
        <w:spacing w:after="120" w:line="252" w:lineRule="auto"/>
        <w:ind w:firstLine="720"/>
        <w:jc w:val="both"/>
        <w:rPr>
          <w:rFonts w:ascii="Arial" w:hAnsi="Arial" w:cs="Arial"/>
          <w:b/>
          <w:bCs/>
          <w:sz w:val="24"/>
        </w:rPr>
      </w:pPr>
      <w:r w:rsidRPr="008B009B">
        <w:rPr>
          <w:i/>
          <w:iCs/>
        </w:rPr>
        <w:t xml:space="preserve">Total disbursed FDI in Viet Nam </w:t>
      </w:r>
      <w:r w:rsidRPr="008B009B">
        <w:t>in the eight months of 2026 was estimated at 17.25 billion USD (+12.0%</w:t>
      </w:r>
      <w:r w:rsidR="00E37F85" w:rsidRPr="008B009B">
        <w:t xml:space="preserve"> YoY</w:t>
      </w:r>
      <w:r w:rsidRPr="008B009B">
        <w:t xml:space="preserve">), setting the highest figure in </w:t>
      </w:r>
      <w:r w:rsidR="000E60B6" w:rsidRPr="008B009B">
        <w:t>the disbursed</w:t>
      </w:r>
      <w:r w:rsidRPr="008B009B">
        <w:t xml:space="preserve"> FDI for the eight-month period over the past five years. Specifically, the manufacturing reached 14.24 billion USD, accounting for 82.6% of the total disbursed FDI; the real estate activities reached 1.29 billion USD, making up 7.5%; and the electricity, gas, steam, and air conditioning supply reached 622.9 million USD, accounting for 3.6%</w:t>
      </w:r>
      <w:r w:rsidRPr="008B009B">
        <w:rPr>
          <w:iCs/>
        </w:rPr>
        <w:t>.</w:t>
      </w:r>
    </w:p>
    <w:p w14:paraId="455180BF" w14:textId="77777777" w:rsidR="001439EB" w:rsidRPr="008B009B" w:rsidRDefault="001439EB" w:rsidP="001439EB">
      <w:pPr>
        <w:jc w:val="center"/>
        <w:rPr>
          <w:rFonts w:ascii="Arial" w:hAnsi="Arial" w:cs="Arial"/>
          <w:b/>
          <w:bCs/>
          <w:sz w:val="24"/>
        </w:rPr>
      </w:pPr>
      <w:r w:rsidRPr="008B009B">
        <w:rPr>
          <w:rFonts w:ascii="Arial" w:hAnsi="Arial" w:cs="Arial"/>
          <w:b/>
          <w:bCs/>
          <w:sz w:val="24"/>
        </w:rPr>
        <w:t xml:space="preserve">Figure 8. Disbursed foreign direct investment </w:t>
      </w:r>
    </w:p>
    <w:p w14:paraId="62C4F27B" w14:textId="77777777" w:rsidR="001439EB" w:rsidRPr="008B009B" w:rsidRDefault="001439EB" w:rsidP="001439EB">
      <w:pPr>
        <w:jc w:val="center"/>
        <w:rPr>
          <w:rFonts w:ascii="Arial" w:hAnsi="Arial" w:cs="Arial"/>
          <w:b/>
          <w:bCs/>
          <w:sz w:val="24"/>
        </w:rPr>
      </w:pPr>
      <w:r w:rsidRPr="008B009B">
        <w:rPr>
          <w:rFonts w:ascii="Arial" w:hAnsi="Arial" w:cs="Arial"/>
          <w:b/>
          <w:bCs/>
          <w:sz w:val="24"/>
        </w:rPr>
        <w:t>in the eight months of 2022-2026 period (Billion USD)</w:t>
      </w:r>
    </w:p>
    <w:p w14:paraId="38974362" w14:textId="77777777" w:rsidR="001439EB" w:rsidRPr="008B009B" w:rsidRDefault="001439EB" w:rsidP="001439EB">
      <w:pPr>
        <w:jc w:val="center"/>
        <w:rPr>
          <w:rFonts w:ascii="Arial" w:hAnsi="Arial" w:cs="Arial"/>
          <w:b/>
          <w:bCs/>
          <w:sz w:val="24"/>
        </w:rPr>
      </w:pPr>
      <w:r w:rsidRPr="008B009B">
        <w:rPr>
          <w:noProof/>
          <w14:ligatures w14:val="standardContextual"/>
        </w:rPr>
        <w:lastRenderedPageBreak/>
        <w:drawing>
          <wp:inline distT="0" distB="0" distL="0" distR="0" wp14:anchorId="4BFE9335" wp14:editId="00624714">
            <wp:extent cx="4572000" cy="2063750"/>
            <wp:effectExtent l="0" t="0" r="0" b="12700"/>
            <wp:docPr id="38019740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E00D341" w14:textId="0068884A" w:rsidR="001439EB" w:rsidRPr="008B009B" w:rsidRDefault="005C2F52" w:rsidP="001439EB">
      <w:pPr>
        <w:spacing w:before="240" w:after="120" w:line="245" w:lineRule="auto"/>
        <w:ind w:firstLine="720"/>
        <w:jc w:val="both"/>
        <w:rPr>
          <w:i/>
          <w:iCs/>
        </w:rPr>
      </w:pPr>
      <w:r w:rsidRPr="008B009B">
        <w:rPr>
          <w:i/>
          <w:iCs/>
        </w:rPr>
        <w:t>Viet Nam’</w:t>
      </w:r>
      <w:r w:rsidR="001439EB" w:rsidRPr="008B009B">
        <w:rPr>
          <w:i/>
          <w:iCs/>
        </w:rPr>
        <w:t xml:space="preserve">s outward investment activities </w:t>
      </w:r>
      <w:r w:rsidR="001439EB" w:rsidRPr="008B009B">
        <w:t xml:space="preserve">during the eight months of 2026, 113 projects were granted new investment certificates with a total combined capital value of 1.21 billion USD, a 2.8-fold increase over the </w:t>
      </w:r>
      <w:r w:rsidRPr="008B009B">
        <w:t>corresponding period</w:t>
      </w:r>
      <w:r w:rsidR="001439EB" w:rsidRPr="008B009B">
        <w:t xml:space="preserve"> last year. Concurrently, 29 turns of projects adjusted their investment capital upwards an additional 1.41 billion USD, a 10.9-fold rise.</w:t>
      </w:r>
    </w:p>
    <w:p w14:paraId="20B5377C" w14:textId="48BD9A27" w:rsidR="001439EB" w:rsidRPr="008B009B" w:rsidRDefault="001439EB" w:rsidP="001439EB">
      <w:pPr>
        <w:spacing w:after="120" w:line="245" w:lineRule="auto"/>
        <w:ind w:firstLine="720"/>
        <w:jc w:val="both"/>
        <w:rPr>
          <w:iCs/>
          <w:spacing w:val="-4"/>
        </w:rPr>
      </w:pPr>
      <w:r w:rsidRPr="008B009B">
        <w:rPr>
          <w:iCs/>
          <w:spacing w:val="-4"/>
        </w:rPr>
        <w:t>In aggregate, total Viet Nam</w:t>
      </w:r>
      <w:r w:rsidR="005C2F52" w:rsidRPr="008B009B">
        <w:rPr>
          <w:iCs/>
          <w:spacing w:val="-4"/>
        </w:rPr>
        <w:t>’</w:t>
      </w:r>
      <w:r w:rsidRPr="008B009B">
        <w:rPr>
          <w:iCs/>
          <w:spacing w:val="-4"/>
        </w:rPr>
        <w:t xml:space="preserve">s outward FDI (comprising both newly registered and adjusted capital) reached 2.62 billion USD, expanding 4.7 times compared to the same period last year. By activity, the transportation and storage reached 601.7 million USD (comprising 23.0%); the electricity, gas, steam and air conditioning supply reached 585.8 million USD (making up 22.4%); </w:t>
      </w:r>
      <w:r w:rsidR="00AF44E0" w:rsidRPr="008B009B">
        <w:rPr>
          <w:iCs/>
          <w:spacing w:val="-4"/>
        </w:rPr>
        <w:t xml:space="preserve">the </w:t>
      </w:r>
      <w:r w:rsidRPr="008B009B">
        <w:rPr>
          <w:iCs/>
          <w:spacing w:val="-4"/>
        </w:rPr>
        <w:t>agriculture, forestry, and fishing sector reached 516.6 million USD, representing 19.7%; and the manufacturing reached 320.1 million USD, constituting 12.2%.</w:t>
      </w:r>
    </w:p>
    <w:p w14:paraId="6886DC85" w14:textId="31AACF3F" w:rsidR="00AC7A8E" w:rsidRPr="008B009B" w:rsidRDefault="001439EB" w:rsidP="001439EB">
      <w:pPr>
        <w:spacing w:after="120" w:line="245" w:lineRule="auto"/>
        <w:ind w:firstLine="720"/>
        <w:jc w:val="both"/>
        <w:rPr>
          <w:iCs/>
        </w:rPr>
      </w:pPr>
      <w:r w:rsidRPr="008B009B">
        <w:rPr>
          <w:iCs/>
        </w:rPr>
        <w:t>In the eight months of 2026, 35 countries and territories received investment from Viet Nam; of which: Lao</w:t>
      </w:r>
      <w:r w:rsidR="00136182" w:rsidRPr="008B009B">
        <w:rPr>
          <w:iCs/>
        </w:rPr>
        <w:t xml:space="preserve"> PDR</w:t>
      </w:r>
      <w:r w:rsidRPr="008B009B">
        <w:rPr>
          <w:iCs/>
        </w:rPr>
        <w:t xml:space="preserve"> led with 667.5 million USD (accounting for 25.5% of total outward capital), followed by Cambodia with 486.5 million USD (representing 18.6%), India with 323.9 million USD (comprising 12.4%), Indonesia with 313.6 million USD (comprising 12.0%), the Philippines with 167.2 million USD (making up 6.4%), Kazakhstan with 149.9 million USD (</w:t>
      </w:r>
      <w:r w:rsidR="00F73EC7" w:rsidRPr="008B009B">
        <w:rPr>
          <w:iCs/>
        </w:rPr>
        <w:t>accounting</w:t>
      </w:r>
      <w:r w:rsidRPr="008B009B">
        <w:rPr>
          <w:iCs/>
        </w:rPr>
        <w:t xml:space="preserve"> for 5.7%), and the UK with 82.8 million USD (making up 3.2%).</w:t>
      </w:r>
      <w:r w:rsidR="00AC7A8E" w:rsidRPr="008B009B">
        <w:rPr>
          <w:iCs/>
        </w:rPr>
        <w:t xml:space="preserve"> </w:t>
      </w:r>
    </w:p>
    <w:bookmarkEnd w:id="0"/>
    <w:p w14:paraId="0CE79FBF" w14:textId="77777777" w:rsidR="008E2734" w:rsidRPr="008B009B" w:rsidRDefault="008E2734" w:rsidP="008E2734">
      <w:pPr>
        <w:spacing w:after="120" w:line="259" w:lineRule="auto"/>
        <w:ind w:firstLine="720"/>
        <w:jc w:val="both"/>
        <w:rPr>
          <w:b/>
          <w:bCs/>
        </w:rPr>
      </w:pPr>
      <w:r w:rsidRPr="008B009B">
        <w:rPr>
          <w:b/>
        </w:rPr>
        <w:t>5. State budget revenue and expenditure</w:t>
      </w:r>
      <w:r w:rsidRPr="008B009B">
        <w:rPr>
          <w:b/>
          <w:bCs/>
          <w:vertAlign w:val="superscript"/>
        </w:rPr>
        <w:footnoteReference w:id="16"/>
      </w:r>
    </w:p>
    <w:p w14:paraId="2CE80801" w14:textId="77777777" w:rsidR="008E2734" w:rsidRPr="008B009B" w:rsidRDefault="008E2734" w:rsidP="008E2734">
      <w:pPr>
        <w:spacing w:after="120" w:line="259" w:lineRule="auto"/>
        <w:ind w:firstLine="720"/>
        <w:jc w:val="both"/>
        <w:rPr>
          <w:i/>
        </w:rPr>
      </w:pPr>
      <w:r w:rsidRPr="008B009B">
        <w:rPr>
          <w:i/>
        </w:rPr>
        <w:t>State budget revenue in the eight months of 2026 was estimated to increase by 16.0% over the same period last year. State budget expenditure was estimated to increase by 13.3% over the previous year, ensuring the needs of socio-economic development, national defense, security, state management, payment of due debts, and timely payment to beneficiaries according to regulations.</w:t>
      </w:r>
    </w:p>
    <w:p w14:paraId="5C87C8E2" w14:textId="77777777" w:rsidR="008E2734" w:rsidRPr="008B009B" w:rsidRDefault="008E2734" w:rsidP="008E2734">
      <w:pPr>
        <w:spacing w:before="60" w:line="259" w:lineRule="auto"/>
        <w:ind w:firstLine="567"/>
        <w:jc w:val="center"/>
        <w:rPr>
          <w:rFonts w:ascii="Arial" w:hAnsi="Arial" w:cs="Arial"/>
          <w:b/>
          <w:sz w:val="24"/>
          <w:szCs w:val="24"/>
        </w:rPr>
      </w:pPr>
      <w:r w:rsidRPr="008B009B">
        <w:rPr>
          <w:rFonts w:ascii="Arial" w:hAnsi="Arial"/>
          <w:b/>
          <w:sz w:val="24"/>
        </w:rPr>
        <w:t>Figure 9. State budget revenue and expenditure in the 8 months of 2026</w:t>
      </w:r>
    </w:p>
    <w:p w14:paraId="60325A9E" w14:textId="77777777" w:rsidR="008E2734" w:rsidRPr="008B009B" w:rsidRDefault="008E2734" w:rsidP="008E2734">
      <w:pPr>
        <w:spacing w:before="60" w:line="259" w:lineRule="auto"/>
        <w:jc w:val="both"/>
      </w:pPr>
      <w:r w:rsidRPr="008B009B">
        <w:rPr>
          <w:noProof/>
        </w:rPr>
        <w:lastRenderedPageBreak/>
        <w:drawing>
          <wp:inline distT="0" distB="0" distL="0" distR="0" wp14:anchorId="4025EBD1" wp14:editId="09D475A3">
            <wp:extent cx="5699760" cy="2378165"/>
            <wp:effectExtent l="0" t="0" r="0" b="3175"/>
            <wp:docPr id="10" name="Picture 10" descr="E:\GSO tailieu Kien\3. CÔNG VIỆC\2026\5. Dich bao cao Quy 2026\8. Dich BC T8 2026\T8 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SO tailieu Kien\3. CÔNG VIỆC\2026\5. Dich bao cao Quy 2026\8. Dich BC T8 2026\T8 202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99760" cy="2378165"/>
                    </a:xfrm>
                    <a:prstGeom prst="rect">
                      <a:avLst/>
                    </a:prstGeom>
                    <a:noFill/>
                    <a:ln>
                      <a:noFill/>
                    </a:ln>
                  </pic:spPr>
                </pic:pic>
              </a:graphicData>
            </a:graphic>
          </wp:inline>
        </w:drawing>
      </w:r>
    </w:p>
    <w:p w14:paraId="06CB5B69" w14:textId="77777777" w:rsidR="008E2734" w:rsidRPr="008B009B" w:rsidRDefault="008E2734" w:rsidP="008E2734">
      <w:pPr>
        <w:spacing w:before="240" w:after="120" w:line="259" w:lineRule="auto"/>
        <w:ind w:firstLine="720"/>
        <w:jc w:val="both"/>
      </w:pPr>
      <w:r w:rsidRPr="008B009B">
        <w:t>Total state budget revenue in August 2026 was estimated at 150.4 trillion VND. The total state budget revenue accumulated in the eight months of 2026 was estimated at 2,023.8 trillion VND, reaching 80.0% of the annual estimate and going up by 16.0% over the same period last year. In particular, selected revenue items were as follows:</w:t>
      </w:r>
    </w:p>
    <w:p w14:paraId="427E6FDC" w14:textId="73E6A27D" w:rsidR="008E2734" w:rsidRPr="008B009B" w:rsidRDefault="008E2734" w:rsidP="008E2734">
      <w:pPr>
        <w:spacing w:after="120" w:line="259" w:lineRule="auto"/>
        <w:ind w:firstLine="720"/>
        <w:jc w:val="both"/>
      </w:pPr>
      <w:r w:rsidRPr="008B009B">
        <w:t xml:space="preserve">- </w:t>
      </w:r>
      <w:r w:rsidRPr="008B009B">
        <w:rPr>
          <w:i/>
          <w:iCs/>
        </w:rPr>
        <w:t>Domestic revenue</w:t>
      </w:r>
      <w:r w:rsidRPr="008B009B">
        <w:t xml:space="preserve"> in August 2026 was estimated at 130.3 trillion VND. The accrued revenue in the 8 months of 2026 was estimated at 1,752.9 trillion VND, reaching 79.7% of the annual estimate. This figure accounted for 86.6% of total state budget revenue, representing a </w:t>
      </w:r>
      <w:r w:rsidR="001155AA" w:rsidRPr="008B009B">
        <w:t>year-on-year increase</w:t>
      </w:r>
      <w:r w:rsidR="001155AA">
        <w:t xml:space="preserve"> of </w:t>
      </w:r>
      <w:r w:rsidRPr="008B009B">
        <w:t>16.6%</w:t>
      </w:r>
      <w:r w:rsidR="001155AA">
        <w:t>.</w:t>
      </w:r>
    </w:p>
    <w:p w14:paraId="079624EA" w14:textId="6AD6EFFF" w:rsidR="008E2734" w:rsidRPr="008B009B" w:rsidRDefault="008E2734" w:rsidP="008E2734">
      <w:pPr>
        <w:spacing w:after="120" w:line="259" w:lineRule="auto"/>
        <w:ind w:firstLine="720"/>
        <w:jc w:val="both"/>
      </w:pPr>
      <w:r w:rsidRPr="008B009B">
        <w:t xml:space="preserve">- </w:t>
      </w:r>
      <w:r w:rsidR="00FE6CA0" w:rsidRPr="008B009B">
        <w:rPr>
          <w:i/>
          <w:iCs/>
        </w:rPr>
        <w:t>Oil revenue</w:t>
      </w:r>
      <w:r w:rsidRPr="008B009B">
        <w:t xml:space="preserve"> in August 2026 was estimated at 5.8 trillion VND. The accrued revenue in the 8 months of 2026 was estimated at 43.6 trillion VND, reaching 101.5% of the annual estimate. This figure accounted for 2.2% of total state budget revenue, representing a 31</w:t>
      </w:r>
      <w:r w:rsidR="001155AA" w:rsidRPr="001155AA">
        <w:t xml:space="preserve"> </w:t>
      </w:r>
      <w:r w:rsidR="001155AA" w:rsidRPr="008B009B">
        <w:t>year-on-year</w:t>
      </w:r>
      <w:r w:rsidR="001155AA" w:rsidRPr="001155AA">
        <w:t xml:space="preserve"> </w:t>
      </w:r>
      <w:r w:rsidR="001155AA" w:rsidRPr="008B009B">
        <w:t>increase</w:t>
      </w:r>
      <w:r w:rsidR="001155AA">
        <w:t xml:space="preserve"> of </w:t>
      </w:r>
      <w:r w:rsidRPr="008B009B">
        <w:t xml:space="preserve">5%. </w:t>
      </w:r>
    </w:p>
    <w:p w14:paraId="2612DE41" w14:textId="0A00B2A6" w:rsidR="008E2734" w:rsidRPr="008B009B" w:rsidRDefault="008E2734" w:rsidP="008E2734">
      <w:pPr>
        <w:spacing w:after="120" w:line="259" w:lineRule="auto"/>
        <w:ind w:firstLine="720"/>
        <w:jc w:val="both"/>
      </w:pPr>
      <w:r w:rsidRPr="008B009B">
        <w:rPr>
          <w:i/>
        </w:rPr>
        <w:t xml:space="preserve">- </w:t>
      </w:r>
      <w:r w:rsidR="00FE6CA0" w:rsidRPr="008B009B">
        <w:rPr>
          <w:i/>
        </w:rPr>
        <w:t xml:space="preserve">Revenue from budget balance of import-export activities </w:t>
      </w:r>
      <w:r w:rsidRPr="008B009B">
        <w:t xml:space="preserve">in August 2026 was estimated at nearly 13.0 trillion VND. The accrued revenue in the 8 months of 2026 was estimated at 223.9 trillion VND, reaching 80.6% of the annual estimate. This figure accounted for 11.1% of total state budget revenue, representing a </w:t>
      </w:r>
      <w:r w:rsidR="001155AA" w:rsidRPr="008B009B">
        <w:t xml:space="preserve">year-on-year increase </w:t>
      </w:r>
      <w:r w:rsidR="001155AA">
        <w:t xml:space="preserve">of </w:t>
      </w:r>
      <w:r w:rsidRPr="008B009B">
        <w:t>7.9%.</w:t>
      </w:r>
    </w:p>
    <w:p w14:paraId="06103F88" w14:textId="7968F719" w:rsidR="00E72F91" w:rsidRPr="008B009B" w:rsidRDefault="008E2734" w:rsidP="008E2734">
      <w:pPr>
        <w:spacing w:after="120" w:line="259" w:lineRule="auto"/>
        <w:ind w:firstLine="720"/>
        <w:jc w:val="both"/>
      </w:pPr>
      <w:r w:rsidRPr="008B009B">
        <w:t xml:space="preserve">Total state budget expenditure in August 2026 was estimated at 238.1 trillion VND. In the 8 months of 2026, total state budget expenditure reached an estimated 1,608.3 trillion VND, reaching 50.9% of the annual estimate and marking a </w:t>
      </w:r>
      <w:r w:rsidR="001155AA" w:rsidRPr="008B009B">
        <w:t xml:space="preserve">year-on-year increase </w:t>
      </w:r>
      <w:r w:rsidR="001155AA">
        <w:t xml:space="preserve">of </w:t>
      </w:r>
      <w:r w:rsidRPr="008B009B">
        <w:t xml:space="preserve">13.3%. The state budget expenditure fully covered requirements for socio-economic development, national defense, security, and state administration, as well as timely debt service obligations upon maturity. Furthermore, budget allocations ensured prompt disbursements of payroll and salary-related benefits to state beneficiaries, thereby contributing significantly to the effective execution of social welfare policies. Specifically: </w:t>
      </w:r>
      <w:r w:rsidRPr="008B009B">
        <w:rPr>
          <w:i/>
        </w:rPr>
        <w:t>Recurrent expenditure</w:t>
      </w:r>
      <w:r w:rsidRPr="008B009B">
        <w:t xml:space="preserve"> reached 1,015.0 trillion VND, equivalent to 56.1% of the </w:t>
      </w:r>
      <w:r w:rsidRPr="008B009B">
        <w:lastRenderedPageBreak/>
        <w:t>annual estimate, this figure accounted for 63.1% of total state budget expenditure</w:t>
      </w:r>
      <w:r w:rsidRPr="008B009B">
        <w:rPr>
          <w:rStyle w:val="FootnoteReference"/>
          <w:spacing w:val="-4"/>
        </w:rPr>
        <w:footnoteReference w:id="17"/>
      </w:r>
      <w:r w:rsidRPr="008B009B">
        <w:t xml:space="preserve"> (up 4.9% YoY). </w:t>
      </w:r>
      <w:r w:rsidR="00360D2A" w:rsidRPr="008B009B">
        <w:rPr>
          <w:i/>
        </w:rPr>
        <w:t xml:space="preserve">Expenditure on development investment </w:t>
      </w:r>
      <w:r w:rsidRPr="008B009B">
        <w:rPr>
          <w:i/>
        </w:rPr>
        <w:t xml:space="preserve">was </w:t>
      </w:r>
      <w:r w:rsidRPr="008B009B">
        <w:t>514.6 trillion VND, equivalent to 45.9% of the annual estimate, this figure accounted for 32.0% of total state budget expenditure</w:t>
      </w:r>
      <w:r w:rsidRPr="008B009B">
        <w:rPr>
          <w:rStyle w:val="FootnoteReference"/>
          <w:spacing w:val="-4"/>
        </w:rPr>
        <w:footnoteReference w:id="18"/>
      </w:r>
      <w:r w:rsidRPr="008B009B">
        <w:t xml:space="preserve"> (up 35.4% YoY). </w:t>
      </w:r>
      <w:r w:rsidRPr="008B009B">
        <w:rPr>
          <w:i/>
        </w:rPr>
        <w:t>Interest payment</w:t>
      </w:r>
      <w:r w:rsidRPr="008B009B">
        <w:t xml:space="preserve"> was 76.7 trillion VND, equivalent to 63.3% of the annual estimate, this figure accounted for 4.8% of total state budget expenditure (up 11.2% YoY).</w:t>
      </w:r>
    </w:p>
    <w:p w14:paraId="5F764D5D" w14:textId="77777777" w:rsidR="00365923" w:rsidRPr="008B009B" w:rsidRDefault="00365923" w:rsidP="00365923">
      <w:pPr>
        <w:spacing w:after="120" w:line="259" w:lineRule="auto"/>
        <w:ind w:firstLine="720"/>
        <w:jc w:val="both"/>
        <w:rPr>
          <w:b/>
          <w:bCs/>
        </w:rPr>
      </w:pPr>
      <w:r w:rsidRPr="008B009B">
        <w:rPr>
          <w:b/>
          <w:bCs/>
        </w:rPr>
        <w:t xml:space="preserve">6. Trade, prices, transport and tourism </w:t>
      </w:r>
    </w:p>
    <w:p w14:paraId="5882D67B" w14:textId="77777777" w:rsidR="00365923" w:rsidRPr="008B009B" w:rsidRDefault="00365923" w:rsidP="00365923">
      <w:pPr>
        <w:spacing w:after="120" w:line="259" w:lineRule="auto"/>
        <w:ind w:firstLine="720"/>
        <w:rPr>
          <w:b/>
          <w:i/>
        </w:rPr>
      </w:pPr>
      <w:r w:rsidRPr="008B009B">
        <w:rPr>
          <w:b/>
          <w:i/>
        </w:rPr>
        <w:t>a) Retail sales of goods and services</w:t>
      </w:r>
    </w:p>
    <w:p w14:paraId="2E6B0387" w14:textId="77777777" w:rsidR="00365923" w:rsidRPr="008B009B" w:rsidRDefault="00365923" w:rsidP="00365923">
      <w:pPr>
        <w:spacing w:after="120" w:line="259" w:lineRule="auto"/>
        <w:ind w:firstLine="720"/>
        <w:jc w:val="both"/>
        <w:rPr>
          <w:i/>
        </w:rPr>
      </w:pPr>
      <w:r w:rsidRPr="008B009B">
        <w:rPr>
          <w:i/>
        </w:rPr>
        <w:t>Trade and service activities in August continued to maintain their growth momentum. The retail sales of goods and services were estimated to rise by 1.6% MoM and by 14.9% YoY. For the eight months of 2026 cumulatively, overall retail sales of goods and services witnessed a year-on-year surge of 13.3%, reflecting that consumption demand and service activities continued to expand, contributing positively to the overall growth of the service sector.</w:t>
      </w:r>
    </w:p>
    <w:p w14:paraId="5A731986" w14:textId="77777777" w:rsidR="00365923" w:rsidRPr="008B009B" w:rsidRDefault="00365923" w:rsidP="00365923">
      <w:pPr>
        <w:spacing w:after="120" w:line="259" w:lineRule="auto"/>
        <w:ind w:firstLine="720"/>
        <w:jc w:val="both"/>
        <w:rPr>
          <w:iCs/>
        </w:rPr>
      </w:pPr>
      <w:r w:rsidRPr="008B009B">
        <w:rPr>
          <w:iCs/>
        </w:rPr>
        <w:t xml:space="preserve">The retail sales of goods and services at current prices in August 2026 were estimated at 679.8 trillion VND (+1.6% MoM and +14.9% YoY). </w:t>
      </w:r>
    </w:p>
    <w:p w14:paraId="0CA70E76" w14:textId="77777777" w:rsidR="00365923" w:rsidRPr="008B009B" w:rsidRDefault="00365923" w:rsidP="00365923">
      <w:pPr>
        <w:spacing w:after="120" w:line="259" w:lineRule="auto"/>
        <w:ind w:firstLine="720"/>
        <w:jc w:val="both"/>
        <w:rPr>
          <w:iCs/>
        </w:rPr>
      </w:pPr>
      <w:r w:rsidRPr="008B009B">
        <w:rPr>
          <w:iCs/>
        </w:rPr>
        <w:t>Retail sales revenue of most commodity groups in August tended to increase compared to that in the previous month and the same period last year, as follows: other fuels (excluding petrol and oil) (+2.2% MoM and +25.9% YoY); timber and construction materials (+1.8% MoM and +24.8% YoY); gemstones, precious metals and related products (+0.7% MoM and +19.2% YoY); the group of food and foodstuff (+2.0% MoM and +12.9% YoY); repair of motor vehicles, motorcycles and motorbikes (+2.7% MoM and +12.3% YoY); garments (+2.4% MoM and +11.9% YoY); household appliances, tools and equipment (+1.6% MoM and +9.2% YoY); means of transport (excluding automobiles, including spare parts) (+0.3% MoM and +4.3% YoY). However, the group of automobiles of all kinds experienced a MoM decline of 2.7% and a YoY reduction of 1.8%.</w:t>
      </w:r>
    </w:p>
    <w:p w14:paraId="7FE2841A" w14:textId="77777777" w:rsidR="00365923" w:rsidRPr="008B009B" w:rsidRDefault="00365923" w:rsidP="00365923">
      <w:pPr>
        <w:spacing w:after="120" w:line="259" w:lineRule="auto"/>
        <w:ind w:firstLine="720"/>
        <w:jc w:val="both"/>
        <w:rPr>
          <w:iCs/>
        </w:rPr>
      </w:pPr>
      <w:r w:rsidRPr="008B009B">
        <w:rPr>
          <w:iCs/>
        </w:rPr>
        <w:t xml:space="preserve">Accommodation and food service activities increased by 2.6% MoM and by 21.5% YoY, respectively; travelling services decreased by 6.9% MoM but rose by 19.2% YoY; other goods and services groups jumped up 1.5% MoM and 14.8% YoY, respectively. </w:t>
      </w:r>
    </w:p>
    <w:p w14:paraId="2FF2E556" w14:textId="77777777" w:rsidR="00365923" w:rsidRPr="008B009B" w:rsidRDefault="00365923" w:rsidP="00365923">
      <w:pPr>
        <w:spacing w:after="120" w:line="259" w:lineRule="auto"/>
        <w:ind w:firstLine="720"/>
        <w:jc w:val="both"/>
        <w:rPr>
          <w:i/>
        </w:rPr>
      </w:pPr>
      <w:r w:rsidRPr="008B009B">
        <w:rPr>
          <w:i/>
        </w:rPr>
        <w:t xml:space="preserve">  </w:t>
      </w:r>
      <w:r w:rsidRPr="008B009B">
        <w:rPr>
          <w:i/>
        </w:rPr>
        <w:tab/>
      </w:r>
    </w:p>
    <w:p w14:paraId="1454F2E1" w14:textId="77777777" w:rsidR="00365923" w:rsidRPr="008B009B" w:rsidRDefault="00365923" w:rsidP="00365923">
      <w:pPr>
        <w:spacing w:after="120" w:line="254" w:lineRule="auto"/>
        <w:jc w:val="center"/>
        <w:rPr>
          <w:rFonts w:ascii="Arial" w:hAnsi="Arial" w:cs="Arial"/>
          <w:b/>
          <w:bCs/>
          <w:spacing w:val="-6"/>
          <w:sz w:val="24"/>
          <w:szCs w:val="24"/>
        </w:rPr>
      </w:pPr>
      <w:r w:rsidRPr="008B009B">
        <w:rPr>
          <w:rFonts w:ascii="Arial" w:hAnsi="Arial" w:cs="Arial"/>
          <w:b/>
          <w:bCs/>
          <w:spacing w:val="-6"/>
          <w:sz w:val="24"/>
          <w:szCs w:val="24"/>
        </w:rPr>
        <w:t>Table 3. Gross retail sales of goods and services at current prices</w:t>
      </w:r>
    </w:p>
    <w:p w14:paraId="19F66507" w14:textId="77777777" w:rsidR="00365923" w:rsidRPr="008B009B" w:rsidRDefault="00365923" w:rsidP="00365923">
      <w:pPr>
        <w:spacing w:after="120" w:line="254" w:lineRule="auto"/>
        <w:jc w:val="center"/>
        <w:rPr>
          <w:rFonts w:ascii="Arial" w:hAnsi="Arial" w:cs="Arial"/>
          <w:b/>
          <w:bCs/>
          <w:spacing w:val="-6"/>
          <w:sz w:val="24"/>
          <w:szCs w:val="24"/>
        </w:rPr>
      </w:pPr>
      <w:r w:rsidRPr="008B009B">
        <w:rPr>
          <w:rFonts w:ascii="Arial" w:hAnsi="Arial" w:cs="Arial"/>
          <w:b/>
          <w:bCs/>
          <w:spacing w:val="-6"/>
          <w:sz w:val="24"/>
          <w:szCs w:val="24"/>
        </w:rPr>
        <w:t>in the eight months of 2026</w:t>
      </w:r>
    </w:p>
    <w:p w14:paraId="1C8E755E" w14:textId="77777777" w:rsidR="00365923" w:rsidRPr="008B009B" w:rsidRDefault="00365923" w:rsidP="00365923">
      <w:pPr>
        <w:spacing w:line="254" w:lineRule="auto"/>
        <w:jc w:val="right"/>
        <w:rPr>
          <w:rFonts w:ascii="Arial" w:hAnsi="Arial" w:cs="Arial"/>
          <w:b/>
          <w:bCs/>
          <w:i/>
          <w:spacing w:val="-6"/>
          <w:sz w:val="20"/>
          <w:szCs w:val="20"/>
        </w:rPr>
      </w:pPr>
      <w:r w:rsidRPr="008B009B">
        <w:rPr>
          <w:rFonts w:ascii="Arial" w:hAnsi="Arial" w:cs="Arial"/>
          <w:b/>
          <w:bCs/>
          <w:i/>
          <w:spacing w:val="-6"/>
          <w:sz w:val="20"/>
          <w:szCs w:val="20"/>
        </w:rPr>
        <w:lastRenderedPageBreak/>
        <w:t xml:space="preserve">                                                                                                                           Trillion VND </w:t>
      </w:r>
    </w:p>
    <w:tbl>
      <w:tblPr>
        <w:tblW w:w="9051" w:type="dxa"/>
        <w:tblLook w:val="04A0" w:firstRow="1" w:lastRow="0" w:firstColumn="1" w:lastColumn="0" w:noHBand="0" w:noVBand="1"/>
      </w:tblPr>
      <w:tblGrid>
        <w:gridCol w:w="2637"/>
        <w:gridCol w:w="1603"/>
        <w:gridCol w:w="1603"/>
        <w:gridCol w:w="1603"/>
        <w:gridCol w:w="1605"/>
      </w:tblGrid>
      <w:tr w:rsidR="00365923" w:rsidRPr="008B009B" w14:paraId="0E89CFC5" w14:textId="77777777" w:rsidTr="001F5E5E">
        <w:trPr>
          <w:trHeight w:val="375"/>
        </w:trPr>
        <w:tc>
          <w:tcPr>
            <w:tcW w:w="2637" w:type="dxa"/>
            <w:vMerge w:val="restart"/>
            <w:tcBorders>
              <w:top w:val="single" w:sz="4" w:space="0" w:color="auto"/>
              <w:bottom w:val="dotted" w:sz="4" w:space="0" w:color="auto"/>
            </w:tcBorders>
            <w:noWrap/>
            <w:vAlign w:val="bottom"/>
            <w:hideMark/>
          </w:tcPr>
          <w:p w14:paraId="203956FD"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 </w:t>
            </w:r>
          </w:p>
        </w:tc>
        <w:tc>
          <w:tcPr>
            <w:tcW w:w="1603" w:type="dxa"/>
            <w:vMerge w:val="restart"/>
            <w:tcBorders>
              <w:top w:val="single" w:sz="4" w:space="0" w:color="auto"/>
              <w:left w:val="nil"/>
              <w:bottom w:val="single" w:sz="4" w:space="0" w:color="000000"/>
            </w:tcBorders>
            <w:vAlign w:val="center"/>
            <w:hideMark/>
          </w:tcPr>
          <w:p w14:paraId="52CAF875"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Estimate</w:t>
            </w:r>
          </w:p>
          <w:p w14:paraId="4FAA8475"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 xml:space="preserve">for August </w:t>
            </w:r>
          </w:p>
          <w:p w14:paraId="5BA8622E"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2026</w:t>
            </w:r>
          </w:p>
        </w:tc>
        <w:tc>
          <w:tcPr>
            <w:tcW w:w="1603" w:type="dxa"/>
            <w:vMerge w:val="restart"/>
            <w:tcBorders>
              <w:top w:val="single" w:sz="4" w:space="0" w:color="auto"/>
              <w:left w:val="nil"/>
              <w:bottom w:val="single" w:sz="4" w:space="0" w:color="000000"/>
            </w:tcBorders>
            <w:vAlign w:val="center"/>
            <w:hideMark/>
          </w:tcPr>
          <w:p w14:paraId="65CB6B35"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Estimate</w:t>
            </w:r>
          </w:p>
          <w:p w14:paraId="47DCAAB1"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for 8 months</w:t>
            </w:r>
          </w:p>
          <w:p w14:paraId="778D2B5A"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2026</w:t>
            </w:r>
          </w:p>
        </w:tc>
        <w:tc>
          <w:tcPr>
            <w:tcW w:w="3208" w:type="dxa"/>
            <w:gridSpan w:val="2"/>
            <w:tcBorders>
              <w:top w:val="single" w:sz="4" w:space="0" w:color="auto"/>
              <w:left w:val="nil"/>
              <w:bottom w:val="single" w:sz="4" w:space="0" w:color="auto"/>
            </w:tcBorders>
            <w:vAlign w:val="bottom"/>
            <w:hideMark/>
          </w:tcPr>
          <w:p w14:paraId="7DC520D7"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Year-on-Year</w:t>
            </w:r>
            <w:r w:rsidRPr="008B009B">
              <w:rPr>
                <w:rFonts w:ascii="Arial" w:hAnsi="Arial" w:cs="Arial"/>
                <w:sz w:val="20"/>
                <w:szCs w:val="20"/>
              </w:rPr>
              <w:br/>
              <w:t xml:space="preserve">Growth rate (%) </w:t>
            </w:r>
          </w:p>
        </w:tc>
      </w:tr>
      <w:tr w:rsidR="00365923" w:rsidRPr="008B009B" w14:paraId="653D0942" w14:textId="77777777" w:rsidTr="001F5E5E">
        <w:trPr>
          <w:trHeight w:val="384"/>
        </w:trPr>
        <w:tc>
          <w:tcPr>
            <w:tcW w:w="2637" w:type="dxa"/>
            <w:vMerge/>
            <w:tcBorders>
              <w:top w:val="single" w:sz="4" w:space="0" w:color="auto"/>
            </w:tcBorders>
            <w:vAlign w:val="center"/>
            <w:hideMark/>
          </w:tcPr>
          <w:p w14:paraId="57F46F30" w14:textId="77777777" w:rsidR="00365923" w:rsidRPr="008B009B" w:rsidRDefault="00365923" w:rsidP="001F5E5E">
            <w:pPr>
              <w:spacing w:after="120"/>
              <w:rPr>
                <w:rFonts w:ascii="Arial" w:hAnsi="Arial" w:cs="Arial"/>
                <w:sz w:val="20"/>
                <w:szCs w:val="20"/>
              </w:rPr>
            </w:pPr>
          </w:p>
        </w:tc>
        <w:tc>
          <w:tcPr>
            <w:tcW w:w="1603" w:type="dxa"/>
            <w:vMerge/>
            <w:tcBorders>
              <w:top w:val="single" w:sz="4" w:space="0" w:color="auto"/>
              <w:left w:val="nil"/>
              <w:bottom w:val="single" w:sz="4" w:space="0" w:color="auto"/>
            </w:tcBorders>
            <w:vAlign w:val="center"/>
            <w:hideMark/>
          </w:tcPr>
          <w:p w14:paraId="575A6E3C" w14:textId="77777777" w:rsidR="00365923" w:rsidRPr="008B009B" w:rsidRDefault="00365923" w:rsidP="001F5E5E">
            <w:pPr>
              <w:spacing w:after="120"/>
              <w:rPr>
                <w:rFonts w:ascii="Arial" w:hAnsi="Arial" w:cs="Arial"/>
                <w:sz w:val="20"/>
                <w:szCs w:val="20"/>
              </w:rPr>
            </w:pPr>
          </w:p>
        </w:tc>
        <w:tc>
          <w:tcPr>
            <w:tcW w:w="1603" w:type="dxa"/>
            <w:vMerge/>
            <w:tcBorders>
              <w:top w:val="single" w:sz="4" w:space="0" w:color="auto"/>
              <w:left w:val="nil"/>
              <w:bottom w:val="single" w:sz="4" w:space="0" w:color="auto"/>
            </w:tcBorders>
            <w:vAlign w:val="center"/>
            <w:hideMark/>
          </w:tcPr>
          <w:p w14:paraId="4343DFEB" w14:textId="77777777" w:rsidR="00365923" w:rsidRPr="008B009B" w:rsidRDefault="00365923" w:rsidP="001F5E5E">
            <w:pPr>
              <w:spacing w:after="120"/>
              <w:rPr>
                <w:rFonts w:ascii="Arial" w:hAnsi="Arial" w:cs="Arial"/>
                <w:sz w:val="20"/>
                <w:szCs w:val="20"/>
              </w:rPr>
            </w:pPr>
          </w:p>
        </w:tc>
        <w:tc>
          <w:tcPr>
            <w:tcW w:w="1603" w:type="dxa"/>
            <w:tcBorders>
              <w:top w:val="nil"/>
              <w:left w:val="nil"/>
              <w:bottom w:val="single" w:sz="4" w:space="0" w:color="auto"/>
            </w:tcBorders>
            <w:vAlign w:val="center"/>
            <w:hideMark/>
          </w:tcPr>
          <w:p w14:paraId="1DF21855"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August</w:t>
            </w:r>
            <w:r w:rsidRPr="008B009B">
              <w:rPr>
                <w:rFonts w:ascii="Arial" w:hAnsi="Arial" w:cs="Arial"/>
                <w:sz w:val="20"/>
                <w:szCs w:val="20"/>
              </w:rPr>
              <w:br/>
              <w:t>2026</w:t>
            </w:r>
          </w:p>
        </w:tc>
        <w:tc>
          <w:tcPr>
            <w:tcW w:w="1605" w:type="dxa"/>
            <w:tcBorders>
              <w:top w:val="nil"/>
              <w:left w:val="nil"/>
              <w:bottom w:val="single" w:sz="4" w:space="0" w:color="auto"/>
            </w:tcBorders>
            <w:vAlign w:val="center"/>
            <w:hideMark/>
          </w:tcPr>
          <w:p w14:paraId="6B9C462C"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8 months</w:t>
            </w:r>
            <w:r w:rsidRPr="008B009B">
              <w:rPr>
                <w:rFonts w:ascii="Arial" w:hAnsi="Arial" w:cs="Arial"/>
                <w:sz w:val="20"/>
                <w:szCs w:val="20"/>
              </w:rPr>
              <w:br/>
              <w:t>2026</w:t>
            </w:r>
          </w:p>
        </w:tc>
      </w:tr>
      <w:tr w:rsidR="00365923" w:rsidRPr="008B009B" w14:paraId="57AB09AC" w14:textId="77777777" w:rsidTr="001F5E5E">
        <w:trPr>
          <w:trHeight w:val="269"/>
        </w:trPr>
        <w:tc>
          <w:tcPr>
            <w:tcW w:w="2637" w:type="dxa"/>
            <w:tcBorders>
              <w:top w:val="nil"/>
            </w:tcBorders>
            <w:noWrap/>
            <w:vAlign w:val="bottom"/>
            <w:hideMark/>
          </w:tcPr>
          <w:p w14:paraId="71990BCE" w14:textId="77777777" w:rsidR="00365923" w:rsidRPr="008B009B" w:rsidRDefault="00365923" w:rsidP="001F5E5E">
            <w:pPr>
              <w:spacing w:after="120"/>
              <w:rPr>
                <w:rFonts w:ascii="Arial" w:hAnsi="Arial" w:cs="Arial"/>
                <w:b/>
                <w:sz w:val="20"/>
                <w:szCs w:val="20"/>
              </w:rPr>
            </w:pPr>
            <w:r w:rsidRPr="008B009B">
              <w:rPr>
                <w:rFonts w:ascii="Arial" w:hAnsi="Arial" w:cs="Arial"/>
                <w:b/>
                <w:sz w:val="20"/>
                <w:szCs w:val="20"/>
              </w:rPr>
              <w:t>Total</w:t>
            </w:r>
          </w:p>
        </w:tc>
        <w:tc>
          <w:tcPr>
            <w:tcW w:w="1603" w:type="dxa"/>
            <w:tcBorders>
              <w:top w:val="single" w:sz="4" w:space="0" w:color="auto"/>
              <w:left w:val="nil"/>
            </w:tcBorders>
            <w:noWrap/>
            <w:vAlign w:val="center"/>
            <w:hideMark/>
          </w:tcPr>
          <w:p w14:paraId="1766CE15" w14:textId="77777777" w:rsidR="00365923" w:rsidRPr="008B009B" w:rsidRDefault="00365923" w:rsidP="001F5E5E">
            <w:pPr>
              <w:spacing w:after="120"/>
              <w:ind w:right="262"/>
              <w:jc w:val="right"/>
              <w:rPr>
                <w:rFonts w:ascii="Arial" w:hAnsi="Arial" w:cs="Arial"/>
                <w:b/>
                <w:bCs/>
                <w:sz w:val="20"/>
                <w:szCs w:val="20"/>
              </w:rPr>
            </w:pPr>
            <w:r w:rsidRPr="008B009B">
              <w:rPr>
                <w:rFonts w:ascii="Arial" w:hAnsi="Arial" w:cs="Arial"/>
                <w:b/>
                <w:bCs/>
                <w:sz w:val="20"/>
                <w:szCs w:val="20"/>
              </w:rPr>
              <w:t>679.8</w:t>
            </w:r>
          </w:p>
        </w:tc>
        <w:tc>
          <w:tcPr>
            <w:tcW w:w="1603" w:type="dxa"/>
            <w:tcBorders>
              <w:top w:val="single" w:sz="4" w:space="0" w:color="auto"/>
              <w:left w:val="nil"/>
            </w:tcBorders>
            <w:noWrap/>
            <w:vAlign w:val="center"/>
            <w:hideMark/>
          </w:tcPr>
          <w:p w14:paraId="5DFCB300" w14:textId="77777777" w:rsidR="00365923" w:rsidRPr="008B009B" w:rsidRDefault="00365923" w:rsidP="001F5E5E">
            <w:pPr>
              <w:spacing w:after="120"/>
              <w:ind w:right="262"/>
              <w:jc w:val="right"/>
              <w:rPr>
                <w:rFonts w:ascii="Arial" w:hAnsi="Arial" w:cs="Arial"/>
                <w:b/>
                <w:bCs/>
                <w:sz w:val="20"/>
                <w:szCs w:val="20"/>
              </w:rPr>
            </w:pPr>
            <w:r w:rsidRPr="008B009B">
              <w:rPr>
                <w:rFonts w:ascii="Arial" w:hAnsi="Arial" w:cs="Arial"/>
                <w:b/>
                <w:bCs/>
                <w:sz w:val="20"/>
                <w:szCs w:val="20"/>
              </w:rPr>
              <w:t>5,235.5</w:t>
            </w:r>
          </w:p>
        </w:tc>
        <w:tc>
          <w:tcPr>
            <w:tcW w:w="1603" w:type="dxa"/>
            <w:tcBorders>
              <w:top w:val="single" w:sz="4" w:space="0" w:color="auto"/>
              <w:left w:val="nil"/>
            </w:tcBorders>
            <w:noWrap/>
            <w:vAlign w:val="center"/>
            <w:hideMark/>
          </w:tcPr>
          <w:p w14:paraId="426BE9C1" w14:textId="77777777" w:rsidR="00365923" w:rsidRPr="008B009B" w:rsidRDefault="00365923" w:rsidP="001F5E5E">
            <w:pPr>
              <w:spacing w:after="120"/>
              <w:jc w:val="center"/>
              <w:rPr>
                <w:rFonts w:ascii="Arial" w:hAnsi="Arial" w:cs="Arial"/>
                <w:b/>
                <w:bCs/>
                <w:sz w:val="20"/>
                <w:szCs w:val="20"/>
              </w:rPr>
            </w:pPr>
            <w:r w:rsidRPr="008B009B">
              <w:rPr>
                <w:rFonts w:ascii="Arial" w:hAnsi="Arial" w:cs="Arial"/>
                <w:b/>
                <w:bCs/>
                <w:sz w:val="20"/>
                <w:szCs w:val="20"/>
              </w:rPr>
              <w:t>14.9</w:t>
            </w:r>
          </w:p>
        </w:tc>
        <w:tc>
          <w:tcPr>
            <w:tcW w:w="1605" w:type="dxa"/>
            <w:tcBorders>
              <w:top w:val="single" w:sz="4" w:space="0" w:color="auto"/>
              <w:left w:val="nil"/>
            </w:tcBorders>
            <w:noWrap/>
            <w:vAlign w:val="center"/>
            <w:hideMark/>
          </w:tcPr>
          <w:p w14:paraId="40F37A63" w14:textId="77777777" w:rsidR="00365923" w:rsidRPr="008B009B" w:rsidRDefault="00365923" w:rsidP="001F5E5E">
            <w:pPr>
              <w:spacing w:after="120"/>
              <w:jc w:val="center"/>
              <w:rPr>
                <w:rFonts w:ascii="Arial" w:hAnsi="Arial" w:cs="Arial"/>
                <w:b/>
                <w:bCs/>
                <w:sz w:val="20"/>
                <w:szCs w:val="20"/>
              </w:rPr>
            </w:pPr>
            <w:r w:rsidRPr="008B009B">
              <w:rPr>
                <w:rFonts w:ascii="Arial" w:hAnsi="Arial" w:cs="Arial"/>
                <w:b/>
                <w:bCs/>
                <w:sz w:val="20"/>
                <w:szCs w:val="20"/>
              </w:rPr>
              <w:t>13.3</w:t>
            </w:r>
          </w:p>
        </w:tc>
      </w:tr>
      <w:tr w:rsidR="00365923" w:rsidRPr="008B009B" w14:paraId="40866595" w14:textId="77777777" w:rsidTr="001F5E5E">
        <w:trPr>
          <w:trHeight w:val="269"/>
        </w:trPr>
        <w:tc>
          <w:tcPr>
            <w:tcW w:w="2637" w:type="dxa"/>
            <w:noWrap/>
            <w:vAlign w:val="bottom"/>
            <w:hideMark/>
          </w:tcPr>
          <w:p w14:paraId="579EDFED" w14:textId="77777777" w:rsidR="00365923" w:rsidRPr="008B009B" w:rsidRDefault="00365923" w:rsidP="001F5E5E">
            <w:pPr>
              <w:spacing w:after="120"/>
              <w:rPr>
                <w:rFonts w:ascii="Arial" w:hAnsi="Arial" w:cs="Arial"/>
                <w:sz w:val="20"/>
                <w:szCs w:val="20"/>
              </w:rPr>
            </w:pPr>
            <w:r w:rsidRPr="008B009B">
              <w:rPr>
                <w:rFonts w:ascii="Arial" w:hAnsi="Arial" w:cs="Arial"/>
                <w:sz w:val="20"/>
                <w:szCs w:val="20"/>
              </w:rPr>
              <w:t>Retail sales of goods</w:t>
            </w:r>
          </w:p>
        </w:tc>
        <w:tc>
          <w:tcPr>
            <w:tcW w:w="1603" w:type="dxa"/>
            <w:tcBorders>
              <w:left w:val="nil"/>
            </w:tcBorders>
            <w:noWrap/>
            <w:vAlign w:val="center"/>
            <w:hideMark/>
          </w:tcPr>
          <w:p w14:paraId="05017C24" w14:textId="77777777" w:rsidR="00365923" w:rsidRPr="008B009B" w:rsidRDefault="00365923" w:rsidP="001F5E5E">
            <w:pPr>
              <w:spacing w:after="120"/>
              <w:ind w:right="262"/>
              <w:jc w:val="right"/>
              <w:rPr>
                <w:rFonts w:ascii="Arial" w:hAnsi="Arial" w:cs="Arial"/>
                <w:sz w:val="20"/>
                <w:szCs w:val="20"/>
              </w:rPr>
            </w:pPr>
            <w:r w:rsidRPr="008B009B">
              <w:rPr>
                <w:rFonts w:ascii="Arial" w:hAnsi="Arial" w:cs="Arial"/>
                <w:sz w:val="20"/>
                <w:szCs w:val="20"/>
              </w:rPr>
              <w:t>507.4</w:t>
            </w:r>
          </w:p>
        </w:tc>
        <w:tc>
          <w:tcPr>
            <w:tcW w:w="1603" w:type="dxa"/>
            <w:tcBorders>
              <w:left w:val="nil"/>
            </w:tcBorders>
            <w:noWrap/>
            <w:vAlign w:val="center"/>
            <w:hideMark/>
          </w:tcPr>
          <w:p w14:paraId="250419EB" w14:textId="77777777" w:rsidR="00365923" w:rsidRPr="008B009B" w:rsidRDefault="00365923" w:rsidP="001F5E5E">
            <w:pPr>
              <w:spacing w:after="120"/>
              <w:ind w:right="262"/>
              <w:jc w:val="right"/>
              <w:rPr>
                <w:rFonts w:ascii="Arial" w:hAnsi="Arial" w:cs="Arial"/>
                <w:sz w:val="20"/>
                <w:szCs w:val="20"/>
              </w:rPr>
            </w:pPr>
            <w:r w:rsidRPr="008B009B">
              <w:rPr>
                <w:rFonts w:ascii="Arial" w:hAnsi="Arial" w:cs="Arial"/>
                <w:sz w:val="20"/>
                <w:szCs w:val="20"/>
              </w:rPr>
              <w:t>3,947.6</w:t>
            </w:r>
          </w:p>
        </w:tc>
        <w:tc>
          <w:tcPr>
            <w:tcW w:w="1603" w:type="dxa"/>
            <w:tcBorders>
              <w:left w:val="nil"/>
            </w:tcBorders>
            <w:noWrap/>
            <w:vAlign w:val="center"/>
            <w:hideMark/>
          </w:tcPr>
          <w:p w14:paraId="2962FFA0"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13.8</w:t>
            </w:r>
          </w:p>
        </w:tc>
        <w:tc>
          <w:tcPr>
            <w:tcW w:w="1605" w:type="dxa"/>
            <w:tcBorders>
              <w:left w:val="nil"/>
            </w:tcBorders>
            <w:noWrap/>
            <w:vAlign w:val="center"/>
            <w:hideMark/>
          </w:tcPr>
          <w:p w14:paraId="55F559E4"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12.8</w:t>
            </w:r>
          </w:p>
        </w:tc>
      </w:tr>
      <w:tr w:rsidR="00365923" w:rsidRPr="008B009B" w14:paraId="5BCD7C65" w14:textId="77777777" w:rsidTr="001F5E5E">
        <w:trPr>
          <w:trHeight w:val="269"/>
        </w:trPr>
        <w:tc>
          <w:tcPr>
            <w:tcW w:w="2637" w:type="dxa"/>
            <w:tcBorders>
              <w:top w:val="nil"/>
            </w:tcBorders>
            <w:noWrap/>
            <w:vAlign w:val="bottom"/>
            <w:hideMark/>
          </w:tcPr>
          <w:p w14:paraId="7EF3D23A" w14:textId="77777777" w:rsidR="00365923" w:rsidRPr="008B009B" w:rsidRDefault="00365923" w:rsidP="001F5E5E">
            <w:pPr>
              <w:spacing w:after="120"/>
              <w:rPr>
                <w:rFonts w:ascii="Arial" w:hAnsi="Arial" w:cs="Arial"/>
                <w:sz w:val="20"/>
                <w:szCs w:val="20"/>
              </w:rPr>
            </w:pPr>
            <w:r w:rsidRPr="008B009B">
              <w:rPr>
                <w:rFonts w:ascii="Arial" w:hAnsi="Arial" w:cs="Arial"/>
                <w:sz w:val="20"/>
                <w:szCs w:val="20"/>
              </w:rPr>
              <w:t>Accommodation and food services</w:t>
            </w:r>
          </w:p>
        </w:tc>
        <w:tc>
          <w:tcPr>
            <w:tcW w:w="1603" w:type="dxa"/>
            <w:tcBorders>
              <w:top w:val="nil"/>
              <w:left w:val="nil"/>
            </w:tcBorders>
            <w:noWrap/>
            <w:vAlign w:val="center"/>
            <w:hideMark/>
          </w:tcPr>
          <w:p w14:paraId="6AD4F7C0" w14:textId="77777777" w:rsidR="00365923" w:rsidRPr="008B009B" w:rsidRDefault="00365923" w:rsidP="001F5E5E">
            <w:pPr>
              <w:spacing w:after="120"/>
              <w:ind w:right="262"/>
              <w:jc w:val="right"/>
              <w:rPr>
                <w:rFonts w:ascii="Arial" w:hAnsi="Arial" w:cs="Arial"/>
                <w:sz w:val="20"/>
                <w:szCs w:val="20"/>
              </w:rPr>
            </w:pPr>
            <w:r w:rsidRPr="008B009B">
              <w:rPr>
                <w:rFonts w:ascii="Arial" w:hAnsi="Arial" w:cs="Arial"/>
                <w:sz w:val="20"/>
                <w:szCs w:val="20"/>
              </w:rPr>
              <w:t>90.5</w:t>
            </w:r>
          </w:p>
        </w:tc>
        <w:tc>
          <w:tcPr>
            <w:tcW w:w="1603" w:type="dxa"/>
            <w:tcBorders>
              <w:top w:val="nil"/>
              <w:left w:val="nil"/>
            </w:tcBorders>
            <w:noWrap/>
            <w:vAlign w:val="center"/>
            <w:hideMark/>
          </w:tcPr>
          <w:p w14:paraId="0731642F" w14:textId="77777777" w:rsidR="00365923" w:rsidRPr="008B009B" w:rsidRDefault="00365923" w:rsidP="001F5E5E">
            <w:pPr>
              <w:spacing w:after="120"/>
              <w:ind w:right="262"/>
              <w:jc w:val="right"/>
              <w:rPr>
                <w:rFonts w:ascii="Arial" w:hAnsi="Arial" w:cs="Arial"/>
                <w:sz w:val="20"/>
                <w:szCs w:val="20"/>
              </w:rPr>
            </w:pPr>
            <w:r w:rsidRPr="008B009B">
              <w:rPr>
                <w:rFonts w:ascii="Arial" w:hAnsi="Arial" w:cs="Arial"/>
                <w:sz w:val="20"/>
                <w:szCs w:val="20"/>
              </w:rPr>
              <w:t>670.3</w:t>
            </w:r>
          </w:p>
        </w:tc>
        <w:tc>
          <w:tcPr>
            <w:tcW w:w="1603" w:type="dxa"/>
            <w:tcBorders>
              <w:top w:val="nil"/>
              <w:left w:val="nil"/>
            </w:tcBorders>
            <w:noWrap/>
            <w:vAlign w:val="center"/>
            <w:hideMark/>
          </w:tcPr>
          <w:p w14:paraId="0CDD140D"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21.5</w:t>
            </w:r>
          </w:p>
        </w:tc>
        <w:tc>
          <w:tcPr>
            <w:tcW w:w="1605" w:type="dxa"/>
            <w:tcBorders>
              <w:top w:val="nil"/>
              <w:left w:val="nil"/>
            </w:tcBorders>
            <w:noWrap/>
            <w:vAlign w:val="center"/>
            <w:hideMark/>
          </w:tcPr>
          <w:p w14:paraId="1856FA50"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16.4</w:t>
            </w:r>
          </w:p>
        </w:tc>
      </w:tr>
      <w:tr w:rsidR="00365923" w:rsidRPr="008B009B" w14:paraId="7D4DAB42" w14:textId="77777777" w:rsidTr="001F5E5E">
        <w:trPr>
          <w:trHeight w:val="269"/>
        </w:trPr>
        <w:tc>
          <w:tcPr>
            <w:tcW w:w="2637" w:type="dxa"/>
            <w:tcBorders>
              <w:top w:val="nil"/>
            </w:tcBorders>
            <w:noWrap/>
            <w:vAlign w:val="bottom"/>
            <w:hideMark/>
          </w:tcPr>
          <w:p w14:paraId="752A0468" w14:textId="77777777" w:rsidR="00365923" w:rsidRPr="008B009B" w:rsidRDefault="00365923" w:rsidP="001F5E5E">
            <w:pPr>
              <w:spacing w:after="120"/>
              <w:rPr>
                <w:rFonts w:ascii="Arial" w:hAnsi="Arial" w:cs="Arial"/>
                <w:sz w:val="20"/>
                <w:szCs w:val="20"/>
              </w:rPr>
            </w:pPr>
            <w:r w:rsidRPr="008B009B">
              <w:rPr>
                <w:rFonts w:ascii="Arial" w:hAnsi="Arial" w:cs="Arial"/>
                <w:sz w:val="20"/>
                <w:szCs w:val="20"/>
              </w:rPr>
              <w:t xml:space="preserve">Travelling services </w:t>
            </w:r>
          </w:p>
        </w:tc>
        <w:tc>
          <w:tcPr>
            <w:tcW w:w="1603" w:type="dxa"/>
            <w:tcBorders>
              <w:top w:val="nil"/>
              <w:left w:val="nil"/>
            </w:tcBorders>
            <w:noWrap/>
            <w:vAlign w:val="center"/>
            <w:hideMark/>
          </w:tcPr>
          <w:p w14:paraId="67F80230" w14:textId="77777777" w:rsidR="00365923" w:rsidRPr="008B009B" w:rsidRDefault="00365923" w:rsidP="001F5E5E">
            <w:pPr>
              <w:spacing w:after="120"/>
              <w:ind w:right="262"/>
              <w:jc w:val="right"/>
              <w:rPr>
                <w:rFonts w:ascii="Arial" w:hAnsi="Arial" w:cs="Arial"/>
                <w:sz w:val="20"/>
                <w:szCs w:val="20"/>
              </w:rPr>
            </w:pPr>
            <w:r w:rsidRPr="008B009B">
              <w:rPr>
                <w:rFonts w:ascii="Arial" w:hAnsi="Arial" w:cs="Arial"/>
                <w:sz w:val="20"/>
                <w:szCs w:val="20"/>
              </w:rPr>
              <w:t>9.1</w:t>
            </w:r>
          </w:p>
        </w:tc>
        <w:tc>
          <w:tcPr>
            <w:tcW w:w="1603" w:type="dxa"/>
            <w:tcBorders>
              <w:top w:val="nil"/>
              <w:left w:val="nil"/>
            </w:tcBorders>
            <w:noWrap/>
            <w:vAlign w:val="center"/>
            <w:hideMark/>
          </w:tcPr>
          <w:p w14:paraId="3078E7BF" w14:textId="77777777" w:rsidR="00365923" w:rsidRPr="008B009B" w:rsidRDefault="00365923" w:rsidP="001F5E5E">
            <w:pPr>
              <w:spacing w:after="120"/>
              <w:ind w:right="262"/>
              <w:jc w:val="right"/>
              <w:rPr>
                <w:rFonts w:ascii="Arial" w:hAnsi="Arial" w:cs="Arial"/>
                <w:sz w:val="20"/>
                <w:szCs w:val="20"/>
              </w:rPr>
            </w:pPr>
            <w:r w:rsidRPr="008B009B">
              <w:rPr>
                <w:rFonts w:ascii="Arial" w:hAnsi="Arial" w:cs="Arial"/>
                <w:sz w:val="20"/>
                <w:szCs w:val="20"/>
              </w:rPr>
              <w:t>68.7</w:t>
            </w:r>
          </w:p>
        </w:tc>
        <w:tc>
          <w:tcPr>
            <w:tcW w:w="1603" w:type="dxa"/>
            <w:tcBorders>
              <w:top w:val="nil"/>
              <w:left w:val="nil"/>
            </w:tcBorders>
            <w:noWrap/>
            <w:vAlign w:val="center"/>
            <w:hideMark/>
          </w:tcPr>
          <w:p w14:paraId="295F4AFA"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19.2</w:t>
            </w:r>
          </w:p>
        </w:tc>
        <w:tc>
          <w:tcPr>
            <w:tcW w:w="1605" w:type="dxa"/>
            <w:tcBorders>
              <w:top w:val="nil"/>
              <w:left w:val="nil"/>
            </w:tcBorders>
            <w:noWrap/>
            <w:vAlign w:val="center"/>
            <w:hideMark/>
          </w:tcPr>
          <w:p w14:paraId="47CC2253"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17.1</w:t>
            </w:r>
          </w:p>
        </w:tc>
      </w:tr>
      <w:tr w:rsidR="00365923" w:rsidRPr="008B009B" w14:paraId="421A1267" w14:textId="77777777" w:rsidTr="001F5E5E">
        <w:trPr>
          <w:trHeight w:val="269"/>
        </w:trPr>
        <w:tc>
          <w:tcPr>
            <w:tcW w:w="2637" w:type="dxa"/>
            <w:tcBorders>
              <w:bottom w:val="single" w:sz="4" w:space="0" w:color="auto"/>
            </w:tcBorders>
            <w:noWrap/>
            <w:vAlign w:val="bottom"/>
            <w:hideMark/>
          </w:tcPr>
          <w:p w14:paraId="27AFEC67" w14:textId="77777777" w:rsidR="00365923" w:rsidRPr="008B009B" w:rsidRDefault="00365923" w:rsidP="001F5E5E">
            <w:pPr>
              <w:spacing w:after="120"/>
              <w:rPr>
                <w:rFonts w:ascii="Arial" w:hAnsi="Arial" w:cs="Arial"/>
                <w:sz w:val="20"/>
                <w:szCs w:val="20"/>
              </w:rPr>
            </w:pPr>
            <w:r w:rsidRPr="008B009B">
              <w:rPr>
                <w:rFonts w:ascii="Arial" w:hAnsi="Arial" w:cs="Arial"/>
                <w:sz w:val="20"/>
                <w:szCs w:val="20"/>
              </w:rPr>
              <w:t>Other services</w:t>
            </w:r>
          </w:p>
        </w:tc>
        <w:tc>
          <w:tcPr>
            <w:tcW w:w="1603" w:type="dxa"/>
            <w:tcBorders>
              <w:left w:val="nil"/>
              <w:bottom w:val="single" w:sz="4" w:space="0" w:color="auto"/>
            </w:tcBorders>
            <w:noWrap/>
            <w:vAlign w:val="center"/>
            <w:hideMark/>
          </w:tcPr>
          <w:p w14:paraId="230CF4C6" w14:textId="77777777" w:rsidR="00365923" w:rsidRPr="008B009B" w:rsidRDefault="00365923" w:rsidP="001F5E5E">
            <w:pPr>
              <w:spacing w:after="120"/>
              <w:ind w:right="262"/>
              <w:jc w:val="right"/>
              <w:rPr>
                <w:rFonts w:ascii="Arial" w:hAnsi="Arial" w:cs="Arial"/>
                <w:sz w:val="20"/>
                <w:szCs w:val="20"/>
              </w:rPr>
            </w:pPr>
            <w:r w:rsidRPr="008B009B">
              <w:rPr>
                <w:rFonts w:ascii="Arial" w:hAnsi="Arial" w:cs="Arial"/>
                <w:sz w:val="20"/>
                <w:szCs w:val="20"/>
              </w:rPr>
              <w:t>72.8</w:t>
            </w:r>
          </w:p>
        </w:tc>
        <w:tc>
          <w:tcPr>
            <w:tcW w:w="1603" w:type="dxa"/>
            <w:tcBorders>
              <w:left w:val="nil"/>
              <w:bottom w:val="single" w:sz="4" w:space="0" w:color="auto"/>
            </w:tcBorders>
            <w:noWrap/>
            <w:vAlign w:val="center"/>
            <w:hideMark/>
          </w:tcPr>
          <w:p w14:paraId="4317231A" w14:textId="77777777" w:rsidR="00365923" w:rsidRPr="008B009B" w:rsidRDefault="00365923" w:rsidP="001F5E5E">
            <w:pPr>
              <w:spacing w:after="120"/>
              <w:ind w:right="262"/>
              <w:jc w:val="right"/>
              <w:rPr>
                <w:rFonts w:ascii="Arial" w:hAnsi="Arial" w:cs="Arial"/>
                <w:sz w:val="20"/>
                <w:szCs w:val="20"/>
              </w:rPr>
            </w:pPr>
            <w:r w:rsidRPr="008B009B">
              <w:rPr>
                <w:rFonts w:ascii="Arial" w:hAnsi="Arial" w:cs="Arial"/>
                <w:sz w:val="20"/>
                <w:szCs w:val="20"/>
              </w:rPr>
              <w:t>548.9</w:t>
            </w:r>
          </w:p>
        </w:tc>
        <w:tc>
          <w:tcPr>
            <w:tcW w:w="1603" w:type="dxa"/>
            <w:tcBorders>
              <w:left w:val="nil"/>
              <w:bottom w:val="single" w:sz="4" w:space="0" w:color="auto"/>
            </w:tcBorders>
            <w:noWrap/>
            <w:vAlign w:val="center"/>
            <w:hideMark/>
          </w:tcPr>
          <w:p w14:paraId="69AA67BF"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14.8</w:t>
            </w:r>
          </w:p>
        </w:tc>
        <w:tc>
          <w:tcPr>
            <w:tcW w:w="1605" w:type="dxa"/>
            <w:tcBorders>
              <w:left w:val="nil"/>
              <w:bottom w:val="single" w:sz="4" w:space="0" w:color="auto"/>
            </w:tcBorders>
            <w:noWrap/>
            <w:vAlign w:val="center"/>
            <w:hideMark/>
          </w:tcPr>
          <w:p w14:paraId="495AF948" w14:textId="77777777" w:rsidR="00365923" w:rsidRPr="008B009B" w:rsidRDefault="00365923" w:rsidP="001F5E5E">
            <w:pPr>
              <w:spacing w:after="120"/>
              <w:jc w:val="center"/>
              <w:rPr>
                <w:rFonts w:ascii="Arial" w:hAnsi="Arial" w:cs="Arial"/>
                <w:sz w:val="20"/>
                <w:szCs w:val="20"/>
              </w:rPr>
            </w:pPr>
            <w:r w:rsidRPr="008B009B">
              <w:rPr>
                <w:rFonts w:ascii="Arial" w:hAnsi="Arial" w:cs="Arial"/>
                <w:sz w:val="20"/>
                <w:szCs w:val="20"/>
              </w:rPr>
              <w:t>13.2</w:t>
            </w:r>
          </w:p>
        </w:tc>
      </w:tr>
    </w:tbl>
    <w:p w14:paraId="7D40CBB0" w14:textId="77777777" w:rsidR="00365923" w:rsidRPr="008B009B" w:rsidRDefault="00365923" w:rsidP="00365923">
      <w:pPr>
        <w:tabs>
          <w:tab w:val="left" w:pos="2835"/>
        </w:tabs>
        <w:rPr>
          <w:rFonts w:ascii="Arial" w:hAnsi="Arial" w:cs="Arial"/>
          <w:b/>
          <w:i/>
          <w:spacing w:val="-6"/>
          <w:sz w:val="20"/>
          <w:szCs w:val="20"/>
        </w:rPr>
      </w:pPr>
    </w:p>
    <w:p w14:paraId="39D309B6" w14:textId="77777777" w:rsidR="00365923" w:rsidRPr="008B009B" w:rsidRDefault="00365923" w:rsidP="00365923">
      <w:pPr>
        <w:spacing w:after="120" w:line="259" w:lineRule="auto"/>
        <w:ind w:firstLine="567"/>
        <w:jc w:val="both"/>
        <w:rPr>
          <w:iCs/>
          <w:spacing w:val="-4"/>
        </w:rPr>
      </w:pPr>
      <w:r w:rsidRPr="008B009B">
        <w:rPr>
          <w:iCs/>
          <w:spacing w:val="-4"/>
        </w:rPr>
        <w:t xml:space="preserve">Generally, for the eight months of 2026, the retail sales of goods and services at current prices were estimated at 5,235.5 trillion VND, a year-on-year shoot of 13.3%; excluding the price factor, the growth rate stood at 7.6% (compared to an increase of 7.5% in 2025). </w:t>
      </w:r>
    </w:p>
    <w:p w14:paraId="70285ECF" w14:textId="77777777" w:rsidR="00365923" w:rsidRPr="008B009B" w:rsidRDefault="00365923" w:rsidP="00365923">
      <w:pPr>
        <w:spacing w:before="120" w:after="120"/>
        <w:jc w:val="center"/>
        <w:rPr>
          <w:rFonts w:ascii="Arial" w:hAnsi="Arial" w:cs="Arial"/>
          <w:b/>
          <w:bCs/>
          <w:sz w:val="24"/>
          <w:szCs w:val="24"/>
        </w:rPr>
      </w:pPr>
      <w:r w:rsidRPr="008B009B">
        <w:rPr>
          <w:rFonts w:ascii="Arial" w:hAnsi="Arial" w:cs="Arial"/>
          <w:b/>
          <w:bCs/>
          <w:sz w:val="24"/>
          <w:szCs w:val="24"/>
        </w:rPr>
        <w:t xml:space="preserve">Figure 10. Retail sales of goods and services at current prices in the eight months of the 2022–2026 period </w:t>
      </w:r>
    </w:p>
    <w:p w14:paraId="57CA2748" w14:textId="77777777" w:rsidR="00365923" w:rsidRPr="008B009B" w:rsidRDefault="00365923" w:rsidP="00365923">
      <w:pPr>
        <w:spacing w:before="120" w:after="120"/>
        <w:jc w:val="center"/>
        <w:rPr>
          <w:rFonts w:ascii="Arial" w:hAnsi="Arial" w:cs="Arial"/>
          <w:b/>
          <w:bCs/>
          <w:sz w:val="24"/>
          <w:szCs w:val="24"/>
        </w:rPr>
      </w:pPr>
      <w:r w:rsidRPr="008B009B">
        <w:rPr>
          <w:noProof/>
        </w:rPr>
        <w:drawing>
          <wp:inline distT="0" distB="0" distL="0" distR="0" wp14:anchorId="35A113A9" wp14:editId="7F7BFDE7">
            <wp:extent cx="5432425" cy="3162300"/>
            <wp:effectExtent l="0" t="0" r="15875" b="0"/>
            <wp:docPr id="16" name="Chart 16">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8B009B">
        <w:rPr>
          <w:rFonts w:ascii="Arial" w:hAnsi="Arial" w:cs="Arial"/>
          <w:b/>
          <w:bCs/>
          <w:sz w:val="24"/>
          <w:szCs w:val="24"/>
        </w:rPr>
        <w:t xml:space="preserve"> </w:t>
      </w:r>
    </w:p>
    <w:p w14:paraId="0151C735" w14:textId="218B354E" w:rsidR="00365923" w:rsidRPr="008B009B" w:rsidRDefault="00365923" w:rsidP="00365923">
      <w:pPr>
        <w:spacing w:after="120" w:line="259" w:lineRule="auto"/>
        <w:ind w:firstLine="720"/>
        <w:jc w:val="both"/>
        <w:rPr>
          <w:spacing w:val="-4"/>
        </w:rPr>
      </w:pPr>
      <w:r w:rsidRPr="008B009B">
        <w:rPr>
          <w:i/>
          <w:spacing w:val="-4"/>
        </w:rPr>
        <w:t>The retail sales of goods</w:t>
      </w:r>
      <w:r w:rsidRPr="008B009B">
        <w:rPr>
          <w:spacing w:val="-4"/>
        </w:rPr>
        <w:t xml:space="preserve"> in the eight months of 2026 were estimated at 3,947.6 trillion VND, accounting for 75.4% of the total and surging up 12.8% YoY. Of which, turnover from gemstones, precious metals and related products spiked </w:t>
      </w:r>
      <w:r w:rsidR="00B11C13" w:rsidRPr="008B009B">
        <w:rPr>
          <w:spacing w:val="-4"/>
        </w:rPr>
        <w:t>by 28.1</w:t>
      </w:r>
      <w:r w:rsidRPr="008B009B">
        <w:rPr>
          <w:spacing w:val="-4"/>
        </w:rPr>
        <w:t xml:space="preserve">%; other goods shot up 19.2%; timber and construction materials surged up 16.5%; petrol and oil of all kinds soared by 15.2%; other fuels (excluding petrol and oil) rocketed by 16.4%. Retail sales of goods in the eight months of 2026 of some provinces saw a year-on-year increase including: Da Nang (+14.2%); Quang Ninh (+13.9%); Can Tho and Hai Phong (+13.1%); Ha Noi (+12.8%); and Ho Chi Minh City (+12.2%). </w:t>
      </w:r>
    </w:p>
    <w:p w14:paraId="3953EBC2" w14:textId="77777777" w:rsidR="00365923" w:rsidRPr="008B009B" w:rsidRDefault="00365923" w:rsidP="00365923">
      <w:pPr>
        <w:spacing w:after="120" w:line="259" w:lineRule="auto"/>
        <w:ind w:firstLine="720"/>
        <w:jc w:val="both"/>
        <w:rPr>
          <w:spacing w:val="-4"/>
        </w:rPr>
      </w:pPr>
      <w:r w:rsidRPr="008B009B">
        <w:rPr>
          <w:i/>
          <w:spacing w:val="-4"/>
        </w:rPr>
        <w:lastRenderedPageBreak/>
        <w:t>The turnover of accommodation and food service</w:t>
      </w:r>
      <w:r w:rsidRPr="008B009B">
        <w:rPr>
          <w:spacing w:val="-4"/>
        </w:rPr>
        <w:t xml:space="preserve"> activities in the eight months of 2026 was estimated at 670.3 trillion VND, accounting for 12.8% of the total turnover and a </w:t>
      </w:r>
      <w:r w:rsidRPr="008B009B">
        <w:rPr>
          <w:iCs/>
          <w:spacing w:val="-4"/>
        </w:rPr>
        <w:t>year-on-year</w:t>
      </w:r>
      <w:r w:rsidRPr="008B009B">
        <w:rPr>
          <w:spacing w:val="-4"/>
        </w:rPr>
        <w:t xml:space="preserve"> surge of 16.4%. Turnover in the eight months of 2026 compared to that in the same period last year in some localities saw a year-on-year upturn including: Da Nang (+21.4%); Khanh Hoa (+20.4%); Hue (+20.2%); Lam Dong (+19.5%); Thanh Hoa (+17.5%); Hai Phong (+16.8%); Can Tho (+16.5%); Ha Noi (+14.4%); Ho Chi Minh City (+13.9%); and Ca Mau (+13.2%). </w:t>
      </w:r>
    </w:p>
    <w:p w14:paraId="63885176" w14:textId="77777777" w:rsidR="00365923" w:rsidRPr="008B009B" w:rsidRDefault="00365923" w:rsidP="00365923">
      <w:pPr>
        <w:spacing w:after="120" w:line="259" w:lineRule="auto"/>
        <w:ind w:firstLine="720"/>
        <w:jc w:val="both"/>
        <w:rPr>
          <w:spacing w:val="-4"/>
        </w:rPr>
      </w:pPr>
      <w:r w:rsidRPr="008B009B">
        <w:rPr>
          <w:i/>
          <w:spacing w:val="-4"/>
        </w:rPr>
        <w:t>The turnover of travelling</w:t>
      </w:r>
      <w:r w:rsidRPr="008B009B">
        <w:rPr>
          <w:spacing w:val="-4"/>
        </w:rPr>
        <w:t xml:space="preserve"> in the eight months of 2026 was estimated at 68.7 trillion VND, making up 1.3% of the total turnover and a </w:t>
      </w:r>
      <w:r w:rsidRPr="008B009B">
        <w:rPr>
          <w:iCs/>
          <w:spacing w:val="-4"/>
        </w:rPr>
        <w:t>year-on-year</w:t>
      </w:r>
      <w:r w:rsidRPr="008B009B">
        <w:rPr>
          <w:spacing w:val="-4"/>
        </w:rPr>
        <w:t xml:space="preserve"> shoot of 17.1%. Turnover in the eight months of 2026 of some provinces witnessed a year-on-year expansion including: Quang Ninh (+26.5%); An Giang (+21.8%); Ho Chi Minh City (+16.0%); Da Nang (+15.9%); and Ha Noi (+14.1%). </w:t>
      </w:r>
    </w:p>
    <w:p w14:paraId="7FA9F4F4" w14:textId="77777777" w:rsidR="00365923" w:rsidRPr="008B009B" w:rsidRDefault="00365923" w:rsidP="00365923">
      <w:pPr>
        <w:spacing w:after="120" w:line="259" w:lineRule="auto"/>
        <w:ind w:firstLine="720"/>
        <w:jc w:val="both"/>
        <w:rPr>
          <w:spacing w:val="-4"/>
        </w:rPr>
      </w:pPr>
      <w:r w:rsidRPr="008B009B">
        <w:rPr>
          <w:spacing w:val="-4"/>
        </w:rPr>
        <w:t xml:space="preserve">The turnover of other services in the eight months of 2026 was estimated at 548.9 trillion VND, comprising of 10.5% of the total turnover and a </w:t>
      </w:r>
      <w:r w:rsidRPr="008B009B">
        <w:rPr>
          <w:iCs/>
          <w:spacing w:val="-4"/>
        </w:rPr>
        <w:t>year-on-year</w:t>
      </w:r>
      <w:r w:rsidRPr="008B009B">
        <w:rPr>
          <w:spacing w:val="-4"/>
        </w:rPr>
        <w:t xml:space="preserve"> soar of 13.2%. Turnover in the eight months of 2026 in some provinces experienced a year-on-year jump including: Quang Ninh (+29.6%); Hue (+28.2%); Da Nang (+20.9%); Ninh Binh (+21.0%); Ha Noi (+11.2%); and Ho Chi Minh City (+9.6%). </w:t>
      </w:r>
    </w:p>
    <w:p w14:paraId="362733B8" w14:textId="77777777" w:rsidR="00365923" w:rsidRPr="008B009B" w:rsidRDefault="00365923" w:rsidP="00365923">
      <w:pPr>
        <w:tabs>
          <w:tab w:val="num" w:pos="0"/>
          <w:tab w:val="left" w:pos="9475"/>
        </w:tabs>
        <w:spacing w:after="120" w:line="259" w:lineRule="auto"/>
        <w:ind w:firstLine="720"/>
        <w:jc w:val="both"/>
        <w:rPr>
          <w:rStyle w:val="Strong"/>
          <w:i/>
          <w:iCs/>
        </w:rPr>
      </w:pPr>
      <w:r w:rsidRPr="008B009B">
        <w:rPr>
          <w:rStyle w:val="Strong"/>
          <w:i/>
          <w:iCs/>
        </w:rPr>
        <w:t>b) Export and import of goods</w:t>
      </w:r>
      <w:r w:rsidRPr="008B009B">
        <w:rPr>
          <w:rStyle w:val="FootnoteReference"/>
          <w:b/>
          <w:bCs/>
          <w:i/>
          <w:iCs/>
        </w:rPr>
        <w:footnoteReference w:id="19"/>
      </w:r>
    </w:p>
    <w:p w14:paraId="18F7F615" w14:textId="77777777" w:rsidR="00365923" w:rsidRPr="008B009B" w:rsidRDefault="00365923" w:rsidP="00365923">
      <w:pPr>
        <w:tabs>
          <w:tab w:val="num" w:pos="0"/>
          <w:tab w:val="left" w:pos="9475"/>
        </w:tabs>
        <w:spacing w:after="120" w:line="259" w:lineRule="auto"/>
        <w:ind w:firstLine="720"/>
        <w:jc w:val="both"/>
        <w:rPr>
          <w:i/>
        </w:rPr>
      </w:pPr>
      <w:bookmarkStart w:id="1" w:name="_Hlk239192665"/>
      <w:r w:rsidRPr="008B009B">
        <w:rPr>
          <w:i/>
        </w:rPr>
        <w:t>In August, the total export and import turnover of goods</w:t>
      </w:r>
      <w:r w:rsidRPr="008B009B">
        <w:rPr>
          <w:rStyle w:val="FootnoteReference"/>
          <w:i/>
        </w:rPr>
        <w:footnoteReference w:id="20"/>
      </w:r>
      <w:r w:rsidRPr="008B009B">
        <w:rPr>
          <w:i/>
        </w:rPr>
        <w:t xml:space="preserve"> reached 109.7 billion USD, a month-on-month downturn of 0.1% and a year-on-year upturn of 31.7%. Generally, in the eight months of 2026, the total export and import turnover of goods achieved 770.14 billion USD, the highest eight-month figure on record, a year-on-year spike of 28.7%, of which exports and imports shot up 22.4% and 35.3%</w:t>
      </w:r>
      <w:r w:rsidRPr="008B009B">
        <w:rPr>
          <w:rStyle w:val="FootnoteReference"/>
          <w:i/>
        </w:rPr>
        <w:footnoteReference w:id="21"/>
      </w:r>
      <w:r w:rsidRPr="008B009B">
        <w:rPr>
          <w:i/>
        </w:rPr>
        <w:t xml:space="preserve">, respectively. The trade balance of goods recorded a trade deficit of 20.46 billion USD. </w:t>
      </w:r>
    </w:p>
    <w:bookmarkEnd w:id="1"/>
    <w:p w14:paraId="7BA84E1B" w14:textId="77777777" w:rsidR="00365923" w:rsidRPr="008B009B" w:rsidRDefault="00365923" w:rsidP="00365923">
      <w:pPr>
        <w:tabs>
          <w:tab w:val="num" w:pos="0"/>
          <w:tab w:val="left" w:pos="9475"/>
        </w:tabs>
        <w:spacing w:before="120" w:after="120" w:line="288" w:lineRule="auto"/>
        <w:ind w:right="119"/>
        <w:jc w:val="center"/>
        <w:rPr>
          <w:rFonts w:ascii="Arial" w:hAnsi="Arial" w:cs="Arial"/>
          <w:b/>
          <w:bCs/>
          <w:sz w:val="24"/>
          <w:szCs w:val="24"/>
        </w:rPr>
      </w:pPr>
      <w:r w:rsidRPr="008B009B">
        <w:rPr>
          <w:rFonts w:ascii="Arial" w:hAnsi="Arial" w:cs="Arial"/>
          <w:b/>
          <w:bCs/>
          <w:sz w:val="24"/>
          <w:szCs w:val="24"/>
        </w:rPr>
        <w:t>Figure 11. Export and import of goods in the eight months of 2026</w:t>
      </w:r>
    </w:p>
    <w:p w14:paraId="02C950C8" w14:textId="77777777" w:rsidR="00365923" w:rsidRPr="008B009B" w:rsidRDefault="00365923" w:rsidP="00365923">
      <w:pPr>
        <w:tabs>
          <w:tab w:val="num" w:pos="0"/>
          <w:tab w:val="left" w:pos="9475"/>
        </w:tabs>
        <w:spacing w:before="40" w:after="40" w:line="288" w:lineRule="auto"/>
        <w:ind w:right="119"/>
        <w:jc w:val="center"/>
      </w:pPr>
      <w:r w:rsidRPr="008B009B">
        <w:rPr>
          <w:noProof/>
        </w:rPr>
        <w:lastRenderedPageBreak/>
        <mc:AlternateContent>
          <mc:Choice Requires="wps">
            <w:drawing>
              <wp:inline distT="0" distB="0" distL="0" distR="0" wp14:anchorId="52C87A02" wp14:editId="6FFD7890">
                <wp:extent cx="301625" cy="301625"/>
                <wp:effectExtent l="0" t="0" r="0" b="0"/>
                <wp:docPr id="15" name="AutoShape 1" descr="blob:https://chat.zalo.me/c13bab62-5328-4008-a649-4b6f46b098f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371A96" id="AutoShape 1" o:spid="_x0000_s1026" alt="blob:https://chat.zalo.me/c13bab62-5328-4008-a649-4b6f46b098f2"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" filled="f" stroked="f">
                <o:lock v:ext="edit" aspectratio="t"/>
                <w10:anchorlock/>
              </v:rect>
            </w:pict>
          </mc:Fallback>
        </mc:AlternateContent>
      </w:r>
      <w:r w:rsidRPr="008B009B">
        <w:t xml:space="preserve"> </w:t>
      </w:r>
      <w:r w:rsidRPr="008B009B">
        <w:rPr>
          <w:noProof/>
        </w:rPr>
        <w:drawing>
          <wp:inline distT="0" distB="0" distL="0" distR="0" wp14:anchorId="6A072458" wp14:editId="2F0A43DF">
            <wp:extent cx="5762625" cy="19716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1971675"/>
                    </a:xfrm>
                    <a:prstGeom prst="rect">
                      <a:avLst/>
                    </a:prstGeom>
                    <a:noFill/>
                  </pic:spPr>
                </pic:pic>
              </a:graphicData>
            </a:graphic>
          </wp:inline>
        </w:drawing>
      </w:r>
    </w:p>
    <w:p w14:paraId="002CBC96" w14:textId="77777777" w:rsidR="00365923" w:rsidRPr="008B009B" w:rsidRDefault="00365923" w:rsidP="00365923">
      <w:pPr>
        <w:tabs>
          <w:tab w:val="num" w:pos="0"/>
          <w:tab w:val="left" w:pos="9475"/>
        </w:tabs>
        <w:spacing w:after="120" w:line="259" w:lineRule="auto"/>
        <w:ind w:firstLine="720"/>
        <w:jc w:val="both"/>
        <w:rPr>
          <w:rStyle w:val="Strong"/>
          <w:i/>
          <w:iCs/>
        </w:rPr>
      </w:pPr>
      <w:bookmarkStart w:id="2" w:name="_Hlk210660579"/>
      <w:r w:rsidRPr="008B009B">
        <w:rPr>
          <w:rStyle w:val="Strong"/>
          <w:i/>
          <w:iCs/>
        </w:rPr>
        <w:t>Export of goods</w:t>
      </w:r>
    </w:p>
    <w:bookmarkEnd w:id="2"/>
    <w:p w14:paraId="4F4B7540" w14:textId="77777777" w:rsidR="00365923" w:rsidRPr="008B009B" w:rsidRDefault="00365923" w:rsidP="00365923">
      <w:pPr>
        <w:tabs>
          <w:tab w:val="num" w:pos="0"/>
          <w:tab w:val="left" w:pos="9475"/>
        </w:tabs>
        <w:spacing w:after="120" w:line="259" w:lineRule="auto"/>
        <w:ind w:firstLine="720"/>
        <w:jc w:val="both"/>
        <w:rPr>
          <w:bCs/>
        </w:rPr>
      </w:pPr>
      <w:r w:rsidRPr="008B009B">
        <w:rPr>
          <w:bCs/>
        </w:rPr>
        <w:t>The export turnover of goods in August reached 54.79 billion USD, a month-on-month rise of 3.2%. Of which, the domestic economic sector attained 10.5 billion USD, a climb of 2.2%; while the FDI sector (including crude oil) achieved 44.29 billion USD, a soar of 3.4%. The export turnover of goods in August possessed a year-on-year shoot of 26.0%, of which the domestic economic sector and the FDI sector (including crude oil) surged up 14.1% and 29.2%, respectively.</w:t>
      </w:r>
    </w:p>
    <w:p w14:paraId="1CDDEFEA" w14:textId="77777777" w:rsidR="00365923" w:rsidRPr="008B009B" w:rsidRDefault="00365923" w:rsidP="00365923">
      <w:pPr>
        <w:tabs>
          <w:tab w:val="num" w:pos="0"/>
          <w:tab w:val="left" w:pos="9475"/>
        </w:tabs>
        <w:spacing w:after="120" w:line="259" w:lineRule="auto"/>
        <w:ind w:firstLine="720"/>
        <w:jc w:val="both"/>
        <w:rPr>
          <w:bCs/>
        </w:rPr>
      </w:pPr>
      <w:r w:rsidRPr="008B009B">
        <w:rPr>
          <w:bCs/>
        </w:rPr>
        <w:t xml:space="preserve">Overall, the export turnover of goods in the eight months of 2026 obtained 374.84 billion USD, a year-on-year shoot of 22.4%. Of which, the domestic economic sector recorded 74.47 billion USD, an expansion of 7.4%, consisting of 19.9% of total export turnover; the FDI sector (including crude oil) reached 300.37 billion USD, an increase of 26.9%, accounting for 80.1%. </w:t>
      </w:r>
    </w:p>
    <w:p w14:paraId="09499B29" w14:textId="77777777" w:rsidR="00365923" w:rsidRPr="008B009B" w:rsidRDefault="00365923" w:rsidP="00365923">
      <w:pPr>
        <w:tabs>
          <w:tab w:val="num" w:pos="0"/>
          <w:tab w:val="left" w:pos="9475"/>
        </w:tabs>
        <w:spacing w:after="120" w:line="259" w:lineRule="auto"/>
        <w:ind w:firstLine="720"/>
        <w:jc w:val="both"/>
        <w:rPr>
          <w:bCs/>
        </w:rPr>
      </w:pPr>
      <w:r w:rsidRPr="008B009B">
        <w:rPr>
          <w:bCs/>
        </w:rPr>
        <w:t>In the eight months of 2026, there were 33 export items with a value exceeding 1 billion USD, comprising of 93.6% of total export turnover (including 7 items recorded export values of over 10 billion USD, accounting for 70.0%).</w:t>
      </w:r>
    </w:p>
    <w:p w14:paraId="67D21B61" w14:textId="77777777" w:rsidR="00365923" w:rsidRPr="008B009B" w:rsidRDefault="00365923" w:rsidP="00365923">
      <w:pPr>
        <w:tabs>
          <w:tab w:val="num" w:pos="0"/>
          <w:tab w:val="left" w:pos="9475"/>
        </w:tabs>
        <w:spacing w:before="120" w:after="120" w:line="288" w:lineRule="auto"/>
        <w:ind w:right="119" w:firstLine="567"/>
        <w:jc w:val="center"/>
        <w:rPr>
          <w:rFonts w:ascii="Arial" w:eastAsiaTheme="minorHAnsi" w:hAnsi="Arial" w:cs="Arial"/>
          <w:sz w:val="24"/>
          <w:szCs w:val="24"/>
        </w:rPr>
      </w:pPr>
      <w:r w:rsidRPr="008B009B">
        <w:rPr>
          <w:rFonts w:ascii="Arial" w:hAnsi="Arial" w:cs="Arial"/>
          <w:b/>
          <w:bCs/>
          <w:sz w:val="24"/>
          <w:szCs w:val="24"/>
        </w:rPr>
        <w:t>Table 4. Value of some export goods in the eight months of 2026</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1"/>
      </w:tblGrid>
      <w:tr w:rsidR="00365923" w:rsidRPr="008B009B" w14:paraId="74EED338" w14:textId="77777777" w:rsidTr="001F5E5E">
        <w:tc>
          <w:tcPr>
            <w:tcW w:w="4395" w:type="dxa"/>
          </w:tcPr>
          <w:p w14:paraId="02714DE1" w14:textId="77777777" w:rsidR="00365923" w:rsidRPr="008B009B" w:rsidRDefault="00365923" w:rsidP="001F5E5E">
            <w:pPr>
              <w:tabs>
                <w:tab w:val="num" w:pos="0"/>
                <w:tab w:val="left" w:pos="9475"/>
              </w:tabs>
              <w:spacing w:before="40" w:after="40"/>
              <w:ind w:right="119" w:firstLine="567"/>
              <w:jc w:val="both"/>
              <w:rPr>
                <w:rFonts w:ascii="Arial" w:hAnsi="Arial" w:cs="Arial"/>
                <w:b/>
                <w:bCs/>
                <w:i/>
                <w:iCs/>
                <w:sz w:val="20"/>
                <w:szCs w:val="20"/>
                <w:lang w:val="en-US"/>
              </w:rPr>
            </w:pPr>
            <w:r w:rsidRPr="008B009B">
              <w:rPr>
                <w:rFonts w:ascii="Arial" w:hAnsi="Arial" w:cs="Arial"/>
                <w:b/>
                <w:bCs/>
                <w:i/>
                <w:iCs/>
                <w:sz w:val="20"/>
                <w:szCs w:val="20"/>
                <w:lang w:val="en-US"/>
              </w:rPr>
              <w:t xml:space="preserve"> </w:t>
            </w:r>
          </w:p>
        </w:tc>
        <w:tc>
          <w:tcPr>
            <w:tcW w:w="1842" w:type="dxa"/>
            <w:tcBorders>
              <w:top w:val="single" w:sz="4" w:space="0" w:color="auto"/>
              <w:bottom w:val="single" w:sz="4" w:space="0" w:color="auto"/>
            </w:tcBorders>
          </w:tcPr>
          <w:p w14:paraId="4FC56AF5" w14:textId="77777777" w:rsidR="00365923" w:rsidRPr="008B009B" w:rsidRDefault="00365923" w:rsidP="001F5E5E">
            <w:pPr>
              <w:spacing w:before="40" w:after="40"/>
              <w:jc w:val="center"/>
              <w:rPr>
                <w:rFonts w:ascii="Arial" w:hAnsi="Arial" w:cs="Arial"/>
                <w:sz w:val="20"/>
                <w:szCs w:val="20"/>
                <w:lang w:val="en-US"/>
              </w:rPr>
            </w:pPr>
            <w:r w:rsidRPr="008B009B">
              <w:rPr>
                <w:rFonts w:ascii="Arial" w:hAnsi="Arial" w:cs="Arial"/>
                <w:sz w:val="20"/>
                <w:szCs w:val="20"/>
                <w:lang w:val="en-US"/>
              </w:rPr>
              <w:t>Value</w:t>
            </w:r>
          </w:p>
          <w:p w14:paraId="63A51803" w14:textId="77777777" w:rsidR="00365923" w:rsidRPr="008B009B" w:rsidRDefault="00365923" w:rsidP="001F5E5E">
            <w:pPr>
              <w:spacing w:before="40" w:after="40"/>
              <w:jc w:val="center"/>
              <w:rPr>
                <w:rFonts w:ascii="Arial" w:hAnsi="Arial" w:cs="Arial"/>
                <w:b/>
                <w:bCs/>
                <w:i/>
                <w:iCs/>
                <w:sz w:val="20"/>
                <w:szCs w:val="20"/>
                <w:lang w:val="en-US"/>
              </w:rPr>
            </w:pPr>
            <w:r w:rsidRPr="008B009B">
              <w:rPr>
                <w:rFonts w:ascii="Arial" w:hAnsi="Arial" w:cs="Arial"/>
                <w:i/>
                <w:iCs/>
                <w:sz w:val="20"/>
                <w:szCs w:val="20"/>
                <w:lang w:val="en-US"/>
              </w:rPr>
              <w:t xml:space="preserve"> (Mill. USD) </w:t>
            </w:r>
          </w:p>
        </w:tc>
        <w:tc>
          <w:tcPr>
            <w:tcW w:w="2551" w:type="dxa"/>
            <w:tcBorders>
              <w:top w:val="single" w:sz="4" w:space="0" w:color="auto"/>
              <w:bottom w:val="single" w:sz="4" w:space="0" w:color="auto"/>
            </w:tcBorders>
          </w:tcPr>
          <w:p w14:paraId="4F972838" w14:textId="77777777" w:rsidR="00365923" w:rsidRPr="008B009B" w:rsidRDefault="00365923" w:rsidP="001F5E5E">
            <w:pPr>
              <w:spacing w:before="40" w:after="40"/>
              <w:jc w:val="center"/>
              <w:rPr>
                <w:rFonts w:ascii="Arial" w:hAnsi="Arial" w:cs="Arial"/>
                <w:b/>
                <w:bCs/>
                <w:i/>
                <w:iCs/>
                <w:sz w:val="20"/>
                <w:szCs w:val="20"/>
                <w:lang w:val="en-US"/>
              </w:rPr>
            </w:pPr>
            <w:r w:rsidRPr="008B009B">
              <w:rPr>
                <w:rFonts w:ascii="Arial" w:hAnsi="Arial" w:cs="Arial"/>
                <w:sz w:val="20"/>
                <w:szCs w:val="20"/>
                <w:lang w:val="en-US"/>
              </w:rPr>
              <w:t xml:space="preserve">Growth rate YoY (%) </w:t>
            </w:r>
          </w:p>
        </w:tc>
      </w:tr>
      <w:tr w:rsidR="00365923" w:rsidRPr="008B009B" w14:paraId="6FB36646" w14:textId="77777777" w:rsidTr="001F5E5E">
        <w:tc>
          <w:tcPr>
            <w:tcW w:w="4395" w:type="dxa"/>
            <w:vAlign w:val="bottom"/>
          </w:tcPr>
          <w:p w14:paraId="0929F43F" w14:textId="77777777" w:rsidR="00365923" w:rsidRPr="008B009B" w:rsidRDefault="00365923" w:rsidP="001F5E5E">
            <w:pPr>
              <w:spacing w:before="40" w:after="40"/>
              <w:ind w:firstLine="567"/>
              <w:jc w:val="both"/>
              <w:rPr>
                <w:rFonts w:ascii="Arial" w:hAnsi="Arial" w:cs="Arial"/>
                <w:b/>
                <w:bCs/>
                <w:sz w:val="20"/>
                <w:szCs w:val="20"/>
                <w:lang w:val="en-US"/>
              </w:rPr>
            </w:pPr>
            <w:r w:rsidRPr="008B009B">
              <w:rPr>
                <w:rFonts w:ascii="Arial" w:hAnsi="Arial" w:cs="Arial"/>
                <w:b/>
                <w:bCs/>
                <w:sz w:val="20"/>
                <w:szCs w:val="20"/>
                <w:lang w:val="en-US"/>
              </w:rPr>
              <w:t xml:space="preserve">Products with a value of over 10 billion USD </w:t>
            </w:r>
          </w:p>
        </w:tc>
        <w:tc>
          <w:tcPr>
            <w:tcW w:w="1842" w:type="dxa"/>
            <w:tcBorders>
              <w:top w:val="single" w:sz="4" w:space="0" w:color="auto"/>
            </w:tcBorders>
          </w:tcPr>
          <w:p w14:paraId="298BD3C1" w14:textId="77777777" w:rsidR="00365923" w:rsidRPr="008B009B" w:rsidRDefault="00365923" w:rsidP="001F5E5E">
            <w:pPr>
              <w:tabs>
                <w:tab w:val="num" w:pos="0"/>
                <w:tab w:val="left" w:pos="9475"/>
              </w:tabs>
              <w:spacing w:before="40" w:after="40"/>
              <w:ind w:right="119" w:firstLine="567"/>
              <w:jc w:val="both"/>
              <w:rPr>
                <w:rFonts w:ascii="Arial" w:hAnsi="Arial" w:cs="Arial"/>
                <w:b/>
                <w:bCs/>
                <w:i/>
                <w:iCs/>
                <w:sz w:val="20"/>
                <w:szCs w:val="20"/>
                <w:lang w:val="en-US"/>
              </w:rPr>
            </w:pPr>
          </w:p>
        </w:tc>
        <w:tc>
          <w:tcPr>
            <w:tcW w:w="2551" w:type="dxa"/>
            <w:tcBorders>
              <w:top w:val="single" w:sz="4" w:space="0" w:color="auto"/>
            </w:tcBorders>
          </w:tcPr>
          <w:p w14:paraId="744755CC" w14:textId="77777777" w:rsidR="00365923" w:rsidRPr="008B009B" w:rsidRDefault="00365923" w:rsidP="001F5E5E">
            <w:pPr>
              <w:tabs>
                <w:tab w:val="num" w:pos="0"/>
                <w:tab w:val="left" w:pos="9475"/>
              </w:tabs>
              <w:spacing w:before="40" w:after="40"/>
              <w:ind w:right="119" w:firstLine="567"/>
              <w:jc w:val="both"/>
              <w:rPr>
                <w:rFonts w:ascii="Arial" w:hAnsi="Arial" w:cs="Arial"/>
                <w:b/>
                <w:bCs/>
                <w:i/>
                <w:iCs/>
                <w:sz w:val="20"/>
                <w:szCs w:val="20"/>
                <w:lang w:val="en-US"/>
              </w:rPr>
            </w:pPr>
          </w:p>
        </w:tc>
      </w:tr>
      <w:tr w:rsidR="00365923" w:rsidRPr="008B009B" w14:paraId="077AFAE7" w14:textId="77777777" w:rsidTr="001F5E5E">
        <w:tc>
          <w:tcPr>
            <w:tcW w:w="4395" w:type="dxa"/>
            <w:vAlign w:val="bottom"/>
          </w:tcPr>
          <w:p w14:paraId="50676C50" w14:textId="77777777" w:rsidR="00365923" w:rsidRPr="008B009B" w:rsidRDefault="00365923" w:rsidP="001F5E5E">
            <w:pPr>
              <w:spacing w:before="40" w:after="40"/>
              <w:ind w:firstLine="567"/>
              <w:jc w:val="both"/>
              <w:rPr>
                <w:rFonts w:ascii="Arial" w:hAnsi="Arial" w:cs="Arial"/>
                <w:sz w:val="20"/>
                <w:szCs w:val="20"/>
                <w:lang w:val="en-US"/>
              </w:rPr>
            </w:pPr>
            <w:r w:rsidRPr="008B009B">
              <w:rPr>
                <w:rFonts w:ascii="Arial" w:hAnsi="Arial" w:cs="Arial"/>
                <w:sz w:val="20"/>
                <w:szCs w:val="20"/>
                <w:lang w:val="en-US"/>
              </w:rPr>
              <w:t>Electronic goods, computers and their parts</w:t>
            </w:r>
          </w:p>
        </w:tc>
        <w:tc>
          <w:tcPr>
            <w:tcW w:w="1842" w:type="dxa"/>
            <w:vAlign w:val="bottom"/>
          </w:tcPr>
          <w:p w14:paraId="2AB30DA8" w14:textId="77777777" w:rsidR="00365923" w:rsidRPr="008B009B" w:rsidRDefault="00365923" w:rsidP="001F5E5E">
            <w:pPr>
              <w:spacing w:before="40" w:after="40"/>
              <w:ind w:right="456" w:firstLine="36"/>
              <w:jc w:val="right"/>
              <w:rPr>
                <w:rFonts w:ascii="Arial" w:hAnsi="Arial" w:cs="Arial"/>
                <w:sz w:val="20"/>
                <w:szCs w:val="20"/>
                <w:lang w:val="en-US"/>
              </w:rPr>
            </w:pPr>
            <w:r w:rsidRPr="008B009B">
              <w:rPr>
                <w:rFonts w:ascii="Arial" w:hAnsi="Arial" w:cs="Arial"/>
                <w:sz w:val="20"/>
                <w:szCs w:val="20"/>
                <w:lang w:val="en-US"/>
              </w:rPr>
              <w:t>101,059</w:t>
            </w:r>
          </w:p>
        </w:tc>
        <w:tc>
          <w:tcPr>
            <w:tcW w:w="2551" w:type="dxa"/>
            <w:vAlign w:val="bottom"/>
          </w:tcPr>
          <w:p w14:paraId="321FC2A5" w14:textId="77777777" w:rsidR="00365923" w:rsidRPr="008B009B" w:rsidRDefault="00365923" w:rsidP="001F5E5E">
            <w:pPr>
              <w:spacing w:before="40" w:after="40"/>
              <w:ind w:right="880" w:firstLine="36"/>
              <w:jc w:val="right"/>
              <w:rPr>
                <w:rFonts w:ascii="Arial" w:hAnsi="Arial" w:cs="Arial"/>
                <w:sz w:val="20"/>
                <w:szCs w:val="20"/>
                <w:lang w:val="en-US"/>
              </w:rPr>
            </w:pPr>
            <w:r w:rsidRPr="008B009B">
              <w:rPr>
                <w:rFonts w:ascii="Arial" w:hAnsi="Arial" w:cs="Arial"/>
                <w:sz w:val="20"/>
                <w:szCs w:val="20"/>
                <w:lang w:val="en-US"/>
              </w:rPr>
              <w:t>51.1</w:t>
            </w:r>
          </w:p>
        </w:tc>
      </w:tr>
      <w:tr w:rsidR="00365923" w:rsidRPr="008B009B" w14:paraId="150205FF" w14:textId="77777777" w:rsidTr="001F5E5E">
        <w:tc>
          <w:tcPr>
            <w:tcW w:w="4395" w:type="dxa"/>
            <w:vAlign w:val="bottom"/>
          </w:tcPr>
          <w:p w14:paraId="13F823EC" w14:textId="77777777" w:rsidR="00365923" w:rsidRPr="008B009B" w:rsidRDefault="00365923" w:rsidP="001F5E5E">
            <w:pPr>
              <w:spacing w:before="40" w:after="40"/>
              <w:ind w:firstLine="567"/>
              <w:jc w:val="both"/>
              <w:rPr>
                <w:rFonts w:ascii="Arial" w:hAnsi="Arial" w:cs="Arial"/>
                <w:sz w:val="20"/>
                <w:szCs w:val="20"/>
                <w:lang w:val="en-US"/>
              </w:rPr>
            </w:pPr>
            <w:r w:rsidRPr="008B009B">
              <w:rPr>
                <w:rFonts w:ascii="Arial" w:hAnsi="Arial" w:cs="Arial"/>
                <w:sz w:val="20"/>
                <w:szCs w:val="20"/>
                <w:lang w:val="en-US"/>
              </w:rPr>
              <w:t xml:space="preserve">Machinery, instrument, accessory </w:t>
            </w:r>
          </w:p>
        </w:tc>
        <w:tc>
          <w:tcPr>
            <w:tcW w:w="1842" w:type="dxa"/>
            <w:vAlign w:val="bottom"/>
          </w:tcPr>
          <w:p w14:paraId="3186CA76" w14:textId="77777777" w:rsidR="00365923" w:rsidRPr="008B009B" w:rsidRDefault="00365923" w:rsidP="001F5E5E">
            <w:pPr>
              <w:spacing w:before="40" w:after="40"/>
              <w:ind w:right="456" w:firstLine="36"/>
              <w:jc w:val="right"/>
              <w:rPr>
                <w:rFonts w:ascii="Arial" w:hAnsi="Arial" w:cs="Arial"/>
                <w:sz w:val="20"/>
                <w:szCs w:val="20"/>
                <w:lang w:val="en-US"/>
              </w:rPr>
            </w:pPr>
            <w:r w:rsidRPr="008B009B">
              <w:rPr>
                <w:rFonts w:ascii="Arial" w:hAnsi="Arial" w:cs="Arial"/>
                <w:sz w:val="20"/>
                <w:szCs w:val="20"/>
                <w:lang w:val="en-US"/>
              </w:rPr>
              <w:t>47,289</w:t>
            </w:r>
          </w:p>
        </w:tc>
        <w:tc>
          <w:tcPr>
            <w:tcW w:w="2551" w:type="dxa"/>
            <w:vAlign w:val="bottom"/>
          </w:tcPr>
          <w:p w14:paraId="1B11CD69" w14:textId="77777777" w:rsidR="00365923" w:rsidRPr="008B009B" w:rsidRDefault="00365923" w:rsidP="001F5E5E">
            <w:pPr>
              <w:spacing w:before="40" w:after="40"/>
              <w:ind w:right="880" w:firstLine="36"/>
              <w:jc w:val="right"/>
              <w:rPr>
                <w:rFonts w:ascii="Arial" w:hAnsi="Arial" w:cs="Arial"/>
                <w:sz w:val="20"/>
                <w:szCs w:val="20"/>
                <w:lang w:val="en-US"/>
              </w:rPr>
            </w:pPr>
            <w:r w:rsidRPr="008B009B">
              <w:rPr>
                <w:rFonts w:ascii="Arial" w:hAnsi="Arial" w:cs="Arial"/>
                <w:sz w:val="20"/>
                <w:szCs w:val="20"/>
                <w:lang w:val="en-US"/>
              </w:rPr>
              <w:t>26.4</w:t>
            </w:r>
          </w:p>
        </w:tc>
      </w:tr>
      <w:tr w:rsidR="00365923" w:rsidRPr="008B009B" w14:paraId="7D24FA26" w14:textId="77777777" w:rsidTr="001F5E5E">
        <w:tc>
          <w:tcPr>
            <w:tcW w:w="4395" w:type="dxa"/>
            <w:vAlign w:val="bottom"/>
          </w:tcPr>
          <w:p w14:paraId="09ACBABE" w14:textId="77777777" w:rsidR="00365923" w:rsidRPr="008B009B" w:rsidRDefault="00365923" w:rsidP="001F5E5E">
            <w:pPr>
              <w:spacing w:before="40" w:after="40"/>
              <w:ind w:firstLine="567"/>
              <w:jc w:val="both"/>
              <w:rPr>
                <w:rFonts w:ascii="Arial" w:hAnsi="Arial" w:cs="Arial"/>
                <w:sz w:val="20"/>
                <w:szCs w:val="20"/>
                <w:lang w:val="en-US"/>
              </w:rPr>
            </w:pPr>
            <w:r w:rsidRPr="008B009B">
              <w:rPr>
                <w:rFonts w:ascii="Arial" w:hAnsi="Arial" w:cs="Arial"/>
                <w:sz w:val="20"/>
                <w:szCs w:val="20"/>
                <w:lang w:val="en-US"/>
              </w:rPr>
              <w:t xml:space="preserve">Phones all of kinds and their parts </w:t>
            </w:r>
          </w:p>
        </w:tc>
        <w:tc>
          <w:tcPr>
            <w:tcW w:w="1842" w:type="dxa"/>
            <w:vAlign w:val="bottom"/>
          </w:tcPr>
          <w:p w14:paraId="4284B9DB" w14:textId="77777777" w:rsidR="00365923" w:rsidRPr="008B009B" w:rsidRDefault="00365923" w:rsidP="001F5E5E">
            <w:pPr>
              <w:spacing w:before="40" w:after="40"/>
              <w:ind w:right="456" w:firstLine="36"/>
              <w:jc w:val="right"/>
              <w:rPr>
                <w:rFonts w:ascii="Arial" w:hAnsi="Arial" w:cs="Arial"/>
                <w:sz w:val="20"/>
                <w:szCs w:val="20"/>
                <w:lang w:val="en-US"/>
              </w:rPr>
            </w:pPr>
            <w:r w:rsidRPr="008B009B">
              <w:rPr>
                <w:rFonts w:ascii="Arial" w:hAnsi="Arial" w:cs="Arial"/>
                <w:sz w:val="20"/>
                <w:szCs w:val="20"/>
                <w:lang w:val="en-US"/>
              </w:rPr>
              <w:t>45,590</w:t>
            </w:r>
          </w:p>
        </w:tc>
        <w:tc>
          <w:tcPr>
            <w:tcW w:w="2551" w:type="dxa"/>
            <w:vAlign w:val="bottom"/>
          </w:tcPr>
          <w:p w14:paraId="78DACE30" w14:textId="77777777" w:rsidR="00365923" w:rsidRPr="008B009B" w:rsidRDefault="00365923" w:rsidP="001F5E5E">
            <w:pPr>
              <w:spacing w:before="40" w:after="40"/>
              <w:ind w:right="880" w:firstLine="36"/>
              <w:jc w:val="right"/>
              <w:rPr>
                <w:rFonts w:ascii="Arial" w:hAnsi="Arial" w:cs="Arial"/>
                <w:sz w:val="20"/>
                <w:szCs w:val="20"/>
                <w:lang w:val="en-US"/>
              </w:rPr>
            </w:pPr>
            <w:r w:rsidRPr="008B009B">
              <w:rPr>
                <w:rFonts w:ascii="Arial" w:hAnsi="Arial" w:cs="Arial"/>
                <w:sz w:val="20"/>
                <w:szCs w:val="20"/>
                <w:lang w:val="en-US"/>
              </w:rPr>
              <w:t>19.4</w:t>
            </w:r>
          </w:p>
        </w:tc>
      </w:tr>
      <w:tr w:rsidR="00365923" w:rsidRPr="008B009B" w14:paraId="209DD344" w14:textId="77777777" w:rsidTr="001F5E5E">
        <w:tc>
          <w:tcPr>
            <w:tcW w:w="4395" w:type="dxa"/>
            <w:vAlign w:val="bottom"/>
          </w:tcPr>
          <w:p w14:paraId="0E9D879B" w14:textId="77777777" w:rsidR="00365923" w:rsidRPr="008B009B" w:rsidRDefault="00365923" w:rsidP="001F5E5E">
            <w:pPr>
              <w:spacing w:before="40" w:after="40"/>
              <w:ind w:firstLine="567"/>
              <w:jc w:val="both"/>
              <w:rPr>
                <w:rFonts w:ascii="Arial" w:hAnsi="Arial" w:cs="Arial"/>
                <w:sz w:val="20"/>
                <w:szCs w:val="20"/>
                <w:lang w:val="en-US"/>
              </w:rPr>
            </w:pPr>
            <w:r w:rsidRPr="008B009B">
              <w:rPr>
                <w:rFonts w:ascii="Arial" w:hAnsi="Arial" w:cs="Arial"/>
                <w:sz w:val="20"/>
                <w:szCs w:val="20"/>
                <w:lang w:val="en-US"/>
              </w:rPr>
              <w:t xml:space="preserve">Textiles and sewing products </w:t>
            </w:r>
          </w:p>
        </w:tc>
        <w:tc>
          <w:tcPr>
            <w:tcW w:w="1842" w:type="dxa"/>
            <w:vAlign w:val="bottom"/>
          </w:tcPr>
          <w:p w14:paraId="4C680C44" w14:textId="77777777" w:rsidR="00365923" w:rsidRPr="008B009B" w:rsidRDefault="00365923" w:rsidP="001F5E5E">
            <w:pPr>
              <w:spacing w:before="40" w:after="40"/>
              <w:ind w:right="456" w:firstLine="36"/>
              <w:jc w:val="right"/>
              <w:rPr>
                <w:rFonts w:ascii="Arial" w:hAnsi="Arial" w:cs="Arial"/>
                <w:sz w:val="20"/>
                <w:szCs w:val="20"/>
                <w:lang w:val="en-US"/>
              </w:rPr>
            </w:pPr>
            <w:r w:rsidRPr="008B009B">
              <w:rPr>
                <w:rFonts w:ascii="Arial" w:hAnsi="Arial" w:cs="Arial"/>
                <w:sz w:val="20"/>
                <w:szCs w:val="20"/>
                <w:lang w:val="en-US"/>
              </w:rPr>
              <w:t>26.897</w:t>
            </w:r>
          </w:p>
        </w:tc>
        <w:tc>
          <w:tcPr>
            <w:tcW w:w="2551" w:type="dxa"/>
            <w:vAlign w:val="bottom"/>
          </w:tcPr>
          <w:p w14:paraId="4EAB6711" w14:textId="77777777" w:rsidR="00365923" w:rsidRPr="008B009B" w:rsidRDefault="00365923" w:rsidP="001F5E5E">
            <w:pPr>
              <w:spacing w:before="40" w:after="40"/>
              <w:ind w:right="880" w:firstLine="36"/>
              <w:jc w:val="right"/>
              <w:rPr>
                <w:rFonts w:ascii="Arial" w:hAnsi="Arial" w:cs="Arial"/>
                <w:sz w:val="20"/>
                <w:szCs w:val="20"/>
                <w:lang w:val="en-US"/>
              </w:rPr>
            </w:pPr>
            <w:r w:rsidRPr="008B009B">
              <w:rPr>
                <w:rFonts w:ascii="Arial" w:hAnsi="Arial" w:cs="Arial"/>
                <w:sz w:val="20"/>
                <w:szCs w:val="20"/>
                <w:lang w:val="en-US"/>
              </w:rPr>
              <w:t>1.6</w:t>
            </w:r>
          </w:p>
        </w:tc>
      </w:tr>
      <w:tr w:rsidR="00365923" w:rsidRPr="008B009B" w14:paraId="099DCC09" w14:textId="77777777" w:rsidTr="001F5E5E">
        <w:tc>
          <w:tcPr>
            <w:tcW w:w="4395" w:type="dxa"/>
            <w:vAlign w:val="bottom"/>
          </w:tcPr>
          <w:p w14:paraId="61BE943E" w14:textId="77777777" w:rsidR="00365923" w:rsidRPr="008B009B" w:rsidRDefault="00365923" w:rsidP="001F5E5E">
            <w:pPr>
              <w:spacing w:before="40" w:after="40"/>
              <w:ind w:firstLine="567"/>
              <w:jc w:val="both"/>
              <w:rPr>
                <w:rFonts w:ascii="Arial" w:hAnsi="Arial" w:cs="Arial"/>
                <w:sz w:val="20"/>
                <w:szCs w:val="20"/>
                <w:lang w:val="en-US"/>
              </w:rPr>
            </w:pPr>
            <w:r w:rsidRPr="008B009B">
              <w:rPr>
                <w:rFonts w:ascii="Arial" w:hAnsi="Arial" w:cs="Arial"/>
                <w:sz w:val="20"/>
                <w:szCs w:val="20"/>
                <w:lang w:val="en-US"/>
              </w:rPr>
              <w:t>Footwear</w:t>
            </w:r>
          </w:p>
        </w:tc>
        <w:tc>
          <w:tcPr>
            <w:tcW w:w="1842" w:type="dxa"/>
            <w:vAlign w:val="bottom"/>
          </w:tcPr>
          <w:p w14:paraId="674A05BB" w14:textId="77777777" w:rsidR="00365923" w:rsidRPr="008B009B" w:rsidRDefault="00365923" w:rsidP="001F5E5E">
            <w:pPr>
              <w:spacing w:before="40" w:after="40"/>
              <w:ind w:right="456" w:firstLine="36"/>
              <w:jc w:val="right"/>
              <w:rPr>
                <w:rFonts w:ascii="Arial" w:hAnsi="Arial" w:cs="Arial"/>
                <w:sz w:val="20"/>
                <w:szCs w:val="20"/>
                <w:lang w:val="en-US"/>
              </w:rPr>
            </w:pPr>
            <w:r w:rsidRPr="008B009B">
              <w:rPr>
                <w:rFonts w:ascii="Arial" w:hAnsi="Arial" w:cs="Arial"/>
                <w:sz w:val="20"/>
                <w:szCs w:val="20"/>
                <w:lang w:val="en-US"/>
              </w:rPr>
              <w:t>16,202</w:t>
            </w:r>
          </w:p>
        </w:tc>
        <w:tc>
          <w:tcPr>
            <w:tcW w:w="2551" w:type="dxa"/>
            <w:vAlign w:val="bottom"/>
          </w:tcPr>
          <w:p w14:paraId="1DCAD6C3" w14:textId="77777777" w:rsidR="00365923" w:rsidRPr="008B009B" w:rsidRDefault="00365923" w:rsidP="001F5E5E">
            <w:pPr>
              <w:spacing w:before="40" w:after="40"/>
              <w:ind w:right="880" w:firstLine="36"/>
              <w:jc w:val="right"/>
              <w:rPr>
                <w:rFonts w:ascii="Arial" w:hAnsi="Arial" w:cs="Arial"/>
                <w:sz w:val="20"/>
                <w:szCs w:val="20"/>
                <w:lang w:val="en-US"/>
              </w:rPr>
            </w:pPr>
            <w:r w:rsidRPr="008B009B">
              <w:rPr>
                <w:rFonts w:ascii="Arial" w:hAnsi="Arial" w:cs="Arial"/>
                <w:sz w:val="20"/>
                <w:szCs w:val="20"/>
                <w:lang w:val="en-US"/>
              </w:rPr>
              <w:t>0.7</w:t>
            </w:r>
          </w:p>
        </w:tc>
      </w:tr>
      <w:tr w:rsidR="00365923" w:rsidRPr="008B009B" w14:paraId="1AED85E1" w14:textId="77777777" w:rsidTr="001F5E5E">
        <w:tc>
          <w:tcPr>
            <w:tcW w:w="4395" w:type="dxa"/>
            <w:vAlign w:val="bottom"/>
          </w:tcPr>
          <w:p w14:paraId="05A93CE8" w14:textId="77777777" w:rsidR="00365923" w:rsidRPr="008B009B" w:rsidRDefault="00365923" w:rsidP="001F5E5E">
            <w:pPr>
              <w:spacing w:before="40" w:after="40"/>
              <w:ind w:firstLine="567"/>
              <w:jc w:val="both"/>
              <w:rPr>
                <w:rFonts w:ascii="Arial" w:hAnsi="Arial" w:cs="Arial"/>
                <w:sz w:val="20"/>
                <w:szCs w:val="20"/>
                <w:lang w:val="en-US"/>
              </w:rPr>
            </w:pPr>
            <w:r w:rsidRPr="008B009B">
              <w:rPr>
                <w:rFonts w:ascii="Arial" w:hAnsi="Arial" w:cs="Arial"/>
                <w:sz w:val="20"/>
                <w:szCs w:val="20"/>
                <w:lang w:val="en-US"/>
              </w:rPr>
              <w:t>Means of transport and spare parts</w:t>
            </w:r>
          </w:p>
        </w:tc>
        <w:tc>
          <w:tcPr>
            <w:tcW w:w="1842" w:type="dxa"/>
            <w:vAlign w:val="bottom"/>
          </w:tcPr>
          <w:p w14:paraId="48923645" w14:textId="77777777" w:rsidR="00365923" w:rsidRPr="008B009B" w:rsidRDefault="00365923" w:rsidP="001F5E5E">
            <w:pPr>
              <w:spacing w:before="40" w:after="40"/>
              <w:ind w:right="456" w:firstLine="36"/>
              <w:jc w:val="right"/>
              <w:rPr>
                <w:rFonts w:ascii="Arial" w:hAnsi="Arial" w:cs="Arial"/>
                <w:sz w:val="20"/>
                <w:szCs w:val="20"/>
                <w:lang w:val="en-US"/>
              </w:rPr>
            </w:pPr>
            <w:r w:rsidRPr="008B009B">
              <w:rPr>
                <w:rFonts w:ascii="Arial" w:hAnsi="Arial" w:cs="Arial"/>
                <w:sz w:val="20"/>
                <w:szCs w:val="20"/>
                <w:lang w:val="en-US"/>
              </w:rPr>
              <w:t>13,392</w:t>
            </w:r>
          </w:p>
        </w:tc>
        <w:tc>
          <w:tcPr>
            <w:tcW w:w="2551" w:type="dxa"/>
            <w:vAlign w:val="bottom"/>
          </w:tcPr>
          <w:p w14:paraId="2C38D26E" w14:textId="77777777" w:rsidR="00365923" w:rsidRPr="008B009B" w:rsidRDefault="00365923" w:rsidP="001F5E5E">
            <w:pPr>
              <w:spacing w:before="40" w:after="40"/>
              <w:ind w:right="880" w:firstLine="36"/>
              <w:jc w:val="right"/>
              <w:rPr>
                <w:rFonts w:ascii="Arial" w:hAnsi="Arial" w:cs="Arial"/>
                <w:sz w:val="20"/>
                <w:szCs w:val="20"/>
                <w:lang w:val="en-US"/>
              </w:rPr>
            </w:pPr>
            <w:r w:rsidRPr="008B009B">
              <w:rPr>
                <w:rFonts w:ascii="Arial" w:hAnsi="Arial" w:cs="Arial"/>
                <w:sz w:val="20"/>
                <w:szCs w:val="20"/>
                <w:lang w:val="en-US"/>
              </w:rPr>
              <w:t>16.6</w:t>
            </w:r>
          </w:p>
        </w:tc>
      </w:tr>
      <w:tr w:rsidR="00365923" w:rsidRPr="008B009B" w14:paraId="5A5C2A63" w14:textId="77777777" w:rsidTr="001F5E5E">
        <w:tc>
          <w:tcPr>
            <w:tcW w:w="4395" w:type="dxa"/>
            <w:vAlign w:val="bottom"/>
          </w:tcPr>
          <w:p w14:paraId="2535B9E5" w14:textId="77777777" w:rsidR="00365923" w:rsidRPr="008B009B" w:rsidRDefault="00365923" w:rsidP="001F5E5E">
            <w:pPr>
              <w:spacing w:before="40" w:after="40"/>
              <w:ind w:firstLine="567"/>
              <w:jc w:val="both"/>
              <w:rPr>
                <w:rFonts w:ascii="Arial" w:hAnsi="Arial" w:cs="Arial"/>
                <w:sz w:val="20"/>
                <w:szCs w:val="20"/>
                <w:lang w:val="en-US"/>
              </w:rPr>
            </w:pPr>
            <w:r w:rsidRPr="008B009B">
              <w:rPr>
                <w:rFonts w:ascii="Arial" w:hAnsi="Arial" w:cs="Arial"/>
                <w:sz w:val="20"/>
                <w:szCs w:val="20"/>
                <w:lang w:val="en-US"/>
              </w:rPr>
              <w:t xml:space="preserve">Wood and wood products </w:t>
            </w:r>
          </w:p>
        </w:tc>
        <w:tc>
          <w:tcPr>
            <w:tcW w:w="1842" w:type="dxa"/>
            <w:vAlign w:val="bottom"/>
          </w:tcPr>
          <w:p w14:paraId="19293FAA" w14:textId="77777777" w:rsidR="00365923" w:rsidRPr="008B009B" w:rsidRDefault="00365923" w:rsidP="001F5E5E">
            <w:pPr>
              <w:spacing w:before="40" w:after="40"/>
              <w:ind w:right="456" w:firstLine="36"/>
              <w:jc w:val="right"/>
              <w:rPr>
                <w:rFonts w:ascii="Arial" w:hAnsi="Arial" w:cs="Arial"/>
                <w:sz w:val="20"/>
                <w:szCs w:val="20"/>
                <w:lang w:val="en-US"/>
              </w:rPr>
            </w:pPr>
            <w:r w:rsidRPr="008B009B">
              <w:rPr>
                <w:rFonts w:ascii="Arial" w:hAnsi="Arial" w:cs="Arial"/>
                <w:sz w:val="20"/>
                <w:szCs w:val="20"/>
                <w:lang w:val="en-US"/>
              </w:rPr>
              <w:t>11,807</w:t>
            </w:r>
          </w:p>
        </w:tc>
        <w:tc>
          <w:tcPr>
            <w:tcW w:w="2551" w:type="dxa"/>
            <w:vAlign w:val="bottom"/>
          </w:tcPr>
          <w:p w14:paraId="5E7C1C72" w14:textId="77777777" w:rsidR="00365923" w:rsidRPr="008B009B" w:rsidRDefault="00365923" w:rsidP="001F5E5E">
            <w:pPr>
              <w:spacing w:before="40" w:after="40"/>
              <w:ind w:right="880" w:firstLine="36"/>
              <w:jc w:val="right"/>
              <w:rPr>
                <w:rFonts w:ascii="Arial" w:hAnsi="Arial" w:cs="Arial"/>
                <w:sz w:val="20"/>
                <w:szCs w:val="20"/>
                <w:lang w:val="en-US"/>
              </w:rPr>
            </w:pPr>
            <w:r w:rsidRPr="008B009B">
              <w:rPr>
                <w:rFonts w:ascii="Arial" w:hAnsi="Arial" w:cs="Arial"/>
                <w:sz w:val="20"/>
                <w:szCs w:val="20"/>
                <w:lang w:val="en-US"/>
              </w:rPr>
              <w:t>6.0</w:t>
            </w:r>
          </w:p>
        </w:tc>
      </w:tr>
    </w:tbl>
    <w:bookmarkStart w:id="3" w:name="_Hlk223342364"/>
    <w:p w14:paraId="1CD3042A" w14:textId="77777777" w:rsidR="00365923" w:rsidRPr="008B009B" w:rsidRDefault="00365923" w:rsidP="00365923">
      <w:pPr>
        <w:tabs>
          <w:tab w:val="left" w:pos="9475"/>
        </w:tabs>
        <w:spacing w:before="240" w:after="40" w:line="288" w:lineRule="auto"/>
        <w:ind w:right="6" w:firstLine="567"/>
        <w:jc w:val="both"/>
        <w:rPr>
          <w:rStyle w:val="Strong"/>
          <w:iCs/>
        </w:rPr>
      </w:pPr>
      <w:r w:rsidRPr="008B009B">
        <w:rPr>
          <w:noProof/>
          <w:spacing w:val="-2"/>
          <w:sz w:val="25"/>
          <w:szCs w:val="25"/>
        </w:rPr>
        <w:lastRenderedPageBreak/>
        <mc:AlternateContent>
          <mc:Choice Requires="wps">
            <w:drawing>
              <wp:anchor distT="0" distB="0" distL="114300" distR="114300" simplePos="0" relativeHeight="251666432" behindDoc="0" locked="0" layoutInCell="1" allowOverlap="1" wp14:anchorId="37DA9E2D" wp14:editId="58F2E7DB">
                <wp:simplePos x="0" y="0"/>
                <wp:positionH relativeFrom="column">
                  <wp:posOffset>205740</wp:posOffset>
                </wp:positionH>
                <wp:positionV relativeFrom="paragraph">
                  <wp:posOffset>266700</wp:posOffset>
                </wp:positionV>
                <wp:extent cx="3170555" cy="2333625"/>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0555" cy="2333625"/>
                        </a:xfrm>
                        <a:prstGeom prst="rect">
                          <a:avLst/>
                        </a:prstGeom>
                        <a:solidFill>
                          <a:srgbClr val="FFFFFF"/>
                        </a:solidFill>
                        <a:ln w="9525">
                          <a:noFill/>
                          <a:miter lim="800000"/>
                          <a:headEnd/>
                          <a:tailEnd/>
                        </a:ln>
                      </wps:spPr>
                      <wps:txbx>
                        <w:txbxContent>
                          <w:p w14:paraId="3B4475C9" w14:textId="77777777" w:rsidR="001F5E5E" w:rsidRPr="00D14B4B" w:rsidRDefault="001F5E5E" w:rsidP="00365923">
                            <w:pPr>
                              <w:spacing w:before="120" w:after="120"/>
                              <w:ind w:left="-142"/>
                              <w:jc w:val="center"/>
                              <w:rPr>
                                <w:rFonts w:ascii="Arial" w:hAnsi="Arial" w:cs="Arial"/>
                              </w:rPr>
                            </w:pPr>
                            <w:r w:rsidRPr="009F195A">
                              <w:rPr>
                                <w:rFonts w:ascii="Arial" w:hAnsi="Arial" w:cs="Arial"/>
                                <w:b/>
                                <w:bCs/>
                                <w:sz w:val="24"/>
                                <w:szCs w:val="24"/>
                              </w:rPr>
                              <w:t>Figure 12. Structure of exported goods in the eight months of 2026</w:t>
                            </w:r>
                            <w:r>
                              <w:rPr>
                                <w:rFonts w:ascii="Arial" w:hAnsi="Arial" w:cs="Arial"/>
                                <w:b/>
                                <w:bCs/>
                                <w:sz w:val="24"/>
                                <w:szCs w:val="24"/>
                              </w:rPr>
                              <w:t xml:space="preserve"> </w:t>
                            </w:r>
                            <w:r>
                              <w:rPr>
                                <w:noProof/>
                              </w:rPr>
                              <w:drawing>
                                <wp:inline distT="0" distB="0" distL="0" distR="0" wp14:anchorId="4C676E18" wp14:editId="36F772E6">
                                  <wp:extent cx="3089275" cy="16662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89275" cy="1666240"/>
                                          </a:xfrm>
                                          <a:prstGeom prst="rect">
                                            <a:avLst/>
                                          </a:prstGeom>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37DA9E2D" id="_x0000_t202" coordsize="21600,21600" o:spt="202" path="m,l,21600r21600,l21600,xe">
                <v:stroke joinstyle="miter"/>
                <v:path gradientshapeok="t" o:connecttype="rect"/>
              </v:shapetype>
              <v:shape id="Text Box 2" o:spid="_x0000_s1026" type="#_x0000_t202" style="position:absolute;left:0;text-align:left;margin-left:16.2pt;margin-top:21pt;width:249.65pt;height:18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" stroked="f">
                <v:textbox inset="1mm,1mm,1mm,1mm">
                  <w:txbxContent>
                    <w:p w14:paraId="3B4475C9" w14:textId="77777777" w:rsidR="001F5E5E" w:rsidRPr="00D14B4B" w:rsidRDefault="001F5E5E" w:rsidP="00365923">
                      <w:pPr>
                        <w:spacing w:before="120" w:after="120"/>
                        <w:ind w:left="-142"/>
                        <w:jc w:val="center"/>
                        <w:rPr>
                          <w:rFonts w:ascii="Arial" w:hAnsi="Arial" w:cs="Arial"/>
                        </w:rPr>
                      </w:pPr>
                      <w:r w:rsidRPr="009F195A">
                        <w:rPr>
                          <w:rFonts w:ascii="Arial" w:hAnsi="Arial" w:cs="Arial"/>
                          <w:b/>
                          <w:bCs/>
                          <w:sz w:val="24"/>
                          <w:szCs w:val="24"/>
                        </w:rPr>
                        <w:t>Figure 12. Structure of exported goods in the eight months of 2026</w:t>
                      </w:r>
                      <w:r>
                        <w:rPr>
                          <w:rFonts w:ascii="Arial" w:hAnsi="Arial" w:cs="Arial"/>
                          <w:b/>
                          <w:bCs/>
                          <w:sz w:val="24"/>
                          <w:szCs w:val="24"/>
                        </w:rPr>
                        <w:t xml:space="preserve"> </w:t>
                      </w:r>
                      <w:r>
                        <w:rPr>
                          <w:noProof/>
                        </w:rPr>
                        <w:drawing>
                          <wp:inline distT="0" distB="0" distL="0" distR="0" wp14:anchorId="4C676E18" wp14:editId="36F772E6">
                            <wp:extent cx="3089275" cy="16662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089275" cy="1666240"/>
                                    </a:xfrm>
                                    <a:prstGeom prst="rect">
                                      <a:avLst/>
                                    </a:prstGeom>
                                  </pic:spPr>
                                </pic:pic>
                              </a:graphicData>
                            </a:graphic>
                          </wp:inline>
                        </w:drawing>
                      </w:r>
                    </w:p>
                  </w:txbxContent>
                </v:textbox>
                <w10:wrap type="square"/>
              </v:shape>
            </w:pict>
          </mc:Fallback>
        </mc:AlternateContent>
      </w:r>
      <w:r w:rsidRPr="008B009B">
        <w:rPr>
          <w:rFonts w:ascii="Arial" w:hAnsi="Arial" w:cs="Arial"/>
          <w:b/>
          <w:bCs/>
          <w:i/>
          <w:iCs/>
          <w:sz w:val="8"/>
          <w:szCs w:val="8"/>
        </w:rPr>
        <w:t xml:space="preserve"> </w:t>
      </w:r>
      <w:r w:rsidRPr="008B009B">
        <w:rPr>
          <w:rFonts w:eastAsia="Batang"/>
          <w:bCs/>
          <w:i/>
          <w:spacing w:val="-6"/>
          <w:sz w:val="8"/>
          <w:szCs w:val="8"/>
        </w:rPr>
        <w:t xml:space="preserve"> </w:t>
      </w:r>
      <w:r w:rsidRPr="008B009B">
        <w:rPr>
          <w:rFonts w:eastAsia="Batang"/>
          <w:bCs/>
          <w:i/>
          <w:spacing w:val="-2"/>
          <w:sz w:val="25"/>
          <w:szCs w:val="25"/>
        </w:rPr>
        <w:t xml:space="preserve"> </w:t>
      </w:r>
      <w:r w:rsidRPr="008B009B">
        <w:rPr>
          <w:rFonts w:eastAsia="Batang"/>
          <w:bCs/>
          <w:i/>
          <w:spacing w:val="-2"/>
        </w:rPr>
        <w:t xml:space="preserve">Regarding the structure of exported goods </w:t>
      </w:r>
      <w:r w:rsidRPr="008B009B">
        <w:rPr>
          <w:rFonts w:eastAsia="Batang"/>
          <w:bCs/>
          <w:spacing w:val="-2"/>
        </w:rPr>
        <w:t>in the eight months of 2026, the group of manufactured products reached 337.99 billion USD, accounting for 90.2%; the group of agricultural and forestry products achieved 26.65 billion USD, consisting of 7.1%; the group of fishery products attained 8.0 billion USD, comprising of 2.1%; and the group of fuels and minerals gained 2.2 billion USD, making up 0.6%.</w:t>
      </w:r>
    </w:p>
    <w:bookmarkEnd w:id="3"/>
    <w:p w14:paraId="66537DD2" w14:textId="77777777" w:rsidR="00365923" w:rsidRPr="008B009B" w:rsidRDefault="00365923" w:rsidP="00365923">
      <w:pPr>
        <w:tabs>
          <w:tab w:val="left" w:pos="9475"/>
        </w:tabs>
        <w:spacing w:after="120" w:line="259" w:lineRule="auto"/>
        <w:ind w:right="6" w:firstLine="720"/>
        <w:jc w:val="both"/>
        <w:rPr>
          <w:rStyle w:val="Strong"/>
          <w:i/>
          <w:iCs/>
        </w:rPr>
      </w:pPr>
      <w:r w:rsidRPr="008B009B">
        <w:rPr>
          <w:rStyle w:val="Strong"/>
          <w:i/>
          <w:iCs/>
        </w:rPr>
        <w:t>Import of goods</w:t>
      </w:r>
    </w:p>
    <w:p w14:paraId="2C0ED4D4" w14:textId="3D2CA2F0" w:rsidR="00365923" w:rsidRPr="008B009B" w:rsidRDefault="00365923" w:rsidP="00365923">
      <w:pPr>
        <w:tabs>
          <w:tab w:val="left" w:pos="9475"/>
        </w:tabs>
        <w:spacing w:after="120" w:line="259" w:lineRule="auto"/>
        <w:ind w:right="6" w:firstLine="720"/>
        <w:jc w:val="both"/>
        <w:rPr>
          <w:bCs/>
        </w:rPr>
      </w:pPr>
      <w:r w:rsidRPr="008B009B">
        <w:rPr>
          <w:bCs/>
        </w:rPr>
        <w:t xml:space="preserve">Import turnover of goods in August reached 54.91 billion USD, </w:t>
      </w:r>
      <w:r w:rsidR="00B11C13" w:rsidRPr="008B009B">
        <w:rPr>
          <w:bCs/>
        </w:rPr>
        <w:t>a</w:t>
      </w:r>
      <w:r w:rsidRPr="008B009B">
        <w:rPr>
          <w:bCs/>
        </w:rPr>
        <w:t xml:space="preserve"> MoM fall of 3.1%. Of which, the domestic economic sector achieved 12.82 billion USD, a reduction of 7.1%; the FDI sector gained 42.09 billion USD, a decline of 1.8%. Compared to that in the same period last year, the import turnover of goods in August witnessed a spike of 37.9%, of which the domestic economic sector and the FDI sector rocketed by 19.7% and 44.6%, respectively.</w:t>
      </w:r>
    </w:p>
    <w:p w14:paraId="5007A64D" w14:textId="77777777" w:rsidR="00365923" w:rsidRPr="008B009B" w:rsidRDefault="00365923" w:rsidP="00365923">
      <w:pPr>
        <w:tabs>
          <w:tab w:val="left" w:pos="9475"/>
        </w:tabs>
        <w:spacing w:after="120" w:line="259" w:lineRule="auto"/>
        <w:ind w:right="6" w:firstLine="720"/>
        <w:jc w:val="both"/>
        <w:rPr>
          <w:bCs/>
        </w:rPr>
      </w:pPr>
      <w:r w:rsidRPr="008B009B">
        <w:rPr>
          <w:bCs/>
        </w:rPr>
        <w:t>Overall, the import turnover of goods in the eight months of 2026 attained 395.3 billion USD, a YoY surge of by 35.3%, of which the domestic economic sector obtained 105.07 billion USD, a soar of 23.7%; the FDI sector recorded 290.23 billion USD, a shoot of 40.1%.</w:t>
      </w:r>
    </w:p>
    <w:p w14:paraId="5083B748" w14:textId="77777777" w:rsidR="00365923" w:rsidRPr="008B009B" w:rsidRDefault="00365923" w:rsidP="00365923">
      <w:pPr>
        <w:tabs>
          <w:tab w:val="left" w:pos="9475"/>
        </w:tabs>
        <w:spacing w:after="120" w:line="259" w:lineRule="auto"/>
        <w:ind w:right="6" w:firstLine="720"/>
        <w:jc w:val="both"/>
        <w:rPr>
          <w:rStyle w:val="Strong"/>
          <w:b w:val="0"/>
          <w:bCs w:val="0"/>
        </w:rPr>
      </w:pPr>
      <w:r w:rsidRPr="008B009B">
        <w:rPr>
          <w:rStyle w:val="Strong"/>
          <w:b w:val="0"/>
          <w:bCs w:val="0"/>
        </w:rPr>
        <w:t xml:space="preserve">In the eight months of 2026, there were 43 imported products with their value exceeding 1 billion USD, accounting for 93.9% of total import turnover (including 3 imported products with the value of over 10 billion USD, consisting of 55.5%). </w:t>
      </w:r>
    </w:p>
    <w:p w14:paraId="681B20CB" w14:textId="77777777" w:rsidR="00365923" w:rsidRPr="008B009B" w:rsidRDefault="00365923" w:rsidP="00365923">
      <w:pPr>
        <w:tabs>
          <w:tab w:val="left" w:pos="9475"/>
        </w:tabs>
        <w:spacing w:before="40" w:after="40" w:line="288" w:lineRule="auto"/>
        <w:ind w:right="6" w:firstLine="567"/>
        <w:jc w:val="center"/>
        <w:rPr>
          <w:rFonts w:ascii="Arial" w:hAnsi="Arial" w:cs="Arial"/>
          <w:b/>
          <w:bCs/>
          <w:sz w:val="24"/>
          <w:szCs w:val="24"/>
        </w:rPr>
      </w:pPr>
      <w:r w:rsidRPr="008B009B">
        <w:rPr>
          <w:rFonts w:ascii="Arial" w:hAnsi="Arial" w:cs="Arial"/>
          <w:b/>
          <w:bCs/>
          <w:sz w:val="24"/>
          <w:szCs w:val="24"/>
        </w:rPr>
        <w:t>Table 5. Value of some imported goods in the eight months of 2026</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8"/>
        <w:gridCol w:w="1794"/>
        <w:gridCol w:w="68"/>
        <w:gridCol w:w="2483"/>
        <w:gridCol w:w="239"/>
      </w:tblGrid>
      <w:tr w:rsidR="00365923" w:rsidRPr="008B009B" w14:paraId="31699ABA" w14:textId="77777777" w:rsidTr="001F5E5E">
        <w:trPr>
          <w:gridAfter w:val="1"/>
          <w:wAfter w:w="239" w:type="dxa"/>
        </w:trPr>
        <w:tc>
          <w:tcPr>
            <w:tcW w:w="4395" w:type="dxa"/>
          </w:tcPr>
          <w:p w14:paraId="73C5EB34" w14:textId="77777777" w:rsidR="00365923" w:rsidRPr="008B009B" w:rsidRDefault="00365923" w:rsidP="001F5E5E">
            <w:pPr>
              <w:tabs>
                <w:tab w:val="num" w:pos="0"/>
                <w:tab w:val="left" w:pos="9475"/>
              </w:tabs>
              <w:spacing w:before="40" w:after="40"/>
              <w:ind w:right="119" w:firstLine="567"/>
              <w:jc w:val="both"/>
              <w:rPr>
                <w:rFonts w:ascii="Arial" w:hAnsi="Arial" w:cs="Arial"/>
                <w:b/>
                <w:bCs/>
                <w:i/>
                <w:iCs/>
                <w:sz w:val="20"/>
                <w:szCs w:val="20"/>
                <w:lang w:val="en-US"/>
              </w:rPr>
            </w:pPr>
            <w:r w:rsidRPr="008B009B">
              <w:rPr>
                <w:rFonts w:ascii="Arial" w:hAnsi="Arial" w:cs="Arial"/>
                <w:b/>
                <w:bCs/>
                <w:i/>
                <w:iCs/>
                <w:sz w:val="20"/>
                <w:szCs w:val="20"/>
                <w:lang w:val="en-US"/>
              </w:rPr>
              <w:t xml:space="preserve"> </w:t>
            </w:r>
          </w:p>
        </w:tc>
        <w:tc>
          <w:tcPr>
            <w:tcW w:w="1842" w:type="dxa"/>
            <w:gridSpan w:val="2"/>
            <w:tcBorders>
              <w:top w:val="single" w:sz="4" w:space="0" w:color="auto"/>
              <w:bottom w:val="single" w:sz="4" w:space="0" w:color="auto"/>
            </w:tcBorders>
          </w:tcPr>
          <w:p w14:paraId="0ADD1378" w14:textId="77777777" w:rsidR="00365923" w:rsidRPr="008B009B" w:rsidRDefault="00365923" w:rsidP="001F5E5E">
            <w:pPr>
              <w:spacing w:before="40" w:after="40"/>
              <w:ind w:firstLine="31"/>
              <w:jc w:val="center"/>
              <w:rPr>
                <w:rFonts w:ascii="Arial" w:hAnsi="Arial" w:cs="Arial"/>
                <w:sz w:val="20"/>
                <w:szCs w:val="20"/>
                <w:lang w:val="en-US"/>
              </w:rPr>
            </w:pPr>
            <w:r w:rsidRPr="008B009B">
              <w:rPr>
                <w:rFonts w:ascii="Arial" w:hAnsi="Arial" w:cs="Arial"/>
                <w:sz w:val="20"/>
                <w:szCs w:val="20"/>
                <w:lang w:val="en-US"/>
              </w:rPr>
              <w:t>Value</w:t>
            </w:r>
          </w:p>
          <w:p w14:paraId="5E409385" w14:textId="77777777" w:rsidR="00365923" w:rsidRPr="008B009B" w:rsidRDefault="00365923" w:rsidP="001F5E5E">
            <w:pPr>
              <w:spacing w:before="40" w:after="40"/>
              <w:ind w:firstLine="31"/>
              <w:jc w:val="center"/>
              <w:rPr>
                <w:rFonts w:ascii="Arial" w:hAnsi="Arial" w:cs="Arial"/>
                <w:b/>
                <w:bCs/>
                <w:i/>
                <w:iCs/>
                <w:sz w:val="20"/>
                <w:szCs w:val="20"/>
                <w:lang w:val="en-US"/>
              </w:rPr>
            </w:pPr>
            <w:r w:rsidRPr="008B009B">
              <w:rPr>
                <w:rFonts w:ascii="Arial" w:hAnsi="Arial" w:cs="Arial"/>
                <w:sz w:val="20"/>
                <w:szCs w:val="20"/>
                <w:lang w:val="en-US"/>
              </w:rPr>
              <w:t xml:space="preserve">(Mill. USD) </w:t>
            </w:r>
          </w:p>
        </w:tc>
        <w:tc>
          <w:tcPr>
            <w:tcW w:w="2551" w:type="dxa"/>
            <w:gridSpan w:val="2"/>
            <w:tcBorders>
              <w:top w:val="single" w:sz="4" w:space="0" w:color="auto"/>
              <w:bottom w:val="single" w:sz="4" w:space="0" w:color="auto"/>
            </w:tcBorders>
          </w:tcPr>
          <w:p w14:paraId="6E68469B" w14:textId="77777777" w:rsidR="00365923" w:rsidRPr="008B009B" w:rsidRDefault="00365923" w:rsidP="001F5E5E">
            <w:pPr>
              <w:spacing w:before="40" w:after="40"/>
              <w:jc w:val="center"/>
              <w:rPr>
                <w:rFonts w:ascii="Arial" w:hAnsi="Arial" w:cs="Arial"/>
                <w:b/>
                <w:bCs/>
                <w:i/>
                <w:iCs/>
                <w:sz w:val="20"/>
                <w:szCs w:val="20"/>
                <w:lang w:val="en-US"/>
              </w:rPr>
            </w:pPr>
            <w:r w:rsidRPr="008B009B">
              <w:rPr>
                <w:rFonts w:ascii="Arial" w:hAnsi="Arial" w:cs="Arial"/>
                <w:sz w:val="20"/>
                <w:szCs w:val="20"/>
                <w:lang w:val="en-US"/>
              </w:rPr>
              <w:t>Growth rate YoY (%)</w:t>
            </w:r>
          </w:p>
        </w:tc>
      </w:tr>
      <w:tr w:rsidR="00365923" w:rsidRPr="008B009B" w14:paraId="53F51AF4" w14:textId="77777777" w:rsidTr="001F5E5E">
        <w:tblPrEx>
          <w:tblBorders>
            <w:bottom w:val="none" w:sz="0" w:space="0" w:color="auto"/>
          </w:tblBorders>
        </w:tblPrEx>
        <w:trPr>
          <w:trHeight w:val="394"/>
        </w:trPr>
        <w:tc>
          <w:tcPr>
            <w:tcW w:w="4443" w:type="dxa"/>
            <w:gridSpan w:val="2"/>
            <w:vAlign w:val="bottom"/>
          </w:tcPr>
          <w:p w14:paraId="3B619322" w14:textId="77777777" w:rsidR="00365923" w:rsidRPr="008B009B" w:rsidRDefault="00365923" w:rsidP="001F5E5E">
            <w:pPr>
              <w:spacing w:before="40" w:after="40"/>
              <w:ind w:firstLine="567"/>
              <w:jc w:val="both"/>
              <w:rPr>
                <w:rFonts w:ascii="Arial" w:hAnsi="Arial" w:cs="Arial"/>
                <w:b/>
                <w:bCs/>
                <w:sz w:val="20"/>
                <w:szCs w:val="20"/>
                <w:lang w:val="en-US"/>
              </w:rPr>
            </w:pPr>
            <w:r w:rsidRPr="008B009B">
              <w:rPr>
                <w:rFonts w:ascii="Arial" w:hAnsi="Arial" w:cs="Arial"/>
                <w:b/>
                <w:bCs/>
                <w:sz w:val="20"/>
                <w:szCs w:val="20"/>
                <w:lang w:val="en-US"/>
              </w:rPr>
              <w:t xml:space="preserve">Products with a value of over 10 billion USD </w:t>
            </w:r>
          </w:p>
        </w:tc>
        <w:tc>
          <w:tcPr>
            <w:tcW w:w="1862" w:type="dxa"/>
            <w:gridSpan w:val="2"/>
            <w:tcBorders>
              <w:top w:val="single" w:sz="4" w:space="0" w:color="auto"/>
            </w:tcBorders>
          </w:tcPr>
          <w:p w14:paraId="295656B8" w14:textId="77777777" w:rsidR="00365923" w:rsidRPr="008B009B" w:rsidRDefault="00365923" w:rsidP="001F5E5E">
            <w:pPr>
              <w:tabs>
                <w:tab w:val="num" w:pos="0"/>
                <w:tab w:val="left" w:pos="9475"/>
              </w:tabs>
              <w:spacing w:before="40" w:after="40"/>
              <w:ind w:right="119" w:firstLine="567"/>
              <w:jc w:val="both"/>
              <w:rPr>
                <w:rFonts w:ascii="Arial" w:hAnsi="Arial" w:cs="Arial"/>
                <w:b/>
                <w:bCs/>
                <w:i/>
                <w:iCs/>
                <w:sz w:val="20"/>
                <w:szCs w:val="20"/>
                <w:lang w:val="en-US"/>
              </w:rPr>
            </w:pPr>
          </w:p>
        </w:tc>
        <w:tc>
          <w:tcPr>
            <w:tcW w:w="2722" w:type="dxa"/>
            <w:gridSpan w:val="2"/>
            <w:tcBorders>
              <w:top w:val="single" w:sz="4" w:space="0" w:color="auto"/>
            </w:tcBorders>
          </w:tcPr>
          <w:p w14:paraId="7049A2BD" w14:textId="77777777" w:rsidR="00365923" w:rsidRPr="008B009B" w:rsidRDefault="00365923" w:rsidP="001F5E5E">
            <w:pPr>
              <w:tabs>
                <w:tab w:val="num" w:pos="0"/>
                <w:tab w:val="left" w:pos="9475"/>
              </w:tabs>
              <w:spacing w:before="40" w:after="40"/>
              <w:ind w:right="119" w:firstLine="567"/>
              <w:jc w:val="both"/>
              <w:rPr>
                <w:rFonts w:ascii="Arial" w:hAnsi="Arial" w:cs="Arial"/>
                <w:b/>
                <w:bCs/>
                <w:i/>
                <w:iCs/>
                <w:sz w:val="20"/>
                <w:szCs w:val="20"/>
                <w:lang w:val="en-US"/>
              </w:rPr>
            </w:pPr>
          </w:p>
        </w:tc>
      </w:tr>
      <w:tr w:rsidR="00365923" w:rsidRPr="008B009B" w14:paraId="628788AC" w14:textId="77777777" w:rsidTr="001F5E5E">
        <w:trPr>
          <w:gridAfter w:val="1"/>
          <w:wAfter w:w="239" w:type="dxa"/>
        </w:trPr>
        <w:tc>
          <w:tcPr>
            <w:tcW w:w="4395" w:type="dxa"/>
            <w:vAlign w:val="bottom"/>
          </w:tcPr>
          <w:p w14:paraId="7D17EADD" w14:textId="77777777" w:rsidR="00365923" w:rsidRPr="008B009B" w:rsidRDefault="00365923" w:rsidP="001F5E5E">
            <w:pPr>
              <w:spacing w:before="40" w:after="40"/>
              <w:ind w:firstLine="567"/>
              <w:jc w:val="both"/>
              <w:rPr>
                <w:rFonts w:ascii="Arial" w:hAnsi="Arial" w:cs="Arial"/>
                <w:sz w:val="20"/>
                <w:szCs w:val="20"/>
                <w:lang w:val="en-US"/>
              </w:rPr>
            </w:pPr>
            <w:r w:rsidRPr="008B009B">
              <w:rPr>
                <w:rFonts w:ascii="Arial" w:hAnsi="Arial" w:cs="Arial"/>
                <w:sz w:val="20"/>
                <w:szCs w:val="20"/>
                <w:lang w:val="en-US"/>
              </w:rPr>
              <w:t xml:space="preserve">Electronic goods, computers and their parts </w:t>
            </w:r>
          </w:p>
        </w:tc>
        <w:tc>
          <w:tcPr>
            <w:tcW w:w="1842" w:type="dxa"/>
            <w:gridSpan w:val="2"/>
            <w:vAlign w:val="bottom"/>
          </w:tcPr>
          <w:p w14:paraId="199A1387" w14:textId="77777777" w:rsidR="00365923" w:rsidRPr="008B009B" w:rsidRDefault="00365923" w:rsidP="001F5E5E">
            <w:pPr>
              <w:spacing w:before="40" w:after="40"/>
              <w:ind w:right="456"/>
              <w:jc w:val="right"/>
              <w:rPr>
                <w:rFonts w:ascii="Arial" w:hAnsi="Arial" w:cs="Arial"/>
                <w:sz w:val="20"/>
                <w:szCs w:val="20"/>
                <w:lang w:val="en-US"/>
              </w:rPr>
            </w:pPr>
            <w:r w:rsidRPr="008B009B">
              <w:rPr>
                <w:rFonts w:ascii="Arial" w:hAnsi="Arial" w:cs="Arial"/>
                <w:sz w:val="20"/>
                <w:szCs w:val="20"/>
                <w:lang w:val="en-US"/>
              </w:rPr>
              <w:t>161.630</w:t>
            </w:r>
          </w:p>
        </w:tc>
        <w:tc>
          <w:tcPr>
            <w:tcW w:w="2551" w:type="dxa"/>
            <w:gridSpan w:val="2"/>
            <w:vAlign w:val="bottom"/>
          </w:tcPr>
          <w:p w14:paraId="46EBE39B" w14:textId="77777777" w:rsidR="00365923" w:rsidRPr="008B009B" w:rsidRDefault="00365923" w:rsidP="001F5E5E">
            <w:pPr>
              <w:spacing w:before="40" w:after="40"/>
              <w:ind w:right="880"/>
              <w:jc w:val="right"/>
              <w:rPr>
                <w:rFonts w:ascii="Arial" w:hAnsi="Arial" w:cs="Arial"/>
                <w:sz w:val="20"/>
                <w:szCs w:val="20"/>
                <w:lang w:val="en-US"/>
              </w:rPr>
            </w:pPr>
            <w:r w:rsidRPr="008B009B">
              <w:rPr>
                <w:rFonts w:ascii="Arial" w:hAnsi="Arial" w:cs="Arial"/>
                <w:sz w:val="20"/>
                <w:szCs w:val="20"/>
                <w:lang w:val="en-US"/>
              </w:rPr>
              <w:t>68,3</w:t>
            </w:r>
          </w:p>
        </w:tc>
      </w:tr>
      <w:tr w:rsidR="00365923" w:rsidRPr="008B009B" w14:paraId="46FD6F8B" w14:textId="77777777" w:rsidTr="001F5E5E">
        <w:trPr>
          <w:gridAfter w:val="1"/>
          <w:wAfter w:w="239" w:type="dxa"/>
        </w:trPr>
        <w:tc>
          <w:tcPr>
            <w:tcW w:w="4395" w:type="dxa"/>
            <w:vAlign w:val="bottom"/>
          </w:tcPr>
          <w:p w14:paraId="049326C0" w14:textId="77777777" w:rsidR="00365923" w:rsidRPr="008B009B" w:rsidRDefault="00365923" w:rsidP="001F5E5E">
            <w:pPr>
              <w:spacing w:before="40" w:after="40"/>
              <w:ind w:firstLine="567"/>
              <w:jc w:val="both"/>
              <w:rPr>
                <w:rFonts w:ascii="Arial" w:hAnsi="Arial" w:cs="Arial"/>
                <w:sz w:val="20"/>
                <w:szCs w:val="20"/>
                <w:lang w:val="en-US"/>
              </w:rPr>
            </w:pPr>
            <w:r w:rsidRPr="008B009B">
              <w:rPr>
                <w:rFonts w:ascii="Arial" w:hAnsi="Arial" w:cs="Arial"/>
                <w:sz w:val="20"/>
                <w:szCs w:val="20"/>
                <w:lang w:val="en-US"/>
              </w:rPr>
              <w:t xml:space="preserve">Machinery, instrument, accessory </w:t>
            </w:r>
          </w:p>
        </w:tc>
        <w:tc>
          <w:tcPr>
            <w:tcW w:w="1842" w:type="dxa"/>
            <w:gridSpan w:val="2"/>
            <w:vAlign w:val="bottom"/>
          </w:tcPr>
          <w:p w14:paraId="1C423552" w14:textId="77777777" w:rsidR="00365923" w:rsidRPr="008B009B" w:rsidRDefault="00365923" w:rsidP="001F5E5E">
            <w:pPr>
              <w:spacing w:before="40" w:after="40"/>
              <w:ind w:right="456"/>
              <w:jc w:val="right"/>
              <w:rPr>
                <w:rFonts w:ascii="Arial" w:hAnsi="Arial" w:cs="Arial"/>
                <w:sz w:val="20"/>
                <w:szCs w:val="20"/>
                <w:lang w:val="en-US"/>
              </w:rPr>
            </w:pPr>
            <w:r w:rsidRPr="008B009B">
              <w:rPr>
                <w:rFonts w:ascii="Arial" w:hAnsi="Arial" w:cs="Arial"/>
                <w:sz w:val="20"/>
                <w:szCs w:val="20"/>
                <w:lang w:val="en-US"/>
              </w:rPr>
              <w:t>47.400</w:t>
            </w:r>
          </w:p>
        </w:tc>
        <w:tc>
          <w:tcPr>
            <w:tcW w:w="2551" w:type="dxa"/>
            <w:gridSpan w:val="2"/>
            <w:vAlign w:val="bottom"/>
          </w:tcPr>
          <w:p w14:paraId="33044CA7" w14:textId="77777777" w:rsidR="00365923" w:rsidRPr="008B009B" w:rsidRDefault="00365923" w:rsidP="001F5E5E">
            <w:pPr>
              <w:spacing w:before="40" w:after="40"/>
              <w:ind w:right="880"/>
              <w:jc w:val="right"/>
              <w:rPr>
                <w:rFonts w:ascii="Arial" w:hAnsi="Arial" w:cs="Arial"/>
                <w:sz w:val="20"/>
                <w:szCs w:val="20"/>
                <w:lang w:val="en-US"/>
              </w:rPr>
            </w:pPr>
            <w:r w:rsidRPr="008B009B">
              <w:rPr>
                <w:rFonts w:ascii="Arial" w:hAnsi="Arial" w:cs="Arial"/>
                <w:sz w:val="20"/>
                <w:szCs w:val="20"/>
                <w:lang w:val="en-US"/>
              </w:rPr>
              <w:t>22,1</w:t>
            </w:r>
          </w:p>
        </w:tc>
      </w:tr>
      <w:tr w:rsidR="00365923" w:rsidRPr="008B009B" w14:paraId="18EDB7FF" w14:textId="77777777" w:rsidTr="001F5E5E">
        <w:trPr>
          <w:gridAfter w:val="1"/>
          <w:wAfter w:w="239" w:type="dxa"/>
        </w:trPr>
        <w:tc>
          <w:tcPr>
            <w:tcW w:w="4395" w:type="dxa"/>
            <w:vAlign w:val="bottom"/>
          </w:tcPr>
          <w:p w14:paraId="03AD0F47" w14:textId="77777777" w:rsidR="00365923" w:rsidRPr="008B009B" w:rsidRDefault="00365923" w:rsidP="001F5E5E">
            <w:pPr>
              <w:spacing w:before="40" w:after="40"/>
              <w:ind w:firstLine="567"/>
              <w:jc w:val="both"/>
              <w:rPr>
                <w:rFonts w:ascii="Arial" w:hAnsi="Arial" w:cs="Arial"/>
                <w:sz w:val="20"/>
                <w:szCs w:val="20"/>
                <w:lang w:val="en-US"/>
              </w:rPr>
            </w:pPr>
            <w:r w:rsidRPr="008B009B">
              <w:rPr>
                <w:rFonts w:ascii="Arial" w:hAnsi="Arial" w:cs="Arial"/>
                <w:sz w:val="20"/>
                <w:szCs w:val="20"/>
                <w:lang w:val="en-US"/>
              </w:rPr>
              <w:t>Textiles</w:t>
            </w:r>
          </w:p>
        </w:tc>
        <w:tc>
          <w:tcPr>
            <w:tcW w:w="1842" w:type="dxa"/>
            <w:gridSpan w:val="2"/>
            <w:vAlign w:val="bottom"/>
          </w:tcPr>
          <w:p w14:paraId="212FB9DD" w14:textId="77777777" w:rsidR="00365923" w:rsidRPr="008B009B" w:rsidRDefault="00365923" w:rsidP="001F5E5E">
            <w:pPr>
              <w:spacing w:before="40" w:after="40"/>
              <w:ind w:right="456"/>
              <w:jc w:val="right"/>
              <w:rPr>
                <w:rFonts w:ascii="Arial" w:hAnsi="Arial" w:cs="Arial"/>
                <w:sz w:val="20"/>
                <w:szCs w:val="20"/>
                <w:lang w:val="en-US"/>
              </w:rPr>
            </w:pPr>
            <w:r w:rsidRPr="008B009B">
              <w:rPr>
                <w:rFonts w:ascii="Arial" w:hAnsi="Arial" w:cs="Arial"/>
                <w:sz w:val="20"/>
                <w:szCs w:val="20"/>
                <w:lang w:val="en-US"/>
              </w:rPr>
              <w:t>10.165</w:t>
            </w:r>
          </w:p>
        </w:tc>
        <w:tc>
          <w:tcPr>
            <w:tcW w:w="2551" w:type="dxa"/>
            <w:gridSpan w:val="2"/>
            <w:vAlign w:val="bottom"/>
          </w:tcPr>
          <w:p w14:paraId="3EFA0710" w14:textId="77777777" w:rsidR="00365923" w:rsidRPr="008B009B" w:rsidRDefault="00365923" w:rsidP="001F5E5E">
            <w:pPr>
              <w:spacing w:before="40" w:after="40"/>
              <w:ind w:right="880"/>
              <w:jc w:val="right"/>
              <w:rPr>
                <w:rFonts w:ascii="Arial" w:hAnsi="Arial" w:cs="Arial"/>
                <w:sz w:val="20"/>
                <w:szCs w:val="20"/>
                <w:lang w:val="en-US"/>
              </w:rPr>
            </w:pPr>
            <w:r w:rsidRPr="008B009B">
              <w:rPr>
                <w:rFonts w:ascii="Arial" w:hAnsi="Arial" w:cs="Arial"/>
                <w:sz w:val="20"/>
                <w:szCs w:val="20"/>
                <w:lang w:val="en-US"/>
              </w:rPr>
              <w:t>2,5</w:t>
            </w:r>
          </w:p>
        </w:tc>
      </w:tr>
    </w:tbl>
    <w:bookmarkStart w:id="4" w:name="_Hlk223342446"/>
    <w:p w14:paraId="72B87A8A" w14:textId="77777777" w:rsidR="00365923" w:rsidRPr="008B009B" w:rsidRDefault="00365923" w:rsidP="00365923">
      <w:pPr>
        <w:tabs>
          <w:tab w:val="num" w:pos="0"/>
          <w:tab w:val="left" w:pos="9475"/>
        </w:tabs>
        <w:spacing w:before="240" w:after="40" w:line="276" w:lineRule="auto"/>
        <w:ind w:right="6" w:firstLine="567"/>
        <w:jc w:val="both"/>
        <w:rPr>
          <w:rFonts w:asciiTheme="minorHAnsi" w:eastAsiaTheme="minorHAnsi" w:hAnsiTheme="minorHAnsi" w:cstheme="minorBidi"/>
          <w:sz w:val="19"/>
          <w:szCs w:val="19"/>
        </w:rPr>
      </w:pPr>
      <w:r w:rsidRPr="008B009B">
        <w:rPr>
          <w:noProof/>
          <w:spacing w:val="2"/>
        </w:rPr>
        <w:lastRenderedPageBreak/>
        <mc:AlternateContent>
          <mc:Choice Requires="wps">
            <w:drawing>
              <wp:anchor distT="0" distB="0" distL="114300" distR="114300" simplePos="0" relativeHeight="251667456" behindDoc="0" locked="0" layoutInCell="1" allowOverlap="1" wp14:anchorId="79B5AFA5" wp14:editId="4A204D25">
                <wp:simplePos x="0" y="0"/>
                <wp:positionH relativeFrom="column">
                  <wp:posOffset>81915</wp:posOffset>
                </wp:positionH>
                <wp:positionV relativeFrom="paragraph">
                  <wp:posOffset>267335</wp:posOffset>
                </wp:positionV>
                <wp:extent cx="3543300" cy="270510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705100"/>
                        </a:xfrm>
                        <a:prstGeom prst="rect">
                          <a:avLst/>
                        </a:prstGeom>
                        <a:solidFill>
                          <a:srgbClr val="FFFFFF"/>
                        </a:solidFill>
                        <a:ln w="9525">
                          <a:noFill/>
                          <a:miter lim="800000"/>
                          <a:headEnd/>
                          <a:tailEnd/>
                        </a:ln>
                      </wps:spPr>
                      <wps:txbx>
                        <w:txbxContent>
                          <w:p w14:paraId="4DFFB5C6" w14:textId="77777777" w:rsidR="001F5E5E" w:rsidRPr="003B0533" w:rsidRDefault="001F5E5E" w:rsidP="00365923">
                            <w:pPr>
                              <w:ind w:left="-284"/>
                              <w:jc w:val="center"/>
                              <w:rPr>
                                <w:rFonts w:ascii="Arial" w:hAnsi="Arial" w:cs="Arial"/>
                                <w:b/>
                                <w:bCs/>
                                <w:sz w:val="12"/>
                                <w:szCs w:val="12"/>
                              </w:rPr>
                            </w:pPr>
                            <w:r w:rsidRPr="001F6253">
                              <w:rPr>
                                <w:rFonts w:ascii="Arial" w:hAnsi="Arial" w:cs="Arial"/>
                                <w:b/>
                                <w:bCs/>
                                <w:sz w:val="24"/>
                                <w:szCs w:val="24"/>
                              </w:rPr>
                              <w:t>Figure 13. Structure of imported goods in the eight months of 2026</w:t>
                            </w:r>
                            <w:r w:rsidRPr="00A716BA">
                              <w:rPr>
                                <w:noProof/>
                              </w:rPr>
                              <w:t xml:space="preserve"> </w:t>
                            </w:r>
                            <w:r>
                              <w:rPr>
                                <w:noProof/>
                              </w:rPr>
                              <w:drawing>
                                <wp:inline distT="0" distB="0" distL="0" distR="0" wp14:anchorId="65ED4D10" wp14:editId="5BB23A60">
                                  <wp:extent cx="3351530" cy="2038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51530" cy="203898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5AFA5" id="_x0000_s1027" type="#_x0000_t202" style="position:absolute;left:0;text-align:left;margin-left:6.45pt;margin-top:21.05pt;width:279pt;height:2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" stroked="f">
                <v:textbox>
                  <w:txbxContent>
                    <w:p w14:paraId="4DFFB5C6" w14:textId="77777777" w:rsidR="001F5E5E" w:rsidRPr="003B0533" w:rsidRDefault="001F5E5E" w:rsidP="00365923">
                      <w:pPr>
                        <w:ind w:left="-284"/>
                        <w:jc w:val="center"/>
                        <w:rPr>
                          <w:rFonts w:ascii="Arial" w:hAnsi="Arial" w:cs="Arial"/>
                          <w:b/>
                          <w:bCs/>
                          <w:sz w:val="12"/>
                          <w:szCs w:val="12"/>
                        </w:rPr>
                      </w:pPr>
                      <w:r w:rsidRPr="001F6253">
                        <w:rPr>
                          <w:rFonts w:ascii="Arial" w:hAnsi="Arial" w:cs="Arial"/>
                          <w:b/>
                          <w:bCs/>
                          <w:sz w:val="24"/>
                          <w:szCs w:val="24"/>
                        </w:rPr>
                        <w:t>Figure 13. Structure of imported goods in the eight months of 2026</w:t>
                      </w:r>
                      <w:r w:rsidRPr="00A716BA">
                        <w:rPr>
                          <w:noProof/>
                        </w:rPr>
                        <w:t xml:space="preserve"> </w:t>
                      </w:r>
                      <w:r>
                        <w:rPr>
                          <w:noProof/>
                        </w:rPr>
                        <w:drawing>
                          <wp:inline distT="0" distB="0" distL="0" distR="0" wp14:anchorId="65ED4D10" wp14:editId="5BB23A60">
                            <wp:extent cx="3351530" cy="2038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51530" cy="2038985"/>
                                    </a:xfrm>
                                    <a:prstGeom prst="rect">
                                      <a:avLst/>
                                    </a:prstGeom>
                                  </pic:spPr>
                                </pic:pic>
                              </a:graphicData>
                            </a:graphic>
                          </wp:inline>
                        </w:drawing>
                      </w:r>
                    </w:p>
                  </w:txbxContent>
                </v:textbox>
                <w10:wrap type="square"/>
              </v:shape>
            </w:pict>
          </mc:Fallback>
        </mc:AlternateContent>
      </w:r>
      <w:r w:rsidRPr="008B009B">
        <w:t xml:space="preserve"> </w:t>
      </w:r>
      <w:r w:rsidRPr="008B009B">
        <w:rPr>
          <w:i/>
          <w:spacing w:val="2"/>
        </w:rPr>
        <w:t>Regarding the structure of imported goods</w:t>
      </w:r>
      <w:r w:rsidRPr="008B009B">
        <w:rPr>
          <w:spacing w:val="2"/>
        </w:rPr>
        <w:t xml:space="preserve"> in the eight months of 2026, the group of capital goods reached 372.04 billion USD, accounting for 94.1%, of which the group of machine, equipment, tools and instruments; the group of fuels, raw materials comprised of 57.6%; 36.5%, respectively. The group of consumer goods achieved 23.26 billion USD, making up 5.9%.</w:t>
      </w:r>
      <w:r w:rsidRPr="008B009B">
        <w:rPr>
          <w:rFonts w:asciiTheme="minorHAnsi" w:eastAsiaTheme="minorHAnsi" w:hAnsiTheme="minorHAnsi" w:cstheme="minorBidi"/>
          <w:sz w:val="19"/>
          <w:szCs w:val="19"/>
        </w:rPr>
        <w:t xml:space="preserve"> </w:t>
      </w:r>
      <w:bookmarkStart w:id="5" w:name="_Hlk215671807"/>
    </w:p>
    <w:p w14:paraId="2A41F639" w14:textId="77777777" w:rsidR="00365923" w:rsidRPr="008B009B" w:rsidRDefault="00365923" w:rsidP="00365923">
      <w:pPr>
        <w:tabs>
          <w:tab w:val="num" w:pos="0"/>
          <w:tab w:val="left" w:pos="9475"/>
        </w:tabs>
        <w:spacing w:before="40" w:after="40" w:line="288" w:lineRule="auto"/>
        <w:ind w:right="6"/>
        <w:jc w:val="center"/>
        <w:rPr>
          <w:rFonts w:asciiTheme="minorHAnsi" w:eastAsiaTheme="minorHAnsi" w:hAnsiTheme="minorHAnsi" w:cstheme="minorBidi"/>
          <w:sz w:val="24"/>
          <w:szCs w:val="24"/>
        </w:rPr>
      </w:pPr>
      <w:bookmarkStart w:id="6" w:name="_Hlk239230631"/>
      <w:r w:rsidRPr="008B009B">
        <w:rPr>
          <w:rFonts w:ascii="Arial" w:hAnsi="Arial" w:cs="Arial"/>
          <w:b/>
          <w:iCs/>
          <w:spacing w:val="-2"/>
          <w:sz w:val="24"/>
          <w:szCs w:val="24"/>
        </w:rPr>
        <w:t xml:space="preserve">Figure 14. Major commodity export and import markets in the eight months of 2026 </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365923" w:rsidRPr="008B009B" w14:paraId="4B5E21E8" w14:textId="77777777" w:rsidTr="001F5E5E">
        <w:trPr>
          <w:trHeight w:val="3151"/>
          <w:jc w:val="center"/>
        </w:trPr>
        <w:tc>
          <w:tcPr>
            <w:tcW w:w="4675" w:type="dxa"/>
            <w:gridSpan w:val="3"/>
          </w:tcPr>
          <w:bookmarkEnd w:id="6"/>
          <w:p w14:paraId="3F8FA660" w14:textId="33940FC9" w:rsidR="00365923" w:rsidRPr="008B009B" w:rsidRDefault="001F5E5E" w:rsidP="001F5E5E">
            <w:pPr>
              <w:tabs>
                <w:tab w:val="num" w:pos="0"/>
                <w:tab w:val="left" w:pos="9475"/>
              </w:tabs>
              <w:spacing w:before="40" w:after="40" w:line="288" w:lineRule="auto"/>
              <w:ind w:right="-118"/>
              <w:jc w:val="both"/>
              <w:rPr>
                <w:iCs/>
                <w:sz w:val="25"/>
                <w:szCs w:val="25"/>
                <w:lang w:val="en-US"/>
              </w:rPr>
            </w:pPr>
            <w:r>
              <w:rPr>
                <w:iCs/>
                <w:noProof/>
                <w:sz w:val="25"/>
                <w:szCs w:val="25"/>
              </w:rPr>
              <w:drawing>
                <wp:inline distT="0" distB="0" distL="0" distR="0" wp14:anchorId="522E5FDF" wp14:editId="31AD7A01">
                  <wp:extent cx="2831465" cy="191008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4-a.png"/>
                          <pic:cNvPicPr/>
                        </pic:nvPicPr>
                        <pic:blipFill>
                          <a:blip r:embed="rId24">
                            <a:extLst>
                              <a:ext uri="{28A0092B-C50C-407E-A947-70E740481C1C}">
                                <a14:useLocalDpi xmlns:a14="http://schemas.microsoft.com/office/drawing/2010/main" val="0"/>
                              </a:ext>
                            </a:extLst>
                          </a:blip>
                          <a:stretch>
                            <a:fillRect/>
                          </a:stretch>
                        </pic:blipFill>
                        <pic:spPr>
                          <a:xfrm>
                            <a:off x="0" y="0"/>
                            <a:ext cx="2831465" cy="1910080"/>
                          </a:xfrm>
                          <a:prstGeom prst="rect">
                            <a:avLst/>
                          </a:prstGeom>
                        </pic:spPr>
                      </pic:pic>
                    </a:graphicData>
                  </a:graphic>
                </wp:inline>
              </w:drawing>
            </w:r>
          </w:p>
        </w:tc>
        <w:tc>
          <w:tcPr>
            <w:tcW w:w="4818" w:type="dxa"/>
            <w:gridSpan w:val="3"/>
          </w:tcPr>
          <w:p w14:paraId="04EE7729" w14:textId="7CA5E3E5" w:rsidR="00365923" w:rsidRPr="008B009B" w:rsidRDefault="00442AB5" w:rsidP="001F5E5E">
            <w:pPr>
              <w:tabs>
                <w:tab w:val="num" w:pos="0"/>
                <w:tab w:val="left" w:pos="9475"/>
              </w:tabs>
              <w:spacing w:before="40" w:after="40" w:line="288" w:lineRule="auto"/>
              <w:ind w:right="6"/>
              <w:jc w:val="both"/>
              <w:rPr>
                <w:iCs/>
                <w:sz w:val="25"/>
                <w:szCs w:val="25"/>
                <w:lang w:val="en-US"/>
              </w:rPr>
            </w:pPr>
            <w:r>
              <w:rPr>
                <w:iCs/>
                <w:noProof/>
                <w:sz w:val="25"/>
                <w:szCs w:val="25"/>
              </w:rPr>
              <w:drawing>
                <wp:inline distT="0" distB="0" distL="0" distR="0" wp14:anchorId="0324C720" wp14:editId="424D1397">
                  <wp:extent cx="2922270" cy="20021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4-b.png"/>
                          <pic:cNvPicPr/>
                        </pic:nvPicPr>
                        <pic:blipFill>
                          <a:blip r:embed="rId25">
                            <a:extLst>
                              <a:ext uri="{28A0092B-C50C-407E-A947-70E740481C1C}">
                                <a14:useLocalDpi xmlns:a14="http://schemas.microsoft.com/office/drawing/2010/main" val="0"/>
                              </a:ext>
                            </a:extLst>
                          </a:blip>
                          <a:stretch>
                            <a:fillRect/>
                          </a:stretch>
                        </pic:blipFill>
                        <pic:spPr>
                          <a:xfrm>
                            <a:off x="0" y="0"/>
                            <a:ext cx="2922270" cy="2002155"/>
                          </a:xfrm>
                          <a:prstGeom prst="rect">
                            <a:avLst/>
                          </a:prstGeom>
                        </pic:spPr>
                      </pic:pic>
                    </a:graphicData>
                  </a:graphic>
                </wp:inline>
              </w:drawing>
            </w:r>
          </w:p>
        </w:tc>
      </w:tr>
      <w:tr w:rsidR="00365923" w:rsidRPr="008B009B" w14:paraId="05210AB2" w14:textId="77777777" w:rsidTr="001F5E5E">
        <w:trPr>
          <w:gridAfter w:val="1"/>
          <w:wAfter w:w="532" w:type="dxa"/>
          <w:trHeight w:val="176"/>
          <w:jc w:val="center"/>
        </w:trPr>
        <w:tc>
          <w:tcPr>
            <w:tcW w:w="1791" w:type="dxa"/>
          </w:tcPr>
          <w:p w14:paraId="75479C17" w14:textId="77777777" w:rsidR="00365923" w:rsidRPr="008B009B" w:rsidRDefault="00365923" w:rsidP="001F5E5E">
            <w:pPr>
              <w:spacing w:before="40" w:after="40" w:line="288" w:lineRule="auto"/>
              <w:ind w:firstLine="567"/>
              <w:jc w:val="both"/>
              <w:rPr>
                <w:b/>
                <w:bCs/>
                <w:i/>
                <w:iCs/>
                <w:sz w:val="25"/>
                <w:szCs w:val="25"/>
                <w:lang w:val="en-US"/>
              </w:rPr>
            </w:pPr>
          </w:p>
        </w:tc>
        <w:tc>
          <w:tcPr>
            <w:tcW w:w="619" w:type="dxa"/>
          </w:tcPr>
          <w:p w14:paraId="573C2440" w14:textId="77777777" w:rsidR="00365923" w:rsidRPr="008B009B" w:rsidRDefault="00365923" w:rsidP="001F5E5E">
            <w:pPr>
              <w:spacing w:before="40" w:after="40" w:line="288" w:lineRule="auto"/>
              <w:ind w:firstLine="567"/>
              <w:jc w:val="both"/>
              <w:rPr>
                <w:b/>
                <w:bCs/>
                <w:i/>
                <w:iCs/>
                <w:sz w:val="25"/>
                <w:szCs w:val="25"/>
                <w:lang w:val="en-US"/>
              </w:rPr>
            </w:pPr>
          </w:p>
        </w:tc>
        <w:tc>
          <w:tcPr>
            <w:tcW w:w="2265" w:type="dxa"/>
          </w:tcPr>
          <w:p w14:paraId="39479BDE" w14:textId="77777777" w:rsidR="00365923" w:rsidRPr="008B009B" w:rsidRDefault="00365923" w:rsidP="001F5E5E">
            <w:pPr>
              <w:spacing w:before="40" w:after="40" w:line="288" w:lineRule="auto"/>
              <w:ind w:firstLine="567"/>
              <w:jc w:val="both"/>
              <w:rPr>
                <w:b/>
                <w:bCs/>
                <w:i/>
                <w:iCs/>
                <w:sz w:val="25"/>
                <w:szCs w:val="25"/>
                <w:lang w:val="en-US"/>
              </w:rPr>
            </w:pPr>
            <w:r w:rsidRPr="008B009B">
              <w:rPr>
                <w:noProof/>
                <w:sz w:val="25"/>
                <w:szCs w:val="25"/>
              </w:rPr>
              <mc:AlternateContent>
                <mc:Choice Requires="wps">
                  <w:drawing>
                    <wp:anchor distT="0" distB="0" distL="114300" distR="114300" simplePos="0" relativeHeight="251668480" behindDoc="0" locked="0" layoutInCell="1" allowOverlap="1" wp14:anchorId="10B163A1" wp14:editId="0047E3C5">
                      <wp:simplePos x="0" y="0"/>
                      <wp:positionH relativeFrom="column">
                        <wp:posOffset>98425</wp:posOffset>
                      </wp:positionH>
                      <wp:positionV relativeFrom="paragraph">
                        <wp:posOffset>36195</wp:posOffset>
                      </wp:positionV>
                      <wp:extent cx="125730" cy="90170"/>
                      <wp:effectExtent l="0" t="0" r="7620" b="5080"/>
                      <wp:wrapNone/>
                      <wp:docPr id="108887700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B9B7F" id="Rectangle 28" o:spid="_x0000_s1026" style="position:absolute;margin-left:7.75pt;margin-top:2.85pt;width:9.9pt;height: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" fillcolor="#00b050" stroked="f" strokeweight="1pt">
                      <v:path arrowok="t"/>
                    </v:rect>
                  </w:pict>
                </mc:Fallback>
              </mc:AlternateContent>
            </w:r>
            <w:r w:rsidRPr="008B009B">
              <w:rPr>
                <w:rFonts w:ascii="Arial" w:hAnsi="Arial" w:cs="Arial"/>
                <w:iCs/>
                <w:sz w:val="14"/>
                <w:szCs w:val="14"/>
                <w:lang w:val="en-US"/>
              </w:rPr>
              <w:t xml:space="preserve"> Export of goods</w:t>
            </w:r>
          </w:p>
        </w:tc>
        <w:tc>
          <w:tcPr>
            <w:tcW w:w="2838" w:type="dxa"/>
          </w:tcPr>
          <w:p w14:paraId="0B336DB7" w14:textId="77777777" w:rsidR="00365923" w:rsidRPr="008B009B" w:rsidRDefault="00365923" w:rsidP="001F5E5E">
            <w:pPr>
              <w:spacing w:before="40" w:after="40" w:line="288" w:lineRule="auto"/>
              <w:ind w:firstLine="567"/>
              <w:jc w:val="both"/>
              <w:rPr>
                <w:b/>
                <w:bCs/>
                <w:i/>
                <w:iCs/>
                <w:sz w:val="25"/>
                <w:szCs w:val="25"/>
                <w:lang w:val="en-US"/>
              </w:rPr>
            </w:pPr>
            <w:r w:rsidRPr="008B009B">
              <w:rPr>
                <w:noProof/>
                <w:sz w:val="25"/>
                <w:szCs w:val="25"/>
              </w:rPr>
              <mc:AlternateContent>
                <mc:Choice Requires="wps">
                  <w:drawing>
                    <wp:anchor distT="0" distB="0" distL="114300" distR="114300" simplePos="0" relativeHeight="251669504" behindDoc="0" locked="0" layoutInCell="1" allowOverlap="1" wp14:anchorId="60F9AC98" wp14:editId="655F2D9E">
                      <wp:simplePos x="0" y="0"/>
                      <wp:positionH relativeFrom="column">
                        <wp:posOffset>414655</wp:posOffset>
                      </wp:positionH>
                      <wp:positionV relativeFrom="paragraph">
                        <wp:posOffset>36195</wp:posOffset>
                      </wp:positionV>
                      <wp:extent cx="125730" cy="90170"/>
                      <wp:effectExtent l="0" t="0" r="26670" b="24130"/>
                      <wp:wrapNone/>
                      <wp:docPr id="49139682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7030A0"/>
                              </a:solidFill>
                              <a:ln w="6350" cap="flat" cmpd="sng" algn="ctr">
                                <a:solidFill>
                                  <a:srgbClr val="E7E6E6">
                                    <a:lumMod val="2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85B14" id="Rectangle 29" o:spid="_x0000_s1026" style="position:absolute;margin-left:32.65pt;margin-top:2.85pt;width:9.9pt;height: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" fillcolor="#7030a0" strokecolor="#3b3838" strokeweight=".5pt">
                      <v:path arrowok="t"/>
                    </v:rect>
                  </w:pict>
                </mc:Fallback>
              </mc:AlternateContent>
            </w:r>
            <w:r w:rsidRPr="008B009B">
              <w:rPr>
                <w:rFonts w:ascii="Arial" w:hAnsi="Arial" w:cs="Arial"/>
                <w:iCs/>
                <w:sz w:val="14"/>
                <w:szCs w:val="14"/>
                <w:lang w:val="en-US"/>
              </w:rPr>
              <w:t xml:space="preserve">          Import of goods</w:t>
            </w:r>
          </w:p>
        </w:tc>
        <w:tc>
          <w:tcPr>
            <w:tcW w:w="1448" w:type="dxa"/>
          </w:tcPr>
          <w:p w14:paraId="4F04C5B2" w14:textId="77777777" w:rsidR="00365923" w:rsidRPr="008B009B" w:rsidRDefault="00365923" w:rsidP="001F5E5E">
            <w:pPr>
              <w:spacing w:before="40" w:after="40" w:line="288" w:lineRule="auto"/>
              <w:ind w:firstLine="567"/>
              <w:jc w:val="both"/>
              <w:rPr>
                <w:b/>
                <w:bCs/>
                <w:i/>
                <w:iCs/>
                <w:sz w:val="25"/>
                <w:szCs w:val="25"/>
                <w:lang w:val="en-US"/>
              </w:rPr>
            </w:pPr>
          </w:p>
        </w:tc>
      </w:tr>
    </w:tbl>
    <w:bookmarkEnd w:id="5"/>
    <w:p w14:paraId="5FA3F7A6" w14:textId="77777777" w:rsidR="00365923" w:rsidRPr="008B009B" w:rsidRDefault="00365923" w:rsidP="00365923">
      <w:pPr>
        <w:tabs>
          <w:tab w:val="num" w:pos="0"/>
          <w:tab w:val="left" w:pos="9475"/>
        </w:tabs>
        <w:spacing w:after="120" w:line="252" w:lineRule="auto"/>
        <w:ind w:firstLine="720"/>
        <w:jc w:val="both"/>
        <w:rPr>
          <w:bCs/>
          <w:spacing w:val="-4"/>
        </w:rPr>
      </w:pPr>
      <w:r w:rsidRPr="008B009B">
        <w:rPr>
          <w:bCs/>
          <w:i/>
          <w:spacing w:val="-4"/>
        </w:rPr>
        <w:t xml:space="preserve">Regarding export and import markets of goods </w:t>
      </w:r>
      <w:r w:rsidRPr="008B009B">
        <w:rPr>
          <w:bCs/>
          <w:spacing w:val="-4"/>
        </w:rPr>
        <w:t>in the eight months of 2026, the United States was Viet Nam’s largest export market with a turnover of 122.0 billion USD. China remained Viet Nam’s largest import market with a turnover of 161.9 billion USD. In the eight months of 2026, the trade surplus to the United States reached 106.6 billion USD, a year-on-year increase of 22.7%; the trade surplus to the EU attained 31.4 billion USD, an expansion of 22.8%; the trade surplus to Japan gained 2.4 billion USD, a spike of 58.0%; the trade deficit to China was 107.7 billion USD, a shoot of 41.7%; the trade deficit to Republic of Korea was 37.8 billion USD, a spike of 89.4%; and the trade deficit to ASEAN was 13.5 billion USD, a surge of 43.4%.</w:t>
      </w:r>
    </w:p>
    <w:bookmarkEnd w:id="4"/>
    <w:p w14:paraId="306082DB" w14:textId="77777777" w:rsidR="00365923" w:rsidRPr="008B009B" w:rsidRDefault="00365923" w:rsidP="00365923">
      <w:pPr>
        <w:spacing w:after="120" w:line="252" w:lineRule="auto"/>
        <w:ind w:firstLine="720"/>
        <w:jc w:val="both"/>
        <w:rPr>
          <w:rFonts w:asciiTheme="minorHAnsi" w:eastAsiaTheme="minorHAnsi" w:hAnsiTheme="minorHAnsi" w:cstheme="minorBidi"/>
          <w:sz w:val="19"/>
          <w:szCs w:val="19"/>
        </w:rPr>
      </w:pPr>
      <w:r w:rsidRPr="008B009B">
        <w:rPr>
          <w:iCs/>
        </w:rPr>
        <w:t xml:space="preserve">According to preliminary data, the trade balance of goods recorded a deficit of 0.12 billion USD in August. Overall, in the eight months of 2026, the </w:t>
      </w:r>
      <w:r w:rsidRPr="008B009B">
        <w:rPr>
          <w:iCs/>
        </w:rPr>
        <w:lastRenderedPageBreak/>
        <w:t>trade balance of goods posted a deficit of 20.46 billion USD</w:t>
      </w:r>
      <w:r w:rsidRPr="008B009B">
        <w:rPr>
          <w:rStyle w:val="FootnoteReference"/>
          <w:iCs/>
        </w:rPr>
        <w:footnoteReference w:id="22"/>
      </w:r>
      <w:r w:rsidRPr="008B009B">
        <w:rPr>
          <w:iCs/>
        </w:rPr>
        <w:t xml:space="preserve"> (a surplus of 14.02 billion USD in the same period last year). Of which, the domestic economic sector recorded a trade deficit of 30.6 billion USD; while the FDI sector (including crude oil) recorded a trade surplus of 10.14 billion USD.</w:t>
      </w:r>
    </w:p>
    <w:p w14:paraId="0188E673" w14:textId="77777777" w:rsidR="00365923" w:rsidRPr="008B009B" w:rsidRDefault="00365923" w:rsidP="00365923">
      <w:pPr>
        <w:spacing w:after="120"/>
        <w:ind w:firstLine="720"/>
        <w:jc w:val="both"/>
        <w:rPr>
          <w:b/>
          <w:i/>
        </w:rPr>
      </w:pPr>
      <w:bookmarkStart w:id="7" w:name="_Hlk238807546"/>
      <w:r w:rsidRPr="008B009B">
        <w:rPr>
          <w:b/>
          <w:i/>
        </w:rPr>
        <w:t>c) Consumer price index, gold and US dollar price index</w:t>
      </w:r>
    </w:p>
    <w:p w14:paraId="7BFD89EA" w14:textId="77777777" w:rsidR="00365923" w:rsidRPr="008B009B" w:rsidRDefault="00365923" w:rsidP="00365923">
      <w:pPr>
        <w:pStyle w:val="NormalWeb"/>
        <w:spacing w:before="0" w:beforeAutospacing="0" w:after="120" w:afterAutospacing="0"/>
        <w:ind w:firstLine="720"/>
        <w:jc w:val="both"/>
        <w:rPr>
          <w:rFonts w:eastAsia="Times New Roman"/>
          <w:i/>
          <w:iCs/>
          <w:spacing w:val="-6"/>
          <w:sz w:val="28"/>
          <w:szCs w:val="28"/>
          <w:lang w:val="en-US" w:eastAsia="en-US"/>
        </w:rPr>
      </w:pPr>
      <w:r w:rsidRPr="008B009B">
        <w:rPr>
          <w:rFonts w:eastAsia="Times New Roman"/>
          <w:i/>
          <w:iCs/>
          <w:spacing w:val="-6"/>
          <w:sz w:val="28"/>
          <w:szCs w:val="28"/>
          <w:lang w:val="en-US" w:eastAsia="en-US"/>
        </w:rPr>
        <w:t>The Consumer Price Index (CPI) in August witnessed a month-on-month increase of 0.47%, mainly due to upward adjustments to the prices of domestic petrol and oil in line with world fuel prices. The CPI in August saw a rise of 3.57% compared with that in December 2025 and recorded a year-on-year surge of 4.89%.</w:t>
      </w:r>
    </w:p>
    <w:p w14:paraId="48A0C26E" w14:textId="77777777" w:rsidR="00365923" w:rsidRPr="008B009B" w:rsidRDefault="00365923" w:rsidP="00365923">
      <w:pPr>
        <w:spacing w:after="120"/>
        <w:ind w:firstLine="720"/>
        <w:jc w:val="both"/>
        <w:rPr>
          <w:i/>
          <w:iCs/>
          <w:spacing w:val="-4"/>
        </w:rPr>
      </w:pPr>
      <w:r w:rsidRPr="008B009B">
        <w:rPr>
          <w:i/>
          <w:iCs/>
          <w:spacing w:val="-4"/>
        </w:rPr>
        <w:t>In general, the CPI in the eight months of 2026 possessed a year-on-year expansion of 4.45%; core inflation experienced an upturn of 4.24%.</w:t>
      </w:r>
    </w:p>
    <w:p w14:paraId="5A4FD50B" w14:textId="77777777" w:rsidR="00365923" w:rsidRPr="008B009B" w:rsidRDefault="00365923" w:rsidP="00365923">
      <w:pPr>
        <w:spacing w:after="120"/>
        <w:ind w:firstLine="720"/>
        <w:jc w:val="both"/>
        <w:rPr>
          <w:spacing w:val="-4"/>
        </w:rPr>
      </w:pPr>
      <w:r w:rsidRPr="008B009B">
        <w:rPr>
          <w:b/>
          <w:i/>
          <w:spacing w:val="-4"/>
        </w:rPr>
        <w:t>The CPI in August</w:t>
      </w:r>
      <w:r w:rsidRPr="008B009B">
        <w:rPr>
          <w:spacing w:val="-4"/>
        </w:rPr>
        <w:t xml:space="preserve"> possessed a month-on-month jump of 0.47%, of which 10 groups of goods and services recorded an increase in prices but 01 group of goods and services experienced a decline in prices.</w:t>
      </w:r>
    </w:p>
    <w:p w14:paraId="43ACF417" w14:textId="77777777" w:rsidR="00365923" w:rsidRPr="008B009B" w:rsidRDefault="00365923" w:rsidP="00365923">
      <w:pPr>
        <w:spacing w:after="120" w:line="252" w:lineRule="auto"/>
        <w:jc w:val="center"/>
        <w:rPr>
          <w:rFonts w:ascii="Arial" w:hAnsi="Arial" w:cs="Arial"/>
          <w:b/>
          <w:bCs/>
          <w:spacing w:val="-4"/>
          <w:sz w:val="24"/>
          <w:szCs w:val="24"/>
        </w:rPr>
      </w:pPr>
      <w:r w:rsidRPr="008B009B">
        <w:rPr>
          <w:rFonts w:ascii="Arial" w:hAnsi="Arial" w:cs="Arial"/>
          <w:b/>
          <w:bCs/>
          <w:spacing w:val="-4"/>
          <w:sz w:val="24"/>
          <w:szCs w:val="24"/>
        </w:rPr>
        <w:t>Figure 15. Month-on-month CPI growth rate in August 2026 (%)</w:t>
      </w:r>
    </w:p>
    <w:p w14:paraId="5D1D022D" w14:textId="77777777" w:rsidR="00365923" w:rsidRPr="008B009B" w:rsidRDefault="00365923" w:rsidP="00365923">
      <w:pPr>
        <w:spacing w:after="120" w:line="252" w:lineRule="auto"/>
        <w:jc w:val="center"/>
        <w:rPr>
          <w:b/>
          <w:bCs/>
          <w:spacing w:val="-4"/>
        </w:rPr>
      </w:pPr>
      <w:r w:rsidRPr="008B009B">
        <w:rPr>
          <w:noProof/>
        </w:rPr>
        <w:drawing>
          <wp:inline distT="0" distB="0" distL="0" distR="0" wp14:anchorId="0F65EBEE" wp14:editId="5418C1A8">
            <wp:extent cx="5699760" cy="2859405"/>
            <wp:effectExtent l="0" t="0" r="15240" b="17145"/>
            <wp:docPr id="12" name="Chart 12">
              <a:extLst xmlns:a="http://schemas.openxmlformats.org/drawingml/2006/main">
                <a:ext uri="{FF2B5EF4-FFF2-40B4-BE49-F238E27FC236}">
                  <a16:creationId xmlns:a16="http://schemas.microsoft.com/office/drawing/2014/main" id="{15C35542-80E3-F2F5-6413-33FFD21880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CE960CC" w14:textId="77777777" w:rsidR="00365923" w:rsidRPr="008B009B" w:rsidRDefault="00365923" w:rsidP="00365923">
      <w:pPr>
        <w:spacing w:line="252" w:lineRule="auto"/>
        <w:ind w:firstLine="720"/>
        <w:jc w:val="both"/>
        <w:rPr>
          <w:rFonts w:eastAsia="Calibri"/>
        </w:rPr>
      </w:pPr>
      <w:r w:rsidRPr="008B009B">
        <w:rPr>
          <w:rFonts w:eastAsia="Calibri"/>
        </w:rPr>
        <w:t xml:space="preserve">Ten groups of goods and services recorded an increase in the CPI, as follows: </w:t>
      </w:r>
    </w:p>
    <w:p w14:paraId="603353E4" w14:textId="77777777" w:rsidR="00365923" w:rsidRPr="008B009B" w:rsidRDefault="00365923" w:rsidP="00365923">
      <w:pPr>
        <w:spacing w:line="252" w:lineRule="auto"/>
        <w:ind w:firstLine="720"/>
        <w:jc w:val="both"/>
        <w:rPr>
          <w:rFonts w:eastAsia="Calibri"/>
        </w:rPr>
      </w:pPr>
      <w:r w:rsidRPr="008B009B">
        <w:rPr>
          <w:rFonts w:eastAsia="Calibri"/>
          <w:i/>
        </w:rPr>
        <w:t xml:space="preserve"> (i)</w:t>
      </w:r>
      <w:r w:rsidRPr="008B009B">
        <w:rPr>
          <w:rFonts w:eastAsia="Calibri"/>
        </w:rPr>
        <w:t xml:space="preserve"> </w:t>
      </w:r>
      <w:r w:rsidRPr="008B009B">
        <w:rPr>
          <w:rFonts w:eastAsia="Calibri"/>
          <w:i/>
        </w:rPr>
        <w:t>The group of culture, entertainment and tourism</w:t>
      </w:r>
      <w:r w:rsidRPr="008B009B">
        <w:rPr>
          <w:rFonts w:eastAsia="Calibri"/>
        </w:rPr>
        <w:t xml:space="preserve"> witnessed a month-on-month climb of 0.03%. Of which, the prices of books, newspapers and magazines of all kinds (+0.27%); domestic tourism (+0.20%); sports equipment and instruments (+0.19%); toys (+0.15%); and hotels (+0.06%). In contrast, fees for hiring sports venues reduced by 0.09%; outbound tourism (-0.24%); and cinema and music performances (-1.02%). </w:t>
      </w:r>
    </w:p>
    <w:p w14:paraId="2C262D3E" w14:textId="77777777" w:rsidR="00365923" w:rsidRPr="008B009B" w:rsidRDefault="00365923" w:rsidP="00365923">
      <w:pPr>
        <w:spacing w:line="252" w:lineRule="auto"/>
        <w:ind w:firstLine="720"/>
        <w:jc w:val="both"/>
        <w:rPr>
          <w:rFonts w:eastAsia="Calibri"/>
        </w:rPr>
      </w:pPr>
      <w:r w:rsidRPr="008B009B">
        <w:rPr>
          <w:rFonts w:eastAsia="Calibri"/>
          <w:i/>
        </w:rPr>
        <w:lastRenderedPageBreak/>
        <w:t xml:space="preserve"> (ii)</w:t>
      </w:r>
      <w:r w:rsidRPr="008B009B">
        <w:rPr>
          <w:rFonts w:eastAsia="Calibri"/>
        </w:rPr>
        <w:t xml:space="preserve"> </w:t>
      </w:r>
      <w:r w:rsidRPr="008B009B">
        <w:rPr>
          <w:rFonts w:eastAsia="Calibri"/>
          <w:i/>
        </w:rPr>
        <w:t>The group of medicines and health care services</w:t>
      </w:r>
      <w:r w:rsidRPr="008B009B">
        <w:rPr>
          <w:rFonts w:eastAsia="Calibri"/>
        </w:rPr>
        <w:t xml:space="preserve"> edged up 0.05% due to a slight increase in prices of some medicines resulting from rising costs</w:t>
      </w:r>
      <w:r w:rsidRPr="008B009B">
        <w:rPr>
          <w:rStyle w:val="FootnoteReference"/>
          <w:rFonts w:eastAsia="Calibri"/>
        </w:rPr>
        <w:footnoteReference w:id="23"/>
      </w:r>
      <w:r w:rsidRPr="008B009B">
        <w:rPr>
          <w:rFonts w:eastAsia="Calibri"/>
        </w:rPr>
        <w:t xml:space="preserve"> of input material.</w:t>
      </w:r>
    </w:p>
    <w:p w14:paraId="4FA26E14" w14:textId="77777777" w:rsidR="00365923" w:rsidRPr="008B009B" w:rsidRDefault="00365923" w:rsidP="00365923">
      <w:pPr>
        <w:spacing w:line="252" w:lineRule="auto"/>
        <w:ind w:firstLine="720"/>
        <w:jc w:val="both"/>
        <w:rPr>
          <w:rFonts w:eastAsia="Calibri"/>
        </w:rPr>
      </w:pPr>
      <w:r w:rsidRPr="008B009B">
        <w:rPr>
          <w:rFonts w:eastAsia="Calibri"/>
          <w:i/>
        </w:rPr>
        <w:t xml:space="preserve"> (iii)</w:t>
      </w:r>
      <w:r w:rsidRPr="008B009B">
        <w:rPr>
          <w:rFonts w:eastAsia="Calibri"/>
        </w:rPr>
        <w:t xml:space="preserve"> </w:t>
      </w:r>
      <w:r w:rsidRPr="008B009B">
        <w:rPr>
          <w:rFonts w:eastAsia="Calibri"/>
          <w:i/>
        </w:rPr>
        <w:t>The group of information and communication</w:t>
      </w:r>
      <w:r w:rsidRPr="008B009B">
        <w:rPr>
          <w:rFonts w:eastAsia="Calibri"/>
        </w:rPr>
        <w:t xml:space="preserve"> experienced witnessed a month-on-month expansion of 0.08%. Of which, prices of feature mobile phones (+1.24%); landline phones (+0.53%); printers, projectors and scanners (+0.19%); phone repair (+0.18%); and telecommunication services (+0.11%). In contrast, prices of color televisions shrunk by 0.32%; smartphones and tablets accessories (-0.08%); and computers and its accessories (-0.03%). </w:t>
      </w:r>
    </w:p>
    <w:p w14:paraId="2565C4D7" w14:textId="77777777" w:rsidR="00365923" w:rsidRPr="008B009B" w:rsidRDefault="00365923" w:rsidP="00365923">
      <w:pPr>
        <w:spacing w:line="252" w:lineRule="auto"/>
        <w:ind w:firstLine="720"/>
        <w:jc w:val="both"/>
        <w:rPr>
          <w:rFonts w:eastAsia="Calibri"/>
        </w:rPr>
      </w:pPr>
      <w:r w:rsidRPr="008B009B">
        <w:rPr>
          <w:rFonts w:eastAsia="Calibri"/>
        </w:rPr>
        <w:t xml:space="preserve"> </w:t>
      </w:r>
      <w:r w:rsidRPr="008B009B">
        <w:rPr>
          <w:rFonts w:eastAsia="Calibri"/>
          <w:i/>
        </w:rPr>
        <w:t>(iv)</w:t>
      </w:r>
      <w:r w:rsidRPr="008B009B">
        <w:rPr>
          <w:rFonts w:eastAsia="Calibri"/>
        </w:rPr>
        <w:t xml:space="preserve"> </w:t>
      </w:r>
      <w:r w:rsidRPr="008B009B">
        <w:rPr>
          <w:rFonts w:eastAsia="Calibri"/>
          <w:i/>
        </w:rPr>
        <w:t>The group of housing, electricity, water, fuel and construction materials</w:t>
      </w:r>
      <w:r w:rsidRPr="008B009B">
        <w:rPr>
          <w:rFonts w:eastAsia="Calibri"/>
        </w:rPr>
        <w:t xml:space="preserve"> witnessed a month-on-month upturn of 0.10%, mainly due to a rise of 0.07% in house rent; a jump of 4.63% in the price of kerosene; an expansion of 4.19% in the price of cooking gas; and an upturn of 0.03% in the prices of housing maintenance materials. In contrast, the prices of household electricity and tap water declined by 1.33% and 0.32%</w:t>
      </w:r>
      <w:r w:rsidRPr="008B009B">
        <w:rPr>
          <w:rStyle w:val="FootnoteReference"/>
          <w:rFonts w:eastAsia="Calibri"/>
        </w:rPr>
        <w:footnoteReference w:id="24"/>
      </w:r>
      <w:r w:rsidRPr="008B009B">
        <w:rPr>
          <w:rFonts w:eastAsia="Calibri"/>
        </w:rPr>
        <w:t>, respectively.</w:t>
      </w:r>
    </w:p>
    <w:p w14:paraId="4C3D4233" w14:textId="77777777" w:rsidR="00365923" w:rsidRPr="008B009B" w:rsidRDefault="00365923" w:rsidP="00365923">
      <w:pPr>
        <w:spacing w:line="252" w:lineRule="auto"/>
        <w:ind w:firstLine="720"/>
        <w:jc w:val="both"/>
        <w:rPr>
          <w:rFonts w:eastAsia="Calibri"/>
        </w:rPr>
      </w:pPr>
      <w:r w:rsidRPr="008B009B">
        <w:rPr>
          <w:rFonts w:eastAsia="Calibri"/>
        </w:rPr>
        <w:t xml:space="preserve"> </w:t>
      </w:r>
      <w:r w:rsidRPr="008B009B">
        <w:rPr>
          <w:rFonts w:eastAsia="Calibri"/>
          <w:i/>
        </w:rPr>
        <w:t>(v)</w:t>
      </w:r>
      <w:r w:rsidRPr="008B009B">
        <w:rPr>
          <w:rFonts w:eastAsia="Calibri"/>
        </w:rPr>
        <w:t xml:space="preserve"> </w:t>
      </w:r>
      <w:r w:rsidRPr="008B009B">
        <w:rPr>
          <w:rFonts w:eastAsia="Calibri"/>
          <w:i/>
        </w:rPr>
        <w:t>The group of garment, hats and footwear</w:t>
      </w:r>
      <w:r w:rsidRPr="008B009B">
        <w:rPr>
          <w:rFonts w:eastAsia="Calibri"/>
        </w:rPr>
        <w:t xml:space="preserve"> experienced a month-on-month soar of 0.11% due to increasing demand for purchase in preparation for the new school year. Of which, prices of hats (+0.27%); fabrics of all kinds (+0.18%); footwear (+0.11%); ready-made clothes (+0.09%); footwear services (+0.65%); and garment services (+0.48%). </w:t>
      </w:r>
    </w:p>
    <w:p w14:paraId="65216D0D" w14:textId="77777777" w:rsidR="00365923" w:rsidRPr="008B009B" w:rsidRDefault="00365923" w:rsidP="00365923">
      <w:pPr>
        <w:spacing w:line="252" w:lineRule="auto"/>
        <w:ind w:firstLine="720"/>
        <w:jc w:val="both"/>
        <w:rPr>
          <w:rFonts w:eastAsia="Calibri"/>
        </w:rPr>
      </w:pPr>
      <w:r w:rsidRPr="008B009B">
        <w:rPr>
          <w:rFonts w:eastAsia="Calibri"/>
          <w:i/>
        </w:rPr>
        <w:t xml:space="preserve"> (vi) The group of beverages and tobacco</w:t>
      </w:r>
      <w:r w:rsidRPr="008B009B">
        <w:rPr>
          <w:rFonts w:eastAsia="Calibri"/>
        </w:rPr>
        <w:t xml:space="preserve"> edged up 0.12% due to higher demands for consumption and increasing costs of input material for production. Of which, prices of bottled, canned and boxed energy drinks (+0.52%); mineral water (+0.34%); cigarettes (+0.24%); alcohol of all kinds (+0.18%); fruit juices (+0.10%); and beer of all kinds (+0.06%). Whereas the prices of carbonated soft drinks fell by 0.14%. </w:t>
      </w:r>
    </w:p>
    <w:p w14:paraId="4E617359" w14:textId="77777777" w:rsidR="00365923" w:rsidRPr="008B009B" w:rsidRDefault="00365923" w:rsidP="00365923">
      <w:pPr>
        <w:spacing w:line="252" w:lineRule="auto"/>
        <w:ind w:firstLine="720"/>
        <w:jc w:val="both"/>
        <w:rPr>
          <w:rFonts w:eastAsia="Calibri"/>
        </w:rPr>
      </w:pPr>
      <w:r w:rsidRPr="008B009B">
        <w:rPr>
          <w:rFonts w:eastAsia="Calibri"/>
        </w:rPr>
        <w:t xml:space="preserve"> </w:t>
      </w:r>
      <w:r w:rsidRPr="008B009B">
        <w:rPr>
          <w:rFonts w:eastAsia="Calibri"/>
          <w:i/>
        </w:rPr>
        <w:t>(vii)</w:t>
      </w:r>
      <w:r w:rsidRPr="008B009B">
        <w:rPr>
          <w:rFonts w:eastAsia="Calibri"/>
        </w:rPr>
        <w:t xml:space="preserve"> </w:t>
      </w:r>
      <w:r w:rsidRPr="008B009B">
        <w:rPr>
          <w:rFonts w:eastAsia="Calibri"/>
          <w:i/>
        </w:rPr>
        <w:t>The group of other goods and services</w:t>
      </w:r>
      <w:r w:rsidRPr="008B009B">
        <w:rPr>
          <w:rFonts w:eastAsia="Calibri"/>
        </w:rPr>
        <w:t xml:space="preserve"> possessed a month-on-month jump of 0.15%, of which: the prices of electric personal care appliances (+0.75%); watch and jewelry repair (+0.50%); personal care services (+0.49%); non-electric personal articles (+0.33%); wedding and funeral services (+0.21%); and haircut and hair-washing services (+0.19%). In contrast, the prices of jewelry decreased by 0.50%; handbags, suitcases and wallets (-0.44%); and administrative and legal services (-0.35%). </w:t>
      </w:r>
    </w:p>
    <w:p w14:paraId="0B92FF31" w14:textId="77777777" w:rsidR="00365923" w:rsidRPr="008B009B" w:rsidRDefault="00365923" w:rsidP="00365923">
      <w:pPr>
        <w:spacing w:line="252" w:lineRule="auto"/>
        <w:ind w:firstLine="720"/>
        <w:jc w:val="both"/>
        <w:rPr>
          <w:rFonts w:eastAsia="Calibri"/>
        </w:rPr>
      </w:pPr>
      <w:r w:rsidRPr="008B009B">
        <w:rPr>
          <w:rFonts w:eastAsia="Calibri"/>
          <w:i/>
        </w:rPr>
        <w:t xml:space="preserve"> (viii)</w:t>
      </w:r>
      <w:r w:rsidRPr="008B009B">
        <w:rPr>
          <w:rFonts w:eastAsia="Calibri"/>
        </w:rPr>
        <w:t xml:space="preserve"> </w:t>
      </w:r>
      <w:r w:rsidRPr="008B009B">
        <w:rPr>
          <w:rFonts w:eastAsia="Calibri"/>
          <w:i/>
        </w:rPr>
        <w:t>The group of household equipment and goods</w:t>
      </w:r>
      <w:r w:rsidRPr="008B009B">
        <w:rPr>
          <w:rFonts w:eastAsia="Calibri"/>
        </w:rPr>
        <w:t xml:space="preserve"> saw a month-on-month increase of 0.19%, mainly due to rising costs of raw materials, fuels and labor in production. Of which, prices of other consumer items; refrigerators, cooking utensils, glassware, ceramic and porcelain products; electric appliances </w:t>
      </w:r>
      <w:r w:rsidRPr="008B009B">
        <w:rPr>
          <w:rFonts w:eastAsia="Calibri"/>
        </w:rPr>
        <w:lastRenderedPageBreak/>
        <w:t>and soap and detergents; beds, wardrobes, tables and chairs; metal, plastic and rubber household products; indoor textiles; household equipment repair services; and domestic services added up 0.33%; 0.27%; 0.20%; 0.13%; 0.07%; 0.05%; 0.34%; 0.18%, respectively. In contrast, prices of electric irons; wall mirrors; egg whisk; washing machines; bathroom water heaters reduced by 0.92%; 0.70%; 0.50%; 0.35%; and 0.10%, respectively.</w:t>
      </w:r>
    </w:p>
    <w:p w14:paraId="2154B6D2" w14:textId="77777777" w:rsidR="00365923" w:rsidRPr="008B009B" w:rsidRDefault="00365923" w:rsidP="00365923">
      <w:pPr>
        <w:spacing w:line="252" w:lineRule="auto"/>
        <w:ind w:firstLine="720"/>
        <w:jc w:val="both"/>
        <w:rPr>
          <w:rFonts w:eastAsia="Calibri"/>
        </w:rPr>
      </w:pPr>
      <w:r w:rsidRPr="008B009B">
        <w:rPr>
          <w:rFonts w:eastAsia="Calibri"/>
          <w:i/>
        </w:rPr>
        <w:t>(ix)</w:t>
      </w:r>
      <w:r w:rsidRPr="008B009B">
        <w:rPr>
          <w:rFonts w:eastAsia="Calibri"/>
        </w:rPr>
        <w:t xml:space="preserve"> </w:t>
      </w:r>
      <w:r w:rsidRPr="008B009B">
        <w:rPr>
          <w:rFonts w:eastAsia="Calibri"/>
          <w:i/>
        </w:rPr>
        <w:t>The education group</w:t>
      </w:r>
      <w:r w:rsidRPr="008B009B">
        <w:rPr>
          <w:rFonts w:eastAsia="Calibri"/>
        </w:rPr>
        <w:t xml:space="preserve"> witnessed a month-on-month expansion of 0.47%, of which: prices of education services (+0.57%); paper products (+0.37%); pens of all kinds (+0.34%); stationery and other school supplies (+0.29%). </w:t>
      </w:r>
    </w:p>
    <w:p w14:paraId="49F65CB9" w14:textId="77777777" w:rsidR="00365923" w:rsidRPr="008B009B" w:rsidRDefault="00365923" w:rsidP="00365923">
      <w:pPr>
        <w:spacing w:line="252" w:lineRule="auto"/>
        <w:ind w:firstLine="720"/>
        <w:jc w:val="both"/>
        <w:rPr>
          <w:rFonts w:eastAsia="Calibri"/>
        </w:rPr>
      </w:pPr>
      <w:r w:rsidRPr="008B009B">
        <w:rPr>
          <w:rFonts w:eastAsia="Calibri"/>
        </w:rPr>
        <w:t xml:space="preserve"> </w:t>
      </w:r>
      <w:r w:rsidRPr="008B009B">
        <w:rPr>
          <w:rFonts w:eastAsia="Calibri"/>
          <w:i/>
        </w:rPr>
        <w:t>(x)</w:t>
      </w:r>
      <w:r w:rsidRPr="008B009B">
        <w:rPr>
          <w:rFonts w:eastAsia="Calibri"/>
        </w:rPr>
        <w:t xml:space="preserve"> </w:t>
      </w:r>
      <w:r w:rsidRPr="008B009B">
        <w:rPr>
          <w:rFonts w:eastAsia="Calibri"/>
          <w:i/>
        </w:rPr>
        <w:t>The transport group</w:t>
      </w:r>
      <w:r w:rsidRPr="008B009B">
        <w:rPr>
          <w:rFonts w:eastAsia="Calibri"/>
        </w:rPr>
        <w:t xml:space="preserve"> saw a month-on-month jumped of 4.09% (contributing to an increase of 0.41 percentage point in the overall CPI), mainly due to the spike of 22.15% in the price index of diesel and the surge of 9.53% in the prices of gasoline as a result of the impacts of domestic adjustments to the prices of petrol and oil. Besides, the prices of spare parts (+0.11%); vehicle maintenance services (+0.40%); car-washing and tire-inflation services (+0.33%); and driving-license training fees (+0.37%). In contrast, prices of passenger transport by railway; by airway and by bus dropped by 9.86%; 0.81%; 0.29%, respectively; the prices of used automobiles (-0.63%); new automobiles (-0.50%); and motorbikes (-0.18%). </w:t>
      </w:r>
    </w:p>
    <w:p w14:paraId="0B4FF529" w14:textId="77777777" w:rsidR="00365923" w:rsidRPr="008B009B" w:rsidRDefault="00365923" w:rsidP="00365923">
      <w:pPr>
        <w:spacing w:line="252" w:lineRule="auto"/>
        <w:ind w:firstLine="720"/>
        <w:jc w:val="both"/>
        <w:rPr>
          <w:iCs/>
          <w:spacing w:val="-4"/>
        </w:rPr>
      </w:pPr>
      <w:r w:rsidRPr="008B009B">
        <w:rPr>
          <w:i/>
          <w:iCs/>
          <w:spacing w:val="-4"/>
        </w:rPr>
        <w:t xml:space="preserve">The group of food and foodstuff services </w:t>
      </w:r>
      <w:r w:rsidRPr="008B009B">
        <w:rPr>
          <w:iCs/>
          <w:spacing w:val="-4"/>
        </w:rPr>
        <w:t>experienced a month-on-month decline of 0.03% (contributing to a reduction of 0.01 percentage point in the overall CPI), of which: the CPI of foodstuff (-0.05%)</w:t>
      </w:r>
      <w:r w:rsidRPr="008B009B">
        <w:rPr>
          <w:rStyle w:val="FootnoteReference"/>
          <w:iCs/>
          <w:spacing w:val="-4"/>
        </w:rPr>
        <w:footnoteReference w:id="25"/>
      </w:r>
      <w:r w:rsidRPr="008B009B">
        <w:rPr>
          <w:iCs/>
          <w:spacing w:val="-4"/>
        </w:rPr>
        <w:t>; food (-0.04%)</w:t>
      </w:r>
      <w:r w:rsidRPr="008B009B">
        <w:rPr>
          <w:rStyle w:val="FootnoteReference"/>
          <w:iCs/>
          <w:spacing w:val="-4"/>
        </w:rPr>
        <w:footnoteReference w:id="26"/>
      </w:r>
      <w:r w:rsidRPr="008B009B">
        <w:rPr>
          <w:iCs/>
          <w:spacing w:val="-4"/>
        </w:rPr>
        <w:t>; and eating-out services (+0.01%)</w:t>
      </w:r>
      <w:r w:rsidRPr="008B009B">
        <w:rPr>
          <w:rStyle w:val="FootnoteReference"/>
          <w:iCs/>
          <w:spacing w:val="-4"/>
        </w:rPr>
        <w:footnoteReference w:id="27"/>
      </w:r>
      <w:r w:rsidRPr="008B009B">
        <w:rPr>
          <w:iCs/>
          <w:spacing w:val="-4"/>
        </w:rPr>
        <w:t xml:space="preserve">. </w:t>
      </w:r>
    </w:p>
    <w:p w14:paraId="157CD21B" w14:textId="77777777" w:rsidR="00365923" w:rsidRPr="008B009B" w:rsidRDefault="00365923" w:rsidP="00365923">
      <w:pPr>
        <w:spacing w:line="252" w:lineRule="auto"/>
        <w:ind w:firstLine="720"/>
        <w:jc w:val="both"/>
        <w:rPr>
          <w:rFonts w:eastAsia="Calibri"/>
          <w:spacing w:val="-2"/>
        </w:rPr>
      </w:pPr>
      <w:r w:rsidRPr="008B009B">
        <w:rPr>
          <w:rFonts w:eastAsia="Calibri"/>
          <w:b/>
          <w:i/>
          <w:spacing w:val="-2"/>
        </w:rPr>
        <w:t>The average CPI in the eight months of 2026</w:t>
      </w:r>
      <w:r w:rsidRPr="008B009B">
        <w:rPr>
          <w:rFonts w:eastAsia="Calibri"/>
          <w:spacing w:val="-2"/>
        </w:rPr>
        <w:t xml:space="preserve"> witnessed a year-on-year increase of 4.45%, of which the group of housing, electricity, water, fuel and construction materials experienced the highest surge of 6.71% (contributing to a rise of 1.52 percentage points in the overall CPI); transport (+5.38%) (contributing to a jump of 0.54 percentage point in the overall CPI); food and foodstuff services (+4.76%) (contributing to an expansion of 1.70 percentage points in the overall CPI); other goods and services (+4.46%) (contributing to an upturn of 0.16 percentage point in the overall CPI); beverages and tobacco (+3.67%) (contributing to a climb of 0.06 percentage point in the overall CPI); education </w:t>
      </w:r>
      <w:r w:rsidRPr="008B009B">
        <w:rPr>
          <w:rFonts w:eastAsia="Calibri"/>
          <w:spacing w:val="-2"/>
        </w:rPr>
        <w:lastRenderedPageBreak/>
        <w:t>(+3.42%) (contributing to a soar of 0.2 percentage point in the overall CPI); household equipment and goods (+2.79%) (contributing to an upturn of 0.14 percentage point in the overall CPI); culture, entertainment and tourism (+2.71%); garment, hats and footwear (+2.03%); medicines and health care services (+1.08%); and information and communication (+0.09%).</w:t>
      </w:r>
    </w:p>
    <w:p w14:paraId="70950FBA" w14:textId="77777777" w:rsidR="00365923" w:rsidRPr="008B009B" w:rsidRDefault="00365923" w:rsidP="00365923">
      <w:pPr>
        <w:spacing w:line="252" w:lineRule="auto"/>
        <w:ind w:firstLine="720"/>
        <w:jc w:val="both"/>
        <w:rPr>
          <w:rFonts w:eastAsia="Calibri"/>
        </w:rPr>
      </w:pPr>
      <w:r w:rsidRPr="008B009B">
        <w:rPr>
          <w:rFonts w:eastAsia="Calibri"/>
          <w:b/>
          <w:i/>
        </w:rPr>
        <w:t>Core inflation</w:t>
      </w:r>
      <w:r w:rsidRPr="008B009B">
        <w:rPr>
          <w:rStyle w:val="FootnoteReference"/>
          <w:rFonts w:eastAsia="Calibri"/>
        </w:rPr>
        <w:footnoteReference w:id="28"/>
      </w:r>
      <w:r w:rsidRPr="008B009B">
        <w:rPr>
          <w:rFonts w:eastAsia="Calibri"/>
        </w:rPr>
        <w:t xml:space="preserve"> in August witnessed a month-on-month rise of 0.11% and a year-on-year expansion of 4.55%. On average, core inflation in the eight months of 2026 recorded a year-on-year growth of 4.24%, lower than a surge of 4.45% in the overall CPI, resulting from significant fluctuations in the prices of gasoline, gas and food that led to a rise in the overall CPI, were excluded from the calculation of core inflation.</w:t>
      </w:r>
    </w:p>
    <w:p w14:paraId="21893C12" w14:textId="77777777" w:rsidR="00365923" w:rsidRPr="008B009B" w:rsidRDefault="00365923" w:rsidP="00365923">
      <w:pPr>
        <w:spacing w:line="264" w:lineRule="auto"/>
        <w:ind w:firstLine="720"/>
        <w:jc w:val="both"/>
        <w:rPr>
          <w:rFonts w:eastAsia="Calibri"/>
        </w:rPr>
      </w:pPr>
      <w:r w:rsidRPr="008B009B">
        <w:rPr>
          <w:rFonts w:eastAsia="Calibri"/>
          <w:b/>
          <w:i/>
        </w:rPr>
        <w:t>Domestic gold prices</w:t>
      </w:r>
      <w:r w:rsidRPr="008B009B">
        <w:rPr>
          <w:rFonts w:eastAsia="Calibri"/>
        </w:rPr>
        <w:t xml:space="preserve"> witnessed a fluctuation in the contrast direction of the world gold prices. The average price of world gold in August (as of 25 August 2026) was 4,377.25 USD per ounce, a month-on-month shoot of 7.22%. An expansion in the prices of world gold caused by the weak US dollar, a decline in US bond yields and a significant increase in investment flows into gold funds; as well as continuously geopolitical instability in Iran and the Middle East led to increasing demand for gold. Domestic price index of gold in August saw a month-on-month decrease of 0.65%; a year-on-year surge of 16.98%; and a shrink of 6.27% compared to that in December 2025. The average gold price index in the eight months of 2026 possessed a year-on-year spike of 46.98%.</w:t>
      </w:r>
    </w:p>
    <w:p w14:paraId="28D24ECA" w14:textId="77777777" w:rsidR="00365923" w:rsidRPr="008B009B" w:rsidRDefault="00365923" w:rsidP="00365923">
      <w:pPr>
        <w:spacing w:line="264" w:lineRule="auto"/>
        <w:ind w:firstLine="720"/>
        <w:jc w:val="both"/>
        <w:rPr>
          <w:rFonts w:eastAsia="Calibri"/>
        </w:rPr>
      </w:pPr>
      <w:r w:rsidRPr="008B009B">
        <w:rPr>
          <w:rFonts w:eastAsia="Calibri"/>
          <w:b/>
          <w:i/>
        </w:rPr>
        <w:t>Domestic US dollar prices</w:t>
      </w:r>
      <w:r w:rsidRPr="008B009B">
        <w:rPr>
          <w:rFonts w:eastAsia="Calibri"/>
          <w:i/>
        </w:rPr>
        <w:t xml:space="preserve"> </w:t>
      </w:r>
      <w:r w:rsidRPr="008B009B">
        <w:rPr>
          <w:rFonts w:eastAsia="Calibri"/>
        </w:rPr>
        <w:t>saw a fluctuation in line with world prices. The average USD index on the international market in August (as of 25 August 2026) reached 99.65 points, a downturn of 1.17 points compared to that in July, stemming from the weak US dollar on the international market amid expectations of change in US monetary policy and a decline in US Treasury yields. The domestic US dollar price index in August experienced a month-on-month drop of 0.38%; a year-on-year shrink of 0.36%; and a fall of 0.38% compared to that in December 2025. The average US dollar price index in the eight months of 2026 possessed a year-on-year upturn of 1.31%.</w:t>
      </w:r>
    </w:p>
    <w:bookmarkEnd w:id="7"/>
    <w:p w14:paraId="27256377" w14:textId="77777777" w:rsidR="00365923" w:rsidRPr="008B009B" w:rsidRDefault="00365923" w:rsidP="00365923">
      <w:pPr>
        <w:spacing w:after="120" w:line="264" w:lineRule="auto"/>
        <w:ind w:firstLine="720"/>
        <w:jc w:val="both"/>
        <w:rPr>
          <w:b/>
          <w:bCs/>
        </w:rPr>
      </w:pPr>
      <w:r w:rsidRPr="008B009B">
        <w:rPr>
          <w:b/>
          <w:bCs/>
          <w:i/>
          <w:iCs/>
        </w:rPr>
        <w:t xml:space="preserve">d) Passenger and cargo transport </w:t>
      </w:r>
    </w:p>
    <w:p w14:paraId="60659C07" w14:textId="77777777" w:rsidR="00365923" w:rsidRPr="008B009B" w:rsidRDefault="00365923" w:rsidP="00365923">
      <w:pPr>
        <w:tabs>
          <w:tab w:val="left" w:pos="567"/>
        </w:tabs>
        <w:spacing w:after="120" w:line="266" w:lineRule="auto"/>
        <w:ind w:firstLine="720"/>
        <w:jc w:val="both"/>
        <w:rPr>
          <w:bCs/>
          <w:i/>
        </w:rPr>
      </w:pPr>
      <w:r w:rsidRPr="008B009B">
        <w:rPr>
          <w:bCs/>
          <w:i/>
        </w:rPr>
        <w:t xml:space="preserve">Transport activities in August 2026 maintained the growth momentum, meeting the travel demand of domestic residents as well as international visitors to Viet Nam, </w:t>
      </w:r>
      <w:r w:rsidRPr="008B009B">
        <w:rPr>
          <w:i/>
        </w:rPr>
        <w:t>while ensuring the efficient movement of goods, contributing to the promotion of trade, tourism, and economic growth</w:t>
      </w:r>
      <w:r w:rsidRPr="008B009B">
        <w:rPr>
          <w:bCs/>
          <w:i/>
        </w:rPr>
        <w:t xml:space="preserve">. In comparison to the same period last year, passenger </w:t>
      </w:r>
      <w:r w:rsidRPr="008B009B">
        <w:rPr>
          <w:rFonts w:eastAsiaTheme="minorHAnsi"/>
          <w:bCs/>
          <w:i/>
          <w:spacing w:val="-2"/>
        </w:rPr>
        <w:t>carried</w:t>
      </w:r>
      <w:r w:rsidRPr="008B009B">
        <w:rPr>
          <w:bCs/>
          <w:i/>
        </w:rPr>
        <w:t xml:space="preserve"> </w:t>
      </w:r>
      <w:r w:rsidRPr="008B009B">
        <w:rPr>
          <w:rFonts w:eastAsiaTheme="minorHAnsi"/>
          <w:bCs/>
          <w:i/>
          <w:spacing w:val="-2"/>
        </w:rPr>
        <w:t xml:space="preserve">and passenger carried (passenger-kilometers) </w:t>
      </w:r>
      <w:r w:rsidRPr="008B009B">
        <w:rPr>
          <w:bCs/>
          <w:i/>
        </w:rPr>
        <w:t xml:space="preserve">in August 2026 </w:t>
      </w:r>
      <w:r w:rsidRPr="008B009B">
        <w:rPr>
          <w:rFonts w:eastAsiaTheme="minorHAnsi"/>
          <w:bCs/>
          <w:i/>
          <w:spacing w:val="-2"/>
        </w:rPr>
        <w:t xml:space="preserve">saw a year-on-year increase of </w:t>
      </w:r>
      <w:r w:rsidRPr="008B009B">
        <w:rPr>
          <w:i/>
        </w:rPr>
        <w:t xml:space="preserve">17.9% </w:t>
      </w:r>
      <w:r w:rsidRPr="008B009B">
        <w:rPr>
          <w:rFonts w:eastAsiaTheme="minorHAnsi"/>
          <w:bCs/>
          <w:i/>
          <w:spacing w:val="-2"/>
        </w:rPr>
        <w:t xml:space="preserve">and </w:t>
      </w:r>
      <w:r w:rsidRPr="008B009B">
        <w:rPr>
          <w:i/>
        </w:rPr>
        <w:t>16.0%</w:t>
      </w:r>
      <w:r w:rsidRPr="008B009B">
        <w:rPr>
          <w:rFonts w:eastAsiaTheme="minorHAnsi"/>
          <w:bCs/>
          <w:i/>
          <w:spacing w:val="-2"/>
        </w:rPr>
        <w:t>, respectively</w:t>
      </w:r>
      <w:r w:rsidRPr="008B009B">
        <w:rPr>
          <w:bCs/>
          <w:i/>
        </w:rPr>
        <w:t xml:space="preserve">; </w:t>
      </w:r>
      <w:r w:rsidRPr="008B009B">
        <w:rPr>
          <w:bCs/>
          <w:i/>
        </w:rPr>
        <w:lastRenderedPageBreak/>
        <w:t>freight</w:t>
      </w:r>
      <w:r w:rsidRPr="008B009B">
        <w:rPr>
          <w:rFonts w:eastAsiaTheme="minorHAnsi"/>
          <w:bCs/>
          <w:i/>
          <w:spacing w:val="-2"/>
        </w:rPr>
        <w:t xml:space="preserve"> transported and freight transported (ton-kilometers) recorded a year-on-year rise of </w:t>
      </w:r>
      <w:r w:rsidRPr="008B009B">
        <w:rPr>
          <w:i/>
        </w:rPr>
        <w:t>17.6</w:t>
      </w:r>
      <w:r w:rsidRPr="008B009B">
        <w:rPr>
          <w:bCs/>
          <w:i/>
        </w:rPr>
        <w:t>%</w:t>
      </w:r>
      <w:r w:rsidRPr="008B009B">
        <w:rPr>
          <w:rFonts w:eastAsiaTheme="minorHAnsi"/>
          <w:bCs/>
          <w:i/>
          <w:spacing w:val="-2"/>
        </w:rPr>
        <w:t xml:space="preserve"> and </w:t>
      </w:r>
      <w:r w:rsidRPr="008B009B">
        <w:rPr>
          <w:i/>
        </w:rPr>
        <w:t>17.3</w:t>
      </w:r>
      <w:r w:rsidRPr="008B009B">
        <w:rPr>
          <w:bCs/>
          <w:i/>
        </w:rPr>
        <w:t>%</w:t>
      </w:r>
      <w:r w:rsidRPr="008B009B">
        <w:rPr>
          <w:rFonts w:eastAsiaTheme="minorHAnsi"/>
          <w:bCs/>
          <w:i/>
          <w:spacing w:val="-2"/>
        </w:rPr>
        <w:t>, respectively</w:t>
      </w:r>
      <w:r w:rsidRPr="008B009B">
        <w:rPr>
          <w:bCs/>
          <w:i/>
        </w:rPr>
        <w:t xml:space="preserve">. </w:t>
      </w:r>
    </w:p>
    <w:p w14:paraId="351FA38B" w14:textId="6370C58E" w:rsidR="00365923" w:rsidRPr="008B009B" w:rsidRDefault="00365923" w:rsidP="00365923">
      <w:pPr>
        <w:tabs>
          <w:tab w:val="left" w:pos="567"/>
        </w:tabs>
        <w:spacing w:after="120" w:line="266" w:lineRule="auto"/>
        <w:ind w:firstLine="720"/>
        <w:jc w:val="both"/>
        <w:rPr>
          <w:rFonts w:eastAsia="Calibri"/>
          <w:bCs/>
          <w:i/>
        </w:rPr>
      </w:pPr>
      <w:r w:rsidRPr="008B009B">
        <w:rPr>
          <w:bCs/>
          <w:i/>
          <w:iCs/>
        </w:rPr>
        <w:t xml:space="preserve">Generally, in </w:t>
      </w:r>
      <w:r w:rsidR="00D3164A">
        <w:rPr>
          <w:bCs/>
          <w:i/>
          <w:iCs/>
        </w:rPr>
        <w:t xml:space="preserve">the </w:t>
      </w:r>
      <w:r w:rsidRPr="008B009B">
        <w:rPr>
          <w:bCs/>
          <w:i/>
          <w:iCs/>
        </w:rPr>
        <w:t xml:space="preserve">eight months of 2026, </w:t>
      </w:r>
      <w:r w:rsidRPr="008B009B">
        <w:rPr>
          <w:bCs/>
          <w:i/>
        </w:rPr>
        <w:t xml:space="preserve">passenger </w:t>
      </w:r>
      <w:r w:rsidRPr="008B009B">
        <w:rPr>
          <w:rFonts w:eastAsiaTheme="minorHAnsi"/>
          <w:bCs/>
          <w:i/>
          <w:spacing w:val="-2"/>
        </w:rPr>
        <w:t>carried</w:t>
      </w:r>
      <w:r w:rsidRPr="008B009B">
        <w:rPr>
          <w:bCs/>
          <w:i/>
        </w:rPr>
        <w:t xml:space="preserve"> </w:t>
      </w:r>
      <w:r w:rsidRPr="008B009B">
        <w:rPr>
          <w:rFonts w:eastAsiaTheme="minorHAnsi"/>
          <w:bCs/>
          <w:i/>
          <w:spacing w:val="-2"/>
        </w:rPr>
        <w:t xml:space="preserve">and passenger carried (passenger-kilometers) </w:t>
      </w:r>
      <w:r w:rsidRPr="008B009B">
        <w:rPr>
          <w:bCs/>
          <w:i/>
          <w:iCs/>
        </w:rPr>
        <w:t xml:space="preserve">experienced a </w:t>
      </w:r>
      <w:r w:rsidRPr="008B009B">
        <w:rPr>
          <w:rFonts w:eastAsiaTheme="minorHAnsi"/>
          <w:bCs/>
          <w:i/>
          <w:spacing w:val="-2"/>
        </w:rPr>
        <w:t>year-on-year</w:t>
      </w:r>
      <w:r w:rsidRPr="008B009B">
        <w:rPr>
          <w:bCs/>
          <w:i/>
          <w:iCs/>
        </w:rPr>
        <w:t xml:space="preserve"> rise of </w:t>
      </w:r>
      <w:r w:rsidRPr="008B009B">
        <w:rPr>
          <w:i/>
        </w:rPr>
        <w:t>18.6</w:t>
      </w:r>
      <w:r w:rsidRPr="008B009B">
        <w:rPr>
          <w:bCs/>
          <w:i/>
          <w:iCs/>
        </w:rPr>
        <w:t xml:space="preserve">% and </w:t>
      </w:r>
      <w:r w:rsidRPr="008B009B">
        <w:rPr>
          <w:i/>
        </w:rPr>
        <w:t>13.1</w:t>
      </w:r>
      <w:r w:rsidRPr="008B009B">
        <w:rPr>
          <w:bCs/>
          <w:i/>
          <w:iCs/>
        </w:rPr>
        <w:t xml:space="preserve">%, respectively; </w:t>
      </w:r>
      <w:r w:rsidRPr="008B009B">
        <w:rPr>
          <w:bCs/>
          <w:i/>
        </w:rPr>
        <w:t>freight</w:t>
      </w:r>
      <w:r w:rsidRPr="008B009B">
        <w:rPr>
          <w:rFonts w:eastAsiaTheme="minorHAnsi"/>
          <w:bCs/>
          <w:i/>
          <w:spacing w:val="-2"/>
        </w:rPr>
        <w:t xml:space="preserve"> transported and freight transported (ton-kilometers)</w:t>
      </w:r>
      <w:r w:rsidRPr="008B009B">
        <w:rPr>
          <w:bCs/>
          <w:i/>
          <w:iCs/>
        </w:rPr>
        <w:t xml:space="preserve"> recorded a </w:t>
      </w:r>
      <w:r w:rsidRPr="008B009B">
        <w:rPr>
          <w:rFonts w:eastAsiaTheme="minorHAnsi"/>
          <w:bCs/>
          <w:i/>
          <w:spacing w:val="-2"/>
        </w:rPr>
        <w:t>year-on-year</w:t>
      </w:r>
      <w:r w:rsidRPr="008B009B">
        <w:rPr>
          <w:bCs/>
          <w:i/>
          <w:iCs/>
        </w:rPr>
        <w:t xml:space="preserve"> increase of </w:t>
      </w:r>
      <w:r w:rsidRPr="008B009B">
        <w:rPr>
          <w:i/>
        </w:rPr>
        <w:t>16.7</w:t>
      </w:r>
      <w:r w:rsidRPr="008B009B">
        <w:rPr>
          <w:bCs/>
          <w:i/>
          <w:iCs/>
        </w:rPr>
        <w:t xml:space="preserve">% and </w:t>
      </w:r>
      <w:r w:rsidRPr="008B009B">
        <w:rPr>
          <w:i/>
        </w:rPr>
        <w:t>12.9</w:t>
      </w:r>
      <w:r w:rsidRPr="008B009B">
        <w:rPr>
          <w:bCs/>
          <w:i/>
          <w:iCs/>
        </w:rPr>
        <w:t xml:space="preserve">%, respectively. </w:t>
      </w:r>
    </w:p>
    <w:p w14:paraId="19D1CDA9" w14:textId="77777777" w:rsidR="00365923" w:rsidRPr="008B009B" w:rsidRDefault="00365923" w:rsidP="00365923">
      <w:pPr>
        <w:spacing w:after="120" w:line="264" w:lineRule="auto"/>
        <w:ind w:firstLine="720"/>
        <w:jc w:val="both"/>
        <w:rPr>
          <w:iCs/>
        </w:rPr>
      </w:pPr>
      <w:r w:rsidRPr="008B009B">
        <w:rPr>
          <w:i/>
        </w:rPr>
        <w:t xml:space="preserve">Passenger carried </w:t>
      </w:r>
      <w:r w:rsidRPr="008B009B">
        <w:t xml:space="preserve">in August 2026 was estimated at </w:t>
      </w:r>
      <w:r w:rsidRPr="008B009B">
        <w:rPr>
          <w:iCs/>
        </w:rPr>
        <w:t xml:space="preserve">658.6 </w:t>
      </w:r>
      <w:r w:rsidRPr="008B009B">
        <w:t xml:space="preserve">million turns of passengers, </w:t>
      </w:r>
      <w:r w:rsidRPr="008B009B">
        <w:rPr>
          <w:bCs/>
        </w:rPr>
        <w:t>a month-on-month</w:t>
      </w:r>
      <w:r w:rsidRPr="008B009B">
        <w:t xml:space="preserve"> increase of 2</w:t>
      </w:r>
      <w:r w:rsidRPr="008B009B">
        <w:rPr>
          <w:iCs/>
        </w:rPr>
        <w:t>.5</w:t>
      </w:r>
      <w:r w:rsidRPr="008B009B">
        <w:t xml:space="preserve">%, </w:t>
      </w:r>
      <w:r w:rsidRPr="008B009B">
        <w:rPr>
          <w:bCs/>
        </w:rPr>
        <w:t xml:space="preserve">a year-on-year rise </w:t>
      </w:r>
      <w:r w:rsidRPr="008B009B">
        <w:t xml:space="preserve">of </w:t>
      </w:r>
      <w:r w:rsidRPr="008B009B">
        <w:rPr>
          <w:iCs/>
        </w:rPr>
        <w:t xml:space="preserve">17.9%; </w:t>
      </w:r>
      <w:r w:rsidRPr="008B009B">
        <w:t xml:space="preserve">and passenger carried (passenger-kilometers) reached </w:t>
      </w:r>
      <w:r w:rsidRPr="008B009B">
        <w:rPr>
          <w:iCs/>
        </w:rPr>
        <w:t xml:space="preserve">32.1 </w:t>
      </w:r>
      <w:r w:rsidRPr="008B009B">
        <w:t xml:space="preserve">billion passenger-kilometer, </w:t>
      </w:r>
      <w:r w:rsidRPr="008B009B">
        <w:rPr>
          <w:bCs/>
        </w:rPr>
        <w:t>a month-on-month</w:t>
      </w:r>
      <w:r w:rsidRPr="008B009B">
        <w:t xml:space="preserve"> rise of 1</w:t>
      </w:r>
      <w:r w:rsidRPr="008B009B">
        <w:rPr>
          <w:iCs/>
        </w:rPr>
        <w:t>.8</w:t>
      </w:r>
      <w:r w:rsidRPr="008B009B">
        <w:t xml:space="preserve">% and </w:t>
      </w:r>
      <w:r w:rsidRPr="008B009B">
        <w:rPr>
          <w:bCs/>
        </w:rPr>
        <w:t xml:space="preserve">a year-on-year growth </w:t>
      </w:r>
      <w:r w:rsidRPr="008B009B">
        <w:t xml:space="preserve">of </w:t>
      </w:r>
      <w:r w:rsidRPr="008B009B">
        <w:rPr>
          <w:iCs/>
        </w:rPr>
        <w:t>16.0%</w:t>
      </w:r>
      <w:r w:rsidRPr="008B009B">
        <w:t xml:space="preserve">. Generally, in eight </w:t>
      </w:r>
      <w:r w:rsidRPr="008B009B">
        <w:rPr>
          <w:bCs/>
          <w:iCs/>
        </w:rPr>
        <w:t>months of</w:t>
      </w:r>
      <w:r w:rsidRPr="008B009B">
        <w:t xml:space="preserve"> 2026, the passenger </w:t>
      </w:r>
      <w:r w:rsidRPr="008B009B">
        <w:rPr>
          <w:bCs/>
        </w:rPr>
        <w:t>carried</w:t>
      </w:r>
      <w:r w:rsidRPr="008B009B">
        <w:t xml:space="preserve"> was estimated at </w:t>
      </w:r>
      <w:r w:rsidRPr="008B009B">
        <w:rPr>
          <w:iCs/>
        </w:rPr>
        <w:t xml:space="preserve">4,687.5 </w:t>
      </w:r>
      <w:r w:rsidRPr="008B009B">
        <w:t xml:space="preserve">million </w:t>
      </w:r>
      <w:r w:rsidRPr="008B009B">
        <w:rPr>
          <w:bCs/>
        </w:rPr>
        <w:t>turns of</w:t>
      </w:r>
      <w:r w:rsidRPr="008B009B">
        <w:t xml:space="preserve"> passengers, a </w:t>
      </w:r>
      <w:r w:rsidRPr="008B009B">
        <w:rPr>
          <w:bCs/>
        </w:rPr>
        <w:t>year-on-year</w:t>
      </w:r>
      <w:r w:rsidRPr="008B009B">
        <w:t xml:space="preserve"> increase of </w:t>
      </w:r>
      <w:r w:rsidRPr="008B009B">
        <w:rPr>
          <w:iCs/>
        </w:rPr>
        <w:t>18.6</w:t>
      </w:r>
      <w:r w:rsidRPr="008B009B">
        <w:t xml:space="preserve">% and passenger carried (passenger-kilometers) reached </w:t>
      </w:r>
      <w:r w:rsidRPr="008B009B">
        <w:rPr>
          <w:iCs/>
        </w:rPr>
        <w:t xml:space="preserve">234.3 </w:t>
      </w:r>
      <w:r w:rsidRPr="008B009B">
        <w:t xml:space="preserve">billion passenger-kilometer, a rise of </w:t>
      </w:r>
      <w:r w:rsidRPr="008B009B">
        <w:rPr>
          <w:iCs/>
        </w:rPr>
        <w:t>13.1</w:t>
      </w:r>
      <w:r w:rsidRPr="008B009B">
        <w:t xml:space="preserve">%. Of which, domestic </w:t>
      </w:r>
      <w:r w:rsidRPr="008B009B">
        <w:rPr>
          <w:bCs/>
          <w:iCs/>
        </w:rPr>
        <w:t>passenger carried</w:t>
      </w:r>
      <w:r w:rsidRPr="008B009B">
        <w:t xml:space="preserve"> was estimated at 4</w:t>
      </w:r>
      <w:r w:rsidRPr="008B009B">
        <w:rPr>
          <w:iCs/>
        </w:rPr>
        <w:t xml:space="preserve">,674.0 </w:t>
      </w:r>
      <w:r w:rsidRPr="008B009B">
        <w:t xml:space="preserve">million </w:t>
      </w:r>
      <w:r w:rsidRPr="008B009B">
        <w:rPr>
          <w:bCs/>
        </w:rPr>
        <w:t>turns of</w:t>
      </w:r>
      <w:r w:rsidRPr="008B009B">
        <w:rPr>
          <w:spacing w:val="-4"/>
        </w:rPr>
        <w:t xml:space="preserve"> passengers</w:t>
      </w:r>
      <w:r w:rsidRPr="008B009B">
        <w:t xml:space="preserve">, </w:t>
      </w:r>
      <w:r w:rsidRPr="008B009B">
        <w:rPr>
          <w:bCs/>
        </w:rPr>
        <w:t>a year-on-year increase of</w:t>
      </w:r>
      <w:r w:rsidRPr="008B009B">
        <w:t xml:space="preserve"> </w:t>
      </w:r>
      <w:r w:rsidRPr="008B009B">
        <w:rPr>
          <w:iCs/>
        </w:rPr>
        <w:t>18.6</w:t>
      </w:r>
      <w:r w:rsidRPr="008B009B">
        <w:t xml:space="preserve">%,and </w:t>
      </w:r>
      <w:r w:rsidRPr="008B009B">
        <w:rPr>
          <w:bCs/>
        </w:rPr>
        <w:t>domestic passenger carried (passenger-kilometers) was</w:t>
      </w:r>
      <w:r w:rsidRPr="008B009B">
        <w:t xml:space="preserve"> </w:t>
      </w:r>
      <w:r w:rsidRPr="008B009B">
        <w:rPr>
          <w:iCs/>
        </w:rPr>
        <w:t xml:space="preserve">191.7 </w:t>
      </w:r>
      <w:r w:rsidRPr="008B009B">
        <w:t xml:space="preserve">billion passenger-kilometer, </w:t>
      </w:r>
      <w:r w:rsidRPr="008B009B">
        <w:rPr>
          <w:bCs/>
        </w:rPr>
        <w:t>a year-on-year upturn of</w:t>
      </w:r>
      <w:r w:rsidRPr="008B009B">
        <w:t xml:space="preserve"> </w:t>
      </w:r>
      <w:r w:rsidRPr="008B009B">
        <w:rPr>
          <w:iCs/>
        </w:rPr>
        <w:t>15.7</w:t>
      </w:r>
      <w:r w:rsidRPr="008B009B">
        <w:t xml:space="preserve">%; </w:t>
      </w:r>
      <w:r w:rsidRPr="008B009B">
        <w:rPr>
          <w:bCs/>
        </w:rPr>
        <w:t xml:space="preserve">overseas </w:t>
      </w:r>
      <w:r w:rsidRPr="008B009B">
        <w:rPr>
          <w:bCs/>
          <w:iCs/>
        </w:rPr>
        <w:t>passenger carried</w:t>
      </w:r>
      <w:r w:rsidRPr="008B009B">
        <w:t xml:space="preserve"> was estimated at </w:t>
      </w:r>
      <w:r w:rsidRPr="008B009B">
        <w:rPr>
          <w:iCs/>
        </w:rPr>
        <w:t xml:space="preserve">13.5 </w:t>
      </w:r>
      <w:r w:rsidRPr="008B009B">
        <w:t xml:space="preserve">million </w:t>
      </w:r>
      <w:r w:rsidRPr="008B009B">
        <w:rPr>
          <w:bCs/>
        </w:rPr>
        <w:t>turns of</w:t>
      </w:r>
      <w:r w:rsidRPr="008B009B">
        <w:rPr>
          <w:spacing w:val="-4"/>
        </w:rPr>
        <w:t xml:space="preserve"> passengers</w:t>
      </w:r>
      <w:r w:rsidRPr="008B009B">
        <w:t xml:space="preserve">, </w:t>
      </w:r>
      <w:r w:rsidRPr="008B009B">
        <w:rPr>
          <w:bCs/>
        </w:rPr>
        <w:t>a year-on-year expansion of</w:t>
      </w:r>
      <w:r w:rsidRPr="008B009B">
        <w:t xml:space="preserve"> </w:t>
      </w:r>
      <w:r w:rsidRPr="008B009B">
        <w:rPr>
          <w:iCs/>
        </w:rPr>
        <w:t>4.4</w:t>
      </w:r>
      <w:r w:rsidRPr="008B009B">
        <w:t xml:space="preserve">%, </w:t>
      </w:r>
      <w:r w:rsidRPr="008B009B">
        <w:rPr>
          <w:spacing w:val="-4"/>
        </w:rPr>
        <w:t>and</w:t>
      </w:r>
      <w:r w:rsidRPr="008B009B">
        <w:rPr>
          <w:bCs/>
        </w:rPr>
        <w:t xml:space="preserve"> overseas passengers carried (passenger-kilometers) reached</w:t>
      </w:r>
      <w:r w:rsidRPr="008B009B">
        <w:t xml:space="preserve"> 42</w:t>
      </w:r>
      <w:r w:rsidRPr="008B009B">
        <w:rPr>
          <w:iCs/>
        </w:rPr>
        <w:t xml:space="preserve">.6 </w:t>
      </w:r>
      <w:r w:rsidRPr="008B009B">
        <w:t xml:space="preserve">billion passenger-kilometer, rising </w:t>
      </w:r>
      <w:r w:rsidRPr="008B009B">
        <w:rPr>
          <w:bCs/>
        </w:rPr>
        <w:t>by</w:t>
      </w:r>
      <w:r w:rsidRPr="008B009B">
        <w:t xml:space="preserve"> 2</w:t>
      </w:r>
      <w:r w:rsidRPr="008B009B">
        <w:rPr>
          <w:iCs/>
        </w:rPr>
        <w:t>.8</w:t>
      </w:r>
      <w:r w:rsidRPr="008B009B">
        <w:t>%</w:t>
      </w:r>
      <w:r w:rsidRPr="008B009B">
        <w:rPr>
          <w:iCs/>
        </w:rPr>
        <w:t>.</w:t>
      </w:r>
    </w:p>
    <w:p w14:paraId="20CB8EC9" w14:textId="1A27120E" w:rsidR="00365923" w:rsidRPr="008B009B" w:rsidRDefault="00365923" w:rsidP="00365923">
      <w:pPr>
        <w:spacing w:after="120" w:line="264" w:lineRule="auto"/>
        <w:jc w:val="center"/>
        <w:rPr>
          <w:b/>
          <w:bCs/>
        </w:rPr>
      </w:pPr>
      <w:r w:rsidRPr="008B009B">
        <w:rPr>
          <w:b/>
          <w:spacing w:val="-2"/>
        </w:rPr>
        <w:t>Table 6</w:t>
      </w:r>
      <w:r w:rsidRPr="008B009B">
        <w:rPr>
          <w:b/>
          <w:bCs/>
        </w:rPr>
        <w:t xml:space="preserve">. </w:t>
      </w:r>
      <w:r w:rsidRPr="008B009B">
        <w:rPr>
          <w:b/>
          <w:bCs/>
          <w:iCs/>
        </w:rPr>
        <w:t>Passenger carried in</w:t>
      </w:r>
      <w:r w:rsidR="00D3164A">
        <w:rPr>
          <w:b/>
          <w:bCs/>
          <w:iCs/>
        </w:rPr>
        <w:t xml:space="preserve"> the</w:t>
      </w:r>
      <w:r w:rsidRPr="008B009B">
        <w:rPr>
          <w:b/>
          <w:bCs/>
          <w:iCs/>
        </w:rPr>
        <w:t xml:space="preserve"> eight months of</w:t>
      </w:r>
      <w:r w:rsidRPr="008B009B">
        <w:rPr>
          <w:b/>
          <w:bCs/>
        </w:rPr>
        <w:t xml:space="preserve"> 2026 by type of transport </w:t>
      </w:r>
    </w:p>
    <w:tbl>
      <w:tblPr>
        <w:tblW w:w="9040" w:type="dxa"/>
        <w:tblLook w:val="04A0" w:firstRow="1" w:lastRow="0" w:firstColumn="1" w:lastColumn="0" w:noHBand="0" w:noVBand="1"/>
      </w:tblPr>
      <w:tblGrid>
        <w:gridCol w:w="2125"/>
        <w:gridCol w:w="1742"/>
        <w:gridCol w:w="1802"/>
        <w:gridCol w:w="222"/>
        <w:gridCol w:w="1707"/>
        <w:gridCol w:w="1442"/>
      </w:tblGrid>
      <w:tr w:rsidR="00365923" w:rsidRPr="008B009B" w14:paraId="7BB91CD5" w14:textId="77777777" w:rsidTr="001F5E5E">
        <w:trPr>
          <w:trHeight w:val="441"/>
        </w:trPr>
        <w:tc>
          <w:tcPr>
            <w:tcW w:w="2125" w:type="dxa"/>
            <w:tcBorders>
              <w:top w:val="single" w:sz="4" w:space="0" w:color="auto"/>
            </w:tcBorders>
            <w:vAlign w:val="center"/>
            <w:hideMark/>
          </w:tcPr>
          <w:p w14:paraId="3C3165F3" w14:textId="77777777" w:rsidR="00365923" w:rsidRPr="008B009B" w:rsidRDefault="00365923" w:rsidP="001F5E5E">
            <w:pPr>
              <w:tabs>
                <w:tab w:val="left" w:pos="601"/>
              </w:tabs>
              <w:jc w:val="center"/>
              <w:rPr>
                <w:rFonts w:ascii="Arial" w:hAnsi="Arial" w:cs="Arial"/>
                <w:sz w:val="20"/>
                <w:szCs w:val="20"/>
                <w:lang w:eastAsia="vi-VN"/>
              </w:rPr>
            </w:pPr>
          </w:p>
        </w:tc>
        <w:tc>
          <w:tcPr>
            <w:tcW w:w="3544" w:type="dxa"/>
            <w:gridSpan w:val="2"/>
            <w:tcBorders>
              <w:top w:val="single" w:sz="4" w:space="0" w:color="auto"/>
              <w:bottom w:val="single" w:sz="4" w:space="0" w:color="auto"/>
            </w:tcBorders>
            <w:vAlign w:val="center"/>
            <w:hideMark/>
          </w:tcPr>
          <w:p w14:paraId="4E20E635" w14:textId="77777777" w:rsidR="00365923" w:rsidRPr="008B009B" w:rsidRDefault="00365923" w:rsidP="001F5E5E">
            <w:pPr>
              <w:jc w:val="center"/>
              <w:rPr>
                <w:rFonts w:ascii="Arial" w:hAnsi="Arial" w:cs="Arial"/>
                <w:sz w:val="20"/>
                <w:szCs w:val="20"/>
                <w:lang w:eastAsia="vi-VN"/>
              </w:rPr>
            </w:pPr>
            <w:r w:rsidRPr="008B009B">
              <w:rPr>
                <w:rFonts w:ascii="Arial" w:hAnsi="Arial" w:cs="Arial"/>
                <w:sz w:val="20"/>
                <w:szCs w:val="20"/>
                <w:lang w:eastAsia="vi-VN"/>
              </w:rPr>
              <w:t>Number of passengers</w:t>
            </w:r>
          </w:p>
        </w:tc>
        <w:tc>
          <w:tcPr>
            <w:tcW w:w="222" w:type="dxa"/>
            <w:tcBorders>
              <w:top w:val="single" w:sz="4" w:space="0" w:color="auto"/>
            </w:tcBorders>
          </w:tcPr>
          <w:p w14:paraId="5F2C4B4E" w14:textId="77777777" w:rsidR="00365923" w:rsidRPr="008B009B" w:rsidRDefault="00365923" w:rsidP="001F5E5E">
            <w:pPr>
              <w:jc w:val="center"/>
              <w:rPr>
                <w:rFonts w:ascii="Arial" w:hAnsi="Arial" w:cs="Arial"/>
                <w:sz w:val="20"/>
                <w:szCs w:val="20"/>
                <w:lang w:eastAsia="vi-VN"/>
              </w:rPr>
            </w:pPr>
          </w:p>
        </w:tc>
        <w:tc>
          <w:tcPr>
            <w:tcW w:w="3149" w:type="dxa"/>
            <w:gridSpan w:val="2"/>
            <w:tcBorders>
              <w:top w:val="single" w:sz="4" w:space="0" w:color="auto"/>
              <w:bottom w:val="single" w:sz="4" w:space="0" w:color="auto"/>
            </w:tcBorders>
            <w:vAlign w:val="center"/>
            <w:hideMark/>
          </w:tcPr>
          <w:p w14:paraId="4151D730" w14:textId="77777777" w:rsidR="00365923" w:rsidRPr="008B009B" w:rsidRDefault="00365923" w:rsidP="001F5E5E">
            <w:pPr>
              <w:jc w:val="center"/>
              <w:rPr>
                <w:rFonts w:ascii="Arial" w:hAnsi="Arial" w:cs="Arial"/>
                <w:sz w:val="20"/>
                <w:szCs w:val="20"/>
                <w:lang w:eastAsia="vi-VN"/>
              </w:rPr>
            </w:pPr>
            <w:r w:rsidRPr="008B009B">
              <w:rPr>
                <w:rFonts w:ascii="Arial" w:hAnsi="Arial" w:cs="Arial"/>
                <w:sz w:val="20"/>
                <w:szCs w:val="20"/>
                <w:lang w:eastAsia="vi-VN"/>
              </w:rPr>
              <w:t>YoY growth rate (%)</w:t>
            </w:r>
          </w:p>
        </w:tc>
      </w:tr>
      <w:tr w:rsidR="00365923" w:rsidRPr="008B009B" w14:paraId="5FBDA48C" w14:textId="77777777" w:rsidTr="001F5E5E">
        <w:trPr>
          <w:trHeight w:val="1449"/>
        </w:trPr>
        <w:tc>
          <w:tcPr>
            <w:tcW w:w="2125" w:type="dxa"/>
            <w:vAlign w:val="center"/>
            <w:hideMark/>
          </w:tcPr>
          <w:p w14:paraId="079413C3" w14:textId="77777777" w:rsidR="00365923" w:rsidRPr="008B009B" w:rsidRDefault="00365923" w:rsidP="001F5E5E">
            <w:pPr>
              <w:jc w:val="center"/>
              <w:rPr>
                <w:rFonts w:ascii="Arial" w:hAnsi="Arial" w:cs="Arial"/>
                <w:sz w:val="20"/>
                <w:szCs w:val="20"/>
                <w:lang w:eastAsia="vi-VN"/>
              </w:rPr>
            </w:pPr>
          </w:p>
        </w:tc>
        <w:tc>
          <w:tcPr>
            <w:tcW w:w="1742" w:type="dxa"/>
            <w:tcBorders>
              <w:top w:val="single" w:sz="4" w:space="0" w:color="auto"/>
              <w:bottom w:val="single" w:sz="4" w:space="0" w:color="auto"/>
            </w:tcBorders>
            <w:vAlign w:val="center"/>
            <w:hideMark/>
          </w:tcPr>
          <w:p w14:paraId="56C6E765" w14:textId="77777777" w:rsidR="00365923" w:rsidRPr="008B009B" w:rsidRDefault="00365923" w:rsidP="001F5E5E">
            <w:pPr>
              <w:spacing w:line="256" w:lineRule="auto"/>
              <w:jc w:val="center"/>
              <w:rPr>
                <w:rFonts w:ascii="Arial" w:hAnsi="Arial" w:cs="Arial"/>
                <w:sz w:val="20"/>
                <w:szCs w:val="20"/>
                <w:lang w:eastAsia="vi-VN"/>
              </w:rPr>
            </w:pPr>
            <w:r w:rsidRPr="008B009B">
              <w:rPr>
                <w:rFonts w:ascii="Arial" w:hAnsi="Arial" w:cs="Arial"/>
                <w:sz w:val="20"/>
                <w:szCs w:val="20"/>
                <w:lang w:eastAsia="vi-VN"/>
              </w:rPr>
              <w:t>Carried</w:t>
            </w:r>
          </w:p>
          <w:p w14:paraId="27A7F971" w14:textId="77777777" w:rsidR="00365923" w:rsidRPr="008B009B" w:rsidRDefault="00365923" w:rsidP="001F5E5E">
            <w:pPr>
              <w:jc w:val="center"/>
              <w:rPr>
                <w:rFonts w:ascii="Arial" w:hAnsi="Arial" w:cs="Arial"/>
                <w:sz w:val="20"/>
                <w:szCs w:val="20"/>
                <w:lang w:eastAsia="vi-VN"/>
              </w:rPr>
            </w:pPr>
            <w:r w:rsidRPr="008B009B">
              <w:rPr>
                <w:rFonts w:ascii="Arial" w:hAnsi="Arial" w:cs="Arial"/>
                <w:sz w:val="20"/>
                <w:szCs w:val="20"/>
                <w:lang w:eastAsia="vi-VN"/>
              </w:rPr>
              <w:t>(Mill. Passengers)</w:t>
            </w:r>
          </w:p>
        </w:tc>
        <w:tc>
          <w:tcPr>
            <w:tcW w:w="1802" w:type="dxa"/>
            <w:tcBorders>
              <w:top w:val="single" w:sz="4" w:space="0" w:color="auto"/>
              <w:bottom w:val="single" w:sz="4" w:space="0" w:color="auto"/>
            </w:tcBorders>
            <w:vAlign w:val="center"/>
            <w:hideMark/>
          </w:tcPr>
          <w:p w14:paraId="72191F2B" w14:textId="77777777" w:rsidR="00365923" w:rsidRPr="008B009B" w:rsidRDefault="00365923" w:rsidP="001F5E5E">
            <w:pPr>
              <w:jc w:val="center"/>
              <w:rPr>
                <w:rFonts w:ascii="Arial" w:hAnsi="Arial" w:cs="Arial"/>
                <w:sz w:val="20"/>
                <w:szCs w:val="20"/>
                <w:lang w:eastAsia="vi-VN"/>
              </w:rPr>
            </w:pPr>
            <w:r w:rsidRPr="008B009B">
              <w:rPr>
                <w:rFonts w:ascii="Arial" w:hAnsi="Arial" w:cs="Arial"/>
                <w:sz w:val="20"/>
                <w:szCs w:val="20"/>
                <w:lang w:eastAsia="vi-VN"/>
              </w:rPr>
              <w:t xml:space="preserve">Carried (passenger-kilometers) </w:t>
            </w:r>
            <w:r w:rsidRPr="008B009B">
              <w:rPr>
                <w:rFonts w:ascii="Arial" w:hAnsi="Arial" w:cs="Arial"/>
                <w:sz w:val="20"/>
                <w:szCs w:val="20"/>
                <w:lang w:eastAsia="vi-VN"/>
              </w:rPr>
              <w:br/>
              <w:t>(Bill. passenger-km)</w:t>
            </w:r>
          </w:p>
        </w:tc>
        <w:tc>
          <w:tcPr>
            <w:tcW w:w="222" w:type="dxa"/>
          </w:tcPr>
          <w:p w14:paraId="48CD9A86" w14:textId="77777777" w:rsidR="00365923" w:rsidRPr="008B009B" w:rsidRDefault="00365923" w:rsidP="001F5E5E">
            <w:pPr>
              <w:jc w:val="center"/>
              <w:rPr>
                <w:rFonts w:ascii="Arial" w:hAnsi="Arial" w:cs="Arial"/>
                <w:sz w:val="20"/>
                <w:szCs w:val="20"/>
                <w:lang w:eastAsia="vi-VN"/>
              </w:rPr>
            </w:pPr>
          </w:p>
        </w:tc>
        <w:tc>
          <w:tcPr>
            <w:tcW w:w="1707" w:type="dxa"/>
            <w:tcBorders>
              <w:top w:val="single" w:sz="4" w:space="0" w:color="auto"/>
              <w:bottom w:val="single" w:sz="4" w:space="0" w:color="auto"/>
            </w:tcBorders>
            <w:vAlign w:val="center"/>
            <w:hideMark/>
          </w:tcPr>
          <w:p w14:paraId="12ADE1B8" w14:textId="77777777" w:rsidR="00365923" w:rsidRPr="008B009B" w:rsidRDefault="00365923" w:rsidP="001F5E5E">
            <w:pPr>
              <w:jc w:val="center"/>
              <w:rPr>
                <w:rFonts w:ascii="Arial" w:hAnsi="Arial" w:cs="Arial"/>
                <w:sz w:val="20"/>
                <w:szCs w:val="20"/>
                <w:lang w:eastAsia="vi-VN"/>
              </w:rPr>
            </w:pPr>
            <w:r w:rsidRPr="008B009B">
              <w:rPr>
                <w:rFonts w:ascii="Arial" w:hAnsi="Arial" w:cs="Arial"/>
                <w:sz w:val="20"/>
                <w:szCs w:val="20"/>
                <w:lang w:eastAsia="vi-VN"/>
              </w:rPr>
              <w:t>Carried</w:t>
            </w:r>
          </w:p>
        </w:tc>
        <w:tc>
          <w:tcPr>
            <w:tcW w:w="1442" w:type="dxa"/>
            <w:tcBorders>
              <w:top w:val="single" w:sz="4" w:space="0" w:color="auto"/>
              <w:bottom w:val="single" w:sz="4" w:space="0" w:color="auto"/>
            </w:tcBorders>
            <w:vAlign w:val="center"/>
            <w:hideMark/>
          </w:tcPr>
          <w:p w14:paraId="33B91DEC" w14:textId="77777777" w:rsidR="00365923" w:rsidRPr="008B009B" w:rsidRDefault="00365923" w:rsidP="001F5E5E">
            <w:pPr>
              <w:jc w:val="center"/>
              <w:rPr>
                <w:rFonts w:ascii="Arial" w:hAnsi="Arial" w:cs="Arial"/>
                <w:sz w:val="20"/>
                <w:szCs w:val="20"/>
                <w:lang w:eastAsia="vi-VN"/>
              </w:rPr>
            </w:pPr>
            <w:r w:rsidRPr="008B009B">
              <w:rPr>
                <w:rFonts w:ascii="Arial" w:hAnsi="Arial" w:cs="Arial"/>
                <w:sz w:val="20"/>
                <w:szCs w:val="20"/>
                <w:lang w:eastAsia="vi-VN"/>
              </w:rPr>
              <w:t>Carried (passenger-kilometers)</w:t>
            </w:r>
          </w:p>
        </w:tc>
      </w:tr>
      <w:tr w:rsidR="00365923" w:rsidRPr="008B009B" w14:paraId="6E87B539" w14:textId="77777777" w:rsidTr="001F5E5E">
        <w:trPr>
          <w:trHeight w:val="392"/>
        </w:trPr>
        <w:tc>
          <w:tcPr>
            <w:tcW w:w="2125" w:type="dxa"/>
            <w:noWrap/>
            <w:vAlign w:val="center"/>
            <w:hideMark/>
          </w:tcPr>
          <w:p w14:paraId="095E8972" w14:textId="77777777" w:rsidR="00365923" w:rsidRPr="008B009B" w:rsidRDefault="00365923" w:rsidP="001F5E5E">
            <w:pPr>
              <w:rPr>
                <w:rFonts w:ascii="Arial" w:hAnsi="Arial" w:cs="Arial"/>
                <w:b/>
                <w:bCs/>
                <w:sz w:val="20"/>
                <w:szCs w:val="20"/>
                <w:lang w:eastAsia="vi-VN"/>
              </w:rPr>
            </w:pPr>
            <w:r w:rsidRPr="008B009B">
              <w:rPr>
                <w:rFonts w:ascii="Arial" w:hAnsi="Arial" w:cs="Arial"/>
                <w:b/>
                <w:bCs/>
                <w:sz w:val="20"/>
                <w:szCs w:val="20"/>
                <w:lang w:eastAsia="vi-VN"/>
              </w:rPr>
              <w:t>Total</w:t>
            </w:r>
          </w:p>
        </w:tc>
        <w:tc>
          <w:tcPr>
            <w:tcW w:w="1742" w:type="dxa"/>
            <w:tcBorders>
              <w:top w:val="single" w:sz="4" w:space="0" w:color="auto"/>
            </w:tcBorders>
            <w:noWrap/>
            <w:vAlign w:val="center"/>
          </w:tcPr>
          <w:p w14:paraId="0ACB9430" w14:textId="77777777" w:rsidR="00365923" w:rsidRPr="008B009B" w:rsidRDefault="00365923" w:rsidP="001F5E5E">
            <w:pPr>
              <w:ind w:right="520"/>
              <w:jc w:val="right"/>
              <w:rPr>
                <w:rFonts w:ascii="Arial" w:hAnsi="Arial" w:cs="Arial"/>
                <w:b/>
                <w:bCs/>
                <w:sz w:val="20"/>
                <w:szCs w:val="20"/>
              </w:rPr>
            </w:pPr>
            <w:r w:rsidRPr="008B009B">
              <w:rPr>
                <w:rFonts w:ascii="Arial" w:hAnsi="Arial" w:cs="Arial"/>
                <w:b/>
                <w:bCs/>
                <w:sz w:val="20"/>
                <w:szCs w:val="20"/>
              </w:rPr>
              <w:t>4,687.5</w:t>
            </w:r>
          </w:p>
        </w:tc>
        <w:tc>
          <w:tcPr>
            <w:tcW w:w="1802" w:type="dxa"/>
            <w:tcBorders>
              <w:top w:val="single" w:sz="4" w:space="0" w:color="auto"/>
            </w:tcBorders>
            <w:noWrap/>
            <w:vAlign w:val="center"/>
          </w:tcPr>
          <w:p w14:paraId="3F00AAA3" w14:textId="77777777" w:rsidR="00365923" w:rsidRPr="008B009B" w:rsidRDefault="00365923" w:rsidP="001F5E5E">
            <w:pPr>
              <w:ind w:right="520"/>
              <w:jc w:val="right"/>
              <w:rPr>
                <w:rFonts w:ascii="Arial" w:hAnsi="Arial" w:cs="Arial"/>
                <w:b/>
                <w:bCs/>
                <w:sz w:val="20"/>
                <w:szCs w:val="20"/>
              </w:rPr>
            </w:pPr>
            <w:r w:rsidRPr="008B009B">
              <w:rPr>
                <w:rFonts w:ascii="Arial" w:hAnsi="Arial" w:cs="Arial"/>
                <w:b/>
                <w:bCs/>
                <w:sz w:val="20"/>
                <w:szCs w:val="20"/>
              </w:rPr>
              <w:t>234.3</w:t>
            </w:r>
          </w:p>
        </w:tc>
        <w:tc>
          <w:tcPr>
            <w:tcW w:w="222" w:type="dxa"/>
          </w:tcPr>
          <w:p w14:paraId="179F07B5" w14:textId="77777777" w:rsidR="00365923" w:rsidRPr="008B009B" w:rsidRDefault="00365923" w:rsidP="001F5E5E">
            <w:pPr>
              <w:ind w:right="520"/>
              <w:jc w:val="right"/>
              <w:rPr>
                <w:rFonts w:ascii="Arial" w:hAnsi="Arial" w:cs="Arial"/>
                <w:b/>
                <w:bCs/>
                <w:sz w:val="20"/>
                <w:szCs w:val="20"/>
              </w:rPr>
            </w:pPr>
          </w:p>
        </w:tc>
        <w:tc>
          <w:tcPr>
            <w:tcW w:w="1707" w:type="dxa"/>
            <w:tcBorders>
              <w:top w:val="single" w:sz="4" w:space="0" w:color="auto"/>
            </w:tcBorders>
            <w:noWrap/>
            <w:vAlign w:val="center"/>
          </w:tcPr>
          <w:p w14:paraId="4AF77216" w14:textId="77777777" w:rsidR="00365923" w:rsidRPr="008B009B" w:rsidRDefault="00365923" w:rsidP="001F5E5E">
            <w:pPr>
              <w:ind w:right="520"/>
              <w:jc w:val="right"/>
              <w:rPr>
                <w:rFonts w:ascii="Arial" w:hAnsi="Arial" w:cs="Arial"/>
                <w:b/>
                <w:bCs/>
                <w:sz w:val="20"/>
                <w:szCs w:val="20"/>
              </w:rPr>
            </w:pPr>
            <w:r w:rsidRPr="008B009B">
              <w:rPr>
                <w:rFonts w:ascii="Arial" w:hAnsi="Arial" w:cs="Arial"/>
                <w:b/>
                <w:bCs/>
                <w:sz w:val="20"/>
                <w:szCs w:val="20"/>
              </w:rPr>
              <w:t>18.6</w:t>
            </w:r>
          </w:p>
        </w:tc>
        <w:tc>
          <w:tcPr>
            <w:tcW w:w="1442" w:type="dxa"/>
            <w:tcBorders>
              <w:top w:val="single" w:sz="4" w:space="0" w:color="auto"/>
            </w:tcBorders>
            <w:noWrap/>
            <w:vAlign w:val="center"/>
          </w:tcPr>
          <w:p w14:paraId="11E08CD6" w14:textId="77777777" w:rsidR="00365923" w:rsidRPr="008B009B" w:rsidRDefault="00365923" w:rsidP="001F5E5E">
            <w:pPr>
              <w:ind w:right="322"/>
              <w:jc w:val="right"/>
              <w:rPr>
                <w:rFonts w:ascii="Arial" w:hAnsi="Arial" w:cs="Arial"/>
                <w:b/>
                <w:bCs/>
                <w:sz w:val="20"/>
                <w:szCs w:val="20"/>
              </w:rPr>
            </w:pPr>
            <w:r w:rsidRPr="008B009B">
              <w:rPr>
                <w:rFonts w:ascii="Arial" w:hAnsi="Arial" w:cs="Arial"/>
                <w:b/>
                <w:bCs/>
                <w:sz w:val="20"/>
                <w:szCs w:val="20"/>
              </w:rPr>
              <w:t>13.1</w:t>
            </w:r>
          </w:p>
        </w:tc>
      </w:tr>
      <w:tr w:rsidR="00365923" w:rsidRPr="008B009B" w14:paraId="6B904C5F" w14:textId="77777777" w:rsidTr="001F5E5E">
        <w:trPr>
          <w:trHeight w:val="328"/>
        </w:trPr>
        <w:tc>
          <w:tcPr>
            <w:tcW w:w="2125" w:type="dxa"/>
            <w:noWrap/>
            <w:vAlign w:val="center"/>
            <w:hideMark/>
          </w:tcPr>
          <w:p w14:paraId="6740307C" w14:textId="77777777" w:rsidR="00365923" w:rsidRPr="008B009B" w:rsidRDefault="00365923" w:rsidP="001F5E5E">
            <w:pPr>
              <w:tabs>
                <w:tab w:val="left" w:pos="407"/>
              </w:tabs>
              <w:ind w:firstLine="182"/>
              <w:rPr>
                <w:rFonts w:ascii="Arial" w:hAnsi="Arial" w:cs="Arial"/>
                <w:sz w:val="20"/>
                <w:szCs w:val="20"/>
                <w:lang w:eastAsia="vi-VN"/>
              </w:rPr>
            </w:pPr>
            <w:r w:rsidRPr="008B009B">
              <w:rPr>
                <w:rFonts w:ascii="Arial" w:hAnsi="Arial" w:cs="Arial"/>
                <w:sz w:val="20"/>
                <w:szCs w:val="20"/>
                <w:lang w:eastAsia="vi-VN"/>
              </w:rPr>
              <w:t>Rail way</w:t>
            </w:r>
          </w:p>
        </w:tc>
        <w:tc>
          <w:tcPr>
            <w:tcW w:w="1742" w:type="dxa"/>
            <w:noWrap/>
            <w:vAlign w:val="center"/>
          </w:tcPr>
          <w:p w14:paraId="2490EABA"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33.1</w:t>
            </w:r>
          </w:p>
        </w:tc>
        <w:tc>
          <w:tcPr>
            <w:tcW w:w="1802" w:type="dxa"/>
            <w:noWrap/>
            <w:vAlign w:val="center"/>
          </w:tcPr>
          <w:p w14:paraId="6689A7B3"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2.4</w:t>
            </w:r>
          </w:p>
        </w:tc>
        <w:tc>
          <w:tcPr>
            <w:tcW w:w="222" w:type="dxa"/>
          </w:tcPr>
          <w:p w14:paraId="49F37ED4" w14:textId="77777777" w:rsidR="00365923" w:rsidRPr="008B009B" w:rsidRDefault="00365923" w:rsidP="001F5E5E">
            <w:pPr>
              <w:ind w:right="520"/>
              <w:jc w:val="right"/>
              <w:rPr>
                <w:rFonts w:ascii="Arial" w:hAnsi="Arial" w:cs="Arial"/>
                <w:sz w:val="20"/>
                <w:szCs w:val="20"/>
              </w:rPr>
            </w:pPr>
          </w:p>
        </w:tc>
        <w:tc>
          <w:tcPr>
            <w:tcW w:w="1707" w:type="dxa"/>
            <w:noWrap/>
            <w:vAlign w:val="center"/>
          </w:tcPr>
          <w:p w14:paraId="1D556E13" w14:textId="77777777" w:rsidR="00365923" w:rsidRPr="008B009B" w:rsidRDefault="00365923" w:rsidP="001F5E5E">
            <w:pPr>
              <w:ind w:right="520"/>
              <w:jc w:val="right"/>
              <w:rPr>
                <w:rFonts w:ascii="Arial" w:hAnsi="Arial" w:cs="Arial"/>
                <w:sz w:val="20"/>
                <w:szCs w:val="20"/>
              </w:rPr>
            </w:pPr>
            <w:r w:rsidRPr="008B009B">
              <w:rPr>
                <w:rFonts w:ascii="Arial" w:hAnsi="Arial" w:cs="Arial"/>
                <w:bCs/>
                <w:sz w:val="20"/>
                <w:szCs w:val="20"/>
              </w:rPr>
              <w:t>23.6</w:t>
            </w:r>
          </w:p>
        </w:tc>
        <w:tc>
          <w:tcPr>
            <w:tcW w:w="1442" w:type="dxa"/>
            <w:noWrap/>
            <w:vAlign w:val="center"/>
          </w:tcPr>
          <w:p w14:paraId="716C8752" w14:textId="77777777" w:rsidR="00365923" w:rsidRPr="008B009B" w:rsidRDefault="00365923" w:rsidP="001F5E5E">
            <w:pPr>
              <w:ind w:right="322"/>
              <w:jc w:val="right"/>
              <w:rPr>
                <w:rFonts w:ascii="Arial" w:hAnsi="Arial" w:cs="Arial"/>
                <w:sz w:val="20"/>
                <w:szCs w:val="20"/>
              </w:rPr>
            </w:pPr>
            <w:r w:rsidRPr="008B009B">
              <w:rPr>
                <w:rFonts w:ascii="Arial" w:hAnsi="Arial" w:cs="Arial"/>
                <w:bCs/>
                <w:sz w:val="20"/>
                <w:szCs w:val="20"/>
              </w:rPr>
              <w:t>-2.9</w:t>
            </w:r>
          </w:p>
        </w:tc>
      </w:tr>
      <w:tr w:rsidR="00365923" w:rsidRPr="008B009B" w14:paraId="745D1CFD" w14:textId="77777777" w:rsidTr="001F5E5E">
        <w:trPr>
          <w:trHeight w:val="328"/>
        </w:trPr>
        <w:tc>
          <w:tcPr>
            <w:tcW w:w="2125" w:type="dxa"/>
            <w:noWrap/>
            <w:vAlign w:val="center"/>
            <w:hideMark/>
          </w:tcPr>
          <w:p w14:paraId="19CED4D2" w14:textId="77777777" w:rsidR="00365923" w:rsidRPr="008B009B" w:rsidRDefault="00365923" w:rsidP="001F5E5E">
            <w:pPr>
              <w:tabs>
                <w:tab w:val="left" w:pos="407"/>
              </w:tabs>
              <w:ind w:firstLine="182"/>
              <w:rPr>
                <w:rFonts w:ascii="Arial" w:hAnsi="Arial" w:cs="Arial"/>
                <w:sz w:val="20"/>
                <w:szCs w:val="20"/>
                <w:lang w:eastAsia="vi-VN"/>
              </w:rPr>
            </w:pPr>
            <w:r w:rsidRPr="008B009B">
              <w:rPr>
                <w:rFonts w:ascii="Arial" w:hAnsi="Arial" w:cs="Arial"/>
                <w:sz w:val="20"/>
                <w:szCs w:val="20"/>
                <w:lang w:eastAsia="vi-VN"/>
              </w:rPr>
              <w:t>Maritime transport</w:t>
            </w:r>
          </w:p>
        </w:tc>
        <w:tc>
          <w:tcPr>
            <w:tcW w:w="1742" w:type="dxa"/>
            <w:noWrap/>
            <w:vAlign w:val="center"/>
          </w:tcPr>
          <w:p w14:paraId="2EC73CF4"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8.4</w:t>
            </w:r>
          </w:p>
        </w:tc>
        <w:tc>
          <w:tcPr>
            <w:tcW w:w="1802" w:type="dxa"/>
            <w:noWrap/>
            <w:vAlign w:val="center"/>
          </w:tcPr>
          <w:p w14:paraId="2C7A2D1D"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0.7</w:t>
            </w:r>
          </w:p>
        </w:tc>
        <w:tc>
          <w:tcPr>
            <w:tcW w:w="222" w:type="dxa"/>
          </w:tcPr>
          <w:p w14:paraId="66218E85" w14:textId="77777777" w:rsidR="00365923" w:rsidRPr="008B009B" w:rsidRDefault="00365923" w:rsidP="001F5E5E">
            <w:pPr>
              <w:ind w:right="520"/>
              <w:jc w:val="right"/>
              <w:rPr>
                <w:rFonts w:ascii="Arial" w:hAnsi="Arial" w:cs="Arial"/>
                <w:sz w:val="20"/>
                <w:szCs w:val="20"/>
              </w:rPr>
            </w:pPr>
          </w:p>
        </w:tc>
        <w:tc>
          <w:tcPr>
            <w:tcW w:w="1707" w:type="dxa"/>
            <w:noWrap/>
            <w:vAlign w:val="center"/>
          </w:tcPr>
          <w:p w14:paraId="30656E1E"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-0.1</w:t>
            </w:r>
          </w:p>
        </w:tc>
        <w:tc>
          <w:tcPr>
            <w:tcW w:w="1442" w:type="dxa"/>
            <w:noWrap/>
            <w:vAlign w:val="center"/>
          </w:tcPr>
          <w:p w14:paraId="3E3E3AA8" w14:textId="77777777" w:rsidR="00365923" w:rsidRPr="008B009B" w:rsidRDefault="00365923" w:rsidP="001F5E5E">
            <w:pPr>
              <w:ind w:right="322"/>
              <w:jc w:val="right"/>
              <w:rPr>
                <w:rFonts w:ascii="Arial" w:hAnsi="Arial" w:cs="Arial"/>
                <w:sz w:val="20"/>
                <w:szCs w:val="20"/>
              </w:rPr>
            </w:pPr>
            <w:r w:rsidRPr="008B009B">
              <w:rPr>
                <w:rFonts w:ascii="Arial" w:hAnsi="Arial" w:cs="Arial"/>
                <w:sz w:val="20"/>
                <w:szCs w:val="20"/>
              </w:rPr>
              <w:t>11.4</w:t>
            </w:r>
          </w:p>
        </w:tc>
      </w:tr>
      <w:tr w:rsidR="00365923" w:rsidRPr="008B009B" w14:paraId="313C3E97" w14:textId="77777777" w:rsidTr="001F5E5E">
        <w:trPr>
          <w:trHeight w:val="328"/>
        </w:trPr>
        <w:tc>
          <w:tcPr>
            <w:tcW w:w="2125" w:type="dxa"/>
            <w:noWrap/>
            <w:vAlign w:val="center"/>
            <w:hideMark/>
          </w:tcPr>
          <w:p w14:paraId="332E0D92" w14:textId="77777777" w:rsidR="00365923" w:rsidRPr="008B009B" w:rsidRDefault="00365923" w:rsidP="001F5E5E">
            <w:pPr>
              <w:tabs>
                <w:tab w:val="left" w:pos="407"/>
              </w:tabs>
              <w:ind w:firstLine="182"/>
              <w:rPr>
                <w:rFonts w:ascii="Arial" w:hAnsi="Arial" w:cs="Arial"/>
                <w:sz w:val="20"/>
                <w:szCs w:val="20"/>
                <w:lang w:eastAsia="vi-VN"/>
              </w:rPr>
            </w:pPr>
            <w:r w:rsidRPr="008B009B">
              <w:rPr>
                <w:rFonts w:ascii="Arial" w:hAnsi="Arial" w:cs="Arial"/>
                <w:sz w:val="20"/>
                <w:szCs w:val="20"/>
                <w:lang w:eastAsia="vi-VN"/>
              </w:rPr>
              <w:t>Inland water way</w:t>
            </w:r>
          </w:p>
        </w:tc>
        <w:tc>
          <w:tcPr>
            <w:tcW w:w="1742" w:type="dxa"/>
            <w:noWrap/>
            <w:vAlign w:val="center"/>
          </w:tcPr>
          <w:p w14:paraId="08CB7707"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297.6</w:t>
            </w:r>
          </w:p>
        </w:tc>
        <w:tc>
          <w:tcPr>
            <w:tcW w:w="1802" w:type="dxa"/>
            <w:noWrap/>
            <w:vAlign w:val="center"/>
          </w:tcPr>
          <w:p w14:paraId="00A20AFC"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7.3</w:t>
            </w:r>
          </w:p>
        </w:tc>
        <w:tc>
          <w:tcPr>
            <w:tcW w:w="222" w:type="dxa"/>
          </w:tcPr>
          <w:p w14:paraId="638C04F1" w14:textId="77777777" w:rsidR="00365923" w:rsidRPr="008B009B" w:rsidRDefault="00365923" w:rsidP="001F5E5E">
            <w:pPr>
              <w:ind w:right="520"/>
              <w:jc w:val="right"/>
              <w:rPr>
                <w:rFonts w:ascii="Arial" w:hAnsi="Arial" w:cs="Arial"/>
                <w:sz w:val="20"/>
                <w:szCs w:val="20"/>
              </w:rPr>
            </w:pPr>
          </w:p>
        </w:tc>
        <w:tc>
          <w:tcPr>
            <w:tcW w:w="1707" w:type="dxa"/>
            <w:noWrap/>
            <w:vAlign w:val="center"/>
          </w:tcPr>
          <w:p w14:paraId="0DA66F84"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7.5</w:t>
            </w:r>
          </w:p>
        </w:tc>
        <w:tc>
          <w:tcPr>
            <w:tcW w:w="1442" w:type="dxa"/>
            <w:noWrap/>
            <w:vAlign w:val="center"/>
          </w:tcPr>
          <w:p w14:paraId="4510D15A" w14:textId="77777777" w:rsidR="00365923" w:rsidRPr="008B009B" w:rsidRDefault="00365923" w:rsidP="001F5E5E">
            <w:pPr>
              <w:ind w:right="322"/>
              <w:jc w:val="right"/>
              <w:rPr>
                <w:rFonts w:ascii="Arial" w:hAnsi="Arial" w:cs="Arial"/>
                <w:sz w:val="20"/>
                <w:szCs w:val="20"/>
              </w:rPr>
            </w:pPr>
            <w:r w:rsidRPr="008B009B">
              <w:rPr>
                <w:rFonts w:ascii="Arial" w:hAnsi="Arial" w:cs="Arial"/>
                <w:sz w:val="20"/>
                <w:szCs w:val="20"/>
              </w:rPr>
              <w:t>15.5</w:t>
            </w:r>
          </w:p>
        </w:tc>
      </w:tr>
      <w:tr w:rsidR="00365923" w:rsidRPr="008B009B" w14:paraId="5ECF4116" w14:textId="77777777" w:rsidTr="001F5E5E">
        <w:trPr>
          <w:trHeight w:val="328"/>
        </w:trPr>
        <w:tc>
          <w:tcPr>
            <w:tcW w:w="2125" w:type="dxa"/>
            <w:noWrap/>
            <w:vAlign w:val="center"/>
            <w:hideMark/>
          </w:tcPr>
          <w:p w14:paraId="6F39F8F9" w14:textId="77777777" w:rsidR="00365923" w:rsidRPr="008B009B" w:rsidRDefault="00365923" w:rsidP="001F5E5E">
            <w:pPr>
              <w:tabs>
                <w:tab w:val="left" w:pos="407"/>
              </w:tabs>
              <w:ind w:firstLine="182"/>
              <w:rPr>
                <w:rFonts w:ascii="Arial" w:hAnsi="Arial" w:cs="Arial"/>
                <w:sz w:val="20"/>
                <w:szCs w:val="20"/>
                <w:lang w:eastAsia="vi-VN"/>
              </w:rPr>
            </w:pPr>
            <w:r w:rsidRPr="008B009B">
              <w:rPr>
                <w:rFonts w:ascii="Arial" w:hAnsi="Arial" w:cs="Arial"/>
                <w:sz w:val="20"/>
                <w:szCs w:val="20"/>
                <w:lang w:eastAsia="vi-VN"/>
              </w:rPr>
              <w:t>Road</w:t>
            </w:r>
          </w:p>
        </w:tc>
        <w:tc>
          <w:tcPr>
            <w:tcW w:w="1742" w:type="dxa"/>
            <w:noWrap/>
            <w:vAlign w:val="center"/>
          </w:tcPr>
          <w:p w14:paraId="1E116BA9"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4,307.2</w:t>
            </w:r>
          </w:p>
        </w:tc>
        <w:tc>
          <w:tcPr>
            <w:tcW w:w="1802" w:type="dxa"/>
            <w:noWrap/>
            <w:vAlign w:val="center"/>
          </w:tcPr>
          <w:p w14:paraId="1D5BE7F9"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157.9</w:t>
            </w:r>
          </w:p>
        </w:tc>
        <w:tc>
          <w:tcPr>
            <w:tcW w:w="222" w:type="dxa"/>
          </w:tcPr>
          <w:p w14:paraId="69DEEA0F" w14:textId="77777777" w:rsidR="00365923" w:rsidRPr="008B009B" w:rsidRDefault="00365923" w:rsidP="001F5E5E">
            <w:pPr>
              <w:ind w:right="520"/>
              <w:jc w:val="right"/>
              <w:rPr>
                <w:rFonts w:ascii="Arial" w:hAnsi="Arial" w:cs="Arial"/>
                <w:sz w:val="20"/>
                <w:szCs w:val="20"/>
              </w:rPr>
            </w:pPr>
          </w:p>
        </w:tc>
        <w:tc>
          <w:tcPr>
            <w:tcW w:w="1707" w:type="dxa"/>
            <w:noWrap/>
            <w:vAlign w:val="center"/>
          </w:tcPr>
          <w:p w14:paraId="27C640E7"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19.6</w:t>
            </w:r>
          </w:p>
        </w:tc>
        <w:tc>
          <w:tcPr>
            <w:tcW w:w="1442" w:type="dxa"/>
            <w:noWrap/>
            <w:vAlign w:val="center"/>
          </w:tcPr>
          <w:p w14:paraId="7BB4B6A1" w14:textId="77777777" w:rsidR="00365923" w:rsidRPr="008B009B" w:rsidRDefault="00365923" w:rsidP="001F5E5E">
            <w:pPr>
              <w:ind w:right="322"/>
              <w:jc w:val="right"/>
              <w:rPr>
                <w:rFonts w:ascii="Arial" w:hAnsi="Arial" w:cs="Arial"/>
                <w:sz w:val="20"/>
                <w:szCs w:val="20"/>
              </w:rPr>
            </w:pPr>
            <w:r w:rsidRPr="008B009B">
              <w:rPr>
                <w:rFonts w:ascii="Arial" w:hAnsi="Arial" w:cs="Arial"/>
                <w:sz w:val="20"/>
                <w:szCs w:val="20"/>
              </w:rPr>
              <w:t>18.0</w:t>
            </w:r>
          </w:p>
        </w:tc>
      </w:tr>
      <w:tr w:rsidR="00365923" w:rsidRPr="008B009B" w14:paraId="23D34EC5" w14:textId="77777777" w:rsidTr="001F5E5E">
        <w:trPr>
          <w:trHeight w:val="328"/>
        </w:trPr>
        <w:tc>
          <w:tcPr>
            <w:tcW w:w="2125" w:type="dxa"/>
            <w:tcBorders>
              <w:bottom w:val="single" w:sz="4" w:space="0" w:color="auto"/>
            </w:tcBorders>
            <w:noWrap/>
            <w:vAlign w:val="center"/>
            <w:hideMark/>
          </w:tcPr>
          <w:p w14:paraId="5000D9E9" w14:textId="77777777" w:rsidR="00365923" w:rsidRPr="008B009B" w:rsidRDefault="00365923" w:rsidP="001F5E5E">
            <w:pPr>
              <w:tabs>
                <w:tab w:val="left" w:pos="407"/>
              </w:tabs>
              <w:ind w:firstLine="182"/>
              <w:rPr>
                <w:rFonts w:ascii="Arial" w:hAnsi="Arial" w:cs="Arial"/>
                <w:sz w:val="20"/>
                <w:szCs w:val="20"/>
                <w:lang w:eastAsia="vi-VN"/>
              </w:rPr>
            </w:pPr>
            <w:r w:rsidRPr="008B009B">
              <w:rPr>
                <w:rFonts w:ascii="Arial" w:hAnsi="Arial" w:cs="Arial"/>
                <w:sz w:val="20"/>
                <w:szCs w:val="20"/>
                <w:lang w:eastAsia="vi-VN"/>
              </w:rPr>
              <w:t>Airway</w:t>
            </w:r>
          </w:p>
        </w:tc>
        <w:tc>
          <w:tcPr>
            <w:tcW w:w="1742" w:type="dxa"/>
            <w:tcBorders>
              <w:bottom w:val="single" w:sz="4" w:space="0" w:color="auto"/>
            </w:tcBorders>
            <w:noWrap/>
            <w:vAlign w:val="center"/>
          </w:tcPr>
          <w:p w14:paraId="4BB48F38"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41.2</w:t>
            </w:r>
          </w:p>
        </w:tc>
        <w:tc>
          <w:tcPr>
            <w:tcW w:w="1802" w:type="dxa"/>
            <w:tcBorders>
              <w:bottom w:val="single" w:sz="4" w:space="0" w:color="auto"/>
            </w:tcBorders>
            <w:noWrap/>
            <w:vAlign w:val="center"/>
          </w:tcPr>
          <w:p w14:paraId="68E72D6F"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56.0</w:t>
            </w:r>
          </w:p>
        </w:tc>
        <w:tc>
          <w:tcPr>
            <w:tcW w:w="222" w:type="dxa"/>
            <w:tcBorders>
              <w:bottom w:val="single" w:sz="4" w:space="0" w:color="auto"/>
            </w:tcBorders>
          </w:tcPr>
          <w:p w14:paraId="07C6F037" w14:textId="77777777" w:rsidR="00365923" w:rsidRPr="008B009B" w:rsidRDefault="00365923" w:rsidP="001F5E5E">
            <w:pPr>
              <w:ind w:right="520"/>
              <w:jc w:val="right"/>
              <w:rPr>
                <w:rFonts w:ascii="Arial" w:hAnsi="Arial" w:cs="Arial"/>
                <w:sz w:val="20"/>
                <w:szCs w:val="20"/>
              </w:rPr>
            </w:pPr>
          </w:p>
        </w:tc>
        <w:tc>
          <w:tcPr>
            <w:tcW w:w="1707" w:type="dxa"/>
            <w:tcBorders>
              <w:bottom w:val="single" w:sz="4" w:space="0" w:color="auto"/>
            </w:tcBorders>
            <w:noWrap/>
            <w:vAlign w:val="center"/>
          </w:tcPr>
          <w:p w14:paraId="75FA2F3D"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6.7</w:t>
            </w:r>
          </w:p>
        </w:tc>
        <w:tc>
          <w:tcPr>
            <w:tcW w:w="1442" w:type="dxa"/>
            <w:tcBorders>
              <w:bottom w:val="single" w:sz="4" w:space="0" w:color="auto"/>
            </w:tcBorders>
            <w:noWrap/>
            <w:vAlign w:val="center"/>
          </w:tcPr>
          <w:p w14:paraId="19F33F62" w14:textId="77777777" w:rsidR="00365923" w:rsidRPr="008B009B" w:rsidRDefault="00365923" w:rsidP="001F5E5E">
            <w:pPr>
              <w:ind w:right="322"/>
              <w:jc w:val="right"/>
              <w:rPr>
                <w:rFonts w:ascii="Arial" w:hAnsi="Arial" w:cs="Arial"/>
                <w:sz w:val="20"/>
                <w:szCs w:val="20"/>
              </w:rPr>
            </w:pPr>
            <w:r w:rsidRPr="008B009B">
              <w:rPr>
                <w:rFonts w:ascii="Arial" w:hAnsi="Arial" w:cs="Arial"/>
                <w:sz w:val="20"/>
                <w:szCs w:val="20"/>
              </w:rPr>
              <w:t>3.3</w:t>
            </w:r>
          </w:p>
        </w:tc>
      </w:tr>
    </w:tbl>
    <w:p w14:paraId="7C81AFEF" w14:textId="112FBEC1" w:rsidR="00365923" w:rsidRPr="008B009B" w:rsidRDefault="00365923" w:rsidP="00365923">
      <w:pPr>
        <w:spacing w:before="120" w:after="120" w:line="264" w:lineRule="auto"/>
        <w:ind w:firstLine="720"/>
        <w:jc w:val="both"/>
        <w:rPr>
          <w:iCs/>
        </w:rPr>
      </w:pPr>
      <w:r w:rsidRPr="008B009B">
        <w:rPr>
          <w:i/>
        </w:rPr>
        <w:t xml:space="preserve">Freight transported </w:t>
      </w:r>
      <w:r w:rsidRPr="008B009B">
        <w:t>in August 2026 was estimated at 324</w:t>
      </w:r>
      <w:r w:rsidRPr="008B009B">
        <w:rPr>
          <w:iCs/>
        </w:rPr>
        <w:t xml:space="preserve">.0 </w:t>
      </w:r>
      <w:r w:rsidRPr="008B009B">
        <w:t xml:space="preserve">million tons, </w:t>
      </w:r>
      <w:r w:rsidRPr="008B009B">
        <w:br/>
        <w:t>month-on-month</w:t>
      </w:r>
      <w:r w:rsidRPr="008B009B">
        <w:rPr>
          <w:bCs/>
        </w:rPr>
        <w:t xml:space="preserve"> increase of</w:t>
      </w:r>
      <w:r w:rsidRPr="008B009B">
        <w:t xml:space="preserve"> </w:t>
      </w:r>
      <w:r w:rsidRPr="008B009B">
        <w:rPr>
          <w:iCs/>
        </w:rPr>
        <w:t>0.6</w:t>
      </w:r>
      <w:r w:rsidRPr="008B009B">
        <w:t xml:space="preserve">%, </w:t>
      </w:r>
      <w:r w:rsidRPr="008B009B">
        <w:rPr>
          <w:bCs/>
        </w:rPr>
        <w:t xml:space="preserve">a year-on-year rise </w:t>
      </w:r>
      <w:r w:rsidRPr="008B009B">
        <w:t xml:space="preserve">of </w:t>
      </w:r>
      <w:r w:rsidRPr="008B009B">
        <w:rPr>
          <w:iCs/>
        </w:rPr>
        <w:t>17.6%</w:t>
      </w:r>
      <w:r w:rsidRPr="008B009B">
        <w:t xml:space="preserve">; and freight transported (ton-kilometers) reached </w:t>
      </w:r>
      <w:r w:rsidRPr="008B009B">
        <w:rPr>
          <w:iCs/>
        </w:rPr>
        <w:t xml:space="preserve">63.0 </w:t>
      </w:r>
      <w:r w:rsidRPr="008B009B">
        <w:t xml:space="preserve">billion ton-kilometer, </w:t>
      </w:r>
      <w:r w:rsidRPr="008B009B">
        <w:rPr>
          <w:bCs/>
        </w:rPr>
        <w:t>an upturn of</w:t>
      </w:r>
      <w:r w:rsidRPr="008B009B">
        <w:t xml:space="preserve"> </w:t>
      </w:r>
      <w:r w:rsidRPr="008B009B">
        <w:rPr>
          <w:iCs/>
        </w:rPr>
        <w:t>2.1</w:t>
      </w:r>
      <w:r w:rsidRPr="008B009B">
        <w:t>%</w:t>
      </w:r>
      <w:r w:rsidR="008B009B">
        <w:t xml:space="preserve"> </w:t>
      </w:r>
      <w:r w:rsidR="008B009B" w:rsidRPr="008B009B">
        <w:rPr>
          <w:bCs/>
        </w:rPr>
        <w:t>MoM</w:t>
      </w:r>
      <w:r w:rsidRPr="008B009B">
        <w:t xml:space="preserve">, </w:t>
      </w:r>
      <w:r w:rsidRPr="008B009B">
        <w:rPr>
          <w:bCs/>
        </w:rPr>
        <w:t>a</w:t>
      </w:r>
      <w:r w:rsidR="001E0CB7">
        <w:rPr>
          <w:bCs/>
        </w:rPr>
        <w:t>n</w:t>
      </w:r>
      <w:r w:rsidRPr="008B009B">
        <w:rPr>
          <w:bCs/>
        </w:rPr>
        <w:t xml:space="preserve"> increase </w:t>
      </w:r>
      <w:r w:rsidRPr="008B009B">
        <w:t xml:space="preserve">of </w:t>
      </w:r>
      <w:r w:rsidRPr="008B009B">
        <w:rPr>
          <w:iCs/>
        </w:rPr>
        <w:t>17.3%</w:t>
      </w:r>
      <w:r w:rsidR="008B009B">
        <w:rPr>
          <w:iCs/>
        </w:rPr>
        <w:t xml:space="preserve"> YoY</w:t>
      </w:r>
      <w:r w:rsidRPr="008B009B">
        <w:t xml:space="preserve">. Generally, in </w:t>
      </w:r>
      <w:r w:rsidR="00D3164A">
        <w:t xml:space="preserve">the </w:t>
      </w:r>
      <w:r w:rsidRPr="008B009B">
        <w:t>eight months of 2026, freight transported was estimated at 2</w:t>
      </w:r>
      <w:r w:rsidRPr="008B009B">
        <w:rPr>
          <w:iCs/>
        </w:rPr>
        <w:t xml:space="preserve">,285.1 </w:t>
      </w:r>
      <w:r w:rsidRPr="008B009B">
        <w:t xml:space="preserve">million tons, </w:t>
      </w:r>
      <w:r w:rsidRPr="008B009B">
        <w:rPr>
          <w:bCs/>
        </w:rPr>
        <w:t>a year-on-year increase of</w:t>
      </w:r>
      <w:r w:rsidRPr="008B009B">
        <w:t xml:space="preserve"> </w:t>
      </w:r>
      <w:r w:rsidRPr="008B009B">
        <w:rPr>
          <w:iCs/>
        </w:rPr>
        <w:t>16.7</w:t>
      </w:r>
      <w:r w:rsidRPr="008B009B">
        <w:t>% and freight transported (ton-kilometers) reached 450</w:t>
      </w:r>
      <w:r w:rsidRPr="008B009B">
        <w:rPr>
          <w:iCs/>
        </w:rPr>
        <w:t xml:space="preserve">.5 </w:t>
      </w:r>
      <w:r w:rsidRPr="008B009B">
        <w:t xml:space="preserve">billion ton-kilometer, </w:t>
      </w:r>
      <w:r w:rsidRPr="008B009B">
        <w:rPr>
          <w:bCs/>
        </w:rPr>
        <w:t>a year-on-year increase of</w:t>
      </w:r>
      <w:r w:rsidRPr="008B009B">
        <w:t xml:space="preserve"> </w:t>
      </w:r>
      <w:r w:rsidRPr="008B009B">
        <w:rPr>
          <w:iCs/>
        </w:rPr>
        <w:t>12.9</w:t>
      </w:r>
      <w:r w:rsidRPr="008B009B">
        <w:t xml:space="preserve">%. Of which, domestic </w:t>
      </w:r>
      <w:r w:rsidRPr="008B009B">
        <w:rPr>
          <w:bCs/>
        </w:rPr>
        <w:t>freight</w:t>
      </w:r>
      <w:r w:rsidRPr="008B009B">
        <w:t xml:space="preserve"> </w:t>
      </w:r>
      <w:r w:rsidRPr="008B009B">
        <w:lastRenderedPageBreak/>
        <w:t>transported was estimated at 2</w:t>
      </w:r>
      <w:r w:rsidRPr="008B009B">
        <w:rPr>
          <w:iCs/>
        </w:rPr>
        <w:t xml:space="preserve">,245.3 </w:t>
      </w:r>
      <w:r w:rsidRPr="008B009B">
        <w:t>million tons, (+</w:t>
      </w:r>
      <w:r w:rsidRPr="008B009B">
        <w:rPr>
          <w:iCs/>
        </w:rPr>
        <w:t>16.7</w:t>
      </w:r>
      <w:r w:rsidRPr="008B009B">
        <w:t xml:space="preserve">%), domestic freight transported (ton-kilometers) </w:t>
      </w:r>
      <w:r w:rsidRPr="008B009B">
        <w:rPr>
          <w:bCs/>
        </w:rPr>
        <w:t>reached</w:t>
      </w:r>
      <w:r w:rsidRPr="008B009B">
        <w:t xml:space="preserve"> </w:t>
      </w:r>
      <w:r w:rsidRPr="008B009B">
        <w:rPr>
          <w:iCs/>
        </w:rPr>
        <w:t xml:space="preserve">257.9 </w:t>
      </w:r>
      <w:r w:rsidRPr="008B009B">
        <w:t>billion ton-kilometer, (+</w:t>
      </w:r>
      <w:r w:rsidRPr="008B009B">
        <w:rPr>
          <w:iCs/>
        </w:rPr>
        <w:t>14.2</w:t>
      </w:r>
      <w:r w:rsidRPr="008B009B">
        <w:t xml:space="preserve">%); </w:t>
      </w:r>
      <w:r w:rsidRPr="008B009B">
        <w:rPr>
          <w:bCs/>
        </w:rPr>
        <w:t>overseas</w:t>
      </w:r>
      <w:r w:rsidRPr="008B009B">
        <w:t xml:space="preserve"> </w:t>
      </w:r>
      <w:r w:rsidRPr="008B009B">
        <w:rPr>
          <w:bCs/>
        </w:rPr>
        <w:t>freight</w:t>
      </w:r>
      <w:r w:rsidRPr="008B009B">
        <w:t xml:space="preserve"> transported was estimated at </w:t>
      </w:r>
      <w:r w:rsidRPr="008B009B">
        <w:rPr>
          <w:iCs/>
        </w:rPr>
        <w:t xml:space="preserve">39.8 </w:t>
      </w:r>
      <w:r w:rsidRPr="008B009B">
        <w:t>million tons, (+</w:t>
      </w:r>
      <w:r w:rsidRPr="008B009B">
        <w:rPr>
          <w:iCs/>
        </w:rPr>
        <w:t>18.0</w:t>
      </w:r>
      <w:r w:rsidRPr="008B009B">
        <w:t xml:space="preserve">%), and overseas </w:t>
      </w:r>
      <w:r w:rsidRPr="008B009B">
        <w:rPr>
          <w:bCs/>
        </w:rPr>
        <w:t>freight</w:t>
      </w:r>
      <w:r w:rsidRPr="008B009B">
        <w:t xml:space="preserve"> transported (ton-kilometers) was </w:t>
      </w:r>
      <w:r w:rsidRPr="008B009B">
        <w:rPr>
          <w:iCs/>
        </w:rPr>
        <w:t xml:space="preserve">192.6 </w:t>
      </w:r>
      <w:r w:rsidRPr="008B009B">
        <w:t>billion ton-kilometer, (+</w:t>
      </w:r>
      <w:r w:rsidRPr="008B009B">
        <w:rPr>
          <w:iCs/>
        </w:rPr>
        <w:t>11.2</w:t>
      </w:r>
      <w:r w:rsidRPr="008B009B">
        <w:t>%).</w:t>
      </w:r>
    </w:p>
    <w:p w14:paraId="164751E6" w14:textId="4F3A93CA" w:rsidR="00365923" w:rsidRPr="008B009B" w:rsidRDefault="00365923" w:rsidP="00365923">
      <w:pPr>
        <w:spacing w:before="120" w:after="120"/>
        <w:jc w:val="center"/>
        <w:rPr>
          <w:b/>
          <w:bCs/>
          <w:spacing w:val="-6"/>
        </w:rPr>
      </w:pPr>
      <w:r w:rsidRPr="008B009B">
        <w:rPr>
          <w:b/>
          <w:spacing w:val="-6"/>
        </w:rPr>
        <w:t>Table 7</w:t>
      </w:r>
      <w:r w:rsidRPr="008B009B">
        <w:rPr>
          <w:b/>
        </w:rPr>
        <w:t xml:space="preserve">. </w:t>
      </w:r>
      <w:r w:rsidRPr="008B009B">
        <w:rPr>
          <w:b/>
          <w:bCs/>
          <w:iCs/>
          <w:spacing w:val="-6"/>
        </w:rPr>
        <w:t>Freight transported in</w:t>
      </w:r>
      <w:r w:rsidR="00D3164A">
        <w:rPr>
          <w:b/>
          <w:bCs/>
          <w:iCs/>
          <w:spacing w:val="-6"/>
        </w:rPr>
        <w:t xml:space="preserve"> the</w:t>
      </w:r>
      <w:r w:rsidRPr="008B009B">
        <w:rPr>
          <w:b/>
          <w:bCs/>
          <w:iCs/>
          <w:spacing w:val="-6"/>
        </w:rPr>
        <w:t xml:space="preserve"> eight months of</w:t>
      </w:r>
      <w:r w:rsidRPr="008B009B">
        <w:rPr>
          <w:b/>
          <w:bCs/>
          <w:spacing w:val="-6"/>
        </w:rPr>
        <w:t xml:space="preserve"> 2026 </w:t>
      </w:r>
      <w:r w:rsidRPr="008B009B">
        <w:rPr>
          <w:b/>
          <w:bCs/>
          <w:iCs/>
          <w:spacing w:val="-6"/>
        </w:rPr>
        <w:t>by type of transport</w:t>
      </w:r>
    </w:p>
    <w:tbl>
      <w:tblPr>
        <w:tblW w:w="9067" w:type="dxa"/>
        <w:jc w:val="center"/>
        <w:tblLook w:val="04A0" w:firstRow="1" w:lastRow="0" w:firstColumn="1" w:lastColumn="0" w:noHBand="0" w:noVBand="1"/>
      </w:tblPr>
      <w:tblGrid>
        <w:gridCol w:w="2129"/>
        <w:gridCol w:w="1724"/>
        <w:gridCol w:w="1790"/>
        <w:gridCol w:w="301"/>
        <w:gridCol w:w="1691"/>
        <w:gridCol w:w="1432"/>
      </w:tblGrid>
      <w:tr w:rsidR="00365923" w:rsidRPr="008B009B" w14:paraId="44A04B7F" w14:textId="77777777" w:rsidTr="001F5E5E">
        <w:trPr>
          <w:trHeight w:val="477"/>
          <w:jc w:val="center"/>
        </w:trPr>
        <w:tc>
          <w:tcPr>
            <w:tcW w:w="2129" w:type="dxa"/>
            <w:tcBorders>
              <w:top w:val="single" w:sz="4" w:space="0" w:color="auto"/>
            </w:tcBorders>
            <w:vAlign w:val="center"/>
            <w:hideMark/>
          </w:tcPr>
          <w:p w14:paraId="491D9196" w14:textId="77777777" w:rsidR="00365923" w:rsidRPr="008B009B" w:rsidRDefault="00365923" w:rsidP="001F5E5E">
            <w:pPr>
              <w:jc w:val="center"/>
              <w:rPr>
                <w:rFonts w:ascii="Arial" w:hAnsi="Arial" w:cs="Arial"/>
                <w:sz w:val="20"/>
                <w:szCs w:val="20"/>
                <w:lang w:eastAsia="vi-VN"/>
              </w:rPr>
            </w:pPr>
          </w:p>
        </w:tc>
        <w:tc>
          <w:tcPr>
            <w:tcW w:w="3514" w:type="dxa"/>
            <w:gridSpan w:val="2"/>
            <w:tcBorders>
              <w:top w:val="single" w:sz="4" w:space="0" w:color="auto"/>
              <w:bottom w:val="single" w:sz="4" w:space="0" w:color="auto"/>
            </w:tcBorders>
            <w:vAlign w:val="center"/>
            <w:hideMark/>
          </w:tcPr>
          <w:p w14:paraId="0E6707B4" w14:textId="77777777" w:rsidR="00365923" w:rsidRPr="008B009B" w:rsidRDefault="00365923" w:rsidP="001F5E5E">
            <w:pPr>
              <w:jc w:val="center"/>
              <w:rPr>
                <w:rFonts w:ascii="Arial" w:hAnsi="Arial" w:cs="Arial"/>
                <w:sz w:val="20"/>
                <w:szCs w:val="20"/>
                <w:lang w:eastAsia="vi-VN"/>
              </w:rPr>
            </w:pPr>
            <w:r w:rsidRPr="008B009B">
              <w:rPr>
                <w:rFonts w:ascii="Arial" w:hAnsi="Arial" w:cs="Arial"/>
                <w:sz w:val="20"/>
                <w:szCs w:val="20"/>
              </w:rPr>
              <w:t>Volume of freight</w:t>
            </w:r>
          </w:p>
        </w:tc>
        <w:tc>
          <w:tcPr>
            <w:tcW w:w="301" w:type="dxa"/>
            <w:tcBorders>
              <w:top w:val="single" w:sz="4" w:space="0" w:color="auto"/>
            </w:tcBorders>
          </w:tcPr>
          <w:p w14:paraId="219F408F" w14:textId="77777777" w:rsidR="00365923" w:rsidRPr="008B009B" w:rsidRDefault="00365923" w:rsidP="001F5E5E">
            <w:pPr>
              <w:jc w:val="center"/>
              <w:rPr>
                <w:rFonts w:ascii="Arial" w:hAnsi="Arial" w:cs="Arial"/>
                <w:sz w:val="20"/>
                <w:szCs w:val="20"/>
                <w:lang w:eastAsia="vi-VN"/>
              </w:rPr>
            </w:pPr>
          </w:p>
        </w:tc>
        <w:tc>
          <w:tcPr>
            <w:tcW w:w="3123" w:type="dxa"/>
            <w:gridSpan w:val="2"/>
            <w:tcBorders>
              <w:top w:val="single" w:sz="4" w:space="0" w:color="auto"/>
              <w:bottom w:val="single" w:sz="4" w:space="0" w:color="auto"/>
            </w:tcBorders>
            <w:vAlign w:val="center"/>
            <w:hideMark/>
          </w:tcPr>
          <w:p w14:paraId="757C8251" w14:textId="77777777" w:rsidR="00365923" w:rsidRPr="008B009B" w:rsidRDefault="00365923" w:rsidP="001F5E5E">
            <w:pPr>
              <w:jc w:val="center"/>
              <w:rPr>
                <w:rFonts w:ascii="Arial" w:hAnsi="Arial" w:cs="Arial"/>
                <w:sz w:val="20"/>
                <w:szCs w:val="20"/>
                <w:lang w:eastAsia="vi-VN"/>
              </w:rPr>
            </w:pPr>
            <w:r w:rsidRPr="008B009B">
              <w:rPr>
                <w:rFonts w:ascii="Arial" w:hAnsi="Arial" w:cs="Arial"/>
                <w:sz w:val="20"/>
                <w:szCs w:val="20"/>
              </w:rPr>
              <w:t>YoY growth rate</w:t>
            </w:r>
            <w:r w:rsidRPr="008B009B">
              <w:rPr>
                <w:rFonts w:ascii="Arial" w:hAnsi="Arial" w:cs="Arial"/>
                <w:sz w:val="20"/>
                <w:szCs w:val="20"/>
                <w:lang w:eastAsia="vi-VN"/>
              </w:rPr>
              <w:t xml:space="preserve"> (%)</w:t>
            </w:r>
          </w:p>
        </w:tc>
      </w:tr>
      <w:tr w:rsidR="00365923" w:rsidRPr="008B009B" w14:paraId="744CA728" w14:textId="77777777" w:rsidTr="001F5E5E">
        <w:trPr>
          <w:trHeight w:val="531"/>
          <w:jc w:val="center"/>
        </w:trPr>
        <w:tc>
          <w:tcPr>
            <w:tcW w:w="2129" w:type="dxa"/>
            <w:vAlign w:val="center"/>
            <w:hideMark/>
          </w:tcPr>
          <w:p w14:paraId="547D1A88" w14:textId="77777777" w:rsidR="00365923" w:rsidRPr="008B009B" w:rsidRDefault="00365923" w:rsidP="001F5E5E">
            <w:pPr>
              <w:jc w:val="center"/>
              <w:rPr>
                <w:rFonts w:ascii="Arial" w:hAnsi="Arial" w:cs="Arial"/>
                <w:sz w:val="20"/>
                <w:szCs w:val="20"/>
                <w:lang w:eastAsia="vi-VN"/>
              </w:rPr>
            </w:pPr>
          </w:p>
        </w:tc>
        <w:tc>
          <w:tcPr>
            <w:tcW w:w="1724" w:type="dxa"/>
            <w:tcBorders>
              <w:top w:val="single" w:sz="4" w:space="0" w:color="auto"/>
              <w:bottom w:val="single" w:sz="4" w:space="0" w:color="auto"/>
            </w:tcBorders>
            <w:vAlign w:val="center"/>
            <w:hideMark/>
          </w:tcPr>
          <w:p w14:paraId="5E6FB39D" w14:textId="77777777" w:rsidR="00365923" w:rsidRPr="008B009B" w:rsidRDefault="00365923" w:rsidP="001F5E5E">
            <w:pPr>
              <w:jc w:val="center"/>
              <w:rPr>
                <w:rFonts w:ascii="Arial" w:hAnsi="Arial" w:cs="Arial"/>
                <w:sz w:val="20"/>
                <w:szCs w:val="20"/>
                <w:lang w:eastAsia="vi-VN"/>
              </w:rPr>
            </w:pPr>
            <w:r w:rsidRPr="008B009B">
              <w:rPr>
                <w:rFonts w:ascii="Arial" w:hAnsi="Arial" w:cs="Arial"/>
                <w:sz w:val="20"/>
                <w:szCs w:val="20"/>
                <w:lang w:eastAsia="vi-VN"/>
              </w:rPr>
              <w:t>Transported</w:t>
            </w:r>
            <w:r w:rsidRPr="008B009B">
              <w:rPr>
                <w:rFonts w:ascii="Arial" w:hAnsi="Arial" w:cs="Arial"/>
                <w:sz w:val="20"/>
                <w:szCs w:val="20"/>
                <w:lang w:eastAsia="vi-VN"/>
              </w:rPr>
              <w:br/>
            </w:r>
            <w:r w:rsidRPr="008B009B">
              <w:rPr>
                <w:rFonts w:ascii="Arial" w:hAnsi="Arial" w:cs="Arial"/>
                <w:sz w:val="20"/>
                <w:szCs w:val="20"/>
              </w:rPr>
              <w:t>(Mill. tons)</w:t>
            </w:r>
          </w:p>
        </w:tc>
        <w:tc>
          <w:tcPr>
            <w:tcW w:w="1790" w:type="dxa"/>
            <w:tcBorders>
              <w:top w:val="single" w:sz="4" w:space="0" w:color="auto"/>
              <w:bottom w:val="single" w:sz="4" w:space="0" w:color="auto"/>
            </w:tcBorders>
            <w:vAlign w:val="center"/>
            <w:hideMark/>
          </w:tcPr>
          <w:p w14:paraId="7E4A7090" w14:textId="77777777" w:rsidR="00365923" w:rsidRPr="008B009B" w:rsidRDefault="00365923" w:rsidP="001F5E5E">
            <w:pPr>
              <w:jc w:val="center"/>
              <w:rPr>
                <w:rFonts w:ascii="Arial" w:hAnsi="Arial" w:cs="Arial"/>
                <w:sz w:val="20"/>
                <w:szCs w:val="20"/>
                <w:lang w:eastAsia="vi-VN"/>
              </w:rPr>
            </w:pPr>
            <w:r w:rsidRPr="008B009B">
              <w:rPr>
                <w:rFonts w:ascii="Arial" w:hAnsi="Arial" w:cs="Arial"/>
                <w:sz w:val="20"/>
                <w:szCs w:val="20"/>
                <w:lang w:eastAsia="vi-VN"/>
              </w:rPr>
              <w:t xml:space="preserve">Transported </w:t>
            </w:r>
            <w:r w:rsidRPr="008B009B">
              <w:rPr>
                <w:rFonts w:ascii="Arial" w:hAnsi="Arial" w:cs="Arial"/>
                <w:sz w:val="20"/>
                <w:szCs w:val="20"/>
                <w:lang w:eastAsia="vi-VN"/>
              </w:rPr>
              <w:br/>
              <w:t xml:space="preserve">(ton-kilometers) </w:t>
            </w:r>
            <w:r w:rsidRPr="008B009B">
              <w:rPr>
                <w:rFonts w:ascii="Arial" w:hAnsi="Arial" w:cs="Arial"/>
                <w:sz w:val="20"/>
                <w:szCs w:val="20"/>
                <w:lang w:eastAsia="vi-VN"/>
              </w:rPr>
              <w:br/>
            </w:r>
            <w:r w:rsidRPr="008B009B">
              <w:rPr>
                <w:rFonts w:ascii="Arial" w:hAnsi="Arial" w:cs="Arial"/>
                <w:sz w:val="20"/>
                <w:szCs w:val="20"/>
              </w:rPr>
              <w:t>(Bill. ton-km)</w:t>
            </w:r>
          </w:p>
        </w:tc>
        <w:tc>
          <w:tcPr>
            <w:tcW w:w="301" w:type="dxa"/>
          </w:tcPr>
          <w:p w14:paraId="08CD3F0C" w14:textId="77777777" w:rsidR="00365923" w:rsidRPr="008B009B" w:rsidRDefault="00365923" w:rsidP="001F5E5E">
            <w:pPr>
              <w:jc w:val="center"/>
              <w:rPr>
                <w:rFonts w:ascii="Arial" w:hAnsi="Arial" w:cs="Arial"/>
                <w:sz w:val="20"/>
                <w:szCs w:val="20"/>
                <w:lang w:eastAsia="vi-VN"/>
              </w:rPr>
            </w:pPr>
          </w:p>
        </w:tc>
        <w:tc>
          <w:tcPr>
            <w:tcW w:w="1691" w:type="dxa"/>
            <w:tcBorders>
              <w:top w:val="single" w:sz="4" w:space="0" w:color="auto"/>
              <w:bottom w:val="single" w:sz="4" w:space="0" w:color="auto"/>
            </w:tcBorders>
            <w:vAlign w:val="center"/>
            <w:hideMark/>
          </w:tcPr>
          <w:p w14:paraId="44F87737" w14:textId="77777777" w:rsidR="00365923" w:rsidRPr="008B009B" w:rsidRDefault="00365923" w:rsidP="001F5E5E">
            <w:pPr>
              <w:jc w:val="center"/>
              <w:rPr>
                <w:rFonts w:ascii="Arial" w:hAnsi="Arial" w:cs="Arial"/>
                <w:sz w:val="20"/>
                <w:szCs w:val="20"/>
                <w:lang w:eastAsia="vi-VN"/>
              </w:rPr>
            </w:pPr>
            <w:r w:rsidRPr="008B009B">
              <w:rPr>
                <w:rFonts w:ascii="Arial" w:hAnsi="Arial" w:cs="Arial"/>
                <w:sz w:val="20"/>
                <w:szCs w:val="20"/>
                <w:lang w:eastAsia="vi-VN"/>
              </w:rPr>
              <w:t>Transported</w:t>
            </w:r>
          </w:p>
        </w:tc>
        <w:tc>
          <w:tcPr>
            <w:tcW w:w="1432" w:type="dxa"/>
            <w:tcBorders>
              <w:top w:val="single" w:sz="4" w:space="0" w:color="auto"/>
              <w:bottom w:val="single" w:sz="4" w:space="0" w:color="auto"/>
            </w:tcBorders>
            <w:vAlign w:val="center"/>
            <w:hideMark/>
          </w:tcPr>
          <w:p w14:paraId="0B025A3E" w14:textId="77777777" w:rsidR="00365923" w:rsidRPr="008B009B" w:rsidRDefault="00365923" w:rsidP="001F5E5E">
            <w:pPr>
              <w:jc w:val="center"/>
              <w:rPr>
                <w:rFonts w:ascii="Arial" w:hAnsi="Arial" w:cs="Arial"/>
                <w:sz w:val="20"/>
                <w:szCs w:val="20"/>
                <w:lang w:eastAsia="vi-VN"/>
              </w:rPr>
            </w:pPr>
            <w:r w:rsidRPr="008B009B">
              <w:rPr>
                <w:rFonts w:ascii="Arial" w:hAnsi="Arial" w:cs="Arial"/>
                <w:sz w:val="20"/>
                <w:szCs w:val="20"/>
                <w:lang w:eastAsia="vi-VN"/>
              </w:rPr>
              <w:t>Transported (ton-kilometers)</w:t>
            </w:r>
          </w:p>
        </w:tc>
      </w:tr>
      <w:tr w:rsidR="00365923" w:rsidRPr="008B009B" w14:paraId="7550E87A" w14:textId="77777777" w:rsidTr="001F5E5E">
        <w:trPr>
          <w:trHeight w:val="332"/>
          <w:jc w:val="center"/>
        </w:trPr>
        <w:tc>
          <w:tcPr>
            <w:tcW w:w="2129" w:type="dxa"/>
            <w:noWrap/>
            <w:vAlign w:val="center"/>
            <w:hideMark/>
          </w:tcPr>
          <w:p w14:paraId="3BB590EF" w14:textId="77777777" w:rsidR="00365923" w:rsidRPr="008B009B" w:rsidRDefault="00365923" w:rsidP="001F5E5E">
            <w:pPr>
              <w:rPr>
                <w:rFonts w:ascii="Arial" w:hAnsi="Arial" w:cs="Arial"/>
                <w:b/>
                <w:bCs/>
                <w:sz w:val="20"/>
                <w:szCs w:val="20"/>
                <w:lang w:eastAsia="vi-VN"/>
              </w:rPr>
            </w:pPr>
            <w:r w:rsidRPr="008B009B">
              <w:rPr>
                <w:rFonts w:ascii="Arial" w:hAnsi="Arial" w:cs="Arial"/>
                <w:b/>
                <w:bCs/>
                <w:sz w:val="20"/>
                <w:szCs w:val="20"/>
                <w:lang w:eastAsia="vi-VN"/>
              </w:rPr>
              <w:t>Total</w:t>
            </w:r>
          </w:p>
        </w:tc>
        <w:tc>
          <w:tcPr>
            <w:tcW w:w="1724" w:type="dxa"/>
            <w:tcBorders>
              <w:top w:val="single" w:sz="4" w:space="0" w:color="auto"/>
            </w:tcBorders>
            <w:noWrap/>
            <w:vAlign w:val="center"/>
          </w:tcPr>
          <w:p w14:paraId="3F85EDC7" w14:textId="77777777" w:rsidR="00365923" w:rsidRPr="008B009B" w:rsidRDefault="00365923" w:rsidP="001F5E5E">
            <w:pPr>
              <w:ind w:right="520"/>
              <w:jc w:val="right"/>
              <w:rPr>
                <w:rFonts w:ascii="Arial" w:hAnsi="Arial" w:cs="Arial"/>
                <w:b/>
                <w:bCs/>
                <w:sz w:val="20"/>
                <w:szCs w:val="20"/>
              </w:rPr>
            </w:pPr>
            <w:r w:rsidRPr="008B009B">
              <w:rPr>
                <w:rFonts w:ascii="Arial" w:hAnsi="Arial" w:cs="Arial"/>
                <w:b/>
                <w:bCs/>
                <w:sz w:val="20"/>
                <w:szCs w:val="20"/>
              </w:rPr>
              <w:t>2,285.1</w:t>
            </w:r>
          </w:p>
        </w:tc>
        <w:tc>
          <w:tcPr>
            <w:tcW w:w="1790" w:type="dxa"/>
            <w:tcBorders>
              <w:top w:val="single" w:sz="4" w:space="0" w:color="auto"/>
            </w:tcBorders>
            <w:noWrap/>
            <w:vAlign w:val="center"/>
          </w:tcPr>
          <w:p w14:paraId="0FFFB3AD" w14:textId="77777777" w:rsidR="00365923" w:rsidRPr="008B009B" w:rsidRDefault="00365923" w:rsidP="001F5E5E">
            <w:pPr>
              <w:ind w:right="520"/>
              <w:jc w:val="right"/>
              <w:rPr>
                <w:rFonts w:ascii="Arial" w:hAnsi="Arial" w:cs="Arial"/>
                <w:b/>
                <w:bCs/>
                <w:sz w:val="20"/>
                <w:szCs w:val="20"/>
              </w:rPr>
            </w:pPr>
            <w:r w:rsidRPr="008B009B">
              <w:rPr>
                <w:rFonts w:ascii="Arial" w:hAnsi="Arial" w:cs="Arial"/>
                <w:b/>
                <w:bCs/>
                <w:sz w:val="20"/>
                <w:szCs w:val="20"/>
              </w:rPr>
              <w:t>450.5</w:t>
            </w:r>
          </w:p>
        </w:tc>
        <w:tc>
          <w:tcPr>
            <w:tcW w:w="301" w:type="dxa"/>
          </w:tcPr>
          <w:p w14:paraId="5F9CB928" w14:textId="77777777" w:rsidR="00365923" w:rsidRPr="008B009B" w:rsidRDefault="00365923" w:rsidP="001F5E5E">
            <w:pPr>
              <w:ind w:right="520"/>
              <w:jc w:val="right"/>
              <w:rPr>
                <w:rFonts w:ascii="Arial" w:hAnsi="Arial" w:cs="Arial"/>
                <w:b/>
                <w:bCs/>
                <w:sz w:val="20"/>
                <w:szCs w:val="20"/>
              </w:rPr>
            </w:pPr>
          </w:p>
        </w:tc>
        <w:tc>
          <w:tcPr>
            <w:tcW w:w="1691" w:type="dxa"/>
            <w:tcBorders>
              <w:top w:val="single" w:sz="4" w:space="0" w:color="auto"/>
            </w:tcBorders>
            <w:noWrap/>
            <w:vAlign w:val="center"/>
          </w:tcPr>
          <w:p w14:paraId="1A780E0C" w14:textId="77777777" w:rsidR="00365923" w:rsidRPr="008B009B" w:rsidRDefault="00365923" w:rsidP="001F5E5E">
            <w:pPr>
              <w:ind w:right="520"/>
              <w:jc w:val="right"/>
              <w:rPr>
                <w:rFonts w:ascii="Arial" w:hAnsi="Arial" w:cs="Arial"/>
                <w:b/>
                <w:bCs/>
                <w:sz w:val="20"/>
                <w:szCs w:val="20"/>
              </w:rPr>
            </w:pPr>
            <w:r w:rsidRPr="008B009B">
              <w:rPr>
                <w:rFonts w:ascii="Arial" w:hAnsi="Arial" w:cs="Arial"/>
                <w:b/>
                <w:bCs/>
                <w:sz w:val="20"/>
                <w:szCs w:val="20"/>
              </w:rPr>
              <w:t>16.7</w:t>
            </w:r>
          </w:p>
        </w:tc>
        <w:tc>
          <w:tcPr>
            <w:tcW w:w="1432" w:type="dxa"/>
            <w:tcBorders>
              <w:top w:val="single" w:sz="4" w:space="0" w:color="auto"/>
            </w:tcBorders>
            <w:noWrap/>
            <w:vAlign w:val="center"/>
          </w:tcPr>
          <w:p w14:paraId="0ABFA606" w14:textId="77777777" w:rsidR="00365923" w:rsidRPr="008B009B" w:rsidRDefault="00365923" w:rsidP="001F5E5E">
            <w:pPr>
              <w:ind w:right="520"/>
              <w:jc w:val="right"/>
              <w:rPr>
                <w:rFonts w:ascii="Arial" w:hAnsi="Arial" w:cs="Arial"/>
                <w:b/>
                <w:bCs/>
                <w:sz w:val="20"/>
                <w:szCs w:val="20"/>
              </w:rPr>
            </w:pPr>
            <w:r w:rsidRPr="008B009B">
              <w:rPr>
                <w:rFonts w:ascii="Arial" w:hAnsi="Arial" w:cs="Arial"/>
                <w:b/>
                <w:bCs/>
                <w:sz w:val="20"/>
                <w:szCs w:val="20"/>
              </w:rPr>
              <w:t>12.9</w:t>
            </w:r>
          </w:p>
        </w:tc>
      </w:tr>
      <w:tr w:rsidR="00365923" w:rsidRPr="008B009B" w14:paraId="2F22B740" w14:textId="77777777" w:rsidTr="001F5E5E">
        <w:trPr>
          <w:trHeight w:val="278"/>
          <w:jc w:val="center"/>
        </w:trPr>
        <w:tc>
          <w:tcPr>
            <w:tcW w:w="2129" w:type="dxa"/>
            <w:noWrap/>
            <w:vAlign w:val="center"/>
            <w:hideMark/>
          </w:tcPr>
          <w:p w14:paraId="3BF38848" w14:textId="77777777" w:rsidR="00365923" w:rsidRPr="008B009B" w:rsidRDefault="00365923" w:rsidP="001F5E5E">
            <w:pPr>
              <w:tabs>
                <w:tab w:val="left" w:pos="407"/>
              </w:tabs>
              <w:ind w:firstLine="182"/>
              <w:rPr>
                <w:rFonts w:ascii="Arial" w:hAnsi="Arial" w:cs="Arial"/>
                <w:sz w:val="20"/>
                <w:szCs w:val="20"/>
                <w:lang w:eastAsia="vi-VN"/>
              </w:rPr>
            </w:pPr>
            <w:r w:rsidRPr="008B009B">
              <w:rPr>
                <w:rFonts w:ascii="Arial" w:hAnsi="Arial" w:cs="Arial"/>
                <w:sz w:val="20"/>
                <w:szCs w:val="20"/>
                <w:lang w:eastAsia="vi-VN"/>
              </w:rPr>
              <w:t>Rail way</w:t>
            </w:r>
          </w:p>
        </w:tc>
        <w:tc>
          <w:tcPr>
            <w:tcW w:w="1724" w:type="dxa"/>
            <w:noWrap/>
            <w:vAlign w:val="center"/>
          </w:tcPr>
          <w:p w14:paraId="08C004A8"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3.0</w:t>
            </w:r>
          </w:p>
        </w:tc>
        <w:tc>
          <w:tcPr>
            <w:tcW w:w="1790" w:type="dxa"/>
            <w:noWrap/>
            <w:vAlign w:val="center"/>
          </w:tcPr>
          <w:p w14:paraId="497F53FB"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2.5</w:t>
            </w:r>
          </w:p>
        </w:tc>
        <w:tc>
          <w:tcPr>
            <w:tcW w:w="301" w:type="dxa"/>
          </w:tcPr>
          <w:p w14:paraId="34C5B1CE" w14:textId="77777777" w:rsidR="00365923" w:rsidRPr="008B009B" w:rsidRDefault="00365923" w:rsidP="001F5E5E">
            <w:pPr>
              <w:ind w:right="520"/>
              <w:jc w:val="right"/>
              <w:rPr>
                <w:rFonts w:ascii="Arial" w:hAnsi="Arial" w:cs="Arial"/>
                <w:sz w:val="20"/>
                <w:szCs w:val="20"/>
              </w:rPr>
            </w:pPr>
          </w:p>
        </w:tc>
        <w:tc>
          <w:tcPr>
            <w:tcW w:w="1691" w:type="dxa"/>
            <w:noWrap/>
            <w:vAlign w:val="center"/>
          </w:tcPr>
          <w:p w14:paraId="1F42FBB6"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-16.6</w:t>
            </w:r>
          </w:p>
        </w:tc>
        <w:tc>
          <w:tcPr>
            <w:tcW w:w="1432" w:type="dxa"/>
            <w:noWrap/>
            <w:vAlign w:val="center"/>
          </w:tcPr>
          <w:p w14:paraId="67BF40B8"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-6.8</w:t>
            </w:r>
          </w:p>
        </w:tc>
      </w:tr>
      <w:tr w:rsidR="00365923" w:rsidRPr="008B009B" w14:paraId="2480E720" w14:textId="77777777" w:rsidTr="001F5E5E">
        <w:trPr>
          <w:trHeight w:val="278"/>
          <w:jc w:val="center"/>
        </w:trPr>
        <w:tc>
          <w:tcPr>
            <w:tcW w:w="2129" w:type="dxa"/>
            <w:noWrap/>
            <w:vAlign w:val="center"/>
            <w:hideMark/>
          </w:tcPr>
          <w:p w14:paraId="61DCD502" w14:textId="77777777" w:rsidR="00365923" w:rsidRPr="008B009B" w:rsidRDefault="00365923" w:rsidP="001F5E5E">
            <w:pPr>
              <w:tabs>
                <w:tab w:val="left" w:pos="407"/>
              </w:tabs>
              <w:ind w:firstLine="182"/>
              <w:rPr>
                <w:rFonts w:ascii="Arial" w:hAnsi="Arial" w:cs="Arial"/>
                <w:sz w:val="20"/>
                <w:szCs w:val="20"/>
                <w:lang w:eastAsia="vi-VN"/>
              </w:rPr>
            </w:pPr>
            <w:r w:rsidRPr="008B009B">
              <w:rPr>
                <w:rFonts w:ascii="Arial" w:hAnsi="Arial" w:cs="Arial"/>
                <w:sz w:val="20"/>
                <w:szCs w:val="20"/>
                <w:lang w:eastAsia="vi-VN"/>
              </w:rPr>
              <w:t>Maritime transport</w:t>
            </w:r>
          </w:p>
        </w:tc>
        <w:tc>
          <w:tcPr>
            <w:tcW w:w="1724" w:type="dxa"/>
            <w:noWrap/>
            <w:vAlign w:val="center"/>
          </w:tcPr>
          <w:p w14:paraId="6FE4A7DB"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112.0</w:t>
            </w:r>
          </w:p>
        </w:tc>
        <w:tc>
          <w:tcPr>
            <w:tcW w:w="1790" w:type="dxa"/>
            <w:noWrap/>
            <w:vAlign w:val="center"/>
          </w:tcPr>
          <w:p w14:paraId="32087F9C"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228.4</w:t>
            </w:r>
          </w:p>
        </w:tc>
        <w:tc>
          <w:tcPr>
            <w:tcW w:w="301" w:type="dxa"/>
          </w:tcPr>
          <w:p w14:paraId="0B1451AD" w14:textId="77777777" w:rsidR="00365923" w:rsidRPr="008B009B" w:rsidRDefault="00365923" w:rsidP="001F5E5E">
            <w:pPr>
              <w:ind w:right="520"/>
              <w:jc w:val="right"/>
              <w:rPr>
                <w:rFonts w:ascii="Arial" w:hAnsi="Arial" w:cs="Arial"/>
                <w:sz w:val="20"/>
                <w:szCs w:val="20"/>
              </w:rPr>
            </w:pPr>
          </w:p>
        </w:tc>
        <w:tc>
          <w:tcPr>
            <w:tcW w:w="1691" w:type="dxa"/>
            <w:noWrap/>
            <w:vAlign w:val="center"/>
          </w:tcPr>
          <w:p w14:paraId="258E10B2"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10.7</w:t>
            </w:r>
          </w:p>
        </w:tc>
        <w:tc>
          <w:tcPr>
            <w:tcW w:w="1432" w:type="dxa"/>
            <w:noWrap/>
            <w:vAlign w:val="center"/>
          </w:tcPr>
          <w:p w14:paraId="56235501"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8.8</w:t>
            </w:r>
          </w:p>
        </w:tc>
      </w:tr>
      <w:tr w:rsidR="00365923" w:rsidRPr="008B009B" w14:paraId="2F17167A" w14:textId="77777777" w:rsidTr="001F5E5E">
        <w:trPr>
          <w:trHeight w:val="278"/>
          <w:jc w:val="center"/>
        </w:trPr>
        <w:tc>
          <w:tcPr>
            <w:tcW w:w="2129" w:type="dxa"/>
            <w:noWrap/>
            <w:vAlign w:val="center"/>
            <w:hideMark/>
          </w:tcPr>
          <w:p w14:paraId="002F6F5A" w14:textId="77777777" w:rsidR="00365923" w:rsidRPr="008B009B" w:rsidRDefault="00365923" w:rsidP="001F5E5E">
            <w:pPr>
              <w:tabs>
                <w:tab w:val="left" w:pos="407"/>
              </w:tabs>
              <w:ind w:firstLine="182"/>
              <w:rPr>
                <w:rFonts w:ascii="Arial" w:hAnsi="Arial" w:cs="Arial"/>
                <w:sz w:val="20"/>
                <w:szCs w:val="20"/>
                <w:lang w:eastAsia="vi-VN"/>
              </w:rPr>
            </w:pPr>
            <w:r w:rsidRPr="008B009B">
              <w:rPr>
                <w:rFonts w:ascii="Arial" w:hAnsi="Arial" w:cs="Arial"/>
                <w:sz w:val="20"/>
                <w:szCs w:val="20"/>
                <w:lang w:eastAsia="vi-VN"/>
              </w:rPr>
              <w:t>Inland water way</w:t>
            </w:r>
          </w:p>
        </w:tc>
        <w:tc>
          <w:tcPr>
            <w:tcW w:w="1724" w:type="dxa"/>
            <w:noWrap/>
            <w:vAlign w:val="center"/>
          </w:tcPr>
          <w:p w14:paraId="36CF7011"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446.8</w:t>
            </w:r>
          </w:p>
        </w:tc>
        <w:tc>
          <w:tcPr>
            <w:tcW w:w="1790" w:type="dxa"/>
            <w:noWrap/>
            <w:vAlign w:val="center"/>
          </w:tcPr>
          <w:p w14:paraId="4F0B01A3"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102.5</w:t>
            </w:r>
          </w:p>
        </w:tc>
        <w:tc>
          <w:tcPr>
            <w:tcW w:w="301" w:type="dxa"/>
          </w:tcPr>
          <w:p w14:paraId="744A9AAF" w14:textId="77777777" w:rsidR="00365923" w:rsidRPr="008B009B" w:rsidRDefault="00365923" w:rsidP="001F5E5E">
            <w:pPr>
              <w:ind w:right="520"/>
              <w:jc w:val="right"/>
              <w:rPr>
                <w:rFonts w:ascii="Arial" w:hAnsi="Arial" w:cs="Arial"/>
                <w:sz w:val="20"/>
                <w:szCs w:val="20"/>
              </w:rPr>
            </w:pPr>
          </w:p>
        </w:tc>
        <w:tc>
          <w:tcPr>
            <w:tcW w:w="1691" w:type="dxa"/>
            <w:noWrap/>
            <w:vAlign w:val="center"/>
          </w:tcPr>
          <w:p w14:paraId="6D1D2EEC"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13.0</w:t>
            </w:r>
          </w:p>
        </w:tc>
        <w:tc>
          <w:tcPr>
            <w:tcW w:w="1432" w:type="dxa"/>
            <w:noWrap/>
            <w:vAlign w:val="center"/>
          </w:tcPr>
          <w:p w14:paraId="139DFD9C"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17.5</w:t>
            </w:r>
          </w:p>
        </w:tc>
      </w:tr>
      <w:tr w:rsidR="00365923" w:rsidRPr="008B009B" w14:paraId="1AF46827" w14:textId="77777777" w:rsidTr="001F5E5E">
        <w:trPr>
          <w:trHeight w:val="278"/>
          <w:jc w:val="center"/>
        </w:trPr>
        <w:tc>
          <w:tcPr>
            <w:tcW w:w="2129" w:type="dxa"/>
            <w:noWrap/>
            <w:vAlign w:val="center"/>
            <w:hideMark/>
          </w:tcPr>
          <w:p w14:paraId="23C600C4" w14:textId="77777777" w:rsidR="00365923" w:rsidRPr="008B009B" w:rsidRDefault="00365923" w:rsidP="001F5E5E">
            <w:pPr>
              <w:tabs>
                <w:tab w:val="left" w:pos="407"/>
              </w:tabs>
              <w:ind w:firstLine="182"/>
              <w:rPr>
                <w:rFonts w:ascii="Arial" w:hAnsi="Arial" w:cs="Arial"/>
                <w:sz w:val="20"/>
                <w:szCs w:val="20"/>
                <w:lang w:eastAsia="vi-VN"/>
              </w:rPr>
            </w:pPr>
            <w:r w:rsidRPr="008B009B">
              <w:rPr>
                <w:rFonts w:ascii="Arial" w:hAnsi="Arial" w:cs="Arial"/>
                <w:sz w:val="20"/>
                <w:szCs w:val="20"/>
                <w:lang w:eastAsia="vi-VN"/>
              </w:rPr>
              <w:t>Road</w:t>
            </w:r>
          </w:p>
        </w:tc>
        <w:tc>
          <w:tcPr>
            <w:tcW w:w="1724" w:type="dxa"/>
            <w:noWrap/>
            <w:vAlign w:val="center"/>
          </w:tcPr>
          <w:p w14:paraId="7E182CC0" w14:textId="77777777" w:rsidR="00365923" w:rsidRPr="008B009B" w:rsidRDefault="00365923" w:rsidP="001F5E5E">
            <w:pPr>
              <w:ind w:right="520"/>
              <w:jc w:val="right"/>
              <w:rPr>
                <w:rFonts w:ascii="Arial" w:hAnsi="Arial" w:cs="Arial"/>
                <w:sz w:val="20"/>
                <w:szCs w:val="20"/>
                <w:highlight w:val="yellow"/>
              </w:rPr>
            </w:pPr>
            <w:r w:rsidRPr="008B009B">
              <w:rPr>
                <w:rFonts w:ascii="Arial" w:hAnsi="Arial" w:cs="Arial"/>
                <w:sz w:val="20"/>
                <w:szCs w:val="20"/>
              </w:rPr>
              <w:t>1,723.0</w:t>
            </w:r>
          </w:p>
        </w:tc>
        <w:tc>
          <w:tcPr>
            <w:tcW w:w="1790" w:type="dxa"/>
            <w:noWrap/>
            <w:vAlign w:val="center"/>
          </w:tcPr>
          <w:p w14:paraId="0079C1E2" w14:textId="77777777" w:rsidR="00365923" w:rsidRPr="008B009B" w:rsidRDefault="00365923" w:rsidP="001F5E5E">
            <w:pPr>
              <w:ind w:right="520"/>
              <w:jc w:val="right"/>
              <w:rPr>
                <w:rFonts w:ascii="Arial" w:hAnsi="Arial" w:cs="Arial"/>
                <w:sz w:val="20"/>
                <w:szCs w:val="20"/>
                <w:highlight w:val="yellow"/>
              </w:rPr>
            </w:pPr>
            <w:r w:rsidRPr="008B009B">
              <w:rPr>
                <w:rFonts w:ascii="Arial" w:hAnsi="Arial" w:cs="Arial"/>
                <w:sz w:val="20"/>
                <w:szCs w:val="20"/>
              </w:rPr>
              <w:t>110.2</w:t>
            </w:r>
          </w:p>
        </w:tc>
        <w:tc>
          <w:tcPr>
            <w:tcW w:w="301" w:type="dxa"/>
          </w:tcPr>
          <w:p w14:paraId="5A0F9F97" w14:textId="77777777" w:rsidR="00365923" w:rsidRPr="008B009B" w:rsidRDefault="00365923" w:rsidP="001F5E5E">
            <w:pPr>
              <w:ind w:right="520"/>
              <w:jc w:val="right"/>
              <w:rPr>
                <w:rFonts w:ascii="Arial" w:hAnsi="Arial" w:cs="Arial"/>
                <w:sz w:val="20"/>
                <w:szCs w:val="20"/>
              </w:rPr>
            </w:pPr>
          </w:p>
        </w:tc>
        <w:tc>
          <w:tcPr>
            <w:tcW w:w="1691" w:type="dxa"/>
            <w:noWrap/>
            <w:vAlign w:val="center"/>
          </w:tcPr>
          <w:p w14:paraId="246A4F4E"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18.2</w:t>
            </w:r>
          </w:p>
        </w:tc>
        <w:tc>
          <w:tcPr>
            <w:tcW w:w="1432" w:type="dxa"/>
            <w:noWrap/>
            <w:vAlign w:val="center"/>
          </w:tcPr>
          <w:p w14:paraId="1D713469"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19.2</w:t>
            </w:r>
          </w:p>
        </w:tc>
      </w:tr>
      <w:tr w:rsidR="00365923" w:rsidRPr="008B009B" w14:paraId="13102F75" w14:textId="77777777" w:rsidTr="001F5E5E">
        <w:trPr>
          <w:trHeight w:val="278"/>
          <w:jc w:val="center"/>
        </w:trPr>
        <w:tc>
          <w:tcPr>
            <w:tcW w:w="2129" w:type="dxa"/>
            <w:tcBorders>
              <w:bottom w:val="single" w:sz="4" w:space="0" w:color="auto"/>
            </w:tcBorders>
            <w:noWrap/>
            <w:vAlign w:val="center"/>
            <w:hideMark/>
          </w:tcPr>
          <w:p w14:paraId="2D4C6900" w14:textId="77777777" w:rsidR="00365923" w:rsidRPr="008B009B" w:rsidRDefault="00365923" w:rsidP="001F5E5E">
            <w:pPr>
              <w:tabs>
                <w:tab w:val="left" w:pos="407"/>
              </w:tabs>
              <w:ind w:firstLine="182"/>
              <w:rPr>
                <w:rFonts w:ascii="Arial" w:hAnsi="Arial" w:cs="Arial"/>
                <w:sz w:val="20"/>
                <w:szCs w:val="20"/>
                <w:lang w:eastAsia="vi-VN"/>
              </w:rPr>
            </w:pPr>
            <w:r w:rsidRPr="008B009B">
              <w:rPr>
                <w:rFonts w:ascii="Arial" w:hAnsi="Arial" w:cs="Arial"/>
                <w:sz w:val="20"/>
                <w:szCs w:val="20"/>
                <w:lang w:eastAsia="vi-VN"/>
              </w:rPr>
              <w:t>Airway</w:t>
            </w:r>
          </w:p>
        </w:tc>
        <w:tc>
          <w:tcPr>
            <w:tcW w:w="1724" w:type="dxa"/>
            <w:tcBorders>
              <w:bottom w:val="single" w:sz="4" w:space="0" w:color="auto"/>
            </w:tcBorders>
            <w:noWrap/>
            <w:vAlign w:val="center"/>
          </w:tcPr>
          <w:p w14:paraId="6764EDC1"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0.3</w:t>
            </w:r>
          </w:p>
        </w:tc>
        <w:tc>
          <w:tcPr>
            <w:tcW w:w="1790" w:type="dxa"/>
            <w:tcBorders>
              <w:bottom w:val="single" w:sz="4" w:space="0" w:color="auto"/>
            </w:tcBorders>
            <w:noWrap/>
            <w:vAlign w:val="center"/>
          </w:tcPr>
          <w:p w14:paraId="2601ED44"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6.9</w:t>
            </w:r>
          </w:p>
        </w:tc>
        <w:tc>
          <w:tcPr>
            <w:tcW w:w="301" w:type="dxa"/>
            <w:tcBorders>
              <w:bottom w:val="single" w:sz="4" w:space="0" w:color="auto"/>
            </w:tcBorders>
          </w:tcPr>
          <w:p w14:paraId="32F80F9D" w14:textId="77777777" w:rsidR="00365923" w:rsidRPr="008B009B" w:rsidRDefault="00365923" w:rsidP="001F5E5E">
            <w:pPr>
              <w:ind w:right="520"/>
              <w:jc w:val="right"/>
              <w:rPr>
                <w:rFonts w:ascii="Arial" w:hAnsi="Arial" w:cs="Arial"/>
                <w:sz w:val="20"/>
                <w:szCs w:val="20"/>
              </w:rPr>
            </w:pPr>
          </w:p>
        </w:tc>
        <w:tc>
          <w:tcPr>
            <w:tcW w:w="1691" w:type="dxa"/>
            <w:tcBorders>
              <w:bottom w:val="single" w:sz="4" w:space="0" w:color="auto"/>
            </w:tcBorders>
            <w:noWrap/>
            <w:vAlign w:val="center"/>
          </w:tcPr>
          <w:p w14:paraId="717BBF91"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1.5</w:t>
            </w:r>
          </w:p>
        </w:tc>
        <w:tc>
          <w:tcPr>
            <w:tcW w:w="1432" w:type="dxa"/>
            <w:tcBorders>
              <w:bottom w:val="single" w:sz="4" w:space="0" w:color="auto"/>
            </w:tcBorders>
            <w:noWrap/>
            <w:vAlign w:val="center"/>
          </w:tcPr>
          <w:p w14:paraId="33710D18" w14:textId="77777777" w:rsidR="00365923" w:rsidRPr="008B009B" w:rsidRDefault="00365923" w:rsidP="001F5E5E">
            <w:pPr>
              <w:ind w:right="520"/>
              <w:jc w:val="right"/>
              <w:rPr>
                <w:rFonts w:ascii="Arial" w:hAnsi="Arial" w:cs="Arial"/>
                <w:sz w:val="20"/>
                <w:szCs w:val="20"/>
              </w:rPr>
            </w:pPr>
            <w:r w:rsidRPr="008B009B">
              <w:rPr>
                <w:rFonts w:ascii="Arial" w:hAnsi="Arial" w:cs="Arial"/>
                <w:sz w:val="20"/>
                <w:szCs w:val="20"/>
              </w:rPr>
              <w:t>4.0</w:t>
            </w:r>
          </w:p>
        </w:tc>
      </w:tr>
    </w:tbl>
    <w:p w14:paraId="6EF957E5" w14:textId="77777777" w:rsidR="00365923" w:rsidRPr="008B009B" w:rsidRDefault="00365923" w:rsidP="00365923">
      <w:pPr>
        <w:spacing w:before="120" w:after="120" w:line="252" w:lineRule="auto"/>
        <w:ind w:firstLine="720"/>
        <w:jc w:val="both"/>
        <w:rPr>
          <w:b/>
          <w:bCs/>
          <w:i/>
          <w:iCs/>
        </w:rPr>
      </w:pPr>
    </w:p>
    <w:p w14:paraId="6EADD577" w14:textId="77777777" w:rsidR="00365923" w:rsidRPr="008B009B" w:rsidRDefault="00365923" w:rsidP="00365923">
      <w:pPr>
        <w:spacing w:before="120" w:after="120" w:line="252" w:lineRule="auto"/>
        <w:ind w:firstLine="720"/>
        <w:jc w:val="both"/>
        <w:rPr>
          <w:b/>
          <w:bCs/>
          <w:i/>
          <w:iCs/>
        </w:rPr>
      </w:pPr>
      <w:r w:rsidRPr="008B009B">
        <w:rPr>
          <w:b/>
          <w:bCs/>
          <w:i/>
          <w:iCs/>
        </w:rPr>
        <w:t xml:space="preserve">đ) </w:t>
      </w:r>
      <w:r w:rsidRPr="008B009B">
        <w:rPr>
          <w:b/>
          <w:i/>
        </w:rPr>
        <w:t>International visitors to Viet Nam</w:t>
      </w:r>
    </w:p>
    <w:p w14:paraId="1DE31804" w14:textId="77777777" w:rsidR="00365923" w:rsidRPr="008B009B" w:rsidRDefault="00365923" w:rsidP="00365923">
      <w:pPr>
        <w:spacing w:after="120" w:line="252" w:lineRule="auto"/>
        <w:ind w:firstLine="720"/>
        <w:jc w:val="both"/>
        <w:rPr>
          <w:rFonts w:eastAsia="Calibri"/>
          <w:i/>
          <w:iCs/>
        </w:rPr>
      </w:pPr>
      <w:r w:rsidRPr="008B009B">
        <w:rPr>
          <w:rFonts w:eastAsia="Calibri"/>
          <w:i/>
          <w:iCs/>
        </w:rPr>
        <w:t>Tourism activity maintained its growth momentum during eight months of 2026. International tourist arrivals to Viet Nam reached 15.9 million, a year-on-year rise of 14.4%. These results were attributable to ensured security and social order, favorable visa policies, intensified promotion and marketing efforts, and diverse tourism products, alongside advantages such as natural landscapes, culture, cuisine, and reasonable travel costs.</w:t>
      </w:r>
    </w:p>
    <w:p w14:paraId="2C1D0694" w14:textId="77777777" w:rsidR="00365923" w:rsidRPr="008B009B" w:rsidRDefault="00365923" w:rsidP="00365923">
      <w:pPr>
        <w:spacing w:before="120" w:after="120" w:line="252" w:lineRule="auto"/>
        <w:ind w:firstLine="720"/>
        <w:jc w:val="both"/>
        <w:rPr>
          <w:rFonts w:eastAsia="Calibri"/>
          <w:i/>
          <w:iCs/>
        </w:rPr>
      </w:pPr>
      <w:r w:rsidRPr="008B009B">
        <w:rPr>
          <w:iCs/>
        </w:rPr>
        <w:t>In August 2026</w:t>
      </w:r>
      <w:r w:rsidRPr="008B009B">
        <w:rPr>
          <w:iCs/>
          <w:vertAlign w:val="superscript"/>
        </w:rPr>
        <w:footnoteReference w:id="29"/>
      </w:r>
      <w:r w:rsidRPr="008B009B">
        <w:rPr>
          <w:iCs/>
        </w:rPr>
        <w:t xml:space="preserve">, </w:t>
      </w:r>
      <w:r w:rsidRPr="008B009B">
        <w:rPr>
          <w:rFonts w:eastAsia="Calibri"/>
        </w:rPr>
        <w:t>international visitors to Viet Nam reached an estimated</w:t>
      </w:r>
      <w:r w:rsidRPr="008B009B">
        <w:rPr>
          <w:iCs/>
        </w:rPr>
        <w:t xml:space="preserve"> 1.99 </w:t>
      </w:r>
      <w:r w:rsidRPr="008B009B">
        <w:rPr>
          <w:rFonts w:eastAsia="Calibri"/>
        </w:rPr>
        <w:t>million arrivals</w:t>
      </w:r>
      <w:r w:rsidRPr="008B009B">
        <w:rPr>
          <w:iCs/>
        </w:rPr>
        <w:t>, a month-on-month decrease of 19.7% and a year-on-year increase of 18.4%. Generally</w:t>
      </w:r>
      <w:r w:rsidRPr="008B009B">
        <w:rPr>
          <w:rFonts w:eastAsia="Calibri"/>
        </w:rPr>
        <w:t>, in eight months of 2026</w:t>
      </w:r>
      <w:r w:rsidRPr="008B009B">
        <w:rPr>
          <w:iCs/>
        </w:rPr>
        <w:t xml:space="preserve">, international visitors were estimated at 15.9 </w:t>
      </w:r>
      <w:r w:rsidRPr="008B009B">
        <w:rPr>
          <w:rFonts w:eastAsia="Calibri"/>
        </w:rPr>
        <w:t>million arrivals</w:t>
      </w:r>
      <w:r w:rsidRPr="008B009B">
        <w:rPr>
          <w:iCs/>
        </w:rPr>
        <w:t xml:space="preserve"> (+14.4% YoY)</w:t>
      </w:r>
      <w:r w:rsidRPr="008B009B">
        <w:t xml:space="preserve"> </w:t>
      </w:r>
      <w:r w:rsidRPr="008B009B">
        <w:rPr>
          <w:iCs/>
        </w:rPr>
        <w:t xml:space="preserve">marking the highest figure for eight-month period in many years. </w:t>
      </w:r>
      <w:r w:rsidRPr="008B009B">
        <w:rPr>
          <w:rFonts w:eastAsia="Calibri"/>
        </w:rPr>
        <w:t>Of which, arrivals by airway reached</w:t>
      </w:r>
      <w:r w:rsidRPr="008B009B">
        <w:rPr>
          <w:iCs/>
        </w:rPr>
        <w:t xml:space="preserve"> 13.2 </w:t>
      </w:r>
      <w:r w:rsidRPr="008B009B">
        <w:rPr>
          <w:rFonts w:eastAsia="Calibri"/>
        </w:rPr>
        <w:t>million</w:t>
      </w:r>
      <w:r w:rsidRPr="008B009B">
        <w:rPr>
          <w:bCs/>
          <w:iCs/>
          <w:spacing w:val="-2"/>
        </w:rPr>
        <w:t xml:space="preserve"> arrivals</w:t>
      </w:r>
      <w:r w:rsidRPr="008B009B">
        <w:rPr>
          <w:rFonts w:eastAsia="Calibri"/>
        </w:rPr>
        <w:t>, accounting for</w:t>
      </w:r>
      <w:r w:rsidRPr="008B009B">
        <w:rPr>
          <w:iCs/>
        </w:rPr>
        <w:t xml:space="preserve"> 83.1% </w:t>
      </w:r>
      <w:r w:rsidRPr="008B009B">
        <w:rPr>
          <w:rFonts w:eastAsia="Calibri"/>
        </w:rPr>
        <w:t>of total international visitors to Viet Nam, (+</w:t>
      </w:r>
      <w:r w:rsidRPr="008B009B">
        <w:rPr>
          <w:iCs/>
        </w:rPr>
        <w:t xml:space="preserve">11.6% YoY); </w:t>
      </w:r>
      <w:r w:rsidRPr="008B009B">
        <w:rPr>
          <w:rFonts w:eastAsia="Calibri"/>
        </w:rPr>
        <w:t>arrivals by road reached</w:t>
      </w:r>
      <w:r w:rsidRPr="008B009B">
        <w:rPr>
          <w:iCs/>
        </w:rPr>
        <w:t xml:space="preserve"> 2.5 </w:t>
      </w:r>
      <w:r w:rsidRPr="008B009B">
        <w:rPr>
          <w:rFonts w:eastAsia="Calibri"/>
        </w:rPr>
        <w:t>million</w:t>
      </w:r>
      <w:r w:rsidRPr="008B009B">
        <w:rPr>
          <w:bCs/>
          <w:iCs/>
          <w:spacing w:val="-2"/>
        </w:rPr>
        <w:t xml:space="preserve"> arrivals</w:t>
      </w:r>
      <w:r w:rsidRPr="008B009B">
        <w:rPr>
          <w:rFonts w:eastAsia="Calibri"/>
        </w:rPr>
        <w:t>, accounting for</w:t>
      </w:r>
      <w:r w:rsidRPr="008B009B">
        <w:rPr>
          <w:iCs/>
        </w:rPr>
        <w:t xml:space="preserve"> 15.7% (+32.0% YoY); </w:t>
      </w:r>
      <w:r w:rsidRPr="008B009B">
        <w:rPr>
          <w:rFonts w:eastAsia="Calibri"/>
        </w:rPr>
        <w:t>arrivals by seaway reached</w:t>
      </w:r>
      <w:r w:rsidRPr="008B009B">
        <w:rPr>
          <w:iCs/>
        </w:rPr>
        <w:t xml:space="preserve"> 220.6 </w:t>
      </w:r>
      <w:r w:rsidRPr="008B009B">
        <w:rPr>
          <w:rFonts w:eastAsia="Calibri"/>
        </w:rPr>
        <w:t>thousand arrivals, accounting for</w:t>
      </w:r>
      <w:r w:rsidRPr="008B009B">
        <w:rPr>
          <w:iCs/>
        </w:rPr>
        <w:t xml:space="preserve"> 1.4% (+17.5% YoY).</w:t>
      </w:r>
    </w:p>
    <w:p w14:paraId="70922D49" w14:textId="77777777" w:rsidR="00365923" w:rsidRPr="008B009B" w:rsidRDefault="00365923" w:rsidP="00365923">
      <w:pPr>
        <w:shd w:val="clear" w:color="auto" w:fill="FFFFFF"/>
        <w:jc w:val="center"/>
        <w:rPr>
          <w:b/>
        </w:rPr>
      </w:pPr>
      <w:r w:rsidRPr="008B009B">
        <w:rPr>
          <w:b/>
        </w:rPr>
        <w:t xml:space="preserve">Figure 16. </w:t>
      </w:r>
      <w:r w:rsidRPr="008B009B">
        <w:rPr>
          <w:b/>
          <w:bCs/>
          <w:iCs/>
        </w:rPr>
        <w:t>International visitors to Viet Nam in eight months</w:t>
      </w:r>
      <w:r w:rsidRPr="008B009B">
        <w:rPr>
          <w:b/>
        </w:rPr>
        <w:t xml:space="preserve"> of 2026 </w:t>
      </w:r>
      <w:r w:rsidRPr="008B009B">
        <w:rPr>
          <w:b/>
          <w:bCs/>
          <w:iCs/>
        </w:rPr>
        <w:t>by territory</w:t>
      </w:r>
    </w:p>
    <w:p w14:paraId="32E03B56" w14:textId="77777777" w:rsidR="00365923" w:rsidRPr="008B009B" w:rsidRDefault="00365923" w:rsidP="00365923">
      <w:pPr>
        <w:spacing w:before="100" w:beforeAutospacing="1" w:after="100" w:afterAutospacing="1"/>
        <w:rPr>
          <w:sz w:val="24"/>
          <w:szCs w:val="24"/>
        </w:rPr>
      </w:pPr>
      <w:r w:rsidRPr="008B009B">
        <w:rPr>
          <w:noProof/>
          <w:sz w:val="24"/>
          <w:szCs w:val="24"/>
        </w:rPr>
        <w:lastRenderedPageBreak/>
        <w:drawing>
          <wp:inline distT="0" distB="0" distL="0" distR="0" wp14:anchorId="54CA2CB6" wp14:editId="6B22246C">
            <wp:extent cx="5713759" cy="2227097"/>
            <wp:effectExtent l="0" t="0" r="1270" b="1905"/>
            <wp:docPr id="14" name="Picture 14" descr="D:\Công việc 2026\Báo cáo KTXH  -2026\KTXH T8\renewMedia lươt kha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ông việc 2026\Báo cáo KTXH  -2026\KTXH T8\renewMedia lươt khach.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7264" cy="2259645"/>
                    </a:xfrm>
                    <a:prstGeom prst="rect">
                      <a:avLst/>
                    </a:prstGeom>
                    <a:noFill/>
                    <a:ln>
                      <a:noFill/>
                    </a:ln>
                  </pic:spPr>
                </pic:pic>
              </a:graphicData>
            </a:graphic>
          </wp:inline>
        </w:drawing>
      </w:r>
    </w:p>
    <w:p w14:paraId="5F5128C8" w14:textId="77777777" w:rsidR="00365923" w:rsidRPr="008B009B" w:rsidRDefault="00365923" w:rsidP="00365923">
      <w:pPr>
        <w:spacing w:before="120" w:after="120" w:line="252" w:lineRule="auto"/>
        <w:ind w:firstLine="720"/>
        <w:jc w:val="both"/>
        <w:rPr>
          <w:b/>
          <w:bCs/>
        </w:rPr>
      </w:pPr>
      <w:r w:rsidRPr="008B009B">
        <w:rPr>
          <w:b/>
          <w:bCs/>
        </w:rPr>
        <w:t>7. Social situation</w:t>
      </w:r>
    </w:p>
    <w:p w14:paraId="479678FE" w14:textId="77777777" w:rsidR="00365923" w:rsidRPr="008B009B" w:rsidRDefault="00365923" w:rsidP="00365923">
      <w:pPr>
        <w:spacing w:after="120" w:line="252" w:lineRule="auto"/>
        <w:ind w:firstLine="720"/>
        <w:jc w:val="both"/>
        <w:rPr>
          <w:bCs/>
          <w:i/>
        </w:rPr>
      </w:pPr>
      <w:r w:rsidRPr="008B009B">
        <w:rPr>
          <w:bCs/>
          <w:i/>
        </w:rPr>
        <w:t>In August, people’s living conditions remained stable, and social security policies continued to be actively deployed and implemented nationwide.</w:t>
      </w:r>
    </w:p>
    <w:p w14:paraId="72AC772C" w14:textId="77777777" w:rsidR="00365923" w:rsidRPr="008B009B" w:rsidRDefault="00365923" w:rsidP="00365923">
      <w:pPr>
        <w:tabs>
          <w:tab w:val="left" w:pos="709"/>
          <w:tab w:val="left" w:pos="1134"/>
        </w:tabs>
        <w:spacing w:after="120" w:line="252" w:lineRule="auto"/>
        <w:ind w:firstLine="720"/>
        <w:jc w:val="both"/>
        <w:rPr>
          <w:b/>
          <w:i/>
        </w:rPr>
      </w:pPr>
      <w:r w:rsidRPr="008B009B">
        <w:rPr>
          <w:b/>
          <w:i/>
        </w:rPr>
        <w:t>a) People's living conditions</w:t>
      </w:r>
    </w:p>
    <w:p w14:paraId="5D64B716" w14:textId="77777777" w:rsidR="00365923" w:rsidRPr="008B009B" w:rsidRDefault="00365923" w:rsidP="00365923">
      <w:pPr>
        <w:tabs>
          <w:tab w:val="left" w:pos="851"/>
        </w:tabs>
        <w:spacing w:after="120" w:line="252" w:lineRule="auto"/>
        <w:ind w:firstLine="720"/>
        <w:jc w:val="both"/>
        <w:rPr>
          <w:bCs/>
          <w:snapToGrid w:val="0"/>
        </w:rPr>
      </w:pPr>
      <w:r w:rsidRPr="008B009B">
        <w:rPr>
          <w:bCs/>
          <w:snapToGrid w:val="0"/>
        </w:rPr>
        <w:t>According to preliminary results of the Labour Force Survey, people’s living conditions in August generally remained stable. The proportion of households reporting that their income in the month remained unchanged or increased compared to the same period last year was 96.5% (a decrease of 0.2 percentage points compared to the July reporting period and a year-on-year decrease of 0.1 percentage points); 3.5% of households reported that their income decreased or was undetermined.</w:t>
      </w:r>
    </w:p>
    <w:p w14:paraId="7BD0BA9A" w14:textId="77777777" w:rsidR="00365923" w:rsidRPr="008B009B" w:rsidRDefault="00365923" w:rsidP="00365923">
      <w:pPr>
        <w:tabs>
          <w:tab w:val="left" w:pos="851"/>
        </w:tabs>
        <w:spacing w:after="120" w:line="252" w:lineRule="auto"/>
        <w:ind w:firstLine="720"/>
        <w:jc w:val="both"/>
        <w:rPr>
          <w:bCs/>
          <w:snapToGrid w:val="0"/>
        </w:rPr>
      </w:pPr>
      <w:r w:rsidRPr="008B009B">
        <w:rPr>
          <w:bCs/>
          <w:snapToGrid w:val="0"/>
        </w:rPr>
        <w:t>Among households reporting an increase in income, 67.1% attributed it to increased wages and salaries of household members; 39.5% reported growth in income from agriculture, forestry, and fishery activities; and 21.0% identified increased income from non-farm production, business, and service activities</w:t>
      </w:r>
      <w:r w:rsidRPr="008B009B">
        <w:rPr>
          <w:rStyle w:val="FootnoteReference"/>
          <w:bCs/>
          <w:snapToGrid w:val="0"/>
        </w:rPr>
        <w:footnoteReference w:id="30"/>
      </w:r>
      <w:r w:rsidRPr="008B009B">
        <w:rPr>
          <w:bCs/>
          <w:snapToGrid w:val="0"/>
        </w:rPr>
        <w:t>.</w:t>
      </w:r>
    </w:p>
    <w:p w14:paraId="1193B091" w14:textId="77777777" w:rsidR="00365923" w:rsidRPr="008B009B" w:rsidRDefault="00365923" w:rsidP="00365923">
      <w:pPr>
        <w:tabs>
          <w:tab w:val="left" w:pos="851"/>
        </w:tabs>
        <w:spacing w:after="120" w:line="252" w:lineRule="auto"/>
        <w:ind w:firstLine="720"/>
        <w:jc w:val="both"/>
        <w:rPr>
          <w:rStyle w:val="fontstyle01"/>
          <w:rFonts w:eastAsia="Calibri"/>
          <w:color w:val="auto"/>
        </w:rPr>
      </w:pPr>
      <w:r w:rsidRPr="008B009B">
        <w:rPr>
          <w:rStyle w:val="fontstyle01"/>
          <w:rFonts w:eastAsia="Calibri"/>
          <w:color w:val="auto"/>
        </w:rPr>
        <w:t>Of the households with decreased income, 30.0% pointed to an increase in input costs for production and business activities; 27.9% indicated a decline in selling prices of products from household production and business activities; 20.5% noted that household members suffered from severe illness, injury, or death; 19.6% identified that household members were temporarily out of work; and 17.6% cited a reduction in the scale of their production and business activities</w:t>
      </w:r>
      <w:r w:rsidRPr="008B009B">
        <w:rPr>
          <w:rStyle w:val="FootnoteReference"/>
          <w:rFonts w:eastAsia="Calibri"/>
        </w:rPr>
        <w:footnoteReference w:id="31"/>
      </w:r>
      <w:r w:rsidRPr="008B009B">
        <w:rPr>
          <w:rStyle w:val="fontstyle01"/>
          <w:rFonts w:eastAsia="Calibri"/>
          <w:color w:val="auto"/>
        </w:rPr>
        <w:t>.</w:t>
      </w:r>
    </w:p>
    <w:p w14:paraId="69E95FA6" w14:textId="77777777" w:rsidR="00365923" w:rsidRPr="008B009B" w:rsidRDefault="00365923" w:rsidP="00365923">
      <w:pPr>
        <w:tabs>
          <w:tab w:val="left" w:pos="851"/>
        </w:tabs>
        <w:spacing w:after="120" w:line="252" w:lineRule="auto"/>
        <w:ind w:firstLine="720"/>
        <w:jc w:val="both"/>
        <w:rPr>
          <w:bCs/>
          <w:snapToGrid w:val="0"/>
        </w:rPr>
      </w:pPr>
      <w:r w:rsidRPr="008B009B">
        <w:rPr>
          <w:bCs/>
          <w:snapToGrid w:val="0"/>
        </w:rPr>
        <w:lastRenderedPageBreak/>
        <w:t>Regarding the impact of negative events on living conditions in the eight months of 2026, interviewed households reported various disruptions: 36.0% experienced rising prices of goods and services; 7.6% suffered from natural disasters and climate change; 3.7% faced epidemics in livestock or crops; 2.9% were hit by human epidemics; 2.2% dealt with family members’ severe illness, injury, or death; and 0.5% suffered consequences from fires or explosions.</w:t>
      </w:r>
    </w:p>
    <w:p w14:paraId="39074D41" w14:textId="77777777" w:rsidR="00365923" w:rsidRPr="008B009B" w:rsidRDefault="00365923" w:rsidP="00365923">
      <w:pPr>
        <w:tabs>
          <w:tab w:val="left" w:pos="851"/>
        </w:tabs>
        <w:spacing w:after="120" w:line="252" w:lineRule="auto"/>
        <w:ind w:firstLine="720"/>
        <w:jc w:val="both"/>
        <w:rPr>
          <w:bCs/>
          <w:snapToGrid w:val="0"/>
        </w:rPr>
      </w:pPr>
      <w:r w:rsidRPr="008B009B">
        <w:rPr>
          <w:bCs/>
          <w:snapToGrid w:val="0"/>
        </w:rPr>
        <w:t>In the eight months of this year, 18.4% of interviewed households received assistance from various sources. Specifically, the proportion of households receiving support from national programs and policies was 9.0%; from local programs and policies was 7.2%; from charitable activities of organizations or individuals was 2.2%; from relatives and family members was 10.3%; and from other sources was 0.06%.</w:t>
      </w:r>
    </w:p>
    <w:p w14:paraId="682B8A4E" w14:textId="77777777" w:rsidR="00365923" w:rsidRPr="008B009B" w:rsidRDefault="00365923" w:rsidP="00365923">
      <w:pPr>
        <w:pStyle w:val="BodyTextIndent"/>
        <w:tabs>
          <w:tab w:val="left" w:pos="0"/>
          <w:tab w:val="left" w:pos="720"/>
        </w:tabs>
        <w:spacing w:after="120" w:line="252" w:lineRule="auto"/>
        <w:ind w:left="0" w:firstLine="720"/>
        <w:jc w:val="both"/>
        <w:rPr>
          <w:rFonts w:ascii="Times New Roman" w:hAnsi="Times New Roman"/>
          <w:snapToGrid w:val="0"/>
        </w:rPr>
      </w:pPr>
      <w:r w:rsidRPr="008B009B">
        <w:rPr>
          <w:rFonts w:ascii="Times New Roman" w:hAnsi="Times New Roman"/>
          <w:snapToGrid w:val="0"/>
        </w:rPr>
        <w:t>Social security activities have always been prioritized and implemented by authorities at all levels and sectors. From the beginning of the year to date (as of August 26</w:t>
      </w:r>
      <w:r w:rsidRPr="008B009B">
        <w:rPr>
          <w:rFonts w:ascii="Times New Roman" w:hAnsi="Times New Roman"/>
          <w:snapToGrid w:val="0"/>
          <w:vertAlign w:val="superscript"/>
        </w:rPr>
        <w:t>th</w:t>
      </w:r>
      <w:r w:rsidRPr="008B009B">
        <w:rPr>
          <w:rFonts w:ascii="Times New Roman" w:hAnsi="Times New Roman"/>
          <w:snapToGrid w:val="0"/>
        </w:rPr>
        <w:t>, 2026), the Government provided 18.1 thousand tons of rice to the people, of which: nearly 9.1 thousand tons for hunger relief during the Lunar New Year for 604.6 thousand persons; more than 8.2 thousand tons for pre-harvest hunger relief for 547.2 thousand persons; and over 887.4 tons for natural disaster and flood relief for 59.1 thousand persons.</w:t>
      </w:r>
    </w:p>
    <w:p w14:paraId="6965CE6A" w14:textId="77777777" w:rsidR="00365923" w:rsidRPr="008B009B" w:rsidRDefault="00365923" w:rsidP="00365923">
      <w:pPr>
        <w:pStyle w:val="BodyTextIndent"/>
        <w:tabs>
          <w:tab w:val="left" w:pos="0"/>
          <w:tab w:val="left" w:pos="720"/>
        </w:tabs>
        <w:spacing w:after="120" w:line="252" w:lineRule="auto"/>
        <w:ind w:left="0" w:firstLine="720"/>
        <w:jc w:val="both"/>
        <w:rPr>
          <w:rFonts w:ascii="Times New Roman" w:hAnsi="Times New Roman"/>
          <w:b/>
          <w:i/>
          <w:iCs/>
          <w:snapToGrid w:val="0"/>
        </w:rPr>
      </w:pPr>
      <w:r w:rsidRPr="008B009B">
        <w:rPr>
          <w:rFonts w:ascii="Times New Roman" w:hAnsi="Times New Roman"/>
          <w:b/>
          <w:i/>
          <w:iCs/>
          <w:snapToGrid w:val="0"/>
        </w:rPr>
        <w:t>b) Gratitude to national devotees</w:t>
      </w:r>
    </w:p>
    <w:p w14:paraId="01ACB0EC" w14:textId="77777777" w:rsidR="00365923" w:rsidRPr="008B009B" w:rsidRDefault="00365923" w:rsidP="00365923">
      <w:pPr>
        <w:spacing w:after="120" w:line="252" w:lineRule="auto"/>
        <w:ind w:firstLine="720"/>
        <w:jc w:val="both"/>
      </w:pPr>
      <w:r w:rsidRPr="008B009B">
        <w:t>Towards the 80</w:t>
      </w:r>
      <w:r w:rsidRPr="008B009B">
        <w:rPr>
          <w:vertAlign w:val="superscript"/>
        </w:rPr>
        <w:t>th</w:t>
      </w:r>
      <w:r w:rsidRPr="008B009B">
        <w:t xml:space="preserve"> anniversary of War Invalids and Martyrs Day (July 27</w:t>
      </w:r>
      <w:r w:rsidRPr="008B009B">
        <w:rPr>
          <w:vertAlign w:val="superscript"/>
        </w:rPr>
        <w:t>th</w:t>
      </w:r>
      <w:r w:rsidRPr="008B009B">
        <w:t>, 1947 - July 27</w:t>
      </w:r>
      <w:r w:rsidRPr="008B009B">
        <w:rPr>
          <w:vertAlign w:val="superscript"/>
        </w:rPr>
        <w:t>th</w:t>
      </w:r>
      <w:r w:rsidRPr="008B009B">
        <w:t>, 2027), the “500-day-and-night campaign to accelerate the search, collection, and identification of martyrs’ remains” has been drastically deployed by authorities at all levels and stakeholders. Over the past period, the campaign has focused on synchronously carrying out tasks of searching for and collecting martyrs' remains; collecting, storing, and analyzing DNA samples; building databases for information matching; as well as conducting mine and explosive clearance in areas with many war relics and suspected grave locations. Selected achievements as of August 22</w:t>
      </w:r>
      <w:r w:rsidRPr="008B009B">
        <w:rPr>
          <w:vertAlign w:val="superscript"/>
        </w:rPr>
        <w:t>nd</w:t>
      </w:r>
      <w:r w:rsidRPr="008B009B">
        <w:t>, 2026 were as follows:</w:t>
      </w:r>
    </w:p>
    <w:p w14:paraId="590BFD3D" w14:textId="11C31C42" w:rsidR="00365923" w:rsidRPr="008B009B" w:rsidRDefault="00365923" w:rsidP="00365923">
      <w:pPr>
        <w:pStyle w:val="NormalWeb"/>
        <w:tabs>
          <w:tab w:val="left" w:pos="0"/>
          <w:tab w:val="left" w:pos="720"/>
        </w:tabs>
        <w:spacing w:before="0" w:beforeAutospacing="0" w:after="120" w:afterAutospacing="0" w:line="252" w:lineRule="auto"/>
        <w:ind w:firstLine="720"/>
        <w:jc w:val="both"/>
        <w:rPr>
          <w:sz w:val="28"/>
          <w:szCs w:val="28"/>
          <w:lang w:val="en-US"/>
        </w:rPr>
      </w:pPr>
      <w:r w:rsidRPr="008B009B">
        <w:rPr>
          <w:sz w:val="28"/>
          <w:szCs w:val="28"/>
          <w:lang w:val="en-US"/>
        </w:rPr>
        <w:t xml:space="preserve">Forces found and collected 1,863 martyrs’ remains, including 839 remains domestically, 174 remains in Lao PDR, and 850 remains in Cambodia. The campaign is mobilizing 32 search and collection teams with </w:t>
      </w:r>
      <w:r w:rsidR="00B11C13" w:rsidRPr="008B009B">
        <w:rPr>
          <w:sz w:val="28"/>
          <w:szCs w:val="28"/>
          <w:lang w:val="en-US"/>
        </w:rPr>
        <w:t>total personnel</w:t>
      </w:r>
      <w:r w:rsidRPr="008B009B">
        <w:rPr>
          <w:sz w:val="28"/>
          <w:szCs w:val="28"/>
          <w:lang w:val="en-US"/>
        </w:rPr>
        <w:t xml:space="preserve"> of 1,559 persons, including 13 teams performing domestic tasks and 19 teams working abroad (8 teams in Lao PDR and 11 teams in Cambodia). Units organized 16 memorial and burial ceremonies for martyrs’ remains, which included receiving 850 martyrs’ remains.</w:t>
      </w:r>
    </w:p>
    <w:p w14:paraId="3BFEED25" w14:textId="77777777" w:rsidR="00365923" w:rsidRPr="008B009B" w:rsidRDefault="00365923" w:rsidP="00365923">
      <w:pPr>
        <w:spacing w:after="120" w:line="245" w:lineRule="auto"/>
        <w:ind w:firstLine="720"/>
        <w:jc w:val="both"/>
      </w:pPr>
      <w:r w:rsidRPr="008B009B">
        <w:t xml:space="preserve">Authorities conducted sampling for 148,601 martyrs’ graves, reaching a rate of 69.8%. Of these, 102,689 graves were eligible for sampling, reaching 69.1%; 45,912 graves were not eligible for sampling. To date, 11 out of 34 provinces and cities completed sampling efforts. To carry out the task, 264 </w:t>
      </w:r>
      <w:r w:rsidRPr="008B009B">
        <w:lastRenderedPageBreak/>
        <w:t>sampling teams with about 3,500 people were mobilized. DNA sampling of martyrs’ relatives was also accelerated. The total number of collected samples reached 265,761; of which 71,102 samples were analyzed and 66,909 samples were synchronized into the database. This constitutes an important data source for DNA analysis and matching, step-by-step identifying martyrs with missing information. Along with sampling in localities, the reception, storage, and preservation of martyrs' remains samples were carried out to ensure sample sources for forensic identification. As of August 22</w:t>
      </w:r>
      <w:r w:rsidRPr="008B009B">
        <w:rPr>
          <w:vertAlign w:val="superscript"/>
        </w:rPr>
        <w:t>nd</w:t>
      </w:r>
      <w:r w:rsidRPr="008B009B">
        <w:t>, 35,983 martyrs' remains samples from localities were received, stored, and preserved. Particularly, the Military Institute of Forensic Medicine received 27,169 martyrs’ remains samples from 16 out of 17 provinces and cities and performed forensic identification for 195 samples.</w:t>
      </w:r>
    </w:p>
    <w:p w14:paraId="3DDC8912" w14:textId="77777777" w:rsidR="00365923" w:rsidRPr="008B009B" w:rsidRDefault="00365923" w:rsidP="00365923">
      <w:pPr>
        <w:spacing w:after="120" w:line="245" w:lineRule="auto"/>
        <w:ind w:firstLine="720"/>
        <w:jc w:val="both"/>
        <w:rPr>
          <w:spacing w:val="-2"/>
        </w:rPr>
      </w:pPr>
      <w:r w:rsidRPr="008B009B">
        <w:t>Mine and explosive clearance continued to be identified as a crucial task, directly ensuring safety for the search and collection of martyrs' remains. So far, functional forces cleared 11,793.6 out of 22,725 hectares, reaching 51.9% of the plan. Particularly in the core zone of Vi Xuyen/Tuyen Quang, 4,075.8 out of 4,460 hectares were cleared, reaching 91.39%. To execute this task, 360 mine clearance teams were mobilized, utilizing 1,311 detectors and specialized equipment, with a total of 5,183 participants.</w:t>
      </w:r>
    </w:p>
    <w:p w14:paraId="50834F34" w14:textId="77777777" w:rsidR="00365923" w:rsidRPr="008B009B" w:rsidRDefault="00365923" w:rsidP="00365923">
      <w:pPr>
        <w:pStyle w:val="BodyTextIndent"/>
        <w:tabs>
          <w:tab w:val="left" w:pos="0"/>
          <w:tab w:val="left" w:pos="720"/>
        </w:tabs>
        <w:spacing w:after="120" w:line="245" w:lineRule="auto"/>
        <w:ind w:left="0" w:firstLine="720"/>
        <w:jc w:val="both"/>
        <w:rPr>
          <w:rStyle w:val="normalchar"/>
          <w:rFonts w:ascii="Times New Roman" w:hAnsi="Times New Roman"/>
          <w:b/>
          <w:bCs/>
          <w:i/>
          <w:iCs/>
          <w:color w:val="000000" w:themeColor="text1"/>
        </w:rPr>
      </w:pPr>
      <w:r w:rsidRPr="008B009B">
        <w:rPr>
          <w:rStyle w:val="normalchar"/>
          <w:rFonts w:ascii="Times New Roman" w:hAnsi="Times New Roman"/>
          <w:b/>
          <w:bCs/>
          <w:i/>
          <w:iCs/>
          <w:color w:val="000000" w:themeColor="text1"/>
        </w:rPr>
        <w:t xml:space="preserve">c) </w:t>
      </w:r>
      <w:r w:rsidRPr="008B009B">
        <w:rPr>
          <w:rStyle w:val="normalchar"/>
          <w:b/>
          <w:bCs/>
          <w:i/>
          <w:color w:val="000000" w:themeColor="text1"/>
        </w:rPr>
        <w:t>Epidemic and food poisoning</w:t>
      </w:r>
      <w:r w:rsidRPr="008B009B">
        <w:rPr>
          <w:rStyle w:val="normalchar"/>
          <w:b/>
          <w:bCs/>
          <w:i/>
          <w:iCs/>
          <w:color w:val="000000" w:themeColor="text1"/>
        </w:rPr>
        <w:t xml:space="preserve"> </w:t>
      </w:r>
    </w:p>
    <w:p w14:paraId="58826BA9" w14:textId="77777777" w:rsidR="00365923" w:rsidRPr="008B009B" w:rsidRDefault="00365923" w:rsidP="00365923">
      <w:pPr>
        <w:spacing w:after="120" w:line="256" w:lineRule="auto"/>
        <w:ind w:firstLine="720"/>
        <w:jc w:val="both"/>
        <w:rPr>
          <w:color w:val="000000" w:themeColor="text1"/>
        </w:rPr>
      </w:pPr>
      <w:r w:rsidRPr="008B009B">
        <w:rPr>
          <w:color w:val="000000" w:themeColor="text1"/>
        </w:rPr>
        <w:t>According to the report of the Ministry of Health, in the month (July 18</w:t>
      </w:r>
      <w:r w:rsidRPr="008B009B">
        <w:rPr>
          <w:color w:val="000000" w:themeColor="text1"/>
          <w:vertAlign w:val="superscript"/>
        </w:rPr>
        <w:t>th</w:t>
      </w:r>
      <w:r w:rsidRPr="008B009B">
        <w:rPr>
          <w:color w:val="000000" w:themeColor="text1"/>
        </w:rPr>
        <w:t xml:space="preserve"> - August 17</w:t>
      </w:r>
      <w:r w:rsidRPr="008B009B">
        <w:rPr>
          <w:color w:val="000000" w:themeColor="text1"/>
          <w:vertAlign w:val="superscript"/>
        </w:rPr>
        <w:t>th</w:t>
      </w:r>
      <w:r w:rsidRPr="008B009B">
        <w:rPr>
          <w:color w:val="000000" w:themeColor="text1"/>
        </w:rPr>
        <w:t>, 2026), there were over 16.7 thousand cases of dengue fever (2 deaths); 8,689 cases of hand, foot and mouth disease (1 death); 253 cases of rash fever with suspected measles; 32 cases of viral encephalitis, 2 cases of meningococcal meningitis; 6 deaths from rabies. Overall, from the beginning of the year to date, there were over 78.3 thousand cases of dengue fever (13 deaths</w:t>
      </w:r>
      <w:r w:rsidRPr="008B009B">
        <w:rPr>
          <w:color w:val="000000" w:themeColor="text1"/>
          <w:vertAlign w:val="superscript"/>
        </w:rPr>
        <w:footnoteReference w:id="32"/>
      </w:r>
      <w:r w:rsidRPr="008B009B">
        <w:rPr>
          <w:color w:val="000000" w:themeColor="text1"/>
        </w:rPr>
        <w:t>); over 67.3 thousand cases of hand, foot and mouth disease (11 deaths); 5,005 cases of rash fever suspected of measles; 210 cases of viral encephalitis (1 death); 33 cases of meningococcal meningitis (5 deaths); and 46 deaths from rabies in the whole country.</w:t>
      </w:r>
    </w:p>
    <w:p w14:paraId="1E691035" w14:textId="77777777" w:rsidR="00365923" w:rsidRPr="008B009B" w:rsidRDefault="00365923" w:rsidP="00365923">
      <w:pPr>
        <w:spacing w:after="120"/>
        <w:ind w:firstLine="720"/>
        <w:jc w:val="both"/>
        <w:rPr>
          <w:color w:val="000000" w:themeColor="text1"/>
        </w:rPr>
      </w:pPr>
      <w:r w:rsidRPr="008B009B">
        <w:rPr>
          <w:color w:val="000000" w:themeColor="text1"/>
        </w:rPr>
        <w:t>As of August 17</w:t>
      </w:r>
      <w:r w:rsidRPr="008B009B">
        <w:rPr>
          <w:color w:val="000000" w:themeColor="text1"/>
          <w:vertAlign w:val="superscript"/>
        </w:rPr>
        <w:t>th</w:t>
      </w:r>
      <w:r w:rsidRPr="008B009B">
        <w:rPr>
          <w:color w:val="000000" w:themeColor="text1"/>
        </w:rPr>
        <w:t xml:space="preserve">, 2026, the total number of people living with HIV nationwide was </w:t>
      </w:r>
      <w:r w:rsidRPr="008B009B">
        <w:rPr>
          <w:iCs/>
          <w:snapToGrid w:val="0"/>
          <w:color w:val="000000" w:themeColor="text1"/>
        </w:rPr>
        <w:t xml:space="preserve">258 </w:t>
      </w:r>
      <w:r w:rsidRPr="008B009B">
        <w:rPr>
          <w:color w:val="000000" w:themeColor="text1"/>
        </w:rPr>
        <w:t xml:space="preserve">thousand persons; the number of deaths from HIV/AIDS was </w:t>
      </w:r>
      <w:r w:rsidRPr="008B009B">
        <w:rPr>
          <w:iCs/>
          <w:snapToGrid w:val="0"/>
          <w:color w:val="000000" w:themeColor="text1"/>
        </w:rPr>
        <w:t>119.6</w:t>
      </w:r>
      <w:r w:rsidRPr="008B009B">
        <w:rPr>
          <w:bCs/>
          <w:color w:val="000000" w:themeColor="text1"/>
        </w:rPr>
        <w:t xml:space="preserve"> </w:t>
      </w:r>
      <w:r w:rsidRPr="008B009B">
        <w:rPr>
          <w:color w:val="000000" w:themeColor="text1"/>
        </w:rPr>
        <w:t>thousand persons.</w:t>
      </w:r>
    </w:p>
    <w:p w14:paraId="3F9F849D" w14:textId="77777777" w:rsidR="00365923" w:rsidRPr="008B009B" w:rsidRDefault="00365923" w:rsidP="00365923">
      <w:pPr>
        <w:spacing w:after="120" w:line="256" w:lineRule="auto"/>
        <w:ind w:firstLine="720"/>
        <w:jc w:val="both"/>
        <w:rPr>
          <w:color w:val="000000" w:themeColor="text1"/>
        </w:rPr>
      </w:pPr>
      <w:r w:rsidRPr="008B009B">
        <w:rPr>
          <w:color w:val="000000" w:themeColor="text1"/>
        </w:rPr>
        <w:t>Regarding food poisoning, in August, there were 2 cases of poisoning, causing 140 persons poisoned. Overall, in 8 months 2026 (from December 18</w:t>
      </w:r>
      <w:r w:rsidRPr="008B009B">
        <w:rPr>
          <w:color w:val="000000" w:themeColor="text1"/>
          <w:vertAlign w:val="superscript"/>
        </w:rPr>
        <w:t>th</w:t>
      </w:r>
      <w:r w:rsidRPr="008B009B">
        <w:rPr>
          <w:color w:val="000000" w:themeColor="text1"/>
        </w:rPr>
        <w:t>, 2025 to August 17</w:t>
      </w:r>
      <w:r w:rsidRPr="008B009B">
        <w:rPr>
          <w:color w:val="000000" w:themeColor="text1"/>
          <w:vertAlign w:val="superscript"/>
        </w:rPr>
        <w:t>th</w:t>
      </w:r>
      <w:r w:rsidRPr="008B009B">
        <w:rPr>
          <w:color w:val="000000" w:themeColor="text1"/>
        </w:rPr>
        <w:t>, 2026), there were 57 cases with nearly 2,800 persons poisoned (7 deaths) nationwide.</w:t>
      </w:r>
    </w:p>
    <w:p w14:paraId="65AF6030" w14:textId="77777777" w:rsidR="00365923" w:rsidRPr="008B009B" w:rsidRDefault="00365923" w:rsidP="00365923">
      <w:pPr>
        <w:spacing w:after="120" w:line="245" w:lineRule="auto"/>
        <w:ind w:firstLine="720"/>
        <w:jc w:val="both"/>
        <w:outlineLvl w:val="0"/>
        <w:rPr>
          <w:rStyle w:val="normalchar"/>
          <w:b/>
          <w:i/>
          <w:iCs/>
          <w:color w:val="000000" w:themeColor="text1"/>
        </w:rPr>
      </w:pPr>
      <w:r w:rsidRPr="008B009B">
        <w:rPr>
          <w:b/>
          <w:bCs/>
          <w:i/>
          <w:iCs/>
          <w:color w:val="000000" w:themeColor="text1"/>
        </w:rPr>
        <w:t xml:space="preserve">d) </w:t>
      </w:r>
      <w:r w:rsidRPr="008B009B">
        <w:rPr>
          <w:rStyle w:val="normalchar"/>
          <w:b/>
          <w:i/>
          <w:iCs/>
          <w:color w:val="000000" w:themeColor="text1"/>
        </w:rPr>
        <w:t>Culture and sports</w:t>
      </w:r>
      <w:r w:rsidRPr="008B009B">
        <w:rPr>
          <w:rStyle w:val="normalchar"/>
          <w:rFonts w:eastAsiaTheme="majorEastAsia"/>
          <w:b/>
          <w:bCs/>
          <w:color w:val="000000" w:themeColor="text1"/>
        </w:rPr>
        <w:t xml:space="preserve"> </w:t>
      </w:r>
    </w:p>
    <w:p w14:paraId="1409F386" w14:textId="77777777" w:rsidR="00365923" w:rsidRPr="008B009B" w:rsidRDefault="00365923" w:rsidP="00365923">
      <w:pPr>
        <w:tabs>
          <w:tab w:val="left" w:pos="567"/>
          <w:tab w:val="num" w:pos="720"/>
        </w:tabs>
        <w:spacing w:after="120" w:line="245" w:lineRule="auto"/>
        <w:ind w:firstLine="720"/>
        <w:jc w:val="both"/>
        <w:rPr>
          <w:color w:val="000000" w:themeColor="text1"/>
          <w:spacing w:val="-4"/>
        </w:rPr>
      </w:pPr>
      <w:r w:rsidRPr="008B009B">
        <w:rPr>
          <w:rStyle w:val="normalchar"/>
          <w:i/>
          <w:color w:val="000000" w:themeColor="text1"/>
        </w:rPr>
        <w:lastRenderedPageBreak/>
        <w:t>Regarding culture</w:t>
      </w:r>
      <w:r w:rsidRPr="008B009B">
        <w:rPr>
          <w:i/>
          <w:iCs/>
          <w:color w:val="000000" w:themeColor="text1"/>
        </w:rPr>
        <w:t xml:space="preserve">, </w:t>
      </w:r>
      <w:r w:rsidRPr="008B009B">
        <w:rPr>
          <w:color w:val="000000" w:themeColor="text1"/>
        </w:rPr>
        <w:t>in August, cultural activities were diverse and varied, focusing on communications and education on traditional values on the occasion of the 81</w:t>
      </w:r>
      <w:r w:rsidRPr="008B009B">
        <w:rPr>
          <w:color w:val="000000" w:themeColor="text1"/>
          <w:vertAlign w:val="superscript"/>
        </w:rPr>
        <w:t>st</w:t>
      </w:r>
      <w:r w:rsidRPr="008B009B">
        <w:rPr>
          <w:color w:val="000000" w:themeColor="text1"/>
        </w:rPr>
        <w:t xml:space="preserve"> anniversary of the August Revolution and National Day (September 2</w:t>
      </w:r>
      <w:r w:rsidRPr="008B009B">
        <w:rPr>
          <w:color w:val="000000" w:themeColor="text1"/>
          <w:vertAlign w:val="superscript"/>
        </w:rPr>
        <w:t>nd</w:t>
      </w:r>
      <w:r w:rsidRPr="008B009B">
        <w:rPr>
          <w:color w:val="000000" w:themeColor="text1"/>
        </w:rPr>
        <w:t>), as well as exhibitions, artistic performances, festivals, cultural exchanges, and activities to preserve and promote the value of cultural heritage. Notable activities were held in various localities, including the exhibition “Heritage of Le Quy Don, a renowned cultural figure” in Hung Yen; the “ASEAN cultural colors 2026” programme in Ha Noi; the Hue Nam Palace Festival as part of Hue Festival 2026; an exhibition on the Temple of Literature – Quoc Tu Giam and the tradition of learning in Quang Ninh; the 2026 Viet Nam - Korea Festival in Da Nang; the “Fatherland in our hearts” programme in Ho Chi Minh City; and the exhibition “The South forever remembers Uncle Ho” in Gia Lai.</w:t>
      </w:r>
    </w:p>
    <w:p w14:paraId="5CD0063D" w14:textId="77777777" w:rsidR="00365923" w:rsidRPr="008B009B" w:rsidRDefault="00365923" w:rsidP="00365923">
      <w:pPr>
        <w:tabs>
          <w:tab w:val="left" w:pos="567"/>
          <w:tab w:val="num" w:pos="720"/>
        </w:tabs>
        <w:spacing w:after="120" w:line="245" w:lineRule="auto"/>
        <w:ind w:firstLine="720"/>
        <w:jc w:val="both"/>
        <w:rPr>
          <w:color w:val="000000" w:themeColor="text1"/>
        </w:rPr>
      </w:pPr>
      <w:r w:rsidRPr="008B009B">
        <w:rPr>
          <w:rStyle w:val="normalchar"/>
          <w:i/>
          <w:color w:val="000000" w:themeColor="text1"/>
        </w:rPr>
        <w:t>Regarding elite sports</w:t>
      </w:r>
      <w:r w:rsidRPr="008B009B">
        <w:rPr>
          <w:color w:val="000000" w:themeColor="text1"/>
        </w:rPr>
        <w:t>, sporting competitions were actively held both domestically and internationally, with notable events including the 7th Viet Nam young talents martial arts championships, held in Bac Ninh from August 23</w:t>
      </w:r>
      <w:r w:rsidRPr="008B009B">
        <w:rPr>
          <w:color w:val="000000" w:themeColor="text1"/>
          <w:vertAlign w:val="superscript"/>
        </w:rPr>
        <w:t>rd</w:t>
      </w:r>
      <w:r w:rsidRPr="008B009B">
        <w:rPr>
          <w:color w:val="000000" w:themeColor="text1"/>
        </w:rPr>
        <w:t>-26</w:t>
      </w:r>
      <w:r w:rsidRPr="008B009B">
        <w:rPr>
          <w:color w:val="000000" w:themeColor="text1"/>
          <w:vertAlign w:val="superscript"/>
        </w:rPr>
        <w:t>th</w:t>
      </w:r>
      <w:r w:rsidRPr="008B009B">
        <w:rPr>
          <w:color w:val="000000" w:themeColor="text1"/>
        </w:rPr>
        <w:t xml:space="preserve">, 2026; </w:t>
      </w:r>
      <w:r w:rsidRPr="008B009B">
        <w:t>the 2026 National Elite Archery Championship</w:t>
      </w:r>
      <w:r w:rsidRPr="008B009B">
        <w:rPr>
          <w:color w:val="000000" w:themeColor="text1"/>
        </w:rPr>
        <w:t>, held in Hue from August 24</w:t>
      </w:r>
      <w:r w:rsidRPr="008B009B">
        <w:rPr>
          <w:color w:val="000000" w:themeColor="text1"/>
          <w:vertAlign w:val="superscript"/>
        </w:rPr>
        <w:t>th</w:t>
      </w:r>
      <w:r w:rsidRPr="008B009B">
        <w:rPr>
          <w:color w:val="000000" w:themeColor="text1"/>
        </w:rPr>
        <w:t>, 2026; and the 2026 National club swimming and diving championships, held in Hai Phong from August 24</w:t>
      </w:r>
      <w:r w:rsidRPr="008B009B">
        <w:rPr>
          <w:color w:val="000000" w:themeColor="text1"/>
          <w:vertAlign w:val="superscript"/>
        </w:rPr>
        <w:t>th</w:t>
      </w:r>
      <w:r w:rsidRPr="008B009B">
        <w:rPr>
          <w:color w:val="000000" w:themeColor="text1"/>
        </w:rPr>
        <w:t>-28</w:t>
      </w:r>
      <w:r w:rsidRPr="008B009B">
        <w:rPr>
          <w:color w:val="000000" w:themeColor="text1"/>
          <w:vertAlign w:val="superscript"/>
        </w:rPr>
        <w:t>th</w:t>
      </w:r>
      <w:r w:rsidRPr="008B009B">
        <w:rPr>
          <w:color w:val="000000" w:themeColor="text1"/>
        </w:rPr>
        <w:t>, 2026. In addition, Viet Nam’s sports continued to achieve notable results in the international arena. At the 24</w:t>
      </w:r>
      <w:r w:rsidRPr="008B009B">
        <w:rPr>
          <w:color w:val="000000" w:themeColor="text1"/>
          <w:vertAlign w:val="superscript"/>
        </w:rPr>
        <w:t>th</w:t>
      </w:r>
      <w:r w:rsidRPr="008B009B">
        <w:rPr>
          <w:color w:val="000000" w:themeColor="text1"/>
        </w:rPr>
        <w:t xml:space="preserve"> ASEAN+ age-group chess championships, Viet Nam’s chess team won 121 gold medals, 37 silver medals and 85 bronze medals, ranking first overall; open-water swimming athletes won 11 gold medals at the 2026 Southeast Asian Championships; sport dancers won 2 gold medals; the women’s volleyball team finished runners-up in Leg 1 of the 2026 SEA V.Cup; and Viet Nam’s women’s Sepak Takraw team secured a gold medal in the doubles event at the 2026 King's Cup World Championship</w:t>
      </w:r>
      <w:r w:rsidRPr="008B009B">
        <w:rPr>
          <w:color w:val="000000" w:themeColor="text1"/>
          <w:spacing w:val="-2"/>
        </w:rPr>
        <w:t xml:space="preserve">. At the 2026 ASEAN Hyundai Cup, the Viet Nam men’s national </w:t>
      </w:r>
      <w:r w:rsidRPr="008B009B">
        <w:rPr>
          <w:color w:val="000000" w:themeColor="text1"/>
        </w:rPr>
        <w:t>football team successfully defended its Southeast Asian championship title.</w:t>
      </w:r>
    </w:p>
    <w:p w14:paraId="338C3298" w14:textId="77777777" w:rsidR="00365923" w:rsidRPr="008B009B" w:rsidRDefault="00365923" w:rsidP="00365923">
      <w:pPr>
        <w:tabs>
          <w:tab w:val="left" w:pos="567"/>
          <w:tab w:val="num" w:pos="720"/>
        </w:tabs>
        <w:spacing w:after="120" w:line="245" w:lineRule="auto"/>
        <w:ind w:firstLine="720"/>
        <w:jc w:val="both"/>
        <w:rPr>
          <w:color w:val="000000" w:themeColor="text1"/>
        </w:rPr>
      </w:pPr>
      <w:r w:rsidRPr="008B009B">
        <w:rPr>
          <w:rStyle w:val="normalchar"/>
          <w:i/>
          <w:color w:val="000000" w:themeColor="text1"/>
        </w:rPr>
        <w:t>Regarding mass sports</w:t>
      </w:r>
      <w:r w:rsidRPr="008B009B">
        <w:rPr>
          <w:color w:val="000000" w:themeColor="text1"/>
        </w:rPr>
        <w:t>, the mass sports and physical exercise movement continued to develop widely across the country, in association with the organization of Sports and Physical exercise Congresses at all levels, promoting community sports and the movement “All people take exercises following the example of great Uncle Ho”. Numerous activities were organized in various localities, notably the 10</w:t>
      </w:r>
      <w:r w:rsidRPr="008B009B">
        <w:rPr>
          <w:color w:val="000000" w:themeColor="text1"/>
          <w:vertAlign w:val="superscript"/>
        </w:rPr>
        <w:t>th</w:t>
      </w:r>
      <w:r w:rsidRPr="008B009B">
        <w:rPr>
          <w:color w:val="000000" w:themeColor="text1"/>
        </w:rPr>
        <w:t xml:space="preserve"> Cao Bang provincial sports and physical exercise congress; martial arts tournaments held in Thanh Hoa; Taekwondo and badminton tournaments held in various localities; the Ha Noi International Martial Arts Festival 2026; the 1</w:t>
      </w:r>
      <w:r w:rsidRPr="008B009B">
        <w:rPr>
          <w:color w:val="000000" w:themeColor="text1"/>
          <w:vertAlign w:val="superscript"/>
        </w:rPr>
        <w:t>st</w:t>
      </w:r>
      <w:r w:rsidRPr="008B009B">
        <w:rPr>
          <w:color w:val="000000" w:themeColor="text1"/>
        </w:rPr>
        <w:t xml:space="preserve"> Dak Lak provincial sports and physical exercise congress; the 2026 National U20 Futsal Championship held in Ho Chi Minh City; the 1</w:t>
      </w:r>
      <w:r w:rsidRPr="008B009B">
        <w:rPr>
          <w:color w:val="000000" w:themeColor="text1"/>
          <w:vertAlign w:val="superscript"/>
        </w:rPr>
        <w:t>st</w:t>
      </w:r>
      <w:r w:rsidRPr="008B009B">
        <w:rPr>
          <w:color w:val="000000" w:themeColor="text1"/>
        </w:rPr>
        <w:t xml:space="preserve"> Viet Nam ethnic minority women’s football tournament – VTV Cup held in Lao Cai; the 2026 Toyota Cup National U9 Football Tournament held in Quang Ngai; and the 2026 Phuc Thinh 3-Cushion Carom Super Cup. </w:t>
      </w:r>
    </w:p>
    <w:p w14:paraId="247DC24B" w14:textId="77777777" w:rsidR="00365923" w:rsidRPr="008B009B" w:rsidRDefault="00365923" w:rsidP="00365923">
      <w:pPr>
        <w:spacing w:after="120" w:line="245" w:lineRule="auto"/>
        <w:ind w:firstLine="720"/>
        <w:jc w:val="both"/>
        <w:outlineLvl w:val="0"/>
        <w:rPr>
          <w:b/>
          <w:i/>
          <w:color w:val="000000" w:themeColor="text1"/>
        </w:rPr>
      </w:pPr>
      <w:r w:rsidRPr="008B009B">
        <w:rPr>
          <w:b/>
          <w:i/>
          <w:color w:val="000000" w:themeColor="text1"/>
        </w:rPr>
        <w:lastRenderedPageBreak/>
        <w:t>đ) Traffic accidents</w:t>
      </w:r>
      <w:r w:rsidRPr="008B009B">
        <w:rPr>
          <w:b/>
          <w:bCs/>
          <w:iCs/>
          <w:color w:val="000000" w:themeColor="text1"/>
          <w:vertAlign w:val="superscript"/>
        </w:rPr>
        <w:footnoteReference w:id="33"/>
      </w:r>
    </w:p>
    <w:p w14:paraId="07937F42" w14:textId="77777777" w:rsidR="00365923" w:rsidRPr="008B009B" w:rsidRDefault="00365923" w:rsidP="00365923">
      <w:pPr>
        <w:tabs>
          <w:tab w:val="left" w:pos="567"/>
        </w:tabs>
        <w:spacing w:after="120" w:line="264" w:lineRule="auto"/>
        <w:ind w:firstLine="720"/>
        <w:jc w:val="both"/>
        <w:rPr>
          <w:color w:val="000000" w:themeColor="text1"/>
        </w:rPr>
      </w:pPr>
      <w:r w:rsidRPr="008B009B">
        <w:rPr>
          <w:rFonts w:eastAsia="Calibri"/>
          <w:color w:val="000000" w:themeColor="text1"/>
        </w:rPr>
        <w:t xml:space="preserve">In August (from </w:t>
      </w:r>
      <w:r w:rsidRPr="008B009B">
        <w:rPr>
          <w:color w:val="000000" w:themeColor="text1"/>
        </w:rPr>
        <w:t>July 15</w:t>
      </w:r>
      <w:r w:rsidRPr="008B009B">
        <w:rPr>
          <w:color w:val="000000" w:themeColor="text1"/>
          <w:vertAlign w:val="superscript"/>
        </w:rPr>
        <w:t>th</w:t>
      </w:r>
      <w:r w:rsidRPr="008B009B">
        <w:rPr>
          <w:color w:val="000000" w:themeColor="text1"/>
        </w:rPr>
        <w:t xml:space="preserve"> to August 14</w:t>
      </w:r>
      <w:r w:rsidRPr="008B009B">
        <w:rPr>
          <w:color w:val="000000" w:themeColor="text1"/>
          <w:vertAlign w:val="superscript"/>
        </w:rPr>
        <w:t>th</w:t>
      </w:r>
      <w:r w:rsidRPr="008B009B">
        <w:rPr>
          <w:color w:val="000000" w:themeColor="text1"/>
        </w:rPr>
        <w:t>, 2026</w:t>
      </w:r>
      <w:r w:rsidRPr="008B009B">
        <w:rPr>
          <w:rFonts w:eastAsia="Calibri"/>
          <w:color w:val="000000" w:themeColor="text1"/>
        </w:rPr>
        <w:t xml:space="preserve">), there were </w:t>
      </w:r>
      <w:r w:rsidRPr="008B009B">
        <w:rPr>
          <w:color w:val="000000" w:themeColor="text1"/>
        </w:rPr>
        <w:t xml:space="preserve">1,280 </w:t>
      </w:r>
      <w:r w:rsidRPr="008B009B">
        <w:rPr>
          <w:rFonts w:eastAsia="Calibri"/>
          <w:color w:val="000000" w:themeColor="text1"/>
        </w:rPr>
        <w:t>traffic accidents nationwide</w:t>
      </w:r>
      <w:r w:rsidRPr="008B009B">
        <w:rPr>
          <w:color w:val="000000" w:themeColor="text1"/>
        </w:rPr>
        <w:t xml:space="preserve">, causing 805 deaths and 748 injuries. Compared to the figures of July 2026, the number of traffic accidents, deaths, and injuries increased by 9.5%, 14.7%, and 7.9%, respectively. </w:t>
      </w:r>
      <w:r w:rsidRPr="008B009B">
        <w:rPr>
          <w:rFonts w:eastAsia="Calibri"/>
          <w:color w:val="000000" w:themeColor="text1"/>
        </w:rPr>
        <w:t>Compared to the figures of the same period in 2025</w:t>
      </w:r>
      <w:r w:rsidRPr="008B009B">
        <w:rPr>
          <w:color w:val="000000" w:themeColor="text1"/>
        </w:rPr>
        <w:t xml:space="preserve">, </w:t>
      </w:r>
      <w:r w:rsidRPr="008B009B">
        <w:rPr>
          <w:rFonts w:eastAsia="Calibri"/>
          <w:color w:val="000000" w:themeColor="text1"/>
        </w:rPr>
        <w:t>the number of accidents, deaths, and injuries decreased</w:t>
      </w:r>
      <w:r w:rsidRPr="008B009B">
        <w:rPr>
          <w:color w:val="000000" w:themeColor="text1"/>
        </w:rPr>
        <w:t xml:space="preserve"> by 11.4%, 2.7%, and 21.1%, respectively. </w:t>
      </w:r>
    </w:p>
    <w:p w14:paraId="4085A972" w14:textId="77777777" w:rsidR="00365923" w:rsidRPr="008B009B" w:rsidRDefault="00365923" w:rsidP="00365923">
      <w:pPr>
        <w:tabs>
          <w:tab w:val="left" w:pos="567"/>
        </w:tabs>
        <w:spacing w:after="120" w:line="264" w:lineRule="auto"/>
        <w:ind w:firstLine="720"/>
        <w:jc w:val="both"/>
        <w:rPr>
          <w:color w:val="000000" w:themeColor="text1"/>
        </w:rPr>
      </w:pPr>
      <w:r w:rsidRPr="008B009B">
        <w:rPr>
          <w:color w:val="000000" w:themeColor="text1"/>
        </w:rPr>
        <w:t xml:space="preserve">In eight months 2026, there were </w:t>
      </w:r>
      <w:r w:rsidRPr="008B009B">
        <w:rPr>
          <w:color w:val="000000" w:themeColor="text1"/>
          <w:spacing w:val="-4"/>
        </w:rPr>
        <w:t xml:space="preserve">12,347 </w:t>
      </w:r>
      <w:r w:rsidRPr="008B009B">
        <w:rPr>
          <w:rFonts w:eastAsia="Calibri"/>
          <w:color w:val="000000" w:themeColor="text1"/>
        </w:rPr>
        <w:t>traffic accidents nationwide</w:t>
      </w:r>
      <w:r w:rsidRPr="008B009B">
        <w:rPr>
          <w:color w:val="000000" w:themeColor="text1"/>
        </w:rPr>
        <w:t>, causing</w:t>
      </w:r>
      <w:r w:rsidRPr="008B009B">
        <w:rPr>
          <w:rFonts w:eastAsia="Calibri"/>
          <w:color w:val="000000" w:themeColor="text1"/>
        </w:rPr>
        <w:t xml:space="preserve"> </w:t>
      </w:r>
      <w:r w:rsidRPr="008B009B">
        <w:rPr>
          <w:color w:val="000000" w:themeColor="text1"/>
          <w:spacing w:val="-4"/>
        </w:rPr>
        <w:t xml:space="preserve">7,048 </w:t>
      </w:r>
      <w:r w:rsidRPr="008B009B">
        <w:rPr>
          <w:color w:val="000000" w:themeColor="text1"/>
        </w:rPr>
        <w:t xml:space="preserve">deaths and </w:t>
      </w:r>
      <w:r w:rsidRPr="008B009B">
        <w:rPr>
          <w:color w:val="000000" w:themeColor="text1"/>
          <w:spacing w:val="-4"/>
        </w:rPr>
        <w:t xml:space="preserve">8,130 </w:t>
      </w:r>
      <w:r w:rsidRPr="008B009B">
        <w:rPr>
          <w:color w:val="000000" w:themeColor="text1"/>
        </w:rPr>
        <w:t xml:space="preserve">injuries. </w:t>
      </w:r>
      <w:r w:rsidRPr="008B009B">
        <w:rPr>
          <w:rFonts w:eastAsia="Calibri"/>
          <w:color w:val="000000" w:themeColor="text1"/>
        </w:rPr>
        <w:t>Compared to the figures of the same period last year</w:t>
      </w:r>
      <w:r w:rsidRPr="008B009B">
        <w:rPr>
          <w:color w:val="000000" w:themeColor="text1"/>
        </w:rPr>
        <w:t xml:space="preserve">, </w:t>
      </w:r>
      <w:r w:rsidRPr="008B009B">
        <w:rPr>
          <w:rFonts w:eastAsia="Calibri"/>
          <w:color w:val="000000" w:themeColor="text1"/>
        </w:rPr>
        <w:t xml:space="preserve">the number of traffic accidents cases, deaths, and injuries decreased </w:t>
      </w:r>
      <w:r w:rsidRPr="008B009B">
        <w:rPr>
          <w:color w:val="000000" w:themeColor="text1"/>
        </w:rPr>
        <w:t xml:space="preserve">by </w:t>
      </w:r>
      <w:r w:rsidRPr="008B009B">
        <w:rPr>
          <w:color w:val="000000" w:themeColor="text1"/>
          <w:spacing w:val="-4"/>
        </w:rPr>
        <w:t>17.2</w:t>
      </w:r>
      <w:r w:rsidRPr="008B009B">
        <w:rPr>
          <w:color w:val="000000" w:themeColor="text1"/>
        </w:rPr>
        <w:t xml:space="preserve">%, </w:t>
      </w:r>
      <w:r w:rsidRPr="008B009B">
        <w:rPr>
          <w:color w:val="000000" w:themeColor="text1"/>
          <w:spacing w:val="-4"/>
        </w:rPr>
        <w:t>9.4</w:t>
      </w:r>
      <w:r w:rsidRPr="008B009B">
        <w:rPr>
          <w:color w:val="000000" w:themeColor="text1"/>
        </w:rPr>
        <w:t xml:space="preserve">%, and </w:t>
      </w:r>
      <w:r w:rsidRPr="008B009B">
        <w:rPr>
          <w:color w:val="000000" w:themeColor="text1"/>
          <w:spacing w:val="-4"/>
        </w:rPr>
        <w:t>27.1</w:t>
      </w:r>
      <w:r w:rsidRPr="008B009B">
        <w:rPr>
          <w:color w:val="000000" w:themeColor="text1"/>
        </w:rPr>
        <w:t xml:space="preserve">%, respectively. On average, during eight months of 2026, </w:t>
      </w:r>
      <w:r w:rsidRPr="008B009B">
        <w:rPr>
          <w:rFonts w:eastAsia="Calibri"/>
          <w:color w:val="000000" w:themeColor="text1"/>
        </w:rPr>
        <w:t xml:space="preserve">there were </w:t>
      </w:r>
      <w:r w:rsidRPr="008B009B">
        <w:rPr>
          <w:color w:val="000000" w:themeColor="text1"/>
        </w:rPr>
        <w:t xml:space="preserve">42 traffic </w:t>
      </w:r>
      <w:r w:rsidRPr="008B009B">
        <w:rPr>
          <w:rFonts w:eastAsia="Calibri"/>
          <w:color w:val="000000" w:themeColor="text1"/>
        </w:rPr>
        <w:t xml:space="preserve">accidents occurred a day, causing </w:t>
      </w:r>
      <w:r w:rsidRPr="008B009B">
        <w:rPr>
          <w:color w:val="000000" w:themeColor="text1"/>
        </w:rPr>
        <w:t>26 deaths and 24 injuries.</w:t>
      </w:r>
    </w:p>
    <w:p w14:paraId="62C2432B" w14:textId="77777777" w:rsidR="00365923" w:rsidRPr="008B009B" w:rsidRDefault="00365923" w:rsidP="00365923">
      <w:pPr>
        <w:pStyle w:val="Normal11"/>
        <w:spacing w:before="0" w:beforeAutospacing="0" w:after="120" w:afterAutospacing="0" w:line="245" w:lineRule="auto"/>
        <w:ind w:firstLine="720"/>
        <w:jc w:val="both"/>
        <w:rPr>
          <w:rFonts w:ascii="Times New Roman" w:hAnsi="Times New Roman" w:cs="Times New Roman"/>
          <w:b/>
          <w:i/>
          <w:color w:val="000000" w:themeColor="text1"/>
          <w:sz w:val="28"/>
          <w:szCs w:val="28"/>
        </w:rPr>
      </w:pPr>
      <w:r w:rsidRPr="008B009B">
        <w:rPr>
          <w:rFonts w:ascii="Times New Roman" w:hAnsi="Times New Roman" w:cs="Times New Roman"/>
          <w:b/>
          <w:i/>
          <w:color w:val="000000" w:themeColor="text1"/>
          <w:sz w:val="28"/>
          <w:szCs w:val="28"/>
        </w:rPr>
        <w:t xml:space="preserve">e) </w:t>
      </w:r>
      <w:r w:rsidRPr="008B009B">
        <w:rPr>
          <w:rFonts w:ascii="Times New Roman" w:hAnsi="Times New Roman" w:cs="Times New Roman"/>
          <w:b/>
          <w:i/>
          <w:color w:val="000000" w:themeColor="text1"/>
          <w:spacing w:val="-2"/>
          <w:sz w:val="28"/>
          <w:szCs w:val="28"/>
        </w:rPr>
        <w:t>Disaster-induced loss</w:t>
      </w:r>
      <w:r w:rsidRPr="008B009B">
        <w:rPr>
          <w:rStyle w:val="FootnoteReference"/>
          <w:rFonts w:ascii="Times New Roman" w:eastAsia="Calibri" w:hAnsi="Times New Roman" w:cs="Times New Roman"/>
          <w:b/>
          <w:bCs/>
          <w:i/>
          <w:color w:val="000000" w:themeColor="text1"/>
          <w:sz w:val="28"/>
          <w:szCs w:val="28"/>
        </w:rPr>
        <w:footnoteReference w:id="34"/>
      </w:r>
    </w:p>
    <w:p w14:paraId="5197B0C5" w14:textId="77777777" w:rsidR="00365923" w:rsidRPr="008B009B" w:rsidRDefault="00365923" w:rsidP="00365923">
      <w:pPr>
        <w:tabs>
          <w:tab w:val="left" w:pos="426"/>
          <w:tab w:val="left" w:pos="900"/>
        </w:tabs>
        <w:spacing w:after="120" w:line="245" w:lineRule="auto"/>
        <w:ind w:firstLine="720"/>
        <w:jc w:val="both"/>
        <w:rPr>
          <w:color w:val="000000" w:themeColor="text1"/>
        </w:rPr>
      </w:pPr>
      <w:r w:rsidRPr="008B009B">
        <w:rPr>
          <w:color w:val="000000" w:themeColor="text1"/>
        </w:rPr>
        <w:t>Natural disasters in August, mainly caused by rainstorms, thunderstorms and lightning, caused 11 deaths and missing persons, 15 injuries; inundated and damaged more than 44.9 thousand hectares of rice and crops; destroyed, swept away, or damaged nearly 4.7 thousand houses; total property losses caused by natural disasters in the month were 737.1 billion VND, a year-on-year decrease of 91.7%. Overall, in eight months of 2026, natural disasters caused 50 deaths and missing persons, 91 injuries; damaged 80.4 thousand hectares of rice and crops; destroyed, swept away, or damaged 12.5 thousand houses. The total property losses caused by natural disasters were estimated at 2,681.9 billion VND, a year-on-year decrease of 83.5%.</w:t>
      </w:r>
    </w:p>
    <w:p w14:paraId="436561D7" w14:textId="77777777" w:rsidR="00365923" w:rsidRPr="008B009B" w:rsidRDefault="00365923" w:rsidP="00365923">
      <w:pPr>
        <w:tabs>
          <w:tab w:val="left" w:pos="426"/>
          <w:tab w:val="left" w:pos="900"/>
        </w:tabs>
        <w:spacing w:after="120" w:line="252" w:lineRule="auto"/>
        <w:ind w:firstLine="720"/>
        <w:jc w:val="both"/>
        <w:rPr>
          <w:rFonts w:eastAsia="Calibri"/>
          <w:b/>
          <w:i/>
          <w:color w:val="000000" w:themeColor="text1"/>
        </w:rPr>
      </w:pPr>
      <w:r w:rsidRPr="008B009B">
        <w:rPr>
          <w:rFonts w:eastAsia="Calibri"/>
          <w:b/>
          <w:i/>
          <w:color w:val="000000" w:themeColor="text1"/>
        </w:rPr>
        <w:t>g)</w:t>
      </w:r>
      <w:r w:rsidRPr="008B009B">
        <w:rPr>
          <w:b/>
          <w:i/>
          <w:color w:val="000000" w:themeColor="text1"/>
        </w:rPr>
        <w:t xml:space="preserve"> </w:t>
      </w:r>
      <w:r w:rsidRPr="008B009B">
        <w:rPr>
          <w:rFonts w:eastAsia="Calibri"/>
          <w:b/>
          <w:i/>
          <w:color w:val="000000" w:themeColor="text1"/>
        </w:rPr>
        <w:t>Environmental protection and fire and explosion prevention</w:t>
      </w:r>
    </w:p>
    <w:p w14:paraId="23673AA4" w14:textId="77777777" w:rsidR="00365923" w:rsidRPr="008B009B" w:rsidRDefault="00365923" w:rsidP="00365923">
      <w:pPr>
        <w:tabs>
          <w:tab w:val="left" w:pos="426"/>
          <w:tab w:val="left" w:pos="900"/>
        </w:tabs>
        <w:spacing w:after="120" w:line="252" w:lineRule="auto"/>
        <w:ind w:firstLine="720"/>
        <w:jc w:val="both"/>
        <w:rPr>
          <w:rFonts w:eastAsia="Calibri"/>
          <w:color w:val="000000" w:themeColor="text1"/>
        </w:rPr>
      </w:pPr>
      <w:r w:rsidRPr="008B009B">
        <w:rPr>
          <w:color w:val="000000" w:themeColor="text1"/>
        </w:rPr>
        <w:t>During the month (from July 26</w:t>
      </w:r>
      <w:r w:rsidRPr="008B009B">
        <w:rPr>
          <w:color w:val="000000" w:themeColor="text1"/>
          <w:vertAlign w:val="superscript"/>
        </w:rPr>
        <w:t>th</w:t>
      </w:r>
      <w:r w:rsidRPr="008B009B">
        <w:rPr>
          <w:color w:val="000000" w:themeColor="text1"/>
        </w:rPr>
        <w:t xml:space="preserve"> to August 23</w:t>
      </w:r>
      <w:r w:rsidRPr="008B009B">
        <w:rPr>
          <w:color w:val="000000" w:themeColor="text1"/>
          <w:vertAlign w:val="superscript"/>
        </w:rPr>
        <w:t>rd</w:t>
      </w:r>
      <w:r w:rsidRPr="008B009B">
        <w:rPr>
          <w:color w:val="000000" w:themeColor="text1"/>
        </w:rPr>
        <w:t>, 2026)</w:t>
      </w:r>
      <w:r w:rsidRPr="008B009B">
        <w:rPr>
          <w:rStyle w:val="FootnoteReference"/>
          <w:rFonts w:eastAsia="Calibri"/>
          <w:color w:val="000000" w:themeColor="text1"/>
        </w:rPr>
        <w:footnoteReference w:id="35"/>
      </w:r>
      <w:r w:rsidRPr="008B009B">
        <w:rPr>
          <w:color w:val="000000" w:themeColor="text1"/>
        </w:rPr>
        <w:t>, authorities detected 1,221 cases of environmental violations in 31 out of 34 localities</w:t>
      </w:r>
      <w:r w:rsidRPr="008B009B">
        <w:rPr>
          <w:rStyle w:val="FootnoteReference"/>
          <w:color w:val="000000" w:themeColor="text1"/>
        </w:rPr>
        <w:footnoteReference w:id="36"/>
      </w:r>
      <w:r w:rsidRPr="008B009B">
        <w:rPr>
          <w:color w:val="000000" w:themeColor="text1"/>
        </w:rPr>
        <w:t>, of which, 1,138 cases were addressed with total fines of 21.6 billion VND, representing a month-on-month increase of 0.3% and a year-on-year increase of 46.2%. Overall, in eight months of 2026, authorities detected 12,770 cases of environmental violations, of which, 10,015 cases were addressed with total fines of 187.7 billion VND, representing a year-on-year increase of 31.7%.</w:t>
      </w:r>
    </w:p>
    <w:p w14:paraId="4A416EA2" w14:textId="48D1E379" w:rsidR="00365923" w:rsidRPr="008B009B" w:rsidRDefault="00365923" w:rsidP="00365923">
      <w:pPr>
        <w:tabs>
          <w:tab w:val="left" w:pos="426"/>
          <w:tab w:val="left" w:pos="900"/>
        </w:tabs>
        <w:spacing w:after="120" w:line="252" w:lineRule="auto"/>
        <w:ind w:firstLine="720"/>
        <w:jc w:val="both"/>
        <w:rPr>
          <w:rFonts w:eastAsia="Calibri"/>
          <w:b/>
          <w:i/>
          <w:color w:val="000000" w:themeColor="text1"/>
        </w:rPr>
      </w:pPr>
      <w:r w:rsidRPr="008B009B">
        <w:rPr>
          <w:color w:val="000000" w:themeColor="text1"/>
        </w:rPr>
        <w:lastRenderedPageBreak/>
        <w:t>During the month (from July 15</w:t>
      </w:r>
      <w:r w:rsidRPr="008B009B">
        <w:rPr>
          <w:color w:val="000000" w:themeColor="text1"/>
          <w:vertAlign w:val="superscript"/>
        </w:rPr>
        <w:t>th</w:t>
      </w:r>
      <w:r w:rsidRPr="008B009B">
        <w:rPr>
          <w:color w:val="000000" w:themeColor="text1"/>
        </w:rPr>
        <w:t xml:space="preserve"> to August 14</w:t>
      </w:r>
      <w:r w:rsidRPr="008B009B">
        <w:rPr>
          <w:color w:val="000000" w:themeColor="text1"/>
          <w:vertAlign w:val="superscript"/>
        </w:rPr>
        <w:t>th</w:t>
      </w:r>
      <w:r w:rsidRPr="008B009B">
        <w:rPr>
          <w:color w:val="000000" w:themeColor="text1"/>
        </w:rPr>
        <w:t>, 2026)</w:t>
      </w:r>
      <w:r w:rsidRPr="008B009B">
        <w:rPr>
          <w:rStyle w:val="FootnoteReference"/>
          <w:rFonts w:eastAsia="Calibri"/>
          <w:color w:val="000000" w:themeColor="text1"/>
        </w:rPr>
        <w:footnoteReference w:id="37"/>
      </w:r>
      <w:r w:rsidRPr="008B009B">
        <w:rPr>
          <w:color w:val="000000" w:themeColor="text1"/>
        </w:rPr>
        <w:t xml:space="preserve">, 249 cases of fire and explosion occurred nationwide, causing 4 deaths and 12 injuries, with estimated losses of 16.4 billion VND, a decrease of 40.6% </w:t>
      </w:r>
      <w:r w:rsidR="001E0CB7" w:rsidRPr="008B009B">
        <w:rPr>
          <w:color w:val="000000" w:themeColor="text1"/>
        </w:rPr>
        <w:t xml:space="preserve">MoM </w:t>
      </w:r>
      <w:r w:rsidRPr="008B009B">
        <w:rPr>
          <w:color w:val="000000" w:themeColor="text1"/>
        </w:rPr>
        <w:t>and a decrease of 49.6%</w:t>
      </w:r>
      <w:r w:rsidR="001E0CB7">
        <w:rPr>
          <w:color w:val="000000" w:themeColor="text1"/>
        </w:rPr>
        <w:t xml:space="preserve"> </w:t>
      </w:r>
      <w:r w:rsidR="001E0CB7" w:rsidRPr="008B009B">
        <w:rPr>
          <w:color w:val="000000" w:themeColor="text1"/>
        </w:rPr>
        <w:t>YoY</w:t>
      </w:r>
      <w:r w:rsidRPr="008B009B">
        <w:rPr>
          <w:color w:val="000000" w:themeColor="text1"/>
        </w:rPr>
        <w:t xml:space="preserve">. Overall, in eight months of 2026, there were 2,001 cases of fire and explosion nationwide, causing 64 deaths and 94 injuries, with estimated </w:t>
      </w:r>
      <w:r w:rsidRPr="008B009B">
        <w:rPr>
          <w:color w:val="000000" w:themeColor="text1"/>
          <w:spacing w:val="-6"/>
        </w:rPr>
        <w:t>damages of 618.6 billion VND, nearly 3.2 times higher than the same period last year.</w:t>
      </w:r>
    </w:p>
    <w:tbl>
      <w:tblPr>
        <w:tblStyle w:val="TableGrid1"/>
        <w:tblpPr w:leftFromText="181" w:rightFromText="181" w:vertAnchor="text" w:tblpX="108"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564"/>
      </w:tblGrid>
      <w:tr w:rsidR="00365923" w:rsidRPr="008B009B" w14:paraId="23BAFBF6" w14:textId="77777777" w:rsidTr="001F5E5E">
        <w:tc>
          <w:tcPr>
            <w:tcW w:w="4533" w:type="dxa"/>
          </w:tcPr>
          <w:p w14:paraId="4B3E1A83" w14:textId="77777777" w:rsidR="00365923" w:rsidRPr="008B009B" w:rsidRDefault="00365923" w:rsidP="001F5E5E">
            <w:pPr>
              <w:ind w:left="-57"/>
              <w:rPr>
                <w:rFonts w:eastAsia="Calibri"/>
                <w:b/>
                <w:i/>
                <w:sz w:val="24"/>
                <w:szCs w:val="22"/>
                <w:lang w:val="en-US"/>
              </w:rPr>
            </w:pPr>
            <w:r w:rsidRPr="008B009B">
              <w:rPr>
                <w:rFonts w:eastAsia="Calibri"/>
                <w:b/>
                <w:i/>
                <w:sz w:val="24"/>
                <w:szCs w:val="22"/>
                <w:lang w:val="en-US"/>
              </w:rPr>
              <w:t>Recipients:</w:t>
            </w:r>
          </w:p>
          <w:p w14:paraId="288BEF61"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General Secretary;</w:t>
            </w:r>
          </w:p>
          <w:p w14:paraId="1B6B2346"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President;</w:t>
            </w:r>
          </w:p>
          <w:p w14:paraId="7834EF65"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Chairperson of the National Assembly;</w:t>
            </w:r>
          </w:p>
          <w:p w14:paraId="21D0F406"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Prime Minister;</w:t>
            </w:r>
          </w:p>
          <w:p w14:paraId="682E473E"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Deputy Prime Ministers;</w:t>
            </w:r>
          </w:p>
          <w:p w14:paraId="52701726"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Leaders of Ministry of Finance;</w:t>
            </w:r>
          </w:p>
          <w:p w14:paraId="3134EFC9"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Agencies under the Central Committee of the Party;</w:t>
            </w:r>
          </w:p>
          <w:p w14:paraId="56DFC9D6"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Office of the President;</w:t>
            </w:r>
          </w:p>
          <w:p w14:paraId="624EEC15"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Agencies under the National Assembly;</w:t>
            </w:r>
          </w:p>
          <w:p w14:paraId="08C3DD90"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Ministries and Ministerial-level Agencies, Government agency;</w:t>
            </w:r>
          </w:p>
          <w:p w14:paraId="5D17A16C"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The Supreme People’s Court of the Socialist Republic of Viet Nam;</w:t>
            </w:r>
          </w:p>
          <w:p w14:paraId="6E988A57"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The Supreme People's Procuracy;</w:t>
            </w:r>
          </w:p>
          <w:p w14:paraId="6D003133"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Central mass organizations;</w:t>
            </w:r>
          </w:p>
          <w:p w14:paraId="3B6C6CA3"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Provinces and centrally governed cities;</w:t>
            </w:r>
          </w:p>
          <w:p w14:paraId="49906D79"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Viet Nam Chamber of Commerce and Industry (VCCI);</w:t>
            </w:r>
          </w:p>
          <w:p w14:paraId="44C4A701"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Units under the Ministry of Finance;</w:t>
            </w:r>
          </w:p>
          <w:p w14:paraId="4747A85B"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News agencies and presses;</w:t>
            </w:r>
          </w:p>
          <w:p w14:paraId="2312807B"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Units under the National Statistics Office;</w:t>
            </w:r>
          </w:p>
          <w:p w14:paraId="17D7A4DC" w14:textId="77777777" w:rsidR="00365923" w:rsidRPr="008B009B" w:rsidRDefault="00365923" w:rsidP="001F5E5E">
            <w:pPr>
              <w:ind w:left="-57"/>
              <w:rPr>
                <w:rFonts w:eastAsia="Calibri"/>
                <w:sz w:val="22"/>
                <w:szCs w:val="22"/>
                <w:lang w:val="en-US"/>
              </w:rPr>
            </w:pPr>
            <w:r w:rsidRPr="008B009B">
              <w:rPr>
                <w:rFonts w:eastAsia="Calibri"/>
                <w:sz w:val="22"/>
                <w:szCs w:val="22"/>
                <w:lang w:val="en-US"/>
              </w:rPr>
              <w:t xml:space="preserve">- Archives: Office Administration, Integrated Statistics and Foreign Affairs Department. </w:t>
            </w:r>
          </w:p>
        </w:tc>
        <w:tc>
          <w:tcPr>
            <w:tcW w:w="4646" w:type="dxa"/>
          </w:tcPr>
          <w:p w14:paraId="46DC4BE9" w14:textId="77777777" w:rsidR="00365923" w:rsidRPr="008B009B" w:rsidRDefault="00365923" w:rsidP="001F5E5E">
            <w:pPr>
              <w:ind w:firstLine="894"/>
              <w:jc w:val="center"/>
              <w:rPr>
                <w:rFonts w:eastAsia="Calibri"/>
                <w:b/>
                <w:bCs/>
                <w:lang w:val="en-US"/>
              </w:rPr>
            </w:pPr>
            <w:r w:rsidRPr="008B009B">
              <w:rPr>
                <w:b/>
                <w:bCs/>
                <w:lang w:val="en-US"/>
              </w:rPr>
              <w:t xml:space="preserve">DIRECTOR GENERAL </w:t>
            </w:r>
          </w:p>
          <w:p w14:paraId="0C590822" w14:textId="77777777" w:rsidR="00365923" w:rsidRPr="008B009B" w:rsidRDefault="00365923" w:rsidP="001F5E5E">
            <w:pPr>
              <w:ind w:firstLine="894"/>
              <w:jc w:val="center"/>
              <w:rPr>
                <w:rFonts w:eastAsia="Calibri"/>
                <w:b/>
                <w:bCs/>
                <w:lang w:val="en-US"/>
              </w:rPr>
            </w:pPr>
          </w:p>
          <w:p w14:paraId="4E99B5B3" w14:textId="77777777" w:rsidR="00365923" w:rsidRPr="008B009B" w:rsidRDefault="00365923" w:rsidP="001F5E5E">
            <w:pPr>
              <w:ind w:firstLine="894"/>
              <w:jc w:val="center"/>
              <w:rPr>
                <w:rFonts w:eastAsia="Calibri"/>
                <w:b/>
                <w:bCs/>
                <w:lang w:val="en-US"/>
              </w:rPr>
            </w:pPr>
          </w:p>
          <w:p w14:paraId="79DC7A73" w14:textId="77777777" w:rsidR="00365923" w:rsidRPr="008B009B" w:rsidRDefault="00365923" w:rsidP="001F5E5E">
            <w:pPr>
              <w:ind w:firstLine="894"/>
              <w:jc w:val="center"/>
              <w:rPr>
                <w:rFonts w:eastAsia="Calibri"/>
                <w:b/>
                <w:bCs/>
                <w:lang w:val="en-US"/>
              </w:rPr>
            </w:pPr>
          </w:p>
          <w:p w14:paraId="1A529999" w14:textId="77777777" w:rsidR="00365923" w:rsidRPr="008B009B" w:rsidRDefault="00365923" w:rsidP="001F5E5E">
            <w:pPr>
              <w:ind w:firstLine="894"/>
              <w:jc w:val="center"/>
              <w:rPr>
                <w:rFonts w:eastAsia="Calibri"/>
                <w:b/>
                <w:bCs/>
                <w:lang w:val="en-US"/>
              </w:rPr>
            </w:pPr>
          </w:p>
          <w:p w14:paraId="6DDB33F5" w14:textId="77777777" w:rsidR="00365923" w:rsidRPr="008B009B" w:rsidRDefault="00365923" w:rsidP="001F5E5E">
            <w:pPr>
              <w:ind w:firstLine="894"/>
              <w:jc w:val="center"/>
              <w:rPr>
                <w:rFonts w:eastAsia="Calibri"/>
                <w:b/>
                <w:bCs/>
                <w:lang w:val="en-US"/>
              </w:rPr>
            </w:pPr>
          </w:p>
          <w:p w14:paraId="0D6532BF" w14:textId="77777777" w:rsidR="00365923" w:rsidRPr="008B009B" w:rsidRDefault="00365923" w:rsidP="001F5E5E">
            <w:pPr>
              <w:ind w:firstLine="894"/>
              <w:jc w:val="center"/>
              <w:rPr>
                <w:rFonts w:eastAsia="Calibri"/>
                <w:b/>
                <w:bCs/>
                <w:lang w:val="en-US"/>
              </w:rPr>
            </w:pPr>
          </w:p>
          <w:p w14:paraId="7E587CDC" w14:textId="77777777" w:rsidR="00365923" w:rsidRPr="008B009B" w:rsidRDefault="00365923" w:rsidP="001F5E5E">
            <w:pPr>
              <w:ind w:firstLine="894"/>
              <w:jc w:val="center"/>
              <w:rPr>
                <w:rFonts w:eastAsia="Calibri"/>
                <w:b/>
                <w:i/>
                <w:sz w:val="24"/>
                <w:szCs w:val="22"/>
                <w:lang w:val="en-US"/>
              </w:rPr>
            </w:pPr>
            <w:r w:rsidRPr="008B009B">
              <w:rPr>
                <w:b/>
                <w:bCs/>
                <w:lang w:val="en-US"/>
              </w:rPr>
              <w:t>Nguyen Thi Huong</w:t>
            </w:r>
          </w:p>
        </w:tc>
      </w:tr>
    </w:tbl>
    <w:p w14:paraId="5760BF8B" w14:textId="77777777" w:rsidR="00365923" w:rsidRPr="008B009B" w:rsidRDefault="00365923" w:rsidP="00365923"/>
    <w:p w14:paraId="3EC86DC2" w14:textId="77777777" w:rsidR="00163059" w:rsidRPr="008B009B" w:rsidRDefault="00163059"/>
    <w:sectPr w:rsidR="00163059" w:rsidRPr="008B009B" w:rsidSect="009E6614">
      <w:headerReference w:type="default" r:id="rId28"/>
      <w:pgSz w:w="11907" w:h="16840" w:code="9"/>
      <w:pgMar w:top="1077" w:right="1134" w:bottom="1134" w:left="179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0C4C4" w14:textId="77777777" w:rsidR="00682614" w:rsidRDefault="00682614" w:rsidP="00053768">
      <w:r>
        <w:separator/>
      </w:r>
    </w:p>
  </w:endnote>
  <w:endnote w:type="continuationSeparator" w:id="0">
    <w:p w14:paraId="672000FA" w14:textId="77777777" w:rsidR="00682614" w:rsidRDefault="00682614" w:rsidP="0005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A362D" w14:textId="77777777" w:rsidR="00682614" w:rsidRDefault="00682614" w:rsidP="00053768">
      <w:r>
        <w:separator/>
      </w:r>
    </w:p>
  </w:footnote>
  <w:footnote w:type="continuationSeparator" w:id="0">
    <w:p w14:paraId="164D198A" w14:textId="77777777" w:rsidR="00682614" w:rsidRDefault="00682614" w:rsidP="00053768">
      <w:r>
        <w:continuationSeparator/>
      </w:r>
    </w:p>
  </w:footnote>
  <w:footnote w:id="1">
    <w:p w14:paraId="12ABEA13" w14:textId="77777777" w:rsidR="001F5E5E" w:rsidRPr="00C272C0" w:rsidRDefault="001F5E5E" w:rsidP="00FA23B0">
      <w:pPr>
        <w:pStyle w:val="FootnoteText"/>
        <w:spacing w:after="40"/>
        <w:ind w:left="142" w:hanging="142"/>
        <w:jc w:val="both"/>
        <w:rPr>
          <w:lang w:val="sv-SE"/>
        </w:rPr>
      </w:pPr>
      <w:r>
        <w:rPr>
          <w:rStyle w:val="FootnoteReference"/>
        </w:rPr>
        <w:footnoteRef/>
      </w:r>
      <w:r>
        <w:rPr>
          <w:lang w:val="sv-SE"/>
        </w:rPr>
        <w:t xml:space="preserve"> </w:t>
      </w:r>
      <w:r w:rsidRPr="00F03E35">
        <w:rPr>
          <w:lang w:val="pt-BR"/>
        </w:rPr>
        <w:t xml:space="preserve">Dong Thap converted 1,237.3 hectares </w:t>
      </w:r>
      <w:r>
        <w:rPr>
          <w:lang w:val="pt-BR"/>
        </w:rPr>
        <w:t xml:space="preserve">of rice land </w:t>
      </w:r>
      <w:r w:rsidRPr="00F03E35">
        <w:rPr>
          <w:lang w:val="pt-BR"/>
        </w:rPr>
        <w:t>to annual crops and 5,189.2 hectares to perennial crops; Vinh Long converted 2,532.7 hectares</w:t>
      </w:r>
      <w:r>
        <w:rPr>
          <w:lang w:val="pt-BR"/>
        </w:rPr>
        <w:t xml:space="preserve"> of rice land</w:t>
      </w:r>
      <w:r w:rsidRPr="00F03E35">
        <w:rPr>
          <w:lang w:val="pt-BR"/>
        </w:rPr>
        <w:t xml:space="preserve"> to perennial crops.</w:t>
      </w:r>
    </w:p>
  </w:footnote>
  <w:footnote w:id="2">
    <w:p w14:paraId="683F8AC8" w14:textId="77777777" w:rsidR="001F5E5E" w:rsidRPr="00C272C0" w:rsidRDefault="001F5E5E" w:rsidP="00FA23B0">
      <w:pPr>
        <w:pStyle w:val="FootnoteText"/>
        <w:spacing w:after="40"/>
        <w:ind w:left="142" w:hanging="142"/>
        <w:jc w:val="both"/>
        <w:rPr>
          <w:lang w:val="sv-SE"/>
        </w:rPr>
      </w:pPr>
      <w:r w:rsidRPr="00C272C0">
        <w:rPr>
          <w:rStyle w:val="FootnoteReference"/>
        </w:rPr>
        <w:footnoteRef/>
      </w:r>
      <w:r w:rsidRPr="00C272C0">
        <w:rPr>
          <w:lang w:val="sv-SE"/>
        </w:rPr>
        <w:t xml:space="preserve"> </w:t>
      </w:r>
      <w:r w:rsidRPr="00F03E35">
        <w:rPr>
          <w:lang w:val="sv-SE"/>
        </w:rPr>
        <w:t>Ha Tinh: 1,455 h</w:t>
      </w:r>
      <w:r>
        <w:rPr>
          <w:lang w:val="sv-SE"/>
        </w:rPr>
        <w:t>ectares;</w:t>
      </w:r>
      <w:r w:rsidRPr="00F03E35">
        <w:rPr>
          <w:lang w:val="sv-SE"/>
        </w:rPr>
        <w:t xml:space="preserve"> Quang Ngai: 127.3 h</w:t>
      </w:r>
      <w:r>
        <w:rPr>
          <w:lang w:val="sv-SE"/>
        </w:rPr>
        <w:t>ectares</w:t>
      </w:r>
      <w:r w:rsidRPr="00F03E35">
        <w:rPr>
          <w:lang w:val="sv-SE"/>
        </w:rPr>
        <w:t>; Quang Tri: 110 h</w:t>
      </w:r>
      <w:r>
        <w:rPr>
          <w:lang w:val="sv-SE"/>
        </w:rPr>
        <w:t>ect</w:t>
      </w:r>
      <w:r w:rsidRPr="00F03E35">
        <w:rPr>
          <w:lang w:val="sv-SE"/>
        </w:rPr>
        <w:t>a</w:t>
      </w:r>
      <w:r>
        <w:rPr>
          <w:lang w:val="sv-SE"/>
        </w:rPr>
        <w:t>res</w:t>
      </w:r>
      <w:r w:rsidRPr="00F03E35">
        <w:rPr>
          <w:lang w:val="sv-SE"/>
        </w:rPr>
        <w:t>.</w:t>
      </w:r>
    </w:p>
  </w:footnote>
  <w:footnote w:id="3">
    <w:p w14:paraId="68BBF71E" w14:textId="77777777" w:rsidR="001F5E5E" w:rsidRPr="00C272C0" w:rsidRDefault="001F5E5E" w:rsidP="00FA23B0">
      <w:pPr>
        <w:pStyle w:val="FootnoteText"/>
        <w:spacing w:after="40"/>
        <w:ind w:left="142" w:hanging="142"/>
        <w:jc w:val="both"/>
        <w:rPr>
          <w:lang w:val="sv-SE"/>
        </w:rPr>
      </w:pPr>
      <w:r w:rsidRPr="00BD0209">
        <w:rPr>
          <w:rStyle w:val="FootnoteReference"/>
        </w:rPr>
        <w:footnoteRef/>
      </w:r>
      <w:r w:rsidRPr="00C0759E">
        <w:rPr>
          <w:lang w:val="sv-SE"/>
        </w:rPr>
        <w:t xml:space="preserve"> </w:t>
      </w:r>
      <w:r>
        <w:rPr>
          <w:lang w:val="sv-SE"/>
        </w:rPr>
        <w:t xml:space="preserve">The conversion of land use purposes was as follows: </w:t>
      </w:r>
      <w:r w:rsidRPr="00B51038">
        <w:rPr>
          <w:bCs/>
          <w:iCs/>
          <w:lang w:val="de-DE"/>
        </w:rPr>
        <w:t>7.5 thousand hectares of</w:t>
      </w:r>
      <w:r>
        <w:rPr>
          <w:bCs/>
          <w:iCs/>
          <w:lang w:val="de-DE"/>
        </w:rPr>
        <w:t xml:space="preserve"> winter</w:t>
      </w:r>
      <w:r w:rsidRPr="00B51038">
        <w:rPr>
          <w:bCs/>
          <w:iCs/>
          <w:lang w:val="de-DE"/>
        </w:rPr>
        <w:t xml:space="preserve"> rice land to aquaculture; 1.8 thousand hectares to perennial crops; 1.2 thousand hectares to other annual crops; and 6.7 thousand hectares to non-agricultural land.</w:t>
      </w:r>
    </w:p>
  </w:footnote>
  <w:footnote w:id="4">
    <w:p w14:paraId="0E041949" w14:textId="77777777" w:rsidR="001F5E5E" w:rsidRPr="00C0759E" w:rsidRDefault="001F5E5E" w:rsidP="00FA23B0">
      <w:pPr>
        <w:pStyle w:val="FootnoteText"/>
        <w:spacing w:after="40"/>
        <w:ind w:left="142" w:hanging="142"/>
        <w:jc w:val="both"/>
        <w:rPr>
          <w:lang w:val="sv-SE"/>
        </w:rPr>
      </w:pPr>
      <w:r w:rsidRPr="00C272C0">
        <w:rPr>
          <w:rStyle w:val="FootnoteReference"/>
        </w:rPr>
        <w:footnoteRef/>
      </w:r>
      <w:r w:rsidRPr="00C272C0">
        <w:rPr>
          <w:lang w:val="sv-SE"/>
        </w:rPr>
        <w:t xml:space="preserve"> </w:t>
      </w:r>
      <w:r>
        <w:rPr>
          <w:lang w:val="sv-SE"/>
        </w:rPr>
        <w:t xml:space="preserve">The </w:t>
      </w:r>
      <w:r w:rsidRPr="00B51038">
        <w:rPr>
          <w:lang w:val="sv-SE"/>
        </w:rPr>
        <w:t>uncultivable</w:t>
      </w:r>
      <w:r>
        <w:rPr>
          <w:lang w:val="sv-SE"/>
        </w:rPr>
        <w:t xml:space="preserve"> area of winter rice was as follows: </w:t>
      </w:r>
      <w:r w:rsidRPr="00B51038">
        <w:rPr>
          <w:lang w:val="de-DE"/>
        </w:rPr>
        <w:t xml:space="preserve">Thanh Hoa </w:t>
      </w:r>
      <w:r>
        <w:rPr>
          <w:lang w:val="de-DE"/>
        </w:rPr>
        <w:t xml:space="preserve">(-4.2) </w:t>
      </w:r>
      <w:r w:rsidRPr="00B51038">
        <w:rPr>
          <w:lang w:val="de-DE"/>
        </w:rPr>
        <w:t>thousand hectares due to land located in low-lying areas prone to frequent flooding; Lao Cai and Gia Lai</w:t>
      </w:r>
      <w:r>
        <w:rPr>
          <w:lang w:val="de-DE"/>
        </w:rPr>
        <w:t xml:space="preserve"> (-</w:t>
      </w:r>
      <w:r w:rsidRPr="00B51038">
        <w:rPr>
          <w:lang w:val="de-DE"/>
        </w:rPr>
        <w:t>8.7</w:t>
      </w:r>
      <w:r>
        <w:rPr>
          <w:lang w:val="de-DE"/>
        </w:rPr>
        <w:t>)</w:t>
      </w:r>
      <w:r w:rsidRPr="00B51038">
        <w:rPr>
          <w:lang w:val="de-DE"/>
        </w:rPr>
        <w:t xml:space="preserve"> thousand and </w:t>
      </w:r>
      <w:r>
        <w:rPr>
          <w:lang w:val="de-DE"/>
        </w:rPr>
        <w:t>(-</w:t>
      </w:r>
      <w:r w:rsidRPr="00B51038">
        <w:rPr>
          <w:lang w:val="de-DE"/>
        </w:rPr>
        <w:t>9.8</w:t>
      </w:r>
      <w:r>
        <w:rPr>
          <w:lang w:val="de-DE"/>
        </w:rPr>
        <w:t>)</w:t>
      </w:r>
      <w:r w:rsidRPr="00B51038">
        <w:rPr>
          <w:lang w:val="de-DE"/>
        </w:rPr>
        <w:t xml:space="preserve"> thousand hectares, respectively, as late harvests from the previous </w:t>
      </w:r>
      <w:r>
        <w:rPr>
          <w:lang w:val="de-DE"/>
        </w:rPr>
        <w:t xml:space="preserve">crop </w:t>
      </w:r>
      <w:r w:rsidRPr="00B51038">
        <w:rPr>
          <w:lang w:val="de-DE"/>
        </w:rPr>
        <w:t xml:space="preserve">delayed </w:t>
      </w:r>
      <w:r>
        <w:rPr>
          <w:lang w:val="de-DE"/>
        </w:rPr>
        <w:t>crop calendar</w:t>
      </w:r>
      <w:r w:rsidRPr="00B51038">
        <w:rPr>
          <w:lang w:val="de-DE"/>
        </w:rPr>
        <w:t xml:space="preserve">; and Ca Mau </w:t>
      </w:r>
      <w:r>
        <w:rPr>
          <w:lang w:val="de-DE"/>
        </w:rPr>
        <w:t>(-</w:t>
      </w:r>
      <w:r w:rsidRPr="00B51038">
        <w:rPr>
          <w:lang w:val="de-DE"/>
        </w:rPr>
        <w:t>2.1</w:t>
      </w:r>
      <w:r>
        <w:rPr>
          <w:lang w:val="de-DE"/>
        </w:rPr>
        <w:t>)</w:t>
      </w:r>
      <w:r w:rsidRPr="00B51038">
        <w:rPr>
          <w:lang w:val="de-DE"/>
        </w:rPr>
        <w:t xml:space="preserve"> thousand hectares due to high tides affecting production conditions.</w:t>
      </w:r>
    </w:p>
  </w:footnote>
  <w:footnote w:id="5">
    <w:p w14:paraId="4E4AC1C3" w14:textId="2B0ACD9F" w:rsidR="001F5E5E" w:rsidRPr="0084742C" w:rsidRDefault="001F5E5E" w:rsidP="00FA23B0">
      <w:pPr>
        <w:pStyle w:val="FootnoteText"/>
        <w:spacing w:after="40"/>
        <w:ind w:left="142" w:hanging="142"/>
        <w:jc w:val="both"/>
      </w:pPr>
      <w:r w:rsidRPr="0084742C">
        <w:rPr>
          <w:rStyle w:val="FootnoteReference"/>
        </w:rPr>
        <w:footnoteRef/>
      </w:r>
      <w:r w:rsidRPr="0084742C">
        <w:t xml:space="preserve">Localities recorded with a </w:t>
      </w:r>
      <w:r>
        <w:t>slump</w:t>
      </w:r>
      <w:r w:rsidRPr="0084742C">
        <w:t xml:space="preserve"> of </w:t>
      </w:r>
      <w:r>
        <w:t xml:space="preserve">new </w:t>
      </w:r>
      <w:r w:rsidRPr="0084742C">
        <w:t xml:space="preserve">afforestation progress, </w:t>
      </w:r>
      <w:r>
        <w:t xml:space="preserve">YoY </w:t>
      </w:r>
      <w:r w:rsidRPr="0084742C">
        <w:t xml:space="preserve">including </w:t>
      </w:r>
      <w:r>
        <w:t>Quang Ninh</w:t>
      </w:r>
      <w:r w:rsidRPr="0084742C">
        <w:t xml:space="preserve"> (</w:t>
      </w:r>
      <w:r>
        <w:t>-84</w:t>
      </w:r>
      <w:r w:rsidRPr="0084742C">
        <w:t>.</w:t>
      </w:r>
      <w:r>
        <w:t>6</w:t>
      </w:r>
      <w:r w:rsidRPr="0084742C">
        <w:t xml:space="preserve">%), </w:t>
      </w:r>
      <w:r>
        <w:t>Son La</w:t>
      </w:r>
      <w:r w:rsidRPr="0084742C">
        <w:t xml:space="preserve"> (</w:t>
      </w:r>
      <w:r>
        <w:t>70</w:t>
      </w:r>
      <w:r w:rsidRPr="0084742C">
        <w:t>.</w:t>
      </w:r>
      <w:r>
        <w:t>8</w:t>
      </w:r>
      <w:r w:rsidRPr="0084742C">
        <w:t xml:space="preserve">%), </w:t>
      </w:r>
      <w:r>
        <w:t>Ha Tinh</w:t>
      </w:r>
      <w:r w:rsidRPr="0084742C">
        <w:t xml:space="preserve"> (</w:t>
      </w:r>
      <w:r>
        <w:t>-6</w:t>
      </w:r>
      <w:r w:rsidRPr="0084742C">
        <w:t>4.</w:t>
      </w:r>
      <w:r>
        <w:t>1</w:t>
      </w:r>
      <w:r w:rsidRPr="0084742C">
        <w:t xml:space="preserve">%), and </w:t>
      </w:r>
      <w:r>
        <w:t>Ca Mau</w:t>
      </w:r>
      <w:r w:rsidRPr="0084742C">
        <w:t xml:space="preserve"> (</w:t>
      </w:r>
      <w:r>
        <w:t>-</w:t>
      </w:r>
      <w:r w:rsidRPr="0084742C">
        <w:t>3</w:t>
      </w:r>
      <w:r>
        <w:t>0.2</w:t>
      </w:r>
      <w:r w:rsidRPr="0084742C">
        <w:t xml:space="preserve">%). </w:t>
      </w:r>
    </w:p>
  </w:footnote>
  <w:footnote w:id="6">
    <w:p w14:paraId="24F8312E" w14:textId="17530F0B" w:rsidR="001F5E5E" w:rsidRPr="007B1B85" w:rsidRDefault="001F5E5E" w:rsidP="00FA23B0">
      <w:pPr>
        <w:pStyle w:val="FootnoteText"/>
        <w:spacing w:after="40"/>
        <w:ind w:left="142" w:hanging="142"/>
        <w:jc w:val="both"/>
        <w:rPr>
          <w:lang w:val="sv-SE"/>
        </w:rPr>
      </w:pPr>
      <w:r>
        <w:rPr>
          <w:rStyle w:val="FootnoteReference"/>
        </w:rPr>
        <w:footnoteRef/>
      </w:r>
      <w:r>
        <w:t xml:space="preserve"> </w:t>
      </w:r>
      <w:r w:rsidRPr="00327A5D">
        <w:t xml:space="preserve"> </w:t>
      </w:r>
      <w:r>
        <w:t>L</w:t>
      </w:r>
      <w:r w:rsidRPr="00327A5D">
        <w:rPr>
          <w:lang w:val="sv-SE"/>
        </w:rPr>
        <w:t xml:space="preserve">ocalities recorded a </w:t>
      </w:r>
      <w:r>
        <w:rPr>
          <w:lang w:val="sv-SE"/>
        </w:rPr>
        <w:t xml:space="preserve">surge </w:t>
      </w:r>
      <w:r w:rsidRPr="00327A5D">
        <w:rPr>
          <w:lang w:val="sv-SE"/>
        </w:rPr>
        <w:t xml:space="preserve">in </w:t>
      </w:r>
      <w:r>
        <w:rPr>
          <w:lang w:val="sv-SE"/>
        </w:rPr>
        <w:t>wood production, YoY, including</w:t>
      </w:r>
      <w:r w:rsidRPr="00327A5D">
        <w:rPr>
          <w:lang w:val="sv-SE"/>
        </w:rPr>
        <w:t>: Lang Son</w:t>
      </w:r>
      <w:r>
        <w:rPr>
          <w:lang w:val="sv-SE"/>
        </w:rPr>
        <w:t xml:space="preserve"> (+</w:t>
      </w:r>
      <w:r w:rsidRPr="00327A5D">
        <w:rPr>
          <w:lang w:val="sv-SE"/>
        </w:rPr>
        <w:t>16.1%</w:t>
      </w:r>
      <w:r>
        <w:rPr>
          <w:lang w:val="sv-SE"/>
        </w:rPr>
        <w:t>)</w:t>
      </w:r>
      <w:r w:rsidRPr="00327A5D">
        <w:rPr>
          <w:lang w:val="sv-SE"/>
        </w:rPr>
        <w:t xml:space="preserve">, Tuyen Quang </w:t>
      </w:r>
      <w:r>
        <w:rPr>
          <w:lang w:val="sv-SE"/>
        </w:rPr>
        <w:t>(+</w:t>
      </w:r>
      <w:r w:rsidRPr="00327A5D">
        <w:rPr>
          <w:lang w:val="sv-SE"/>
        </w:rPr>
        <w:t>11.8%</w:t>
      </w:r>
      <w:r>
        <w:rPr>
          <w:lang w:val="sv-SE"/>
        </w:rPr>
        <w:t>)</w:t>
      </w:r>
      <w:r w:rsidRPr="00327A5D">
        <w:rPr>
          <w:lang w:val="sv-SE"/>
        </w:rPr>
        <w:t xml:space="preserve">, Nghe An </w:t>
      </w:r>
      <w:r>
        <w:rPr>
          <w:lang w:val="sv-SE"/>
        </w:rPr>
        <w:t xml:space="preserve"> (+</w:t>
      </w:r>
      <w:r w:rsidRPr="00327A5D">
        <w:rPr>
          <w:lang w:val="sv-SE"/>
        </w:rPr>
        <w:t>11.6%</w:t>
      </w:r>
      <w:r>
        <w:rPr>
          <w:lang w:val="sv-SE"/>
        </w:rPr>
        <w:t>)</w:t>
      </w:r>
      <w:r w:rsidRPr="00327A5D">
        <w:rPr>
          <w:lang w:val="sv-SE"/>
        </w:rPr>
        <w:t>, and Quang Tri</w:t>
      </w:r>
      <w:r>
        <w:rPr>
          <w:lang w:val="sv-SE"/>
        </w:rPr>
        <w:t xml:space="preserve"> (</w:t>
      </w:r>
      <w:r w:rsidRPr="00327A5D">
        <w:rPr>
          <w:lang w:val="sv-SE"/>
        </w:rPr>
        <w:t xml:space="preserve"> </w:t>
      </w:r>
      <w:r>
        <w:rPr>
          <w:lang w:val="sv-SE"/>
        </w:rPr>
        <w:t>+</w:t>
      </w:r>
      <w:r w:rsidRPr="00327A5D">
        <w:rPr>
          <w:lang w:val="sv-SE"/>
        </w:rPr>
        <w:t>8.8%</w:t>
      </w:r>
      <w:r>
        <w:rPr>
          <w:lang w:val="sv-SE"/>
        </w:rPr>
        <w:t>)</w:t>
      </w:r>
      <w:r w:rsidRPr="00327A5D">
        <w:rPr>
          <w:lang w:val="sv-SE"/>
        </w:rPr>
        <w:t>.</w:t>
      </w:r>
    </w:p>
  </w:footnote>
  <w:footnote w:id="7">
    <w:p w14:paraId="6083754B" w14:textId="77777777" w:rsidR="001F5E5E" w:rsidRDefault="001F5E5E" w:rsidP="00FA23B0">
      <w:pPr>
        <w:pStyle w:val="FootnoteText"/>
        <w:spacing w:after="40"/>
        <w:ind w:left="142" w:hanging="142"/>
        <w:jc w:val="both"/>
      </w:pPr>
      <w:r>
        <w:rPr>
          <w:rStyle w:val="FootnoteReference"/>
        </w:rPr>
        <w:footnoteRef/>
      </w:r>
      <w:r>
        <w:t xml:space="preserve"> Figures released by </w:t>
      </w:r>
      <w:r w:rsidRPr="00327A5D">
        <w:t>Ministry of Agriculture and Environment as of August 15, 2026.</w:t>
      </w:r>
    </w:p>
  </w:footnote>
  <w:footnote w:id="8">
    <w:p w14:paraId="2E37B84E" w14:textId="6DCEC63F" w:rsidR="001F5E5E" w:rsidRPr="00753E99" w:rsidRDefault="001F5E5E" w:rsidP="00FA23B0">
      <w:pPr>
        <w:pStyle w:val="FootnoteText"/>
        <w:spacing w:after="40"/>
        <w:ind w:left="142" w:hanging="142"/>
        <w:jc w:val="both"/>
        <w:rPr>
          <w:lang w:val="en-GB"/>
        </w:rPr>
      </w:pPr>
      <w:r>
        <w:rPr>
          <w:rStyle w:val="FootnoteReference"/>
        </w:rPr>
        <w:footnoteRef/>
      </w:r>
      <w:r>
        <w:t xml:space="preserve"> L</w:t>
      </w:r>
      <w:r w:rsidRPr="008146F6">
        <w:t xml:space="preserve">ocalities </w:t>
      </w:r>
      <w:r>
        <w:t xml:space="preserve">recorded a leap of damaged forest areas including </w:t>
      </w:r>
      <w:r w:rsidRPr="008146F6">
        <w:t>Gia Lai (</w:t>
      </w:r>
      <w:r>
        <w:t>+185 ha), Dak La</w:t>
      </w:r>
      <w:r w:rsidRPr="008146F6">
        <w:t>k (</w:t>
      </w:r>
      <w:r>
        <w:t>+18 ha), Da Na</w:t>
      </w:r>
      <w:r w:rsidRPr="008146F6">
        <w:t>ng (</w:t>
      </w:r>
      <w:r>
        <w:t>+</w:t>
      </w:r>
      <w:r w:rsidRPr="008146F6">
        <w:t xml:space="preserve">14 ha), and </w:t>
      </w:r>
      <w:r>
        <w:t>Dien</w:t>
      </w:r>
      <w:r w:rsidRPr="008146F6">
        <w:t xml:space="preserve"> B</w:t>
      </w:r>
      <w:r>
        <w:t>ien</w:t>
      </w:r>
      <w:r w:rsidRPr="008146F6">
        <w:t xml:space="preserve"> (</w:t>
      </w:r>
      <w:r>
        <w:t>+</w:t>
      </w:r>
      <w:r w:rsidRPr="008146F6">
        <w:t>6 ha).</w:t>
      </w:r>
    </w:p>
  </w:footnote>
  <w:footnote w:id="9">
    <w:p w14:paraId="2AA65E0E" w14:textId="77777777" w:rsidR="001F5E5E" w:rsidRDefault="001F5E5E" w:rsidP="00FA23B0">
      <w:pPr>
        <w:pStyle w:val="FootnoteText"/>
        <w:spacing w:after="40"/>
        <w:ind w:left="142" w:hanging="142"/>
        <w:jc w:val="both"/>
        <w:rPr>
          <w:lang w:val="vi-VN"/>
        </w:rPr>
      </w:pPr>
      <w:r>
        <w:rPr>
          <w:rStyle w:val="FootnoteReference"/>
        </w:rPr>
        <w:footnoteRef/>
      </w:r>
      <w:r>
        <w:t xml:space="preserve"> </w:t>
      </w:r>
      <w:r w:rsidRPr="00BD6585">
        <w:rPr>
          <w:lang w:val="it-IT"/>
        </w:rPr>
        <w:t xml:space="preserve">Source: </w:t>
      </w:r>
      <w:hyperlink r:id="rId1" w:history="1">
        <w:r w:rsidRPr="00223478">
          <w:rPr>
            <w:rStyle w:val="Hyperlink"/>
            <w:lang w:val="it-IT"/>
          </w:rPr>
          <w:t>http://vasep.com.vn/gia-thuy-san</w:t>
        </w:r>
      </w:hyperlink>
      <w:r>
        <w:rPr>
          <w:lang w:val="it-IT"/>
        </w:rPr>
        <w:t xml:space="preserve"> </w:t>
      </w:r>
      <w:r w:rsidRPr="00BD6585">
        <w:rPr>
          <w:lang w:val="it-IT"/>
        </w:rPr>
        <w:t xml:space="preserve">and from local reports. The price of raw pangasius (weighing 0.7–1.1 kg/fish) in the Mekong </w:t>
      </w:r>
      <w:r>
        <w:rPr>
          <w:lang w:val="it-IT"/>
        </w:rPr>
        <w:t xml:space="preserve">River </w:t>
      </w:r>
      <w:r w:rsidRPr="00BD6585">
        <w:rPr>
          <w:lang w:val="it-IT"/>
        </w:rPr>
        <w:t xml:space="preserve">Delta remained at 29,000–30,000 VND/kg. Pangasius exports in seven months of 2026 reached 1.3 billion USD, a 10% increase year-on-year; China remained the largest market, with export </w:t>
      </w:r>
      <w:r>
        <w:rPr>
          <w:lang w:val="it-IT"/>
        </w:rPr>
        <w:t xml:space="preserve">turnover </w:t>
      </w:r>
      <w:r w:rsidRPr="00BD6585">
        <w:rPr>
          <w:lang w:val="it-IT"/>
        </w:rPr>
        <w:t>rising by 31%.</w:t>
      </w:r>
    </w:p>
  </w:footnote>
  <w:footnote w:id="10">
    <w:p w14:paraId="4B731122" w14:textId="3D95EE4E" w:rsidR="001F5E5E" w:rsidRPr="001F76A6" w:rsidRDefault="001F5E5E" w:rsidP="00FA23B0">
      <w:pPr>
        <w:pStyle w:val="FootnoteText"/>
        <w:spacing w:after="40"/>
        <w:ind w:left="198" w:hanging="198"/>
        <w:jc w:val="both"/>
        <w:rPr>
          <w:lang w:val="en-GB"/>
        </w:rPr>
      </w:pPr>
      <w:r>
        <w:rPr>
          <w:rStyle w:val="FootnoteReference"/>
        </w:rPr>
        <w:footnoteRef/>
      </w:r>
      <w:r w:rsidRPr="008E6C7F">
        <w:rPr>
          <w:spacing w:val="-4"/>
          <w:lang w:val="en-GB"/>
        </w:rPr>
        <w:t xml:space="preserve">Source: </w:t>
      </w:r>
      <w:hyperlink r:id="rId2" w:history="1">
        <w:r w:rsidRPr="00223478">
          <w:rPr>
            <w:rStyle w:val="Hyperlink"/>
            <w:spacing w:val="-4"/>
            <w:lang w:val="en-GB"/>
          </w:rPr>
          <w:t>http://vasep.com.vn/gia-thuy-san</w:t>
        </w:r>
      </w:hyperlink>
      <w:r>
        <w:rPr>
          <w:spacing w:val="-4"/>
          <w:lang w:val="en-GB"/>
        </w:rPr>
        <w:t xml:space="preserve"> </w:t>
      </w:r>
      <w:r w:rsidRPr="008E6C7F">
        <w:rPr>
          <w:spacing w:val="-4"/>
          <w:lang w:val="en-GB"/>
        </w:rPr>
        <w:t xml:space="preserve"> </w:t>
      </w:r>
      <w:r>
        <w:rPr>
          <w:spacing w:val="-4"/>
          <w:lang w:val="en-GB"/>
        </w:rPr>
        <w:t>W</w:t>
      </w:r>
      <w:r w:rsidRPr="008E6C7F">
        <w:rPr>
          <w:spacing w:val="-4"/>
          <w:lang w:val="en-GB"/>
        </w:rPr>
        <w:t xml:space="preserve">hite leg shrimp </w:t>
      </w:r>
      <w:r>
        <w:rPr>
          <w:spacing w:val="-4"/>
          <w:lang w:val="en-GB"/>
        </w:rPr>
        <w:t xml:space="preserve">price </w:t>
      </w:r>
      <w:r w:rsidRPr="008E6C7F">
        <w:rPr>
          <w:spacing w:val="-4"/>
          <w:lang w:val="en-GB"/>
        </w:rPr>
        <w:t xml:space="preserve">in the Mekong </w:t>
      </w:r>
      <w:r>
        <w:rPr>
          <w:spacing w:val="-4"/>
          <w:lang w:val="en-GB"/>
        </w:rPr>
        <w:t xml:space="preserve">River </w:t>
      </w:r>
      <w:r w:rsidRPr="008E6C7F">
        <w:rPr>
          <w:spacing w:val="-4"/>
          <w:lang w:val="en-GB"/>
        </w:rPr>
        <w:t>Delta (sized 50–100 pieces/kg) ranged from 85,000 to 130,000 VND/kg, while black tiger shrimp</w:t>
      </w:r>
      <w:r>
        <w:rPr>
          <w:spacing w:val="-4"/>
          <w:lang w:val="en-GB"/>
        </w:rPr>
        <w:t xml:space="preserve"> price </w:t>
      </w:r>
      <w:r w:rsidRPr="008E6C7F">
        <w:rPr>
          <w:spacing w:val="-4"/>
          <w:lang w:val="en-GB"/>
        </w:rPr>
        <w:t xml:space="preserve">(sized 30–40 pieces/kg) ranged from 140,000 to 175,000 VND/kg. Shrimp exports in seven months of 2026 </w:t>
      </w:r>
      <w:r>
        <w:rPr>
          <w:spacing w:val="-4"/>
          <w:lang w:val="en-GB"/>
        </w:rPr>
        <w:t xml:space="preserve">estimated at </w:t>
      </w:r>
      <w:r w:rsidRPr="008E6C7F">
        <w:rPr>
          <w:spacing w:val="-4"/>
          <w:lang w:val="en-GB"/>
        </w:rPr>
        <w:t xml:space="preserve">2.8 billion USD, </w:t>
      </w:r>
      <w:r>
        <w:rPr>
          <w:spacing w:val="-4"/>
          <w:lang w:val="en-GB"/>
        </w:rPr>
        <w:t xml:space="preserve">a year-on year climb of </w:t>
      </w:r>
      <w:r w:rsidRPr="008E6C7F">
        <w:rPr>
          <w:spacing w:val="-4"/>
          <w:lang w:val="en-GB"/>
        </w:rPr>
        <w:t>13.5%</w:t>
      </w:r>
      <w:r>
        <w:rPr>
          <w:spacing w:val="-4"/>
          <w:lang w:val="en-GB"/>
        </w:rPr>
        <w:t>.</w:t>
      </w:r>
    </w:p>
  </w:footnote>
  <w:footnote w:id="11">
    <w:p w14:paraId="2DAF684B" w14:textId="77777777" w:rsidR="001F5E5E" w:rsidRPr="00B5167E" w:rsidRDefault="001F5E5E" w:rsidP="00C60EA1">
      <w:pPr>
        <w:pStyle w:val="FootnoteText"/>
        <w:rPr>
          <w:lang w:val="en-US"/>
        </w:rPr>
      </w:pPr>
      <w:r>
        <w:rPr>
          <w:rStyle w:val="FootnoteReference"/>
        </w:rPr>
        <w:footnoteRef/>
      </w:r>
      <w:r>
        <w:t xml:space="preserve"> </w:t>
      </w:r>
      <w:r w:rsidRPr="00B5167E">
        <w:t>The local month-on-month changes in IIP in August for the provinces and municipalities with large industrial production scales were as follows: Ho Chi Minh City up 4.3%; Can Tho up 4.2%; Dong Nai up 4.0%; Hai Phong up 3.9%; Bac Ninh up 2.9%; Da Nang up 2.8%; Vinh Long up 0.7%; Quang Ngai down 1.7%; and Quang Ninh down 2.8%.</w:t>
      </w:r>
    </w:p>
  </w:footnote>
  <w:footnote w:id="12">
    <w:p w14:paraId="3D40DF63" w14:textId="77777777" w:rsidR="001F5E5E" w:rsidRPr="00B5167E" w:rsidRDefault="001F5E5E" w:rsidP="00C60EA1">
      <w:pPr>
        <w:pStyle w:val="FootnoteText"/>
        <w:rPr>
          <w:lang w:val="en-US"/>
        </w:rPr>
      </w:pPr>
      <w:r>
        <w:rPr>
          <w:rStyle w:val="FootnoteReference"/>
        </w:rPr>
        <w:footnoteRef/>
      </w:r>
      <w:r>
        <w:t xml:space="preserve"> </w:t>
      </w:r>
      <w:r w:rsidRPr="00B5167E">
        <w:t>The year-on-year changes in the industrial production index for the first eight months during the 2019–2026 period were 9.5%, 2.2%, 5.5%, 9.2%, -0.2%, 8.4%, 8.5%, and 11.9%, respectively</w:t>
      </w:r>
    </w:p>
  </w:footnote>
  <w:footnote w:id="13">
    <w:p w14:paraId="7CC6ADF8" w14:textId="77777777" w:rsidR="001F5E5E" w:rsidRPr="000F409C" w:rsidRDefault="001F5E5E" w:rsidP="00C60EA1">
      <w:pPr>
        <w:pStyle w:val="FootnoteText"/>
        <w:spacing w:after="40"/>
        <w:ind w:left="198" w:hanging="198"/>
        <w:jc w:val="both"/>
        <w:rPr>
          <w:shd w:val="clear" w:color="auto" w:fill="FFFFFF"/>
        </w:rPr>
      </w:pPr>
      <w:r w:rsidRPr="00BB78CA">
        <w:rPr>
          <w:rStyle w:val="FootnoteReference"/>
        </w:rPr>
        <w:footnoteRef/>
      </w:r>
      <w:r w:rsidRPr="00BB78CA">
        <w:t xml:space="preserve"> </w:t>
      </w:r>
      <w:r w:rsidRPr="00E66F8E">
        <w:rPr>
          <w:shd w:val="clear" w:color="auto" w:fill="FFFFFF"/>
          <w:lang w:val="vi-VN"/>
        </w:rPr>
        <w:t>The localities with high growth in IIP of the manufacturing in the 8 months of 2026 compared with the same period of the previous year were as follows: Ha Tinh (+38.0%); Quang Ninh (+31.8%); Ninh Binh (+26.1%); Nghe An (+25.7%); Thai Nguyen (+22.6%); and Phu Tho (+22.1%). The localities with high growth in the IIP of electricity supply in the 8 months of 2026 compared with the same period of the previous year were as follows: Ha Tinh (+51.4%); Phu Tho (+18.7%); and Bac Ninh (+12.8%).</w:t>
      </w:r>
    </w:p>
  </w:footnote>
  <w:footnote w:id="14">
    <w:p w14:paraId="6D0CF2E2" w14:textId="77777777" w:rsidR="001F5E5E" w:rsidRPr="000F409C" w:rsidRDefault="001F5E5E" w:rsidP="00C60EA1">
      <w:pPr>
        <w:spacing w:after="40"/>
        <w:ind w:left="198" w:hanging="198"/>
        <w:jc w:val="both"/>
        <w:rPr>
          <w:sz w:val="20"/>
          <w:szCs w:val="20"/>
        </w:rPr>
      </w:pPr>
      <w:r w:rsidRPr="00BB78CA">
        <w:rPr>
          <w:rStyle w:val="FootnoteReference"/>
          <w:sz w:val="20"/>
          <w:szCs w:val="20"/>
        </w:rPr>
        <w:footnoteRef/>
      </w:r>
      <w:r w:rsidRPr="00BB78CA">
        <w:rPr>
          <w:sz w:val="20"/>
          <w:szCs w:val="20"/>
        </w:rPr>
        <w:t xml:space="preserve"> </w:t>
      </w:r>
      <w:r w:rsidRPr="001257A9">
        <w:rPr>
          <w:sz w:val="20"/>
          <w:szCs w:val="20"/>
        </w:rPr>
        <w:t>The localities with low growth in IIP of the manufacturing in the 8 months of 2026 compared with the same period of the previous year were as follows: Lang Son (+2.1%) and Lao Cai (+4.9%). The localities with low growth in the IIP of electricity supply in the 8 months of 2026 compared with the same period of the previous year were as follows: Gia Lai (+0.5%) and Lai Chau (+4.2%). The localities with a decline in the mining industry IIP in the 8 months of 2026 compared with the same period of the previous year were as follows: Can Tho (-48.9%); Da Nang (-46.0%); Tuyen Quang (-7.9%); and Gia Lai (-0.1%).</w:t>
      </w:r>
    </w:p>
  </w:footnote>
  <w:footnote w:id="15">
    <w:p w14:paraId="554D702E" w14:textId="77777777" w:rsidR="001F5E5E" w:rsidRDefault="001F5E5E" w:rsidP="001439EB">
      <w:pPr>
        <w:pStyle w:val="FootnoteText"/>
        <w:spacing w:after="40"/>
        <w:ind w:left="198" w:hanging="198"/>
        <w:jc w:val="both"/>
        <w:rPr>
          <w:lang w:val="vi-VN"/>
        </w:rPr>
      </w:pPr>
      <w:r>
        <w:rPr>
          <w:rStyle w:val="FootnoteReference"/>
        </w:rPr>
        <w:footnoteRef/>
      </w:r>
      <w:r>
        <w:rPr>
          <w:lang w:val="vi-VN"/>
        </w:rPr>
        <w:t xml:space="preserve"> According to the report of the Foreign Investment Agency, Ministry of Finance, received on </w:t>
      </w:r>
      <w:r>
        <w:rPr>
          <w:lang w:val="en-US"/>
        </w:rPr>
        <w:t>September</w:t>
      </w:r>
      <w:r>
        <w:t xml:space="preserve"> </w:t>
      </w:r>
      <w:r>
        <w:rPr>
          <w:lang w:val="en-US"/>
        </w:rPr>
        <w:t>2</w:t>
      </w:r>
      <w:r>
        <w:rPr>
          <w:vertAlign w:val="superscript"/>
          <w:lang w:val="en-US"/>
        </w:rPr>
        <w:t>nd</w:t>
      </w:r>
      <w:r>
        <w:rPr>
          <w:lang w:val="vi-VN"/>
        </w:rPr>
        <w:t>, 2026.</w:t>
      </w:r>
    </w:p>
  </w:footnote>
  <w:footnote w:id="16">
    <w:p w14:paraId="36B1B759" w14:textId="77777777" w:rsidR="001F5E5E" w:rsidRDefault="001F5E5E" w:rsidP="008E2734">
      <w:pPr>
        <w:pStyle w:val="FootnoteText"/>
        <w:spacing w:after="40"/>
        <w:ind w:left="198" w:hanging="198"/>
        <w:jc w:val="both"/>
      </w:pPr>
      <w:r>
        <w:rPr>
          <w:rStyle w:val="FootnoteReference"/>
        </w:rPr>
        <w:footnoteRef/>
      </w:r>
      <w:r>
        <w:t xml:space="preserve"> As stated in Report N</w:t>
      </w:r>
      <w:r w:rsidRPr="00D00FCB">
        <w:rPr>
          <w:vertAlign w:val="superscript"/>
        </w:rPr>
        <w:t>o</w:t>
      </w:r>
      <w:r>
        <w:t>. 715/BC-BTC of the Ministry of Finance (Aug 28, 2026).</w:t>
      </w:r>
    </w:p>
  </w:footnote>
  <w:footnote w:id="17">
    <w:p w14:paraId="5AD38F99" w14:textId="77777777" w:rsidR="001F5E5E" w:rsidRPr="007B1B85" w:rsidRDefault="001F5E5E" w:rsidP="008E2734">
      <w:pPr>
        <w:pStyle w:val="FootnoteText"/>
        <w:spacing w:after="40"/>
        <w:ind w:left="198" w:hanging="198"/>
        <w:jc w:val="both"/>
      </w:pPr>
      <w:r>
        <w:rPr>
          <w:rStyle w:val="FootnoteReference"/>
        </w:rPr>
        <w:footnoteRef/>
      </w:r>
      <w:r>
        <w:t xml:space="preserve"> The 2026 target for the Ratio of recurrent expenditure to total state budget expenditure was set at 57.3%.</w:t>
      </w:r>
    </w:p>
  </w:footnote>
  <w:footnote w:id="18">
    <w:p w14:paraId="0138B841" w14:textId="77777777" w:rsidR="001F5E5E" w:rsidRPr="007B1B85" w:rsidRDefault="001F5E5E" w:rsidP="008E2734">
      <w:pPr>
        <w:pStyle w:val="FootnoteText"/>
        <w:spacing w:after="40"/>
        <w:ind w:left="198" w:hanging="198"/>
        <w:jc w:val="both"/>
      </w:pPr>
      <w:r>
        <w:rPr>
          <w:rStyle w:val="FootnoteReference"/>
        </w:rPr>
        <w:footnoteRef/>
      </w:r>
      <w:r>
        <w:t xml:space="preserve"> The 2026 target for the Ratio of development investment expenditure to total state budget expenditure was set at 35.5%.</w:t>
      </w:r>
    </w:p>
  </w:footnote>
  <w:footnote w:id="19">
    <w:p w14:paraId="17DC2911" w14:textId="77777777" w:rsidR="001F5E5E" w:rsidRPr="003012B1" w:rsidRDefault="001F5E5E" w:rsidP="00365923">
      <w:pPr>
        <w:pStyle w:val="FootnoteText"/>
        <w:jc w:val="both"/>
        <w:rPr>
          <w:lang w:val="en-US"/>
        </w:rPr>
      </w:pPr>
      <w:r>
        <w:rPr>
          <w:rStyle w:val="FootnoteReference"/>
        </w:rPr>
        <w:footnoteRef/>
      </w:r>
      <w:r>
        <w:t xml:space="preserve"> </w:t>
      </w:r>
      <w:r>
        <w:rPr>
          <w:lang w:val="en-US"/>
        </w:rPr>
        <w:t xml:space="preserve"> </w:t>
      </w:r>
      <w:r w:rsidRPr="003012B1">
        <w:rPr>
          <w:lang w:val="en-US"/>
        </w:rPr>
        <w:t>The value of export turnover was calculated at F.O.B. price and import turnover was calculated at C.I.</w:t>
      </w:r>
      <w:r>
        <w:rPr>
          <w:lang w:val="en-US"/>
        </w:rPr>
        <w:t>F. price (including transport</w:t>
      </w:r>
      <w:r w:rsidRPr="003012B1">
        <w:rPr>
          <w:lang w:val="en-US"/>
        </w:rPr>
        <w:t xml:space="preserve"> and insurance costs of imported goods).</w:t>
      </w:r>
      <w:r>
        <w:rPr>
          <w:lang w:val="en-US"/>
        </w:rPr>
        <w:t xml:space="preserve"> </w:t>
      </w:r>
    </w:p>
  </w:footnote>
  <w:footnote w:id="20">
    <w:p w14:paraId="74201EF4" w14:textId="62366961" w:rsidR="001F5E5E" w:rsidRPr="00130F7B" w:rsidRDefault="001F5E5E" w:rsidP="00365923">
      <w:pPr>
        <w:pStyle w:val="FootnoteText"/>
        <w:jc w:val="both"/>
        <w:rPr>
          <w:lang w:val="en-US"/>
        </w:rPr>
      </w:pPr>
      <w:r>
        <w:rPr>
          <w:rStyle w:val="FootnoteReference"/>
        </w:rPr>
        <w:footnoteRef/>
      </w:r>
      <w:r>
        <w:t xml:space="preserve"> </w:t>
      </w:r>
      <w:r w:rsidRPr="00130F7B">
        <w:t>Preliminary data on exports and imports of goods in August were provid</w:t>
      </w:r>
      <w:r>
        <w:t xml:space="preserve">ed by the Viet Nam Customs on </w:t>
      </w:r>
      <w:r w:rsidRPr="00130F7B">
        <w:t xml:space="preserve">September </w:t>
      </w:r>
      <w:r>
        <w:t>1</w:t>
      </w:r>
      <w:r w:rsidRPr="00880969">
        <w:rPr>
          <w:vertAlign w:val="superscript"/>
          <w:lang w:val="en-US"/>
        </w:rPr>
        <w:t>st</w:t>
      </w:r>
      <w:r>
        <w:rPr>
          <w:lang w:val="en-US"/>
        </w:rPr>
        <w:t xml:space="preserve"> </w:t>
      </w:r>
      <w:r w:rsidRPr="00130F7B">
        <w:t>2026.</w:t>
      </w:r>
      <w:r>
        <w:rPr>
          <w:lang w:val="en-US"/>
        </w:rPr>
        <w:t xml:space="preserve"> </w:t>
      </w:r>
    </w:p>
  </w:footnote>
  <w:footnote w:id="21">
    <w:p w14:paraId="0F50762C" w14:textId="77777777" w:rsidR="001F5E5E" w:rsidRPr="00722F25" w:rsidRDefault="001F5E5E" w:rsidP="00365923">
      <w:pPr>
        <w:pStyle w:val="FootnoteText"/>
        <w:jc w:val="both"/>
        <w:rPr>
          <w:lang w:val="en-US"/>
        </w:rPr>
      </w:pPr>
      <w:r>
        <w:rPr>
          <w:rStyle w:val="FootnoteReference"/>
        </w:rPr>
        <w:footnoteRef/>
      </w:r>
      <w:r>
        <w:t xml:space="preserve"> </w:t>
      </w:r>
      <w:r w:rsidRPr="00722F25">
        <w:t xml:space="preserve">The total export and import turnover of goods in the eight months of 2025 amounted to 598.25 billion USD, going up 16.4% </w:t>
      </w:r>
      <w:r>
        <w:rPr>
          <w:lang w:val="en-US"/>
        </w:rPr>
        <w:t>YoY</w:t>
      </w:r>
      <w:r w:rsidRPr="00722F25">
        <w:t>, of which expo</w:t>
      </w:r>
      <w:r>
        <w:t>rts reached 306.14 billion USD</w:t>
      </w:r>
      <w:r>
        <w:rPr>
          <w:lang w:val="en-US"/>
        </w:rPr>
        <w:t xml:space="preserve"> (+</w:t>
      </w:r>
      <w:r w:rsidRPr="00722F25">
        <w:t>14.9%</w:t>
      </w:r>
      <w:r>
        <w:rPr>
          <w:lang w:val="en-US"/>
        </w:rPr>
        <w:t>)</w:t>
      </w:r>
      <w:r w:rsidRPr="00722F25">
        <w:t>; impo</w:t>
      </w:r>
      <w:r>
        <w:t>rts reached 292.12 billion USD</w:t>
      </w:r>
      <w:r>
        <w:rPr>
          <w:lang w:val="en-US"/>
        </w:rPr>
        <w:t xml:space="preserve"> (+</w:t>
      </w:r>
      <w:r w:rsidRPr="00722F25">
        <w:t>18.0%</w:t>
      </w:r>
      <w:r>
        <w:rPr>
          <w:lang w:val="en-US"/>
        </w:rPr>
        <w:t>)</w:t>
      </w:r>
      <w:r w:rsidRPr="00722F25">
        <w:t>.</w:t>
      </w:r>
      <w:r>
        <w:rPr>
          <w:lang w:val="en-US"/>
        </w:rPr>
        <w:t xml:space="preserve"> </w:t>
      </w:r>
    </w:p>
  </w:footnote>
  <w:footnote w:id="22">
    <w:p w14:paraId="1CD22F75" w14:textId="77777777" w:rsidR="001F5E5E" w:rsidRPr="001F6253" w:rsidRDefault="001F5E5E" w:rsidP="00365923">
      <w:pPr>
        <w:pStyle w:val="FootnoteText"/>
        <w:rPr>
          <w:lang w:val="en-US"/>
        </w:rPr>
      </w:pPr>
      <w:r>
        <w:rPr>
          <w:rStyle w:val="FootnoteReference"/>
        </w:rPr>
        <w:footnoteRef/>
      </w:r>
      <w:r>
        <w:t xml:space="preserve"> </w:t>
      </w:r>
      <w:r w:rsidRPr="001F6253">
        <w:t>Some commodities recorded high trade deficits: electronic goods, computers and their parts posted a deficit of 60.6 billion USD; petroleum products (7.4 billion USD); plastics materials (6.7 billion USD); coal of all kinds (6.2 billion USD); crude oil (5.3 billion USD); chemical products (3.9 billion USD); and chemicals (3.9 billion USD).</w:t>
      </w:r>
      <w:r>
        <w:rPr>
          <w:lang w:val="en-US"/>
        </w:rPr>
        <w:t xml:space="preserve"> </w:t>
      </w:r>
    </w:p>
  </w:footnote>
  <w:footnote w:id="23">
    <w:p w14:paraId="46735B31" w14:textId="77777777" w:rsidR="001F5E5E" w:rsidRPr="00E54176" w:rsidRDefault="001F5E5E" w:rsidP="00365923">
      <w:pPr>
        <w:pStyle w:val="FootnoteText"/>
        <w:jc w:val="both"/>
        <w:rPr>
          <w:lang w:val="en-US"/>
        </w:rPr>
      </w:pPr>
      <w:r>
        <w:rPr>
          <w:rStyle w:val="FootnoteReference"/>
        </w:rPr>
        <w:footnoteRef/>
      </w:r>
      <w:r>
        <w:t xml:space="preserve"> </w:t>
      </w:r>
      <w:r w:rsidRPr="00E54176">
        <w:t>Of which: the group of anti-allergic drugs and hypersensitive drugs (+0.26%); the group of hormones and endocrine drugs (+0.24%); the respiratory and cardiovascular drugs (+0.14%); anti-infection and non-steroidal pain relief and fever reducing drugs, gout and bone disease medications (+0.12%); anti-infective and anti-parasitic drugs (+0.05%); diagnostic services and emergency patient transport (+0.05%); and outpatient medical examination and treatment services (+0.01%).</w:t>
      </w:r>
      <w:r>
        <w:rPr>
          <w:lang w:val="en-US"/>
        </w:rPr>
        <w:t xml:space="preserve"> </w:t>
      </w:r>
    </w:p>
  </w:footnote>
  <w:footnote w:id="24">
    <w:p w14:paraId="527E4FC6" w14:textId="77777777" w:rsidR="001F5E5E" w:rsidRPr="00E54176" w:rsidRDefault="001F5E5E" w:rsidP="00365923">
      <w:pPr>
        <w:pStyle w:val="FootnoteText"/>
        <w:jc w:val="both"/>
        <w:rPr>
          <w:lang w:val="en-US"/>
        </w:rPr>
      </w:pPr>
      <w:r>
        <w:rPr>
          <w:rStyle w:val="FootnoteReference"/>
        </w:rPr>
        <w:footnoteRef/>
      </w:r>
      <w:r>
        <w:t xml:space="preserve"> </w:t>
      </w:r>
      <w:r w:rsidRPr="00E54176">
        <w:t>The CPI of household electricity and tap-water in August reflected a one-month lag than other items because it was calculated basing on the revenue and consumption volume of July 2026.</w:t>
      </w:r>
      <w:r>
        <w:rPr>
          <w:lang w:val="en-US"/>
        </w:rPr>
        <w:t xml:space="preserve"> </w:t>
      </w:r>
    </w:p>
  </w:footnote>
  <w:footnote w:id="25">
    <w:p w14:paraId="52C74B20" w14:textId="77777777" w:rsidR="001F5E5E" w:rsidRPr="00550EC9" w:rsidRDefault="001F5E5E" w:rsidP="00365923">
      <w:pPr>
        <w:pStyle w:val="FootnoteText"/>
        <w:jc w:val="both"/>
        <w:rPr>
          <w:lang w:val="en-US"/>
        </w:rPr>
      </w:pPr>
      <w:r>
        <w:rPr>
          <w:rStyle w:val="FootnoteReference"/>
        </w:rPr>
        <w:footnoteRef/>
      </w:r>
      <w:r>
        <w:t xml:space="preserve"> </w:t>
      </w:r>
      <w:r w:rsidRPr="00550EC9">
        <w:t>The CPI of pork (-0.70%); poultry meat (-0.31%); and fresh aquatic products (-0.15%). In contrast, prices of fresh and processed fruit (+0.18%); eggs of all kinds (+2.09%); fresh, dried and processed vegetables (+0.10%); tea, coffee and cocoa (+0.51%); milk, butter and cheese (+0.43%); spices (+0.40%); sugar and syrup (+0.10%); and confectionery (+0.09%).</w:t>
      </w:r>
      <w:r>
        <w:rPr>
          <w:lang w:val="en-US"/>
        </w:rPr>
        <w:t xml:space="preserve"> </w:t>
      </w:r>
    </w:p>
  </w:footnote>
  <w:footnote w:id="26">
    <w:p w14:paraId="4299EF8E" w14:textId="77777777" w:rsidR="001F5E5E" w:rsidRPr="00550EC9" w:rsidRDefault="001F5E5E" w:rsidP="00365923">
      <w:pPr>
        <w:pStyle w:val="FootnoteText"/>
        <w:jc w:val="both"/>
        <w:rPr>
          <w:lang w:val="en-US"/>
        </w:rPr>
      </w:pPr>
      <w:r>
        <w:rPr>
          <w:rStyle w:val="FootnoteReference"/>
        </w:rPr>
        <w:footnoteRef/>
      </w:r>
      <w:r>
        <w:t xml:space="preserve"> </w:t>
      </w:r>
      <w:r w:rsidRPr="00550EC9">
        <w:t>The CPI of rice possessed a reduction of 0.17% (regular white rice (-0.09%); premium white rice (-0.41%); glutinous rice (-0.30%); and brown white rice (-0.08%), mainly due to a decline in the prices of domestic rice in line with a downward trend of the export market in context of abundant global rice supply, stronger competition among exporting countries and decreasing demand for import in some major markets. Prices of vermicelli, Pho noodles, and rice noodles fell by 0.23%. In contrast, prices of potatoes rose by 1.08%; maize (+0.63%); bread (+0.52%); other grain (+0.33%); maize flour (+0.28%); instant noodles, pho and porridge (+0.27%); and vermicelli (+0.26%).</w:t>
      </w:r>
      <w:r>
        <w:rPr>
          <w:lang w:val="en-US"/>
        </w:rPr>
        <w:t xml:space="preserve"> </w:t>
      </w:r>
    </w:p>
  </w:footnote>
  <w:footnote w:id="27">
    <w:p w14:paraId="2687E7C4" w14:textId="77777777" w:rsidR="001F5E5E" w:rsidRPr="00550EC9" w:rsidRDefault="001F5E5E" w:rsidP="00365923">
      <w:pPr>
        <w:pStyle w:val="FootnoteText"/>
        <w:jc w:val="both"/>
        <w:rPr>
          <w:lang w:val="en-US"/>
        </w:rPr>
      </w:pPr>
      <w:r>
        <w:rPr>
          <w:rStyle w:val="FootnoteReference"/>
        </w:rPr>
        <w:footnoteRef/>
      </w:r>
      <w:r>
        <w:t xml:space="preserve"> </w:t>
      </w:r>
      <w:r w:rsidRPr="00550EC9">
        <w:t>Of which, prices of takeaway fast food (+0.14%); drinking out (+0.10%); eating out (-0.02%).</w:t>
      </w:r>
      <w:r>
        <w:rPr>
          <w:lang w:val="en-US"/>
        </w:rPr>
        <w:t xml:space="preserve"> </w:t>
      </w:r>
    </w:p>
  </w:footnote>
  <w:footnote w:id="28">
    <w:p w14:paraId="46D30120" w14:textId="77777777" w:rsidR="001F5E5E" w:rsidRPr="0027431F" w:rsidRDefault="001F5E5E" w:rsidP="00365923">
      <w:pPr>
        <w:pStyle w:val="FootnoteText"/>
        <w:jc w:val="both"/>
        <w:rPr>
          <w:lang w:val="en-US"/>
        </w:rPr>
      </w:pPr>
      <w:r>
        <w:rPr>
          <w:rStyle w:val="FootnoteReference"/>
        </w:rPr>
        <w:footnoteRef/>
      </w:r>
      <w:r>
        <w:t xml:space="preserve"> </w:t>
      </w:r>
      <w:r w:rsidRPr="0027431F">
        <w:t>The CPI after excluding the prices of fresh food, foodstuff, energy, and State-managed goods, which included health care and education services.</w:t>
      </w:r>
      <w:r>
        <w:rPr>
          <w:lang w:val="en-US"/>
        </w:rPr>
        <w:t xml:space="preserve"> </w:t>
      </w:r>
    </w:p>
  </w:footnote>
  <w:footnote w:id="29">
    <w:p w14:paraId="27DF07F0" w14:textId="77777777" w:rsidR="001F5E5E" w:rsidRPr="00A52E86" w:rsidRDefault="001F5E5E" w:rsidP="00365923">
      <w:pPr>
        <w:pStyle w:val="FootnoteText"/>
        <w:spacing w:after="60"/>
        <w:ind w:left="198" w:hanging="198"/>
      </w:pPr>
      <w:r w:rsidRPr="005A7318">
        <w:rPr>
          <w:rStyle w:val="FootnoteReference"/>
        </w:rPr>
        <w:footnoteRef/>
      </w:r>
      <w:r w:rsidRPr="005A7318">
        <w:t xml:space="preserve"> </w:t>
      </w:r>
      <w:r w:rsidRPr="00444A14">
        <w:rPr>
          <w:lang w:val="vi-VN"/>
        </w:rPr>
        <w:t xml:space="preserve">The reporting period was from </w:t>
      </w:r>
      <w:r>
        <w:t xml:space="preserve">July </w:t>
      </w:r>
      <w:r w:rsidRPr="00444A14">
        <w:rPr>
          <w:lang w:val="vi-VN"/>
        </w:rPr>
        <w:t>26</w:t>
      </w:r>
      <w:r w:rsidRPr="00444A14">
        <w:rPr>
          <w:vertAlign w:val="superscript"/>
        </w:rPr>
        <w:t>th</w:t>
      </w:r>
      <w:r w:rsidRPr="00444A14">
        <w:rPr>
          <w:lang w:val="vi-VN"/>
        </w:rPr>
        <w:t xml:space="preserve">, 2026 to </w:t>
      </w:r>
      <w:r>
        <w:rPr>
          <w:lang w:val="en-US"/>
        </w:rPr>
        <w:t>A</w:t>
      </w:r>
      <w:r>
        <w:t xml:space="preserve">ugust </w:t>
      </w:r>
      <w:r w:rsidRPr="00444A14">
        <w:rPr>
          <w:lang w:val="vi-VN"/>
        </w:rPr>
        <w:t>25</w:t>
      </w:r>
      <w:r w:rsidRPr="00444A14">
        <w:rPr>
          <w:vertAlign w:val="superscript"/>
        </w:rPr>
        <w:t>th</w:t>
      </w:r>
      <w:r w:rsidRPr="00444A14">
        <w:rPr>
          <w:lang w:val="vi-VN"/>
        </w:rPr>
        <w:t>, 2026</w:t>
      </w:r>
      <w:r>
        <w:t>.</w:t>
      </w:r>
    </w:p>
  </w:footnote>
  <w:footnote w:id="30">
    <w:p w14:paraId="32403776" w14:textId="77777777" w:rsidR="001F5E5E" w:rsidRPr="00EB7E5C" w:rsidRDefault="001F5E5E" w:rsidP="00365923">
      <w:pPr>
        <w:pStyle w:val="FootnoteText"/>
        <w:rPr>
          <w:lang w:val="en-US"/>
        </w:rPr>
      </w:pPr>
      <w:r>
        <w:rPr>
          <w:rStyle w:val="FootnoteReference"/>
        </w:rPr>
        <w:footnoteRef/>
      </w:r>
      <w:r>
        <w:t xml:space="preserve"> </w:t>
      </w:r>
      <w:r w:rsidRPr="00EB7E5C">
        <w:t>A household could select multiple reasons.</w:t>
      </w:r>
    </w:p>
  </w:footnote>
  <w:footnote w:id="31">
    <w:p w14:paraId="649C8953" w14:textId="77777777" w:rsidR="001F5E5E" w:rsidRPr="00412F8F" w:rsidRDefault="001F5E5E" w:rsidP="00365923">
      <w:pPr>
        <w:pStyle w:val="FootnoteText"/>
        <w:jc w:val="both"/>
        <w:rPr>
          <w:lang w:val="en-US"/>
        </w:rPr>
      </w:pPr>
      <w:r>
        <w:rPr>
          <w:rStyle w:val="FootnoteReference"/>
        </w:rPr>
        <w:footnoteRef/>
      </w:r>
      <w:r>
        <w:t xml:space="preserve"> </w:t>
      </w:r>
      <w:r w:rsidRPr="009D6ECD">
        <w:t>Out of over 20.5 thousand households surveyed in August, 596 households (2.9%) reported a year-on-year drop in income. They attributed this primary reduction to: higher input costs for household production and business (30.0% or 179 households); lower selling prices for their goods and services (27.9% or 166 households); household members experiencing severe illness, injury, or death (20.5% or 122 households); temporary job suspens</w:t>
      </w:r>
      <w:r>
        <w:t>ion of household members (19.6%</w:t>
      </w:r>
      <w:r w:rsidRPr="009D6ECD">
        <w:t xml:space="preserve"> or 117 households); and scaled-back production</w:t>
      </w:r>
      <w:r>
        <w:t xml:space="preserve"> and business operations (17.6%</w:t>
      </w:r>
      <w:r w:rsidRPr="009D6ECD">
        <w:t xml:space="preserve"> or 105 households).</w:t>
      </w:r>
    </w:p>
  </w:footnote>
  <w:footnote w:id="32">
    <w:p w14:paraId="644D1EB9" w14:textId="77777777" w:rsidR="001F5E5E" w:rsidRPr="00E4113B" w:rsidRDefault="001F5E5E" w:rsidP="00365923">
      <w:pPr>
        <w:pStyle w:val="FootnoteText"/>
        <w:spacing w:after="40"/>
        <w:ind w:left="198" w:hanging="198"/>
        <w:jc w:val="both"/>
        <w:rPr>
          <w:iCs/>
          <w:color w:val="C00000"/>
          <w:lang w:val="en-US"/>
        </w:rPr>
      </w:pPr>
      <w:r w:rsidRPr="00331A3B">
        <w:rPr>
          <w:rStyle w:val="FootnoteReference"/>
          <w:iCs/>
        </w:rPr>
        <w:footnoteRef/>
      </w:r>
      <w:r w:rsidRPr="00331A3B">
        <w:rPr>
          <w:iCs/>
        </w:rPr>
        <w:t xml:space="preserve"> </w:t>
      </w:r>
      <w:r w:rsidRPr="00331A3B">
        <w:rPr>
          <w:iCs/>
          <w:lang w:val="en-US"/>
        </w:rPr>
        <w:t>An additional three deaths were recorded in May, June and July 2026.</w:t>
      </w:r>
    </w:p>
  </w:footnote>
  <w:footnote w:id="33">
    <w:p w14:paraId="7DA09CC9" w14:textId="77777777" w:rsidR="001F5E5E" w:rsidRPr="00031425" w:rsidRDefault="001F5E5E" w:rsidP="00365923">
      <w:pPr>
        <w:pStyle w:val="FootnoteText"/>
        <w:spacing w:after="40"/>
        <w:ind w:left="198" w:hanging="198"/>
        <w:jc w:val="both"/>
        <w:rPr>
          <w:lang w:val="en-US"/>
        </w:rPr>
      </w:pPr>
      <w:r w:rsidRPr="00BB78CA">
        <w:rPr>
          <w:rStyle w:val="FootnoteReference"/>
        </w:rPr>
        <w:footnoteRef/>
      </w:r>
      <w:r w:rsidRPr="00BB78CA">
        <w:t xml:space="preserve"> </w:t>
      </w:r>
      <w:r>
        <w:rPr>
          <w:lang w:val="vi-VN"/>
        </w:rPr>
        <w:t>According to a quick report from the Office of the Ministry of Public Security and the Viet</w:t>
      </w:r>
      <w:r>
        <w:t xml:space="preserve"> N</w:t>
      </w:r>
      <w:r>
        <w:rPr>
          <w:lang w:val="vi-VN"/>
        </w:rPr>
        <w:t xml:space="preserve">am Maritime and Waterways Administration (Ministry of Construction) on </w:t>
      </w:r>
      <w:r>
        <w:rPr>
          <w:lang w:val="en-US"/>
        </w:rPr>
        <w:t>August</w:t>
      </w:r>
      <w:r>
        <w:t xml:space="preserve"> </w:t>
      </w:r>
      <w:r>
        <w:rPr>
          <w:lang w:val="vi-VN"/>
        </w:rPr>
        <w:t>2</w:t>
      </w:r>
      <w:r>
        <w:t>3</w:t>
      </w:r>
      <w:r>
        <w:rPr>
          <w:vertAlign w:val="superscript"/>
        </w:rPr>
        <w:t>rd</w:t>
      </w:r>
      <w:r>
        <w:rPr>
          <w:lang w:val="vi-VN"/>
        </w:rPr>
        <w:t>, 202</w:t>
      </w:r>
      <w:r>
        <w:t>6</w:t>
      </w:r>
      <w:r>
        <w:rPr>
          <w:lang w:val="en-US"/>
        </w:rPr>
        <w:t xml:space="preserve">. </w:t>
      </w:r>
    </w:p>
  </w:footnote>
  <w:footnote w:id="34">
    <w:p w14:paraId="15ABB558" w14:textId="77777777" w:rsidR="001F5E5E" w:rsidRPr="00213171" w:rsidRDefault="001F5E5E" w:rsidP="00365923">
      <w:pPr>
        <w:pStyle w:val="FootnoteText"/>
        <w:spacing w:after="40"/>
        <w:ind w:left="198" w:hanging="198"/>
        <w:jc w:val="both"/>
        <w:rPr>
          <w:lang w:val="en-US"/>
        </w:rPr>
      </w:pPr>
      <w:r w:rsidRPr="00BB78CA">
        <w:rPr>
          <w:rStyle w:val="FootnoteReference"/>
        </w:rPr>
        <w:footnoteRef/>
      </w:r>
      <w:r w:rsidRPr="00BB78CA">
        <w:t xml:space="preserve"> </w:t>
      </w:r>
      <w:r>
        <w:rPr>
          <w:color w:val="000000" w:themeColor="text1"/>
          <w:spacing w:val="-2"/>
        </w:rPr>
        <w:t xml:space="preserve">Compiled </w:t>
      </w:r>
      <w:r>
        <w:rPr>
          <w:color w:val="000000" w:themeColor="text1"/>
        </w:rPr>
        <w:t>from reports submitted by 34 Provincial Departments of Agriculture and Environment</w:t>
      </w:r>
      <w:r>
        <w:rPr>
          <w:color w:val="000000" w:themeColor="text1"/>
          <w:spacing w:val="-2"/>
        </w:rPr>
        <w:t>, reporting period from Ju</w:t>
      </w:r>
      <w:r>
        <w:rPr>
          <w:color w:val="000000" w:themeColor="text1"/>
          <w:spacing w:val="-2"/>
          <w:lang w:val="en-US"/>
        </w:rPr>
        <w:t>ly</w:t>
      </w:r>
      <w:r>
        <w:rPr>
          <w:color w:val="000000" w:themeColor="text1"/>
          <w:spacing w:val="-2"/>
        </w:rPr>
        <w:t xml:space="preserve"> 22</w:t>
      </w:r>
      <w:r>
        <w:rPr>
          <w:color w:val="000000" w:themeColor="text1"/>
          <w:spacing w:val="-2"/>
          <w:vertAlign w:val="superscript"/>
        </w:rPr>
        <w:t>nd</w:t>
      </w:r>
      <w:r>
        <w:rPr>
          <w:color w:val="000000" w:themeColor="text1"/>
          <w:spacing w:val="-2"/>
        </w:rPr>
        <w:t xml:space="preserve"> to </w:t>
      </w:r>
      <w:r>
        <w:rPr>
          <w:color w:val="000000" w:themeColor="text1"/>
          <w:spacing w:val="-2"/>
          <w:lang w:val="en-US"/>
        </w:rPr>
        <w:t>August</w:t>
      </w:r>
      <w:r>
        <w:rPr>
          <w:color w:val="000000" w:themeColor="text1"/>
          <w:spacing w:val="-2"/>
        </w:rPr>
        <w:t xml:space="preserve"> 23</w:t>
      </w:r>
      <w:r>
        <w:rPr>
          <w:color w:val="000000" w:themeColor="text1"/>
          <w:spacing w:val="-2"/>
          <w:vertAlign w:val="superscript"/>
        </w:rPr>
        <w:t>rd</w:t>
      </w:r>
      <w:r>
        <w:rPr>
          <w:color w:val="000000" w:themeColor="text1"/>
          <w:spacing w:val="-2"/>
        </w:rPr>
        <w:t>, 2026</w:t>
      </w:r>
      <w:r>
        <w:rPr>
          <w:lang w:val="en-US"/>
        </w:rPr>
        <w:t xml:space="preserve">. </w:t>
      </w:r>
    </w:p>
  </w:footnote>
  <w:footnote w:id="35">
    <w:p w14:paraId="7758C137" w14:textId="77777777" w:rsidR="001F5E5E" w:rsidRPr="00BB78CA" w:rsidRDefault="001F5E5E" w:rsidP="00365923">
      <w:pPr>
        <w:pStyle w:val="FootnoteText"/>
        <w:spacing w:after="40"/>
        <w:ind w:left="198" w:hanging="198"/>
        <w:jc w:val="both"/>
        <w:rPr>
          <w:lang w:val="en-US"/>
        </w:rPr>
      </w:pPr>
      <w:r w:rsidRPr="00BB78CA">
        <w:rPr>
          <w:rStyle w:val="FootnoteReference"/>
        </w:rPr>
        <w:footnoteRef/>
      </w:r>
      <w:r w:rsidRPr="00BB78CA">
        <w:t xml:space="preserve"> </w:t>
      </w:r>
      <w:r>
        <w:rPr>
          <w:color w:val="000000" w:themeColor="text1"/>
        </w:rPr>
        <w:t>According to data compiled by Provincial and centrally-governed cities Statistics Offices from the reports of Provincial Departments of Agriculture and Environment and Provincial Police Departments</w:t>
      </w:r>
      <w:r w:rsidRPr="00BB78CA">
        <w:rPr>
          <w:lang w:val="de-DE"/>
        </w:rPr>
        <w:t>.</w:t>
      </w:r>
    </w:p>
  </w:footnote>
  <w:footnote w:id="36">
    <w:p w14:paraId="22F9496D" w14:textId="77777777" w:rsidR="001F5E5E" w:rsidRPr="001A71F1" w:rsidRDefault="001F5E5E" w:rsidP="00365923">
      <w:pPr>
        <w:tabs>
          <w:tab w:val="left" w:pos="426"/>
          <w:tab w:val="left" w:pos="900"/>
        </w:tabs>
        <w:spacing w:after="40"/>
        <w:ind w:left="198" w:hanging="198"/>
        <w:jc w:val="both"/>
        <w:rPr>
          <w:sz w:val="20"/>
          <w:szCs w:val="20"/>
        </w:rPr>
      </w:pPr>
      <w:r w:rsidRPr="00BB78CA">
        <w:rPr>
          <w:rStyle w:val="FootnoteReference"/>
          <w:sz w:val="20"/>
          <w:szCs w:val="20"/>
        </w:rPr>
        <w:footnoteRef/>
      </w:r>
      <w:r w:rsidRPr="00BB78CA">
        <w:rPr>
          <w:sz w:val="20"/>
          <w:szCs w:val="20"/>
        </w:rPr>
        <w:t xml:space="preserve"> </w:t>
      </w:r>
      <w:r w:rsidRPr="00893CA9">
        <w:rPr>
          <w:sz w:val="20"/>
          <w:szCs w:val="20"/>
        </w:rPr>
        <w:t xml:space="preserve">No environmental violations were detected in </w:t>
      </w:r>
      <w:r>
        <w:rPr>
          <w:sz w:val="20"/>
          <w:szCs w:val="20"/>
        </w:rPr>
        <w:t>August</w:t>
      </w:r>
      <w:r w:rsidRPr="00893CA9">
        <w:rPr>
          <w:sz w:val="20"/>
          <w:szCs w:val="20"/>
        </w:rPr>
        <w:t xml:space="preserve"> in </w:t>
      </w:r>
      <w:r w:rsidRPr="00893CA9">
        <w:rPr>
          <w:rFonts w:eastAsia="Calibri"/>
          <w:color w:val="000000" w:themeColor="text1"/>
          <w:sz w:val="20"/>
          <w:szCs w:val="20"/>
          <w:lang w:val="x-none" w:eastAsia="x-none"/>
        </w:rPr>
        <w:t>3 localities, namely</w:t>
      </w:r>
      <w:r>
        <w:t xml:space="preserve"> </w:t>
      </w:r>
      <w:r w:rsidRPr="00893CA9">
        <w:rPr>
          <w:sz w:val="20"/>
          <w:szCs w:val="20"/>
        </w:rPr>
        <w:t>Lang Son, Khanh Hoa and An Giang</w:t>
      </w:r>
      <w:r w:rsidRPr="001A71F1">
        <w:rPr>
          <w:sz w:val="20"/>
          <w:szCs w:val="20"/>
        </w:rPr>
        <w:t>.</w:t>
      </w:r>
    </w:p>
  </w:footnote>
  <w:footnote w:id="37">
    <w:p w14:paraId="5082AA8C" w14:textId="77777777" w:rsidR="001F5E5E" w:rsidRPr="00BB78CA" w:rsidRDefault="001F5E5E" w:rsidP="00365923">
      <w:pPr>
        <w:pStyle w:val="FootnoteText"/>
        <w:spacing w:after="40"/>
        <w:ind w:left="198" w:hanging="198"/>
        <w:jc w:val="both"/>
      </w:pPr>
      <w:r w:rsidRPr="00BB78CA">
        <w:rPr>
          <w:rStyle w:val="FootnoteReference"/>
        </w:rPr>
        <w:footnoteRef/>
      </w:r>
      <w:r w:rsidRPr="00BB78CA">
        <w:t xml:space="preserve"> </w:t>
      </w:r>
      <w:r>
        <w:rPr>
          <w:color w:val="000000" w:themeColor="text1"/>
        </w:rPr>
        <w:t xml:space="preserve">According to a </w:t>
      </w:r>
      <w:r>
        <w:t xml:space="preserve">flash </w:t>
      </w:r>
      <w:r>
        <w:rPr>
          <w:color w:val="000000" w:themeColor="text1"/>
        </w:rPr>
        <w:t xml:space="preserve">report from the Ministry of Public Security dated </w:t>
      </w:r>
      <w:r w:rsidRPr="00827380">
        <w:rPr>
          <w:color w:val="000000" w:themeColor="text1"/>
          <w:lang w:val="en-US"/>
        </w:rPr>
        <w:t xml:space="preserve">August </w:t>
      </w:r>
      <w:r w:rsidRPr="00827380">
        <w:rPr>
          <w:color w:val="000000" w:themeColor="text1"/>
        </w:rPr>
        <w:t>23</w:t>
      </w:r>
      <w:r w:rsidRPr="00827380">
        <w:rPr>
          <w:color w:val="000000" w:themeColor="text1"/>
          <w:vertAlign w:val="superscript"/>
        </w:rPr>
        <w:t>rd</w:t>
      </w:r>
      <w:r w:rsidRPr="00827380">
        <w:rPr>
          <w:color w:val="000000" w:themeColor="text1"/>
        </w:rPr>
        <w:t>, 2026.</w:t>
      </w:r>
      <w:r>
        <w:rPr>
          <w:color w:val="000000" w:themeColor="text1"/>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334082"/>
      <w:docPartObj>
        <w:docPartGallery w:val="Page Numbers (Top of Page)"/>
        <w:docPartUnique/>
      </w:docPartObj>
    </w:sdtPr>
    <w:sdtEndPr>
      <w:rPr>
        <w:noProof/>
      </w:rPr>
    </w:sdtEndPr>
    <w:sdtContent>
      <w:p w14:paraId="1DE310E9" w14:textId="64F740B2" w:rsidR="001F5E5E" w:rsidRDefault="001F5E5E">
        <w:pPr>
          <w:pStyle w:val="Header"/>
          <w:jc w:val="center"/>
        </w:pPr>
        <w:r>
          <w:fldChar w:fldCharType="begin"/>
        </w:r>
        <w:r>
          <w:instrText xml:space="preserve"> PAGE   \* MERGEFORMAT </w:instrText>
        </w:r>
        <w:r>
          <w:fldChar w:fldCharType="separate"/>
        </w:r>
        <w:r w:rsidR="00442AB5">
          <w:rPr>
            <w:noProof/>
          </w:rPr>
          <w:t>31</w:t>
        </w:r>
        <w:r>
          <w:rPr>
            <w:noProof/>
          </w:rPr>
          <w:fldChar w:fldCharType="end"/>
        </w:r>
      </w:p>
    </w:sdtContent>
  </w:sdt>
  <w:p w14:paraId="39289854" w14:textId="77777777" w:rsidR="001F5E5E" w:rsidRDefault="001F5E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43B2D"/>
    <w:multiLevelType w:val="hybridMultilevel"/>
    <w:tmpl w:val="45A2BB3C"/>
    <w:lvl w:ilvl="0" w:tplc="6AA806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79091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768"/>
    <w:rsid w:val="00006881"/>
    <w:rsid w:val="000077A3"/>
    <w:rsid w:val="000121CD"/>
    <w:rsid w:val="000152D2"/>
    <w:rsid w:val="0001673B"/>
    <w:rsid w:val="00024A32"/>
    <w:rsid w:val="000369C9"/>
    <w:rsid w:val="00045D02"/>
    <w:rsid w:val="00045EB3"/>
    <w:rsid w:val="00046FE1"/>
    <w:rsid w:val="00052F36"/>
    <w:rsid w:val="00053768"/>
    <w:rsid w:val="00060766"/>
    <w:rsid w:val="00065182"/>
    <w:rsid w:val="00077F57"/>
    <w:rsid w:val="000819C5"/>
    <w:rsid w:val="0008799D"/>
    <w:rsid w:val="000931C4"/>
    <w:rsid w:val="0009370B"/>
    <w:rsid w:val="000A1904"/>
    <w:rsid w:val="000A4DD5"/>
    <w:rsid w:val="000A70AE"/>
    <w:rsid w:val="000A74BB"/>
    <w:rsid w:val="000A7C39"/>
    <w:rsid w:val="000B380E"/>
    <w:rsid w:val="000B60EE"/>
    <w:rsid w:val="000B6125"/>
    <w:rsid w:val="000C36C3"/>
    <w:rsid w:val="000C3F60"/>
    <w:rsid w:val="000D0640"/>
    <w:rsid w:val="000D128E"/>
    <w:rsid w:val="000D31E2"/>
    <w:rsid w:val="000D61B8"/>
    <w:rsid w:val="000E2DAC"/>
    <w:rsid w:val="000E3814"/>
    <w:rsid w:val="000E60B6"/>
    <w:rsid w:val="000E7195"/>
    <w:rsid w:val="000F2A82"/>
    <w:rsid w:val="000F5C03"/>
    <w:rsid w:val="00104189"/>
    <w:rsid w:val="001075B9"/>
    <w:rsid w:val="001155AA"/>
    <w:rsid w:val="00115C03"/>
    <w:rsid w:val="001213BD"/>
    <w:rsid w:val="00121700"/>
    <w:rsid w:val="00133E28"/>
    <w:rsid w:val="00136182"/>
    <w:rsid w:val="00137546"/>
    <w:rsid w:val="001404FB"/>
    <w:rsid w:val="00143375"/>
    <w:rsid w:val="001439EB"/>
    <w:rsid w:val="00150724"/>
    <w:rsid w:val="00150C59"/>
    <w:rsid w:val="00163059"/>
    <w:rsid w:val="00164CF6"/>
    <w:rsid w:val="00172A13"/>
    <w:rsid w:val="00173877"/>
    <w:rsid w:val="0018424E"/>
    <w:rsid w:val="00194482"/>
    <w:rsid w:val="001A1250"/>
    <w:rsid w:val="001A28E9"/>
    <w:rsid w:val="001A2935"/>
    <w:rsid w:val="001B09D9"/>
    <w:rsid w:val="001B0CB3"/>
    <w:rsid w:val="001B52A0"/>
    <w:rsid w:val="001C09FE"/>
    <w:rsid w:val="001C4C34"/>
    <w:rsid w:val="001D18E3"/>
    <w:rsid w:val="001E0CB7"/>
    <w:rsid w:val="001E419F"/>
    <w:rsid w:val="001E45D8"/>
    <w:rsid w:val="001E704B"/>
    <w:rsid w:val="001F5E5E"/>
    <w:rsid w:val="001F753D"/>
    <w:rsid w:val="00213996"/>
    <w:rsid w:val="0021784B"/>
    <w:rsid w:val="0022251B"/>
    <w:rsid w:val="00222589"/>
    <w:rsid w:val="00227754"/>
    <w:rsid w:val="00230689"/>
    <w:rsid w:val="00234456"/>
    <w:rsid w:val="00236DA5"/>
    <w:rsid w:val="00237569"/>
    <w:rsid w:val="00244B05"/>
    <w:rsid w:val="002503FC"/>
    <w:rsid w:val="002541B7"/>
    <w:rsid w:val="00267E54"/>
    <w:rsid w:val="002703C2"/>
    <w:rsid w:val="00272B1B"/>
    <w:rsid w:val="00276480"/>
    <w:rsid w:val="0028043C"/>
    <w:rsid w:val="00280EC0"/>
    <w:rsid w:val="00295F01"/>
    <w:rsid w:val="002976A5"/>
    <w:rsid w:val="002A0866"/>
    <w:rsid w:val="002A1B24"/>
    <w:rsid w:val="002A59FD"/>
    <w:rsid w:val="002A7012"/>
    <w:rsid w:val="002B3607"/>
    <w:rsid w:val="002B527C"/>
    <w:rsid w:val="002B68B8"/>
    <w:rsid w:val="002C1329"/>
    <w:rsid w:val="002C32EB"/>
    <w:rsid w:val="002C3382"/>
    <w:rsid w:val="002D1990"/>
    <w:rsid w:val="002D3EB3"/>
    <w:rsid w:val="002F0924"/>
    <w:rsid w:val="002F1D7A"/>
    <w:rsid w:val="00304978"/>
    <w:rsid w:val="00306C05"/>
    <w:rsid w:val="00310C71"/>
    <w:rsid w:val="00322F72"/>
    <w:rsid w:val="00325042"/>
    <w:rsid w:val="00327B96"/>
    <w:rsid w:val="00334D3E"/>
    <w:rsid w:val="00336DF4"/>
    <w:rsid w:val="003416E5"/>
    <w:rsid w:val="0034650B"/>
    <w:rsid w:val="0035462D"/>
    <w:rsid w:val="00356520"/>
    <w:rsid w:val="00360D2A"/>
    <w:rsid w:val="00364A78"/>
    <w:rsid w:val="00365923"/>
    <w:rsid w:val="0037466C"/>
    <w:rsid w:val="0038501F"/>
    <w:rsid w:val="00391111"/>
    <w:rsid w:val="00395A52"/>
    <w:rsid w:val="003A33FF"/>
    <w:rsid w:val="003A6C0C"/>
    <w:rsid w:val="003B3B81"/>
    <w:rsid w:val="003B7BBE"/>
    <w:rsid w:val="003B7C4D"/>
    <w:rsid w:val="003C1366"/>
    <w:rsid w:val="003D1BF9"/>
    <w:rsid w:val="003D1CCD"/>
    <w:rsid w:val="003D2745"/>
    <w:rsid w:val="003D7EB5"/>
    <w:rsid w:val="003E05C9"/>
    <w:rsid w:val="003E2EA9"/>
    <w:rsid w:val="003E3B7F"/>
    <w:rsid w:val="003F243D"/>
    <w:rsid w:val="003F27DD"/>
    <w:rsid w:val="0041084F"/>
    <w:rsid w:val="004137C2"/>
    <w:rsid w:val="00424FC6"/>
    <w:rsid w:val="00434286"/>
    <w:rsid w:val="00442AB5"/>
    <w:rsid w:val="0044549D"/>
    <w:rsid w:val="0044652B"/>
    <w:rsid w:val="00446E14"/>
    <w:rsid w:val="00451302"/>
    <w:rsid w:val="00460807"/>
    <w:rsid w:val="00462C13"/>
    <w:rsid w:val="00474340"/>
    <w:rsid w:val="004761F0"/>
    <w:rsid w:val="00477438"/>
    <w:rsid w:val="004778A6"/>
    <w:rsid w:val="0048584D"/>
    <w:rsid w:val="004865B8"/>
    <w:rsid w:val="00487CC0"/>
    <w:rsid w:val="00487D5A"/>
    <w:rsid w:val="00496C77"/>
    <w:rsid w:val="00497DE6"/>
    <w:rsid w:val="00497F6C"/>
    <w:rsid w:val="004A00F8"/>
    <w:rsid w:val="004A0509"/>
    <w:rsid w:val="004A0D75"/>
    <w:rsid w:val="004A1C28"/>
    <w:rsid w:val="004A62A5"/>
    <w:rsid w:val="004B15FF"/>
    <w:rsid w:val="004B515B"/>
    <w:rsid w:val="004C502C"/>
    <w:rsid w:val="004C60B3"/>
    <w:rsid w:val="004D2D66"/>
    <w:rsid w:val="004D3AFC"/>
    <w:rsid w:val="004E2744"/>
    <w:rsid w:val="004E5EA8"/>
    <w:rsid w:val="004F77BE"/>
    <w:rsid w:val="00503CAF"/>
    <w:rsid w:val="00506A65"/>
    <w:rsid w:val="00516F94"/>
    <w:rsid w:val="00522348"/>
    <w:rsid w:val="00523D4D"/>
    <w:rsid w:val="00523D54"/>
    <w:rsid w:val="00524873"/>
    <w:rsid w:val="00524970"/>
    <w:rsid w:val="00527749"/>
    <w:rsid w:val="005303FE"/>
    <w:rsid w:val="005373D4"/>
    <w:rsid w:val="0054488F"/>
    <w:rsid w:val="00546875"/>
    <w:rsid w:val="00547852"/>
    <w:rsid w:val="00547B59"/>
    <w:rsid w:val="00552563"/>
    <w:rsid w:val="00554CB7"/>
    <w:rsid w:val="00567AEE"/>
    <w:rsid w:val="00570826"/>
    <w:rsid w:val="00582A99"/>
    <w:rsid w:val="00582F65"/>
    <w:rsid w:val="0059213B"/>
    <w:rsid w:val="005952D3"/>
    <w:rsid w:val="00596CE7"/>
    <w:rsid w:val="00597C48"/>
    <w:rsid w:val="005A1B70"/>
    <w:rsid w:val="005C2F52"/>
    <w:rsid w:val="005D5122"/>
    <w:rsid w:val="005E06B2"/>
    <w:rsid w:val="005E6CD6"/>
    <w:rsid w:val="00602005"/>
    <w:rsid w:val="0060421C"/>
    <w:rsid w:val="00604D79"/>
    <w:rsid w:val="00605F9E"/>
    <w:rsid w:val="00613C2E"/>
    <w:rsid w:val="006156DD"/>
    <w:rsid w:val="0061627F"/>
    <w:rsid w:val="00616B53"/>
    <w:rsid w:val="006174D7"/>
    <w:rsid w:val="00620173"/>
    <w:rsid w:val="00632F2A"/>
    <w:rsid w:val="00633742"/>
    <w:rsid w:val="006354B3"/>
    <w:rsid w:val="00636053"/>
    <w:rsid w:val="00636F24"/>
    <w:rsid w:val="00637407"/>
    <w:rsid w:val="00641365"/>
    <w:rsid w:val="00645699"/>
    <w:rsid w:val="00652EDE"/>
    <w:rsid w:val="006534D7"/>
    <w:rsid w:val="00660BB2"/>
    <w:rsid w:val="006639B2"/>
    <w:rsid w:val="00674E10"/>
    <w:rsid w:val="00675997"/>
    <w:rsid w:val="00675C8F"/>
    <w:rsid w:val="00676F48"/>
    <w:rsid w:val="0068012E"/>
    <w:rsid w:val="00682614"/>
    <w:rsid w:val="00694917"/>
    <w:rsid w:val="006B1136"/>
    <w:rsid w:val="006B3EC8"/>
    <w:rsid w:val="006B7BC8"/>
    <w:rsid w:val="006C047B"/>
    <w:rsid w:val="006C2640"/>
    <w:rsid w:val="006D01CD"/>
    <w:rsid w:val="006D2F4D"/>
    <w:rsid w:val="006D3AD1"/>
    <w:rsid w:val="006D3C07"/>
    <w:rsid w:val="006D62DE"/>
    <w:rsid w:val="006D6E1A"/>
    <w:rsid w:val="006E218B"/>
    <w:rsid w:val="006E70F3"/>
    <w:rsid w:val="006F1E1C"/>
    <w:rsid w:val="006F4A6A"/>
    <w:rsid w:val="006F5693"/>
    <w:rsid w:val="00704CD6"/>
    <w:rsid w:val="00707442"/>
    <w:rsid w:val="00714FAE"/>
    <w:rsid w:val="007157C0"/>
    <w:rsid w:val="00721964"/>
    <w:rsid w:val="00723581"/>
    <w:rsid w:val="00727E5E"/>
    <w:rsid w:val="00745FB2"/>
    <w:rsid w:val="00750D2B"/>
    <w:rsid w:val="00750D6C"/>
    <w:rsid w:val="00751D7D"/>
    <w:rsid w:val="00754D51"/>
    <w:rsid w:val="0075695E"/>
    <w:rsid w:val="00764977"/>
    <w:rsid w:val="007669D5"/>
    <w:rsid w:val="00775C2D"/>
    <w:rsid w:val="00791EB6"/>
    <w:rsid w:val="00796815"/>
    <w:rsid w:val="007A07B6"/>
    <w:rsid w:val="007A1442"/>
    <w:rsid w:val="007B1B85"/>
    <w:rsid w:val="007C1E2A"/>
    <w:rsid w:val="007D0954"/>
    <w:rsid w:val="007D64DD"/>
    <w:rsid w:val="007D7DF6"/>
    <w:rsid w:val="007D7F5F"/>
    <w:rsid w:val="007E5A0C"/>
    <w:rsid w:val="007E7165"/>
    <w:rsid w:val="00804006"/>
    <w:rsid w:val="0080578A"/>
    <w:rsid w:val="00812C97"/>
    <w:rsid w:val="00824546"/>
    <w:rsid w:val="008357AA"/>
    <w:rsid w:val="00836F73"/>
    <w:rsid w:val="00840424"/>
    <w:rsid w:val="00844161"/>
    <w:rsid w:val="008524CA"/>
    <w:rsid w:val="008565B5"/>
    <w:rsid w:val="00863116"/>
    <w:rsid w:val="00863C02"/>
    <w:rsid w:val="00873E63"/>
    <w:rsid w:val="00882900"/>
    <w:rsid w:val="008854E5"/>
    <w:rsid w:val="00887048"/>
    <w:rsid w:val="0088715E"/>
    <w:rsid w:val="00896A26"/>
    <w:rsid w:val="0089759C"/>
    <w:rsid w:val="008A08D2"/>
    <w:rsid w:val="008B009B"/>
    <w:rsid w:val="008B46EF"/>
    <w:rsid w:val="008B5944"/>
    <w:rsid w:val="008C5E9D"/>
    <w:rsid w:val="008D08F2"/>
    <w:rsid w:val="008D2651"/>
    <w:rsid w:val="008D5C70"/>
    <w:rsid w:val="008E2734"/>
    <w:rsid w:val="008E3B41"/>
    <w:rsid w:val="008E7575"/>
    <w:rsid w:val="008F250B"/>
    <w:rsid w:val="008F6D23"/>
    <w:rsid w:val="008F733F"/>
    <w:rsid w:val="008F78F4"/>
    <w:rsid w:val="00900A3C"/>
    <w:rsid w:val="00910C0B"/>
    <w:rsid w:val="0091355E"/>
    <w:rsid w:val="0092399C"/>
    <w:rsid w:val="00923CA1"/>
    <w:rsid w:val="009308CD"/>
    <w:rsid w:val="0093386E"/>
    <w:rsid w:val="009344CE"/>
    <w:rsid w:val="00943417"/>
    <w:rsid w:val="009473EF"/>
    <w:rsid w:val="00954751"/>
    <w:rsid w:val="009727E2"/>
    <w:rsid w:val="009732ED"/>
    <w:rsid w:val="00975FC2"/>
    <w:rsid w:val="00976234"/>
    <w:rsid w:val="009800EF"/>
    <w:rsid w:val="009862BD"/>
    <w:rsid w:val="0098739D"/>
    <w:rsid w:val="00987AF4"/>
    <w:rsid w:val="00987FCB"/>
    <w:rsid w:val="00990378"/>
    <w:rsid w:val="00995382"/>
    <w:rsid w:val="00996744"/>
    <w:rsid w:val="009B7579"/>
    <w:rsid w:val="009D1981"/>
    <w:rsid w:val="009D3DEE"/>
    <w:rsid w:val="009D7B71"/>
    <w:rsid w:val="009D7EFE"/>
    <w:rsid w:val="009E1408"/>
    <w:rsid w:val="009E6614"/>
    <w:rsid w:val="009F0173"/>
    <w:rsid w:val="009F1DD5"/>
    <w:rsid w:val="009F4512"/>
    <w:rsid w:val="009F541F"/>
    <w:rsid w:val="009F58B2"/>
    <w:rsid w:val="009F67FE"/>
    <w:rsid w:val="009F7526"/>
    <w:rsid w:val="00A1441B"/>
    <w:rsid w:val="00A14C64"/>
    <w:rsid w:val="00A20310"/>
    <w:rsid w:val="00A2135E"/>
    <w:rsid w:val="00A24A05"/>
    <w:rsid w:val="00A25DE2"/>
    <w:rsid w:val="00A3048D"/>
    <w:rsid w:val="00A34FCE"/>
    <w:rsid w:val="00A50685"/>
    <w:rsid w:val="00A53644"/>
    <w:rsid w:val="00A712E7"/>
    <w:rsid w:val="00A76E9E"/>
    <w:rsid w:val="00A87A96"/>
    <w:rsid w:val="00A91B58"/>
    <w:rsid w:val="00A94DA6"/>
    <w:rsid w:val="00AA5D99"/>
    <w:rsid w:val="00AB60D7"/>
    <w:rsid w:val="00AC3C91"/>
    <w:rsid w:val="00AC54E7"/>
    <w:rsid w:val="00AC7A8E"/>
    <w:rsid w:val="00AD2CD8"/>
    <w:rsid w:val="00AD443E"/>
    <w:rsid w:val="00AE05A0"/>
    <w:rsid w:val="00AE1165"/>
    <w:rsid w:val="00AE1773"/>
    <w:rsid w:val="00AF44E0"/>
    <w:rsid w:val="00AF623D"/>
    <w:rsid w:val="00AF7CC6"/>
    <w:rsid w:val="00B0478A"/>
    <w:rsid w:val="00B0488C"/>
    <w:rsid w:val="00B076E5"/>
    <w:rsid w:val="00B11C13"/>
    <w:rsid w:val="00B21DD2"/>
    <w:rsid w:val="00B23703"/>
    <w:rsid w:val="00B27E35"/>
    <w:rsid w:val="00B361A4"/>
    <w:rsid w:val="00B457AB"/>
    <w:rsid w:val="00B51472"/>
    <w:rsid w:val="00B64254"/>
    <w:rsid w:val="00B64B0E"/>
    <w:rsid w:val="00B7785A"/>
    <w:rsid w:val="00B77C39"/>
    <w:rsid w:val="00B863E1"/>
    <w:rsid w:val="00B90B8B"/>
    <w:rsid w:val="00B93AF6"/>
    <w:rsid w:val="00B9708F"/>
    <w:rsid w:val="00BA048D"/>
    <w:rsid w:val="00BA6DFA"/>
    <w:rsid w:val="00BB1D65"/>
    <w:rsid w:val="00BC125D"/>
    <w:rsid w:val="00BC465A"/>
    <w:rsid w:val="00BC5FC3"/>
    <w:rsid w:val="00BD5E18"/>
    <w:rsid w:val="00BD64F8"/>
    <w:rsid w:val="00BE3F0E"/>
    <w:rsid w:val="00BE5916"/>
    <w:rsid w:val="00BF28AC"/>
    <w:rsid w:val="00C015BC"/>
    <w:rsid w:val="00C05051"/>
    <w:rsid w:val="00C07FE9"/>
    <w:rsid w:val="00C11EA7"/>
    <w:rsid w:val="00C162F9"/>
    <w:rsid w:val="00C25A07"/>
    <w:rsid w:val="00C25E3C"/>
    <w:rsid w:val="00C357CC"/>
    <w:rsid w:val="00C462EE"/>
    <w:rsid w:val="00C5222C"/>
    <w:rsid w:val="00C53575"/>
    <w:rsid w:val="00C547CA"/>
    <w:rsid w:val="00C54B01"/>
    <w:rsid w:val="00C600D3"/>
    <w:rsid w:val="00C60EA1"/>
    <w:rsid w:val="00C67D4D"/>
    <w:rsid w:val="00C71D23"/>
    <w:rsid w:val="00C72986"/>
    <w:rsid w:val="00C7603D"/>
    <w:rsid w:val="00C81020"/>
    <w:rsid w:val="00C824C1"/>
    <w:rsid w:val="00C8485D"/>
    <w:rsid w:val="00C84FB4"/>
    <w:rsid w:val="00C86F44"/>
    <w:rsid w:val="00C87DEE"/>
    <w:rsid w:val="00C90C8C"/>
    <w:rsid w:val="00C918A8"/>
    <w:rsid w:val="00C93637"/>
    <w:rsid w:val="00C94A41"/>
    <w:rsid w:val="00C970F9"/>
    <w:rsid w:val="00C97E1B"/>
    <w:rsid w:val="00CA0547"/>
    <w:rsid w:val="00CA1C11"/>
    <w:rsid w:val="00CA2F59"/>
    <w:rsid w:val="00CA6605"/>
    <w:rsid w:val="00CB3816"/>
    <w:rsid w:val="00CB654F"/>
    <w:rsid w:val="00CC1BD7"/>
    <w:rsid w:val="00CC4DB2"/>
    <w:rsid w:val="00CC654E"/>
    <w:rsid w:val="00CF1092"/>
    <w:rsid w:val="00D0358D"/>
    <w:rsid w:val="00D046EB"/>
    <w:rsid w:val="00D05B64"/>
    <w:rsid w:val="00D12536"/>
    <w:rsid w:val="00D13DE6"/>
    <w:rsid w:val="00D13E7A"/>
    <w:rsid w:val="00D14AF4"/>
    <w:rsid w:val="00D20D50"/>
    <w:rsid w:val="00D217B2"/>
    <w:rsid w:val="00D227F5"/>
    <w:rsid w:val="00D304A0"/>
    <w:rsid w:val="00D3164A"/>
    <w:rsid w:val="00D32974"/>
    <w:rsid w:val="00D32A32"/>
    <w:rsid w:val="00D32F05"/>
    <w:rsid w:val="00D36B96"/>
    <w:rsid w:val="00D50AFD"/>
    <w:rsid w:val="00D564B1"/>
    <w:rsid w:val="00D6457E"/>
    <w:rsid w:val="00D67928"/>
    <w:rsid w:val="00D7570C"/>
    <w:rsid w:val="00D80C2B"/>
    <w:rsid w:val="00D8287C"/>
    <w:rsid w:val="00D82D26"/>
    <w:rsid w:val="00D92C3D"/>
    <w:rsid w:val="00D9610F"/>
    <w:rsid w:val="00D97BF4"/>
    <w:rsid w:val="00DA5049"/>
    <w:rsid w:val="00DA61F9"/>
    <w:rsid w:val="00DB185F"/>
    <w:rsid w:val="00DB6422"/>
    <w:rsid w:val="00DC0F95"/>
    <w:rsid w:val="00DC390A"/>
    <w:rsid w:val="00DC40E3"/>
    <w:rsid w:val="00DD003E"/>
    <w:rsid w:val="00DD2099"/>
    <w:rsid w:val="00DD6C35"/>
    <w:rsid w:val="00DE070D"/>
    <w:rsid w:val="00DE1AF0"/>
    <w:rsid w:val="00DE2278"/>
    <w:rsid w:val="00DE60C4"/>
    <w:rsid w:val="00DF7422"/>
    <w:rsid w:val="00E0375E"/>
    <w:rsid w:val="00E07344"/>
    <w:rsid w:val="00E10118"/>
    <w:rsid w:val="00E10D8A"/>
    <w:rsid w:val="00E11C99"/>
    <w:rsid w:val="00E13A2A"/>
    <w:rsid w:val="00E215C1"/>
    <w:rsid w:val="00E23344"/>
    <w:rsid w:val="00E32D75"/>
    <w:rsid w:val="00E37F85"/>
    <w:rsid w:val="00E448BE"/>
    <w:rsid w:val="00E60EC2"/>
    <w:rsid w:val="00E66B8C"/>
    <w:rsid w:val="00E67D6C"/>
    <w:rsid w:val="00E704B7"/>
    <w:rsid w:val="00E72F91"/>
    <w:rsid w:val="00E80885"/>
    <w:rsid w:val="00E81B3F"/>
    <w:rsid w:val="00E9463A"/>
    <w:rsid w:val="00EA1546"/>
    <w:rsid w:val="00EA3B11"/>
    <w:rsid w:val="00EC0D81"/>
    <w:rsid w:val="00EC1DB1"/>
    <w:rsid w:val="00ED5502"/>
    <w:rsid w:val="00EE0213"/>
    <w:rsid w:val="00EE23A0"/>
    <w:rsid w:val="00EE492F"/>
    <w:rsid w:val="00EF01E6"/>
    <w:rsid w:val="00EF381D"/>
    <w:rsid w:val="00EF5A46"/>
    <w:rsid w:val="00EF64B7"/>
    <w:rsid w:val="00F004B8"/>
    <w:rsid w:val="00F03C08"/>
    <w:rsid w:val="00F27202"/>
    <w:rsid w:val="00F344F5"/>
    <w:rsid w:val="00F36A05"/>
    <w:rsid w:val="00F41C4B"/>
    <w:rsid w:val="00F4248B"/>
    <w:rsid w:val="00F456A7"/>
    <w:rsid w:val="00F566EC"/>
    <w:rsid w:val="00F572C3"/>
    <w:rsid w:val="00F578DC"/>
    <w:rsid w:val="00F606BE"/>
    <w:rsid w:val="00F62B7D"/>
    <w:rsid w:val="00F649BD"/>
    <w:rsid w:val="00F64AB4"/>
    <w:rsid w:val="00F73EC7"/>
    <w:rsid w:val="00F7671F"/>
    <w:rsid w:val="00F80636"/>
    <w:rsid w:val="00F826A5"/>
    <w:rsid w:val="00F82A99"/>
    <w:rsid w:val="00F878EE"/>
    <w:rsid w:val="00F93032"/>
    <w:rsid w:val="00F938FB"/>
    <w:rsid w:val="00F93C5A"/>
    <w:rsid w:val="00F95134"/>
    <w:rsid w:val="00FA1999"/>
    <w:rsid w:val="00FA23B0"/>
    <w:rsid w:val="00FA27CB"/>
    <w:rsid w:val="00FA5F38"/>
    <w:rsid w:val="00FA69E2"/>
    <w:rsid w:val="00FC0A3A"/>
    <w:rsid w:val="00FC44A7"/>
    <w:rsid w:val="00FC6362"/>
    <w:rsid w:val="00FD03BB"/>
    <w:rsid w:val="00FD55E6"/>
    <w:rsid w:val="00FE0451"/>
    <w:rsid w:val="00FE2CBF"/>
    <w:rsid w:val="00FE6CA0"/>
    <w:rsid w:val="00FF3631"/>
    <w:rsid w:val="00FF5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0B077"/>
  <w15:chartTrackingRefBased/>
  <w15:docId w15:val="{D6FA9F95-A63C-4DFC-BAA5-9F4CDCC1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768"/>
    <w:pPr>
      <w:spacing w:after="0" w:line="240" w:lineRule="auto"/>
    </w:pPr>
    <w:rPr>
      <w:rFonts w:ascii="Times New Roman" w:eastAsia="Times New Roman" w:hAnsi="Times New Roman" w:cs="Times New Roman"/>
      <w:sz w:val="28"/>
      <w:szCs w:val="28"/>
    </w:rPr>
  </w:style>
  <w:style w:type="paragraph" w:styleId="Heading4">
    <w:name w:val="heading 4"/>
    <w:basedOn w:val="Normal"/>
    <w:next w:val="Normal"/>
    <w:link w:val="Heading4Char"/>
    <w:uiPriority w:val="9"/>
    <w:unhideWhenUsed/>
    <w:qFormat/>
    <w:rsid w:val="00B9708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053768"/>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053768"/>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053768"/>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053768"/>
    <w:pPr>
      <w:spacing w:before="100" w:beforeAutospacing="1" w:after="100" w:afterAutospacing="1"/>
    </w:pPr>
    <w:rPr>
      <w:rFonts w:eastAsia="Calibri"/>
      <w:sz w:val="24"/>
      <w:szCs w:val="24"/>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53768"/>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053768"/>
    <w:rPr>
      <w:rFonts w:ascii="Times New Roman" w:eastAsia="Calibri" w:hAnsi="Times New Roman" w:cs="Times New Roman"/>
      <w:sz w:val="24"/>
      <w:szCs w:val="24"/>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8E7575"/>
    <w:pPr>
      <w:spacing w:after="160" w:line="240" w:lineRule="exact"/>
    </w:pPr>
    <w:rPr>
      <w:rFonts w:asciiTheme="minorHAnsi" w:eastAsiaTheme="minorHAnsi" w:hAnsiTheme="minorHAnsi" w:cstheme="minorBidi"/>
      <w:sz w:val="22"/>
      <w:szCs w:val="22"/>
      <w:vertAlign w:val="superscript"/>
    </w:rPr>
  </w:style>
  <w:style w:type="character" w:customStyle="1" w:styleId="normalchar">
    <w:name w:val="normal__char"/>
    <w:basedOn w:val="DefaultParagraphFont"/>
    <w:rsid w:val="008E7575"/>
  </w:style>
  <w:style w:type="paragraph" w:styleId="BalloonText">
    <w:name w:val="Balloon Text"/>
    <w:basedOn w:val="Normal"/>
    <w:link w:val="BalloonTextChar"/>
    <w:uiPriority w:val="99"/>
    <w:semiHidden/>
    <w:unhideWhenUsed/>
    <w:rsid w:val="00567A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AEE"/>
    <w:rPr>
      <w:rFonts w:ascii="Segoe UI" w:eastAsia="Times New Roman" w:hAnsi="Segoe UI" w:cs="Segoe UI"/>
      <w:sz w:val="18"/>
      <w:szCs w:val="18"/>
    </w:rPr>
  </w:style>
  <w:style w:type="paragraph" w:styleId="Revision">
    <w:name w:val="Revision"/>
    <w:hidden/>
    <w:uiPriority w:val="99"/>
    <w:semiHidden/>
    <w:rsid w:val="00163059"/>
    <w:pPr>
      <w:spacing w:after="0" w:line="240" w:lineRule="auto"/>
    </w:pPr>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750D6C"/>
    <w:rPr>
      <w:sz w:val="16"/>
      <w:szCs w:val="16"/>
    </w:rPr>
  </w:style>
  <w:style w:type="paragraph" w:styleId="CommentText">
    <w:name w:val="annotation text"/>
    <w:basedOn w:val="Normal"/>
    <w:link w:val="CommentTextChar"/>
    <w:uiPriority w:val="99"/>
    <w:unhideWhenUsed/>
    <w:rsid w:val="00750D6C"/>
    <w:rPr>
      <w:sz w:val="20"/>
      <w:szCs w:val="20"/>
    </w:rPr>
  </w:style>
  <w:style w:type="character" w:customStyle="1" w:styleId="CommentTextChar">
    <w:name w:val="Comment Text Char"/>
    <w:basedOn w:val="DefaultParagraphFont"/>
    <w:link w:val="CommentText"/>
    <w:uiPriority w:val="99"/>
    <w:rsid w:val="00750D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0D6C"/>
    <w:rPr>
      <w:b/>
      <w:bCs/>
    </w:rPr>
  </w:style>
  <w:style w:type="character" w:customStyle="1" w:styleId="CommentSubjectChar">
    <w:name w:val="Comment Subject Char"/>
    <w:basedOn w:val="CommentTextChar"/>
    <w:link w:val="CommentSubject"/>
    <w:uiPriority w:val="99"/>
    <w:semiHidden/>
    <w:rsid w:val="00750D6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11C99"/>
    <w:rPr>
      <w:color w:val="0563C1" w:themeColor="hyperlink"/>
      <w:u w:val="single"/>
    </w:rPr>
  </w:style>
  <w:style w:type="table" w:styleId="TableGrid">
    <w:name w:val="Table Grid"/>
    <w:basedOn w:val="TableNormal"/>
    <w:uiPriority w:val="39"/>
    <w:rsid w:val="00E11C99"/>
    <w:pPr>
      <w:spacing w:after="0" w:line="240" w:lineRule="auto"/>
    </w:pPr>
    <w:rPr>
      <w:rFonts w:ascii="Calibri" w:eastAsia="Calibri" w:hAnsi="Calibri" w:cs="Times New Roman"/>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11C99"/>
    <w:pPr>
      <w:spacing w:after="200" w:line="276" w:lineRule="auto"/>
      <w:ind w:left="720"/>
      <w:contextualSpacing/>
    </w:pPr>
    <w:rPr>
      <w:rFonts w:eastAsia="Calibri"/>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rsid w:val="00E11C99"/>
    <w:rPr>
      <w:rFonts w:ascii="Times New Roman" w:eastAsia="Calibri" w:hAnsi="Times New Roman" w:cs="Times New Roman"/>
      <w:sz w:val="28"/>
      <w:szCs w:val="28"/>
    </w:rPr>
  </w:style>
  <w:style w:type="character" w:styleId="Strong">
    <w:name w:val="Strong"/>
    <w:basedOn w:val="DefaultParagraphFont"/>
    <w:qFormat/>
    <w:rsid w:val="00E11C99"/>
    <w:rPr>
      <w:rFonts w:cs="Times New Roman"/>
      <w:b/>
      <w:bCs/>
    </w:rPr>
  </w:style>
  <w:style w:type="paragraph" w:customStyle="1" w:styleId="Normal1">
    <w:name w:val="Normal1"/>
    <w:basedOn w:val="Normal"/>
    <w:qFormat/>
    <w:rsid w:val="00E11C99"/>
    <w:pPr>
      <w:spacing w:before="100" w:beforeAutospacing="1" w:after="100" w:afterAutospacing="1"/>
    </w:pPr>
    <w:rPr>
      <w:rFonts w:ascii="Calibri" w:hAnsi="Calibri" w:cs="Calibri"/>
      <w:sz w:val="24"/>
      <w:szCs w:val="24"/>
    </w:rPr>
  </w:style>
  <w:style w:type="character" w:customStyle="1" w:styleId="fontstyle01">
    <w:name w:val="fontstyle01"/>
    <w:rsid w:val="00E11C99"/>
    <w:rPr>
      <w:rFonts w:ascii="Times New Roman" w:hAnsi="Times New Roman" w:cs="Times New Roman" w:hint="default"/>
      <w:color w:val="000000"/>
      <w:sz w:val="28"/>
    </w:rPr>
  </w:style>
  <w:style w:type="paragraph" w:customStyle="1" w:styleId="Normal11">
    <w:name w:val="Normal11"/>
    <w:basedOn w:val="Normal"/>
    <w:rsid w:val="00E11C99"/>
    <w:pPr>
      <w:spacing w:before="100" w:beforeAutospacing="1" w:after="100" w:afterAutospacing="1"/>
    </w:pPr>
    <w:rPr>
      <w:rFonts w:ascii="Calibri" w:hAnsi="Calibri" w:cs="Calibri"/>
      <w:sz w:val="24"/>
      <w:szCs w:val="24"/>
    </w:rPr>
  </w:style>
  <w:style w:type="paragraph" w:styleId="BodyTextIndent">
    <w:name w:val="Body Text Indent"/>
    <w:basedOn w:val="Normal"/>
    <w:link w:val="BodyTextIndentChar"/>
    <w:rsid w:val="00E11C99"/>
    <w:pPr>
      <w:ind w:left="360"/>
    </w:pPr>
    <w:rPr>
      <w:rFonts w:ascii=".VnTime" w:hAnsi=".VnTime"/>
    </w:rPr>
  </w:style>
  <w:style w:type="character" w:customStyle="1" w:styleId="BodyTextIndentChar">
    <w:name w:val="Body Text Indent Char"/>
    <w:basedOn w:val="DefaultParagraphFont"/>
    <w:link w:val="BodyTextIndent"/>
    <w:rsid w:val="00E11C99"/>
    <w:rPr>
      <w:rFonts w:ascii=".VnTime" w:eastAsia="Times New Roman" w:hAnsi=".VnTime" w:cs="Times New Roman"/>
      <w:sz w:val="28"/>
      <w:szCs w:val="28"/>
    </w:rPr>
  </w:style>
  <w:style w:type="paragraph" w:styleId="Header">
    <w:name w:val="header"/>
    <w:basedOn w:val="Normal"/>
    <w:link w:val="HeaderChar"/>
    <w:uiPriority w:val="99"/>
    <w:unhideWhenUsed/>
    <w:rsid w:val="008854E5"/>
    <w:pPr>
      <w:tabs>
        <w:tab w:val="center" w:pos="4513"/>
        <w:tab w:val="right" w:pos="9026"/>
      </w:tabs>
    </w:pPr>
  </w:style>
  <w:style w:type="character" w:customStyle="1" w:styleId="HeaderChar">
    <w:name w:val="Header Char"/>
    <w:basedOn w:val="DefaultParagraphFont"/>
    <w:link w:val="Header"/>
    <w:uiPriority w:val="99"/>
    <w:rsid w:val="008854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854E5"/>
    <w:pPr>
      <w:tabs>
        <w:tab w:val="center" w:pos="4513"/>
        <w:tab w:val="right" w:pos="9026"/>
      </w:tabs>
    </w:pPr>
  </w:style>
  <w:style w:type="character" w:customStyle="1" w:styleId="FooterChar">
    <w:name w:val="Footer Char"/>
    <w:basedOn w:val="DefaultParagraphFont"/>
    <w:link w:val="Footer"/>
    <w:uiPriority w:val="99"/>
    <w:rsid w:val="008854E5"/>
    <w:rPr>
      <w:rFonts w:ascii="Times New Roman" w:eastAsia="Times New Roman" w:hAnsi="Times New Roman" w:cs="Times New Roman"/>
      <w:sz w:val="28"/>
      <w:szCs w:val="28"/>
    </w:rPr>
  </w:style>
  <w:style w:type="paragraph" w:styleId="BodyText">
    <w:name w:val="Body Text"/>
    <w:basedOn w:val="Normal"/>
    <w:link w:val="BodyTextChar"/>
    <w:uiPriority w:val="99"/>
    <w:semiHidden/>
    <w:unhideWhenUsed/>
    <w:rsid w:val="00CC4DB2"/>
    <w:pPr>
      <w:spacing w:after="120"/>
    </w:pPr>
  </w:style>
  <w:style w:type="character" w:customStyle="1" w:styleId="BodyTextChar">
    <w:name w:val="Body Text Char"/>
    <w:basedOn w:val="DefaultParagraphFont"/>
    <w:link w:val="BodyText"/>
    <w:uiPriority w:val="99"/>
    <w:semiHidden/>
    <w:rsid w:val="00CC4DB2"/>
    <w:rPr>
      <w:rFonts w:ascii="Times New Roman" w:eastAsia="Times New Roman" w:hAnsi="Times New Roman" w:cs="Times New Roman"/>
      <w:sz w:val="28"/>
      <w:szCs w:val="28"/>
    </w:rPr>
  </w:style>
  <w:style w:type="table" w:customStyle="1" w:styleId="TableGrid1">
    <w:name w:val="Table Grid1"/>
    <w:basedOn w:val="TableNormal"/>
    <w:next w:val="TableGrid"/>
    <w:uiPriority w:val="39"/>
    <w:rsid w:val="00AE05A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rsid w:val="00987FCB"/>
    <w:rPr>
      <w:rFonts w:ascii="Arial" w:hAnsi="Arial" w:cs="Arial" w:hint="default"/>
      <w:strike w:val="0"/>
      <w:dstrike w:val="0"/>
      <w:sz w:val="20"/>
      <w:szCs w:val="20"/>
      <w:u w:val="none"/>
      <w:effect w:val="none"/>
    </w:rPr>
  </w:style>
  <w:style w:type="table" w:customStyle="1" w:styleId="TableGrid2">
    <w:name w:val="Table Grid2"/>
    <w:basedOn w:val="TableNormal"/>
    <w:next w:val="TableGrid"/>
    <w:uiPriority w:val="39"/>
    <w:rsid w:val="00EF01E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52563"/>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6457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20D5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D3DEE"/>
    <w:rPr>
      <w:i/>
      <w:iCs/>
    </w:rPr>
  </w:style>
  <w:style w:type="character" w:customStyle="1" w:styleId="Heading4Char">
    <w:name w:val="Heading 4 Char"/>
    <w:basedOn w:val="DefaultParagraphFont"/>
    <w:link w:val="Heading4"/>
    <w:uiPriority w:val="9"/>
    <w:rsid w:val="00B9708F"/>
    <w:rPr>
      <w:rFonts w:asciiTheme="majorHAnsi" w:eastAsiaTheme="majorEastAsia" w:hAnsiTheme="majorHAnsi" w:cstheme="majorBidi"/>
      <w:i/>
      <w:iCs/>
      <w:color w:val="2E74B5" w:themeColor="accent1" w:themeShade="BF"/>
      <w:sz w:val="28"/>
      <w:szCs w:val="28"/>
    </w:rPr>
  </w:style>
  <w:style w:type="paragraph" w:customStyle="1" w:styleId="Normal2">
    <w:name w:val="Normal2"/>
    <w:basedOn w:val="Normal"/>
    <w:rsid w:val="000A7C3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316731">
      <w:bodyDiv w:val="1"/>
      <w:marLeft w:val="0"/>
      <w:marRight w:val="0"/>
      <w:marTop w:val="0"/>
      <w:marBottom w:val="0"/>
      <w:divBdr>
        <w:top w:val="none" w:sz="0" w:space="0" w:color="auto"/>
        <w:left w:val="none" w:sz="0" w:space="0" w:color="auto"/>
        <w:bottom w:val="none" w:sz="0" w:space="0" w:color="auto"/>
        <w:right w:val="none" w:sz="0" w:space="0" w:color="auto"/>
      </w:divBdr>
    </w:div>
    <w:div w:id="371462945">
      <w:bodyDiv w:val="1"/>
      <w:marLeft w:val="0"/>
      <w:marRight w:val="0"/>
      <w:marTop w:val="0"/>
      <w:marBottom w:val="0"/>
      <w:divBdr>
        <w:top w:val="none" w:sz="0" w:space="0" w:color="auto"/>
        <w:left w:val="none" w:sz="0" w:space="0" w:color="auto"/>
        <w:bottom w:val="none" w:sz="0" w:space="0" w:color="auto"/>
        <w:right w:val="none" w:sz="0" w:space="0" w:color="auto"/>
      </w:divBdr>
    </w:div>
    <w:div w:id="1164977474">
      <w:bodyDiv w:val="1"/>
      <w:marLeft w:val="0"/>
      <w:marRight w:val="0"/>
      <w:marTop w:val="0"/>
      <w:marBottom w:val="0"/>
      <w:divBdr>
        <w:top w:val="none" w:sz="0" w:space="0" w:color="auto"/>
        <w:left w:val="none" w:sz="0" w:space="0" w:color="auto"/>
        <w:bottom w:val="none" w:sz="0" w:space="0" w:color="auto"/>
        <w:right w:val="none" w:sz="0" w:space="0" w:color="auto"/>
      </w:divBdr>
    </w:div>
    <w:div w:id="1227105211">
      <w:bodyDiv w:val="1"/>
      <w:marLeft w:val="0"/>
      <w:marRight w:val="0"/>
      <w:marTop w:val="0"/>
      <w:marBottom w:val="0"/>
      <w:divBdr>
        <w:top w:val="none" w:sz="0" w:space="0" w:color="auto"/>
        <w:left w:val="none" w:sz="0" w:space="0" w:color="auto"/>
        <w:bottom w:val="none" w:sz="0" w:space="0" w:color="auto"/>
        <w:right w:val="none" w:sz="0" w:space="0" w:color="auto"/>
      </w:divBdr>
    </w:div>
    <w:div w:id="1274096600">
      <w:bodyDiv w:val="1"/>
      <w:marLeft w:val="0"/>
      <w:marRight w:val="0"/>
      <w:marTop w:val="0"/>
      <w:marBottom w:val="0"/>
      <w:divBdr>
        <w:top w:val="none" w:sz="0" w:space="0" w:color="auto"/>
        <w:left w:val="none" w:sz="0" w:space="0" w:color="auto"/>
        <w:bottom w:val="none" w:sz="0" w:space="0" w:color="auto"/>
        <w:right w:val="none" w:sz="0" w:space="0" w:color="auto"/>
      </w:divBdr>
    </w:div>
    <w:div w:id="1338654117">
      <w:bodyDiv w:val="1"/>
      <w:marLeft w:val="0"/>
      <w:marRight w:val="0"/>
      <w:marTop w:val="0"/>
      <w:marBottom w:val="0"/>
      <w:divBdr>
        <w:top w:val="none" w:sz="0" w:space="0" w:color="auto"/>
        <w:left w:val="none" w:sz="0" w:space="0" w:color="auto"/>
        <w:bottom w:val="none" w:sz="0" w:space="0" w:color="auto"/>
        <w:right w:val="none" w:sz="0" w:space="0" w:color="auto"/>
      </w:divBdr>
    </w:div>
    <w:div w:id="1675648246">
      <w:bodyDiv w:val="1"/>
      <w:marLeft w:val="0"/>
      <w:marRight w:val="0"/>
      <w:marTop w:val="0"/>
      <w:marBottom w:val="0"/>
      <w:divBdr>
        <w:top w:val="none" w:sz="0" w:space="0" w:color="auto"/>
        <w:left w:val="none" w:sz="0" w:space="0" w:color="auto"/>
        <w:bottom w:val="none" w:sz="0" w:space="0" w:color="auto"/>
        <w:right w:val="none" w:sz="0" w:space="0" w:color="auto"/>
      </w:divBdr>
    </w:div>
    <w:div w:id="1730691201">
      <w:bodyDiv w:val="1"/>
      <w:marLeft w:val="0"/>
      <w:marRight w:val="0"/>
      <w:marTop w:val="0"/>
      <w:marBottom w:val="0"/>
      <w:divBdr>
        <w:top w:val="none" w:sz="0" w:space="0" w:color="auto"/>
        <w:left w:val="none" w:sz="0" w:space="0" w:color="auto"/>
        <w:bottom w:val="none" w:sz="0" w:space="0" w:color="auto"/>
        <w:right w:val="none" w:sz="0" w:space="0" w:color="auto"/>
      </w:divBdr>
    </w:div>
    <w:div w:id="1753431250">
      <w:bodyDiv w:val="1"/>
      <w:marLeft w:val="0"/>
      <w:marRight w:val="0"/>
      <w:marTop w:val="0"/>
      <w:marBottom w:val="0"/>
      <w:divBdr>
        <w:top w:val="none" w:sz="0" w:space="0" w:color="auto"/>
        <w:left w:val="none" w:sz="0" w:space="0" w:color="auto"/>
        <w:bottom w:val="none" w:sz="0" w:space="0" w:color="auto"/>
        <w:right w:val="none" w:sz="0" w:space="0" w:color="auto"/>
      </w:divBdr>
    </w:div>
    <w:div w:id="189461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chart" Target="charts/chart4.xml"/><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9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100.pn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vasep.com.vn/gia-thuy-san" TargetMode="External"/><Relationship Id="rId1" Type="http://schemas.openxmlformats.org/officeDocument/2006/relationships/hyperlink" Target="http://vasep.com.vn/gia-thuy-sa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MyDocs\Hai%20Van\DICH_TRANSLATION\NIEN%20GIAM\BAO%20CAO%20THANG-QUY\Nam%202026\Thang%208_2026\Bi&#7875;u%20&#273;&#7891;%20V&#272;T%20T8%202026.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G:\MyDocs\Hai%20Van\DICH_TRANSLATION\NIEN%20GIAM\BAO%20CAO%20THANG-QUY\Nam%202026\Thang%208_2026\Bi&#7875;u%20&#273;&#7891;%20FDI%20th&#225;ng%208%202026.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btphuong\Desktop\N&#258;M%202025%20M&#7898;I\000%20N&#258;M%202026\B&#193;O%20C&#193;O%20TH&#193;NG%20N&#258;M%202026\th&#225;ng%208%202026\bi&#7875;u%20&#273;&#7891;%20FDI%20%202%20th&#225;ng%208.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2941581989936E-2"/>
          <c:y val="0.12987602195116299"/>
          <c:w val="0.899967676044373"/>
          <c:h val="0.66574137320055704"/>
        </c:manualLayout>
      </c:layout>
      <c:barChart>
        <c:barDir val="col"/>
        <c:grouping val="clustered"/>
        <c:varyColors val="0"/>
        <c:ser>
          <c:idx val="0"/>
          <c:order val="0"/>
          <c:tx>
            <c:strRef>
              <c:f>'[Biểu đồ VĐT T8 2026.xlsx]Hình 7. Địa phương'!$D$4</c:f>
              <c:strCache>
                <c:ptCount val="1"/>
                <c:pt idx="0">
                  <c:v>8 months of 2025</c:v>
                </c:pt>
              </c:strCache>
            </c:strRef>
          </c:tx>
          <c:spPr>
            <a:solidFill>
              <a:srgbClr val="CFB09D"/>
            </a:solidFill>
            <a:ln>
              <a:noFill/>
            </a:ln>
            <a:effectLst/>
          </c:spPr>
          <c:invertIfNegative val="0"/>
          <c:cat>
            <c:strRef>
              <c:f>'[Biểu đồ VĐT T8 2026.xlsx]Hình 7. Địa phương'!$C$5:$C$26</c:f>
              <c:strCache>
                <c:ptCount val="22"/>
                <c:pt idx="0">
                  <c:v>Ha Noi</c:v>
                </c:pt>
                <c:pt idx="1">
                  <c:v>Ho Chi Minh city</c:v>
                </c:pt>
                <c:pt idx="2">
                  <c:v>Hung Yen</c:v>
                </c:pt>
                <c:pt idx="3">
                  <c:v>Ninh Binh</c:v>
                </c:pt>
                <c:pt idx="4">
                  <c:v>Hai Phong</c:v>
                </c:pt>
                <c:pt idx="5">
                  <c:v>Tay Ninh</c:v>
                </c:pt>
                <c:pt idx="6">
                  <c:v>Dong Nai</c:v>
                </c:pt>
                <c:pt idx="7">
                  <c:v>Phu Tho</c:v>
                </c:pt>
                <c:pt idx="8">
                  <c:v>Quang Ninh</c:v>
                </c:pt>
              </c:strCache>
            </c:strRef>
          </c:cat>
          <c:val>
            <c:numRef>
              <c:f>'[Biểu đồ VĐT T8 2026.xlsx]Hình 7. Địa phương'!$D$5:$D$13</c:f>
              <c:numCache>
                <c:formatCode>0.0</c:formatCode>
                <c:ptCount val="9"/>
                <c:pt idx="0">
                  <c:v>50717.616000000002</c:v>
                </c:pt>
                <c:pt idx="1">
                  <c:v>65680.206999999995</c:v>
                </c:pt>
                <c:pt idx="2">
                  <c:v>20795.736000000001</c:v>
                </c:pt>
                <c:pt idx="3">
                  <c:v>25008.777999999998</c:v>
                </c:pt>
                <c:pt idx="4">
                  <c:v>17902.423999999999</c:v>
                </c:pt>
                <c:pt idx="5">
                  <c:v>9522.2929999999997</c:v>
                </c:pt>
                <c:pt idx="6">
                  <c:v>14793.453</c:v>
                </c:pt>
                <c:pt idx="7">
                  <c:v>14828.307000000001</c:v>
                </c:pt>
                <c:pt idx="8">
                  <c:v>8460.9699999999993</c:v>
                </c:pt>
              </c:numCache>
            </c:numRef>
          </c:val>
          <c:extLst>
            <c:ext xmlns:c16="http://schemas.microsoft.com/office/drawing/2014/chart" uri="{C3380CC4-5D6E-409C-BE32-E72D297353CC}">
              <c16:uniqueId val="{00000000-5156-4963-8A88-4FA17D674646}"/>
            </c:ext>
          </c:extLst>
        </c:ser>
        <c:ser>
          <c:idx val="1"/>
          <c:order val="1"/>
          <c:tx>
            <c:strRef>
              <c:f>'[Biểu đồ VĐT T8 2026.xlsx]Hình 7. Địa phương'!$E$4</c:f>
              <c:strCache>
                <c:ptCount val="1"/>
                <c:pt idx="0">
                  <c:v>8 months of 2026</c:v>
                </c:pt>
              </c:strCache>
            </c:strRef>
          </c:tx>
          <c:spPr>
            <a:solidFill>
              <a:srgbClr val="C84863"/>
            </a:solidFill>
            <a:ln>
              <a:noFill/>
            </a:ln>
            <a:effectLst/>
          </c:spPr>
          <c:invertIfNegative val="0"/>
          <c:dLbls>
            <c:dLbl>
              <c:idx val="2"/>
              <c:layout>
                <c:manualLayout>
                  <c:x val="1.37142840687773E-2"/>
                  <c:y val="-2.560655269667339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56-4963-8A88-4FA17D674646}"/>
                </c:ext>
              </c:extLst>
            </c:dLbl>
            <c:numFmt formatCode="#,##0.0" sourceLinked="0"/>
            <c:spPr>
              <a:noFill/>
              <a:ln>
                <a:noFill/>
              </a:ln>
              <a:effectLst/>
            </c:spPr>
            <c:txPr>
              <a:bodyPr rot="0" spcFirstLastPara="1" vertOverflow="ellipsis" vert="horz" wrap="square" lIns="38100" tIns="19050" rIns="38100" bIns="19050" anchor="ctr" anchorCtr="1"/>
              <a:lstStyle/>
              <a:p>
                <a:pPr>
                  <a:defRPr lang="en-US" sz="900" b="1" i="0" u="none" strike="noStrike" kern="1200" baseline="0">
                    <a:solidFill>
                      <a:schemeClr val="tx1">
                        <a:lumMod val="75000"/>
                        <a:lumOff val="25000"/>
                      </a:schemeClr>
                    </a:solidFill>
                    <a:latin typeface="Arial" panose="020B0604020202020204" pitchFamily="2" charset="0"/>
                    <a:ea typeface="+mn-ea"/>
                    <a:cs typeface="Arial" panose="020B0604020202020204" pitchFamily="2"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'[Biểu đồ VĐT T8 2026.xlsx]Hình 7. Địa phương'!$C$5:$C$26</c:f>
              <c:strCache>
                <c:ptCount val="22"/>
                <c:pt idx="0">
                  <c:v>Ha Noi</c:v>
                </c:pt>
                <c:pt idx="1">
                  <c:v>Ho Chi Minh city</c:v>
                </c:pt>
                <c:pt idx="2">
                  <c:v>Hung Yen</c:v>
                </c:pt>
                <c:pt idx="3">
                  <c:v>Ninh Binh</c:v>
                </c:pt>
                <c:pt idx="4">
                  <c:v>Hai Phong</c:v>
                </c:pt>
                <c:pt idx="5">
                  <c:v>Tay Ninh</c:v>
                </c:pt>
                <c:pt idx="6">
                  <c:v>Dong Nai</c:v>
                </c:pt>
                <c:pt idx="7">
                  <c:v>Phu Tho</c:v>
                </c:pt>
                <c:pt idx="8">
                  <c:v>Quang Ninh</c:v>
                </c:pt>
              </c:strCache>
            </c:strRef>
          </c:cat>
          <c:val>
            <c:numRef>
              <c:f>'[Biểu đồ VĐT T8 2026.xlsx]Hình 7. Địa phương'!$E$5:$E$13</c:f>
              <c:numCache>
                <c:formatCode>0.0</c:formatCode>
                <c:ptCount val="9"/>
                <c:pt idx="0">
                  <c:v>89922.77</c:v>
                </c:pt>
                <c:pt idx="1">
                  <c:v>81319.741999999998</c:v>
                </c:pt>
                <c:pt idx="2">
                  <c:v>24077.859949999998</c:v>
                </c:pt>
                <c:pt idx="3">
                  <c:v>24001.742999999999</c:v>
                </c:pt>
                <c:pt idx="4">
                  <c:v>20423.109</c:v>
                </c:pt>
                <c:pt idx="5">
                  <c:v>17605.562000000002</c:v>
                </c:pt>
                <c:pt idx="6">
                  <c:v>17055.055</c:v>
                </c:pt>
                <c:pt idx="7">
                  <c:v>15007.563</c:v>
                </c:pt>
                <c:pt idx="8">
                  <c:v>14315.001</c:v>
                </c:pt>
              </c:numCache>
            </c:numRef>
          </c:val>
          <c:extLst>
            <c:ext xmlns:c16="http://schemas.microsoft.com/office/drawing/2014/chart" uri="{C3380CC4-5D6E-409C-BE32-E72D297353CC}">
              <c16:uniqueId val="{00000002-5156-4963-8A88-4FA17D674646}"/>
            </c:ext>
          </c:extLst>
        </c:ser>
        <c:dLbls>
          <c:showLegendKey val="0"/>
          <c:showVal val="0"/>
          <c:showCatName val="0"/>
          <c:showSerName val="0"/>
          <c:showPercent val="0"/>
          <c:showBubbleSize val="0"/>
        </c:dLbls>
        <c:gapWidth val="36"/>
        <c:axId val="-288305008"/>
        <c:axId val="-29110944"/>
      </c:barChart>
      <c:catAx>
        <c:axId val="-288305008"/>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Arial" panose="020B0604020202020204" pitchFamily="2" charset="0"/>
                <a:ea typeface="+mn-ea"/>
                <a:cs typeface="Arial" panose="020B0604020202020204" pitchFamily="2" charset="0"/>
              </a:defRPr>
            </a:pPr>
            <a:endParaRPr lang="en-US"/>
          </a:p>
        </c:txPr>
        <c:crossAx val="-29110944"/>
        <c:crosses val="autoZero"/>
        <c:auto val="1"/>
        <c:lblAlgn val="ctr"/>
        <c:lblOffset val="100"/>
        <c:noMultiLvlLbl val="0"/>
      </c:catAx>
      <c:valAx>
        <c:axId val="-2911094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288305008"/>
        <c:crosses val="autoZero"/>
        <c:crossBetween val="between"/>
      </c:valAx>
      <c:spPr>
        <a:noFill/>
        <a:ln>
          <a:noFill/>
        </a:ln>
        <a:effectLst/>
      </c:spPr>
    </c:plotArea>
    <c:legend>
      <c:legendPos val="b"/>
      <c:layout>
        <c:manualLayout>
          <c:xMode val="edge"/>
          <c:yMode val="edge"/>
          <c:x val="9.8974536306017394E-2"/>
          <c:y val="0.95291487873723402"/>
          <c:w val="0.79532792856957701"/>
          <c:h val="3.96703906646447E-2"/>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Arial" panose="020B0604020202020204" pitchFamily="2" charset="0"/>
              <a:ea typeface="+mn-ea"/>
              <a:cs typeface="Arial" panose="020B0604020202020204" pitchFamily="2" charset="0"/>
            </a:defRPr>
          </a:pPr>
          <a:endParaRPr lang="en-US"/>
        </a:p>
      </c:txPr>
    </c:legend>
    <c:plotVisOnly val="1"/>
    <c:dispBlanksAs val="gap"/>
    <c:showDLblsOverMax val="0"/>
    <c:extLst>
      <c:ext uri="{0b15fc19-7d7d-44ad-8c2d-2c3a37ce22c3}">
        <chartProps xmlns="https://web.wps.cn/et/2018/main" chartId="{78e69077-cd21-4b27-b301-8d66189340a2}"/>
      </c:ext>
    </c:extLst>
  </c:chart>
  <c:spPr>
    <a:solidFill>
      <a:schemeClr val="bg1"/>
    </a:solidFill>
    <a:ln w="0" cap="flat" cmpd="sng" algn="ctr">
      <a:solidFill>
        <a:schemeClr val="tx1">
          <a:lumMod val="15000"/>
          <a:lumOff val="85000"/>
        </a:schemeClr>
      </a:solidFill>
      <a:round/>
    </a:ln>
    <a:effectLst/>
  </c:spPr>
  <c:txPr>
    <a:bodyPr/>
    <a:lstStyle/>
    <a:p>
      <a:pPr>
        <a:defRPr lang="en-US" b="1"/>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18961113345101"/>
          <c:y val="3.5567913385826801E-2"/>
          <c:w val="0.81632143903237497"/>
          <c:h val="0.68828706100318804"/>
        </c:manualLayout>
      </c:layout>
      <c:barChart>
        <c:barDir val="bar"/>
        <c:grouping val="stacked"/>
        <c:varyColors val="0"/>
        <c:ser>
          <c:idx val="0"/>
          <c:order val="0"/>
          <c:tx>
            <c:strRef>
              <c:f>'[Biểu đồ FDI tháng 8 2026.xlsx]04. FDI SO SANH '!$A$16</c:f>
              <c:strCache>
                <c:ptCount val="1"/>
                <c:pt idx="0">
                  <c:v>    Newly registered capital</c:v>
                </c:pt>
              </c:strCache>
            </c:strRef>
          </c:tx>
          <c:invertIfNegative val="0"/>
          <c:dLbls>
            <c:dLbl>
              <c:idx val="0"/>
              <c:tx>
                <c:rich>
                  <a:bodyPr/>
                  <a:lstStyle/>
                  <a:p>
                    <a:r>
                      <a:rPr lang="en-US"/>
                      <a:t>6,35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979-45A1-9B40-36B74B1BFE00}"/>
                </c:ext>
              </c:extLst>
            </c:dLbl>
            <c:dLbl>
              <c:idx val="1"/>
              <c:tx>
                <c:rich>
                  <a:bodyPr/>
                  <a:lstStyle/>
                  <a:p>
                    <a:r>
                      <a:rPr lang="en-US"/>
                      <a:t>9,45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979-45A1-9B40-36B74B1BFE00}"/>
                </c:ext>
              </c:extLst>
            </c:dLbl>
            <c:dLbl>
              <c:idx val="2"/>
              <c:tx>
                <c:rich>
                  <a:bodyPr/>
                  <a:lstStyle/>
                  <a:p>
                    <a:r>
                      <a:rPr lang="en-US"/>
                      <a:t>12,01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979-45A1-9B40-36B74B1BFE00}"/>
                </c:ext>
              </c:extLst>
            </c:dLbl>
            <c:dLbl>
              <c:idx val="3"/>
              <c:tx>
                <c:rich>
                  <a:bodyPr/>
                  <a:lstStyle/>
                  <a:p>
                    <a:r>
                      <a:rPr lang="en-US"/>
                      <a:t>11,03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979-45A1-9B40-36B74B1BFE00}"/>
                </c:ext>
              </c:extLst>
            </c:dLbl>
            <c:dLbl>
              <c:idx val="4"/>
              <c:tx>
                <c:rich>
                  <a:bodyPr/>
                  <a:lstStyle/>
                  <a:p>
                    <a:r>
                      <a:rPr lang="en-US"/>
                      <a:t>21,72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979-45A1-9B40-36B74B1BFE00}"/>
                </c:ext>
              </c:extLst>
            </c:dLbl>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'[Biểu đồ FDI tháng 8 2026.xlsx]04. FDI SO SANH '!$B$15:$F$15</c:f>
              <c:numCache>
                <c:formatCode>General</c:formatCode>
                <c:ptCount val="5"/>
                <c:pt idx="0">
                  <c:v>2022</c:v>
                </c:pt>
                <c:pt idx="1">
                  <c:v>2023</c:v>
                </c:pt>
                <c:pt idx="2">
                  <c:v>2024</c:v>
                </c:pt>
                <c:pt idx="3">
                  <c:v>2025</c:v>
                </c:pt>
                <c:pt idx="4">
                  <c:v>2026</c:v>
                </c:pt>
              </c:numCache>
            </c:numRef>
          </c:cat>
          <c:val>
            <c:numRef>
              <c:f>'[Biểu đồ FDI tháng 8 2026.xlsx]04. FDI SO SANH '!$B$16:$F$16</c:f>
              <c:numCache>
                <c:formatCode>0.00</c:formatCode>
                <c:ptCount val="5"/>
                <c:pt idx="0">
                  <c:v>6.3503575074700001</c:v>
                </c:pt>
                <c:pt idx="1">
                  <c:v>9.4479592217799997</c:v>
                </c:pt>
                <c:pt idx="2">
                  <c:v>12.005045246870001</c:v>
                </c:pt>
                <c:pt idx="3">
                  <c:v>11.03301289433</c:v>
                </c:pt>
                <c:pt idx="4">
                  <c:v>21.71417893149</c:v>
                </c:pt>
              </c:numCache>
            </c:numRef>
          </c:val>
          <c:extLst>
            <c:ext xmlns:c16="http://schemas.microsoft.com/office/drawing/2014/chart" uri="{C3380CC4-5D6E-409C-BE32-E72D297353CC}">
              <c16:uniqueId val="{00000005-7979-45A1-9B40-36B74B1BFE00}"/>
            </c:ext>
          </c:extLst>
        </c:ser>
        <c:ser>
          <c:idx val="1"/>
          <c:order val="1"/>
          <c:tx>
            <c:strRef>
              <c:f>'[Biểu đồ FDI tháng 8 2026.xlsx]04. FDI SO SANH '!$A$17</c:f>
              <c:strCache>
                <c:ptCount val="1"/>
                <c:pt idx="0">
                  <c:v>Adjusting registered capital</c:v>
                </c:pt>
              </c:strCache>
            </c:strRef>
          </c:tx>
          <c:invertIfNegative val="0"/>
          <c:dLbls>
            <c:dLbl>
              <c:idx val="0"/>
              <c:tx>
                <c:rich>
                  <a:bodyPr/>
                  <a:lstStyle/>
                  <a:p>
                    <a:r>
                      <a:rPr lang="en-US"/>
                      <a:t>7,51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979-45A1-9B40-36B74B1BFE00}"/>
                </c:ext>
              </c:extLst>
            </c:dLbl>
            <c:dLbl>
              <c:idx val="1"/>
              <c:tx>
                <c:rich>
                  <a:bodyPr/>
                  <a:lstStyle/>
                  <a:p>
                    <a:r>
                      <a:rPr lang="en-US"/>
                      <a:t>4,98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979-45A1-9B40-36B74B1BFE00}"/>
                </c:ext>
              </c:extLst>
            </c:dLbl>
            <c:dLbl>
              <c:idx val="2"/>
              <c:tx>
                <c:rich>
                  <a:bodyPr rot="0" spcFirstLastPara="0" vertOverflow="ellipsis" vert="horz" wrap="square" lIns="38100" tIns="19050" rIns="38100" bIns="19050" anchor="ctr" anchorCtr="1">
                    <a:noAutofit/>
                  </a:bodyPr>
                  <a:lstStyle/>
                  <a:p>
                    <a:pPr>
                      <a:defRPr lang="en-US" sz="1000" b="0" i="0" u="none" strike="noStrike" kern="1200" baseline="0">
                        <a:solidFill>
                          <a:schemeClr val="tx1"/>
                        </a:solidFill>
                        <a:latin typeface="+mn-lt"/>
                        <a:ea typeface="+mn-ea"/>
                        <a:cs typeface="+mn-cs"/>
                      </a:defRPr>
                    </a:pPr>
                    <a:r>
                      <a:rPr lang="en-US"/>
                      <a:t>5,72</a:t>
                    </a:r>
                  </a:p>
                </c:rich>
              </c:tx>
              <c:spPr>
                <a:noFill/>
                <a:ln>
                  <a:noFill/>
                </a:ln>
                <a:effectLst/>
              </c:sp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7979-45A1-9B40-36B74B1BFE00}"/>
                </c:ext>
              </c:extLst>
            </c:dLbl>
            <c:dLbl>
              <c:idx val="3"/>
              <c:layout>
                <c:manualLayout>
                  <c:x val="7.2072058438522003E-3"/>
                  <c:y val="0"/>
                </c:manualLayout>
              </c:layout>
              <c:tx>
                <c:rich>
                  <a:bodyPr/>
                  <a:lstStyle/>
                  <a:p>
                    <a:r>
                      <a:rPr lang="en-US"/>
                      <a:t>10,65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7979-45A1-9B40-36B74B1BFE00}"/>
                </c:ext>
              </c:extLst>
            </c:dLbl>
            <c:dLbl>
              <c:idx val="4"/>
              <c:tx>
                <c:rich>
                  <a:bodyPr/>
                  <a:lstStyle/>
                  <a:p>
                    <a:r>
                      <a:rPr lang="en-US"/>
                      <a:t>12,21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7979-45A1-9B40-36B74B1BFE00}"/>
                </c:ext>
              </c:extLst>
            </c:dLbl>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'[Biểu đồ FDI tháng 8 2026.xlsx]04. FDI SO SANH '!$B$15:$F$15</c:f>
              <c:numCache>
                <c:formatCode>General</c:formatCode>
                <c:ptCount val="5"/>
                <c:pt idx="0">
                  <c:v>2022</c:v>
                </c:pt>
                <c:pt idx="1">
                  <c:v>2023</c:v>
                </c:pt>
                <c:pt idx="2">
                  <c:v>2024</c:v>
                </c:pt>
                <c:pt idx="3">
                  <c:v>2025</c:v>
                </c:pt>
                <c:pt idx="4">
                  <c:v>2026</c:v>
                </c:pt>
              </c:numCache>
            </c:numRef>
          </c:cat>
          <c:val>
            <c:numRef>
              <c:f>'[Biểu đồ FDI tháng 8 2026.xlsx]04. FDI SO SANH '!$B$17:$F$17</c:f>
              <c:numCache>
                <c:formatCode>0.00</c:formatCode>
                <c:ptCount val="5"/>
                <c:pt idx="0">
                  <c:v>7.5120932238554703</c:v>
                </c:pt>
                <c:pt idx="1">
                  <c:v>4.9770498985379703</c:v>
                </c:pt>
                <c:pt idx="2">
                  <c:v>5.7249918217724396</c:v>
                </c:pt>
                <c:pt idx="3">
                  <c:v>10.6451705959355</c:v>
                </c:pt>
                <c:pt idx="4">
                  <c:v>12.2067441828522</c:v>
                </c:pt>
              </c:numCache>
            </c:numRef>
          </c:val>
          <c:extLst>
            <c:ext xmlns:c16="http://schemas.microsoft.com/office/drawing/2014/chart" uri="{C3380CC4-5D6E-409C-BE32-E72D297353CC}">
              <c16:uniqueId val="{0000000B-7979-45A1-9B40-36B74B1BFE00}"/>
            </c:ext>
          </c:extLst>
        </c:ser>
        <c:ser>
          <c:idx val="2"/>
          <c:order val="2"/>
          <c:tx>
            <c:strRef>
              <c:f>'[Biểu đồ FDI tháng 8 2026.xlsx]04. FDI SO SANH '!$A$18</c:f>
              <c:strCache>
                <c:ptCount val="1"/>
                <c:pt idx="0">
                  <c:v>Capital contribution and purchasing shares</c:v>
                </c:pt>
              </c:strCache>
            </c:strRef>
          </c:tx>
          <c:invertIfNegative val="0"/>
          <c:dLbls>
            <c:dLbl>
              <c:idx val="0"/>
              <c:tx>
                <c:rich>
                  <a:bodyPr/>
                  <a:lstStyle/>
                  <a:p>
                    <a:r>
                      <a:rPr lang="en-US"/>
                      <a:t>2,92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7979-45A1-9B40-36B74B1BFE00}"/>
                </c:ext>
              </c:extLst>
            </c:dLbl>
            <c:dLbl>
              <c:idx val="1"/>
              <c:tx>
                <c:rich>
                  <a:bodyPr/>
                  <a:lstStyle/>
                  <a:p>
                    <a:r>
                      <a:rPr lang="en-US" baseline="0"/>
                      <a:t>4,76</a:t>
                    </a:r>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7979-45A1-9B40-36B74B1BFE00}"/>
                </c:ext>
              </c:extLst>
            </c:dLbl>
            <c:dLbl>
              <c:idx val="2"/>
              <c:tx>
                <c:rich>
                  <a:bodyPr/>
                  <a:lstStyle/>
                  <a:p>
                    <a:r>
                      <a:rPr lang="en-US"/>
                      <a:t>2,81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7979-45A1-9B40-36B74B1BFE00}"/>
                </c:ext>
              </c:extLst>
            </c:dLbl>
            <c:dLbl>
              <c:idx val="3"/>
              <c:tx>
                <c:rich>
                  <a:bodyPr rot="0" spcFirstLastPara="0" vertOverflow="ellipsis" vert="horz" wrap="square" lIns="38100" tIns="19050" rIns="38100" bIns="19050" anchor="ctr" anchorCtr="1">
                    <a:noAutofit/>
                  </a:bodyPr>
                  <a:lstStyle/>
                  <a:p>
                    <a:pPr>
                      <a:defRPr lang="en-US" sz="1000" b="0" i="0" u="none" strike="noStrike" kern="1200" baseline="0">
                        <a:solidFill>
                          <a:schemeClr val="tx1"/>
                        </a:solidFill>
                        <a:latin typeface="+mn-lt"/>
                        <a:ea typeface="+mn-ea"/>
                        <a:cs typeface="+mn-cs"/>
                      </a:defRPr>
                    </a:pPr>
                    <a:r>
                      <a:rPr lang="en-US"/>
                      <a:t>4,46</a:t>
                    </a:r>
                  </a:p>
                </c:rich>
              </c:tx>
              <c:spPr>
                <a:noFill/>
                <a:ln>
                  <a:noFill/>
                </a:ln>
                <a:effectLst/>
              </c:sp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F-7979-45A1-9B40-36B74B1BFE00}"/>
                </c:ext>
              </c:extLst>
            </c:dLbl>
            <c:dLbl>
              <c:idx val="4"/>
              <c:layout>
                <c:manualLayout>
                  <c:x val="2.4024019479507299E-2"/>
                  <c:y val="0"/>
                </c:manualLayout>
              </c:layout>
              <c:tx>
                <c:rich>
                  <a:bodyPr/>
                  <a:lstStyle/>
                  <a:p>
                    <a:r>
                      <a:rPr lang="en-US"/>
                      <a:t> 6,70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7979-45A1-9B40-36B74B1BFE00}"/>
                </c:ext>
              </c:extLst>
            </c:dLbl>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'[Biểu đồ FDI tháng 8 2026.xlsx]04. FDI SO SANH '!$B$15:$F$15</c:f>
              <c:numCache>
                <c:formatCode>General</c:formatCode>
                <c:ptCount val="5"/>
                <c:pt idx="0">
                  <c:v>2022</c:v>
                </c:pt>
                <c:pt idx="1">
                  <c:v>2023</c:v>
                </c:pt>
                <c:pt idx="2">
                  <c:v>2024</c:v>
                </c:pt>
                <c:pt idx="3">
                  <c:v>2025</c:v>
                </c:pt>
                <c:pt idx="4">
                  <c:v>2026</c:v>
                </c:pt>
              </c:numCache>
            </c:numRef>
          </c:cat>
          <c:val>
            <c:numRef>
              <c:f>'[Biểu đồ FDI tháng 8 2026.xlsx]04. FDI SO SANH '!$B$18:$F$18</c:f>
              <c:numCache>
                <c:formatCode>0.00</c:formatCode>
                <c:ptCount val="5"/>
                <c:pt idx="0">
                  <c:v>2.91327718352</c:v>
                </c:pt>
                <c:pt idx="1">
                  <c:v>4.7639476822500004</c:v>
                </c:pt>
                <c:pt idx="2">
                  <c:v>2.8128804012500002</c:v>
                </c:pt>
                <c:pt idx="3">
                  <c:v>4.4663131707500003</c:v>
                </c:pt>
                <c:pt idx="4">
                  <c:v>6.7045322456600003</c:v>
                </c:pt>
              </c:numCache>
            </c:numRef>
          </c:val>
          <c:extLst>
            <c:ext xmlns:c16="http://schemas.microsoft.com/office/drawing/2014/chart" uri="{C3380CC4-5D6E-409C-BE32-E72D297353CC}">
              <c16:uniqueId val="{00000011-7979-45A1-9B40-36B74B1BFE00}"/>
            </c:ext>
          </c:extLst>
        </c:ser>
        <c:dLbls>
          <c:showLegendKey val="0"/>
          <c:showVal val="0"/>
          <c:showCatName val="0"/>
          <c:showSerName val="0"/>
          <c:showPercent val="0"/>
          <c:showBubbleSize val="0"/>
        </c:dLbls>
        <c:gapWidth val="150"/>
        <c:overlap val="100"/>
        <c:axId val="-29109856"/>
        <c:axId val="-29109312"/>
      </c:barChart>
      <c:catAx>
        <c:axId val="-29109856"/>
        <c:scaling>
          <c:orientation val="minMax"/>
        </c:scaling>
        <c:delete val="0"/>
        <c:axPos val="l"/>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29109312"/>
        <c:crosses val="autoZero"/>
        <c:auto val="1"/>
        <c:lblAlgn val="ctr"/>
        <c:lblOffset val="100"/>
        <c:noMultiLvlLbl val="0"/>
      </c:catAx>
      <c:valAx>
        <c:axId val="-29109312"/>
        <c:scaling>
          <c:orientation val="minMax"/>
        </c:scaling>
        <c:delete val="0"/>
        <c:axPos val="b"/>
        <c:majorGridlines/>
        <c:numFmt formatCode="0.00"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29109856"/>
        <c:crosses val="autoZero"/>
        <c:crossBetween val="between"/>
      </c:valAx>
    </c:plotArea>
    <c:legend>
      <c:legendPos val="b"/>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extLst>
      <c:ext uri="{0b15fc19-7d7d-44ad-8c2d-2c3a37ce22c3}">
        <chartProps xmlns="https://web.wps.cn/et/2018/main" chartId="{f3cdd3ab-56bb-4db2-978b-bd20498955a0}"/>
      </c:ext>
    </c:extLst>
  </c:chart>
  <c:txPr>
    <a:bodyPr/>
    <a:lstStyle/>
    <a:p>
      <a:pPr>
        <a:defRPr lang="en-US"/>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solidFill>
                    <a:latin typeface="Arial" panose="020B0604020202020204" pitchFamily="2" charset="0"/>
                    <a:ea typeface="+mn-ea"/>
                    <a:cs typeface="Arial" panose="020B0604020202020204" pitchFamily="2"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2022</c:v>
                </c:pt>
                <c:pt idx="1">
                  <c:v>2023</c:v>
                </c:pt>
                <c:pt idx="2">
                  <c:v>2024</c:v>
                </c:pt>
                <c:pt idx="3">
                  <c:v>2025</c:v>
                </c:pt>
                <c:pt idx="4">
                  <c:v>2026</c:v>
                </c:pt>
              </c:numCache>
            </c:numRef>
          </c:cat>
          <c:val>
            <c:numRef>
              <c:f>Sheet1!$B$5:$F$5</c:f>
              <c:numCache>
                <c:formatCode>0.00</c:formatCode>
                <c:ptCount val="5"/>
                <c:pt idx="0">
                  <c:v>12.935</c:v>
                </c:pt>
                <c:pt idx="1">
                  <c:v>13.1</c:v>
                </c:pt>
                <c:pt idx="2">
                  <c:v>14.15</c:v>
                </c:pt>
                <c:pt idx="3">
                  <c:v>15.4</c:v>
                </c:pt>
                <c:pt idx="4">
                  <c:v>17.25</c:v>
                </c:pt>
              </c:numCache>
            </c:numRef>
          </c:val>
          <c:extLst>
            <c:ext xmlns:c16="http://schemas.microsoft.com/office/drawing/2014/chart" uri="{C3380CC4-5D6E-409C-BE32-E72D297353CC}">
              <c16:uniqueId val="{00000000-6D7A-45B5-89CB-B3AEE97FDD5E}"/>
            </c:ext>
          </c:extLst>
        </c:ser>
        <c:dLbls>
          <c:showLegendKey val="0"/>
          <c:showVal val="0"/>
          <c:showCatName val="0"/>
          <c:showSerName val="0"/>
          <c:showPercent val="0"/>
          <c:showBubbleSize val="0"/>
        </c:dLbls>
        <c:gapWidth val="219"/>
        <c:overlap val="-27"/>
        <c:axId val="-29107680"/>
        <c:axId val="-29108768"/>
      </c:barChart>
      <c:catAx>
        <c:axId val="-2910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1" i="0" u="none" strike="noStrike" kern="1200" baseline="0">
                <a:solidFill>
                  <a:schemeClr val="tx1"/>
                </a:solidFill>
                <a:latin typeface="Arial" panose="020B0604020202020204" pitchFamily="2" charset="0"/>
                <a:ea typeface="+mn-ea"/>
                <a:cs typeface="Arial" panose="020B0604020202020204" pitchFamily="2" charset="0"/>
              </a:defRPr>
            </a:pPr>
            <a:endParaRPr lang="en-US"/>
          </a:p>
        </c:txPr>
        <c:crossAx val="-29108768"/>
        <c:crosses val="autoZero"/>
        <c:auto val="1"/>
        <c:lblAlgn val="ctr"/>
        <c:lblOffset val="100"/>
        <c:noMultiLvlLbl val="0"/>
      </c:catAx>
      <c:valAx>
        <c:axId val="-2910876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9107680"/>
        <c:crosses val="autoZero"/>
        <c:crossBetween val="between"/>
      </c:valAx>
      <c:spPr>
        <a:noFill/>
        <a:ln>
          <a:noFill/>
        </a:ln>
        <a:effectLst/>
      </c:spPr>
    </c:plotArea>
    <c:plotVisOnly val="1"/>
    <c:dispBlanksAs val="gap"/>
    <c:showDLblsOverMax val="0"/>
    <c:extLst>
      <c:ext uri="{0b15fc19-7d7d-44ad-8c2d-2c3a37ce22c3}">
        <chartProps xmlns="https://web.wps.cn/et/2018/main" chartId="{87392ac2-260d-4cb8-ba55-76f4deb587c5}"/>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3072659667541559"/>
          <c:y val="0.10247374635678419"/>
          <c:w val="0.76368547681539833"/>
          <c:h val="0.68353119226957093"/>
        </c:manualLayout>
      </c:layout>
      <c:barChart>
        <c:barDir val="col"/>
        <c:grouping val="clustered"/>
        <c:varyColors val="0"/>
        <c:ser>
          <c:idx val="0"/>
          <c:order val="0"/>
          <c:tx>
            <c:strRef>
              <c:f>'[Đồ thị tổng mức 8.2026.xlsx]VN'!$A$4</c:f>
              <c:strCache>
                <c:ptCount val="1"/>
                <c:pt idx="0">
                  <c:v>Total (Trillion VND)</c:v>
                </c:pt>
              </c:strCache>
            </c:strRef>
          </c:tx>
          <c:spPr>
            <a:solidFill>
              <a:schemeClr val="accent2"/>
            </a:solidFill>
          </c:spPr>
          <c:invertIfNegative val="0"/>
          <c:dLbls>
            <c:dLbl>
              <c:idx val="0"/>
              <c:layout>
                <c:manualLayout>
                  <c:x val="-1.8834608593290171E-4"/>
                  <c:y val="1.13515274891084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A6-4A3A-965D-E030B349F43B}"/>
                </c:ext>
              </c:extLst>
            </c:dLbl>
            <c:dLbl>
              <c:idx val="1"/>
              <c:layout>
                <c:manualLayout>
                  <c:x val="8.5515796693743284E-4"/>
                  <c:y val="6.0381842345145326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1A6-4A3A-965D-E030B349F43B}"/>
                </c:ext>
              </c:extLst>
            </c:dLbl>
            <c:dLbl>
              <c:idx val="2"/>
              <c:layout>
                <c:manualLayout>
                  <c:x val="-1.9253567406487372E-3"/>
                  <c:y val="1.4367383709134259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44-4B12-85FC-15613AA347F5}"/>
                </c:ext>
              </c:extLst>
            </c:dLbl>
            <c:dLbl>
              <c:idx val="3"/>
              <c:layout>
                <c:manualLayout>
                  <c:x val="-2.8413193495015593E-3"/>
                  <c:y val="-1.473951189078995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A6-4A3A-965D-E030B349F43B}"/>
                </c:ext>
              </c:extLst>
            </c:dLbl>
            <c:dLbl>
              <c:idx val="4"/>
              <c:layout>
                <c:manualLayout>
                  <c:x val="-2.3543260741612712E-3"/>
                  <c:y val="1.98878243865628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1A6-4A3A-965D-E030B349F43B}"/>
                </c:ext>
              </c:extLst>
            </c:dLbl>
            <c:numFmt formatCode="#,##0.0" sourceLinked="0"/>
            <c:spPr>
              <a:noFill/>
              <a:ln>
                <a:noFill/>
              </a:ln>
              <a:effectLst/>
            </c:spPr>
            <c:txPr>
              <a:bodyPr rot="0" vert="horz"/>
              <a:lstStyle/>
              <a:p>
                <a:pPr>
                  <a:defRPr sz="1000" b="1">
                    <a:solidFill>
                      <a:schemeClr val="accent2">
                        <a:lumMod val="75000"/>
                      </a:schemeClr>
                    </a:solidFill>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accent2"/>
                      </a:solidFill>
                      <a:round/>
                    </a:ln>
                    <a:effectLst/>
                  </c:spPr>
                </c15:leaderLines>
              </c:ext>
            </c:extLst>
          </c:dLbls>
          <c:cat>
            <c:numRef>
              <c:f>'[Đồ thị tổng mức 8.2026.xlsx]VN'!$B$3:$F$3</c:f>
              <c:numCache>
                <c:formatCode>General</c:formatCode>
                <c:ptCount val="5"/>
                <c:pt idx="0">
                  <c:v>2022</c:v>
                </c:pt>
                <c:pt idx="1">
                  <c:v>2023</c:v>
                </c:pt>
                <c:pt idx="2">
                  <c:v>2024</c:v>
                </c:pt>
                <c:pt idx="3">
                  <c:v>2025</c:v>
                </c:pt>
                <c:pt idx="4">
                  <c:v>2026</c:v>
                </c:pt>
              </c:numCache>
            </c:numRef>
          </c:cat>
          <c:val>
            <c:numRef>
              <c:f>'[Đồ thị tổng mức 8.2026.xlsx]VN'!$B$4:$F$4</c:f>
              <c:numCache>
                <c:formatCode>_(* #,##0.0_);_(* \(#,##0.0\);_(* "-"??_);_(@_)</c:formatCode>
                <c:ptCount val="5"/>
                <c:pt idx="0">
                  <c:v>3461.0508581029476</c:v>
                </c:pt>
                <c:pt idx="1">
                  <c:v>3858.3871757121624</c:v>
                </c:pt>
                <c:pt idx="2">
                  <c:v>4215.448170577014</c:v>
                </c:pt>
                <c:pt idx="3">
                  <c:v>4619.7335793313787</c:v>
                </c:pt>
                <c:pt idx="4">
                  <c:v>5235.5331921194484</c:v>
                </c:pt>
              </c:numCache>
            </c:numRef>
          </c:val>
          <c:extLst>
            <c:ext xmlns:c16="http://schemas.microsoft.com/office/drawing/2014/chart" uri="{C3380CC4-5D6E-409C-BE32-E72D297353CC}">
              <c16:uniqueId val="{00000002-B544-4B12-85FC-15613AA347F5}"/>
            </c:ext>
          </c:extLst>
        </c:ser>
        <c:dLbls>
          <c:showLegendKey val="0"/>
          <c:showVal val="0"/>
          <c:showCatName val="0"/>
          <c:showSerName val="0"/>
          <c:showPercent val="0"/>
          <c:showBubbleSize val="0"/>
        </c:dLbls>
        <c:gapWidth val="120"/>
        <c:overlap val="-27"/>
        <c:axId val="-29106048"/>
        <c:axId val="-139430208"/>
      </c:barChart>
      <c:lineChart>
        <c:grouping val="stacked"/>
        <c:varyColors val="0"/>
        <c:ser>
          <c:idx val="1"/>
          <c:order val="1"/>
          <c:tx>
            <c:strRef>
              <c:f>'[Đồ thị tổng mức 8.2026.xlsx]VN'!$A$5</c:f>
              <c:strCache>
                <c:ptCount val="1"/>
                <c:pt idx="0">
                  <c:v>Growth rate YoY (%)</c:v>
                </c:pt>
              </c:strCache>
            </c:strRef>
          </c:tx>
          <c:spPr>
            <a:ln w="31750">
              <a:solidFill>
                <a:schemeClr val="tx2">
                  <a:lumMod val="50000"/>
                </a:schemeClr>
              </a:solidFill>
            </a:ln>
          </c:spPr>
          <c:marker>
            <c:symbol val="circle"/>
            <c:size val="7"/>
            <c:spPr>
              <a:solidFill>
                <a:srgbClr val="002060"/>
              </a:solidFill>
              <a:ln>
                <a:noFill/>
              </a:ln>
            </c:spPr>
          </c:marker>
          <c:dLbls>
            <c:dLbl>
              <c:idx val="0"/>
              <c:layout>
                <c:manualLayout>
                  <c:x val="-4.9582107121836375E-2"/>
                  <c:y val="-5.09301101208187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1A6-4A3A-965D-E030B349F43B}"/>
                </c:ext>
              </c:extLst>
            </c:dLbl>
            <c:dLbl>
              <c:idx val="1"/>
              <c:layout>
                <c:manualLayout>
                  <c:x val="-4.4792073150950303E-2"/>
                  <c:y val="6.47852512981610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1A6-4A3A-965D-E030B349F43B}"/>
                </c:ext>
              </c:extLst>
            </c:dLbl>
            <c:dLbl>
              <c:idx val="2"/>
              <c:layout>
                <c:manualLayout>
                  <c:x val="-3.6876346901605017E-2"/>
                  <c:y val="6.975720739480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1A6-4A3A-965D-E030B349F43B}"/>
                </c:ext>
              </c:extLst>
            </c:dLbl>
            <c:dLbl>
              <c:idx val="3"/>
              <c:layout>
                <c:manualLayout>
                  <c:x val="-3.7500336001260667E-2"/>
                  <c:y val="5.90027029449577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1A6-4A3A-965D-E030B349F43B}"/>
                </c:ext>
              </c:extLst>
            </c:dLbl>
            <c:dLbl>
              <c:idx val="4"/>
              <c:layout>
                <c:manualLayout>
                  <c:x val="-4.5096652500544551E-2"/>
                  <c:y val="5.96916254656051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1A6-4A3A-965D-E030B349F43B}"/>
                </c:ext>
              </c:extLst>
            </c:dLbl>
            <c:spPr>
              <a:noFill/>
              <a:ln>
                <a:noFill/>
              </a:ln>
              <a:effectLst/>
            </c:spPr>
            <c:txPr>
              <a:bodyPr rot="0" vert="horz"/>
              <a:lstStyle/>
              <a:p>
                <a:pPr>
                  <a:defRPr b="1">
                    <a:solidFill>
                      <a:srgbClr val="002060"/>
                    </a:solidFill>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accent1">
                          <a:lumMod val="50000"/>
                        </a:schemeClr>
                      </a:solidFill>
                      <a:round/>
                    </a:ln>
                    <a:effectLst/>
                  </c:spPr>
                </c15:leaderLines>
              </c:ext>
            </c:extLst>
          </c:dLbls>
          <c:cat>
            <c:numRef>
              <c:f>'[Đồ thị tổng mức 8.2026.xlsx]VN'!$B$3:$F$3</c:f>
              <c:numCache>
                <c:formatCode>General</c:formatCode>
                <c:ptCount val="5"/>
                <c:pt idx="0">
                  <c:v>2022</c:v>
                </c:pt>
                <c:pt idx="1">
                  <c:v>2023</c:v>
                </c:pt>
                <c:pt idx="2">
                  <c:v>2024</c:v>
                </c:pt>
                <c:pt idx="3">
                  <c:v>2025</c:v>
                </c:pt>
                <c:pt idx="4">
                  <c:v>2026</c:v>
                </c:pt>
              </c:numCache>
            </c:numRef>
          </c:cat>
          <c:val>
            <c:numRef>
              <c:f>'[Đồ thị tổng mức 8.2026.xlsx]VN'!$B$5:$F$5</c:f>
              <c:numCache>
                <c:formatCode>0.0</c:formatCode>
                <c:ptCount val="5"/>
                <c:pt idx="0">
                  <c:v>20.659519308808044</c:v>
                </c:pt>
                <c:pt idx="1">
                  <c:v>11.48022187189126</c:v>
                </c:pt>
                <c:pt idx="2">
                  <c:v>9.2541515043509577</c:v>
                </c:pt>
                <c:pt idx="3">
                  <c:v>9.5905676548509291</c:v>
                </c:pt>
                <c:pt idx="4">
                  <c:v>13.329764632816676</c:v>
                </c:pt>
              </c:numCache>
            </c:numRef>
          </c:val>
          <c:smooth val="0"/>
          <c:extLst>
            <c:ext xmlns:c16="http://schemas.microsoft.com/office/drawing/2014/chart" uri="{C3380CC4-5D6E-409C-BE32-E72D297353CC}">
              <c16:uniqueId val="{00000006-B544-4B12-85FC-15613AA347F5}"/>
            </c:ext>
          </c:extLst>
        </c:ser>
        <c:dLbls>
          <c:showLegendKey val="0"/>
          <c:showVal val="0"/>
          <c:showCatName val="0"/>
          <c:showSerName val="0"/>
          <c:showPercent val="0"/>
          <c:showBubbleSize val="0"/>
        </c:dLbls>
        <c:marker val="1"/>
        <c:smooth val="0"/>
        <c:axId val="-1981885280"/>
        <c:axId val="-139429664"/>
      </c:lineChart>
      <c:catAx>
        <c:axId val="-29106048"/>
        <c:scaling>
          <c:orientation val="minMax"/>
        </c:scaling>
        <c:delete val="0"/>
        <c:axPos val="b"/>
        <c:numFmt formatCode="General" sourceLinked="1"/>
        <c:majorTickMark val="none"/>
        <c:minorTickMark val="none"/>
        <c:tickLblPos val="nextTo"/>
        <c:txPr>
          <a:bodyPr rot="-60000000" vert="horz"/>
          <a:lstStyle/>
          <a:p>
            <a:pPr>
              <a:defRPr>
                <a:solidFill>
                  <a:sysClr val="windowText" lastClr="000000"/>
                </a:solidFill>
                <a:latin typeface="Arial" panose="020B0604020202020204" pitchFamily="34" charset="0"/>
                <a:cs typeface="Arial" panose="020B0604020202020204" pitchFamily="34" charset="0"/>
              </a:defRPr>
            </a:pPr>
            <a:endParaRPr lang="en-US"/>
          </a:p>
        </c:txPr>
        <c:crossAx val="-139430208"/>
        <c:crosses val="autoZero"/>
        <c:auto val="1"/>
        <c:lblAlgn val="ctr"/>
        <c:lblOffset val="100"/>
        <c:noMultiLvlLbl val="0"/>
      </c:catAx>
      <c:valAx>
        <c:axId val="-139430208"/>
        <c:scaling>
          <c:orientation val="minMax"/>
        </c:scaling>
        <c:delete val="0"/>
        <c:axPos val="l"/>
        <c:majorGridlines/>
        <c:numFmt formatCode="_(* #,##0.0_);_(* \(#,##0.0\);_(* &quot;-&quot;??_);_(@_)" sourceLinked="1"/>
        <c:majorTickMark val="none"/>
        <c:minorTickMark val="none"/>
        <c:tickLblPos val="nextTo"/>
        <c:txPr>
          <a:bodyPr rot="-60000000" vert="horz"/>
          <a:lstStyle/>
          <a:p>
            <a:pPr>
              <a:defRPr>
                <a:solidFill>
                  <a:schemeClr val="accent2">
                    <a:lumMod val="75000"/>
                  </a:schemeClr>
                </a:solidFill>
              </a:defRPr>
            </a:pPr>
            <a:endParaRPr lang="en-US"/>
          </a:p>
        </c:txPr>
        <c:crossAx val="-29106048"/>
        <c:crosses val="autoZero"/>
        <c:crossBetween val="between"/>
      </c:valAx>
      <c:valAx>
        <c:axId val="-139429664"/>
        <c:scaling>
          <c:orientation val="minMax"/>
        </c:scaling>
        <c:delete val="0"/>
        <c:axPos val="r"/>
        <c:numFmt formatCode="0.0" sourceLinked="1"/>
        <c:majorTickMark val="out"/>
        <c:minorTickMark val="none"/>
        <c:tickLblPos val="nextTo"/>
        <c:txPr>
          <a:bodyPr rot="-60000000" vert="horz"/>
          <a:lstStyle/>
          <a:p>
            <a:pPr>
              <a:defRPr>
                <a:solidFill>
                  <a:schemeClr val="tx1"/>
                </a:solidFill>
                <a:latin typeface="Arial" panose="020B0604020202020204" pitchFamily="34" charset="0"/>
                <a:cs typeface="Arial" panose="020B0604020202020204" pitchFamily="34" charset="0"/>
              </a:defRPr>
            </a:pPr>
            <a:endParaRPr lang="en-US"/>
          </a:p>
        </c:txPr>
        <c:crossAx val="-1981885280"/>
        <c:crosses val="max"/>
        <c:crossBetween val="between"/>
      </c:valAx>
      <c:catAx>
        <c:axId val="-1981885280"/>
        <c:scaling>
          <c:orientation val="minMax"/>
        </c:scaling>
        <c:delete val="1"/>
        <c:axPos val="b"/>
        <c:numFmt formatCode="General" sourceLinked="1"/>
        <c:majorTickMark val="out"/>
        <c:minorTickMark val="none"/>
        <c:tickLblPos val="nextTo"/>
        <c:crossAx val="-139429664"/>
        <c:crosses val="autoZero"/>
        <c:auto val="1"/>
        <c:lblAlgn val="ctr"/>
        <c:lblOffset val="100"/>
        <c:noMultiLvlLbl val="0"/>
      </c:catAx>
      <c:spPr>
        <a:noFill/>
        <a:ln w="25400">
          <a:noFill/>
        </a:ln>
      </c:spPr>
    </c:plotArea>
    <c:legend>
      <c:legendPos val="b"/>
      <c:layout>
        <c:manualLayout>
          <c:xMode val="edge"/>
          <c:yMode val="edge"/>
          <c:x val="5.0000046290509984E-2"/>
          <c:y val="0.8913123359580053"/>
          <c:w val="0.89999990741898006"/>
          <c:h val="6.852702147171362E-2"/>
        </c:manualLayout>
      </c:layout>
      <c:overlay val="0"/>
      <c:txPr>
        <a:bodyPr rot="0" vert="horz"/>
        <a:lstStyle/>
        <a:p>
          <a:pPr>
            <a:defRPr>
              <a:solidFill>
                <a:sysClr val="windowText" lastClr="000000"/>
              </a:solidFill>
              <a:latin typeface="Arial" panose="020B0604020202020204" pitchFamily="34" charset="0"/>
              <a:cs typeface="Arial" panose="020B0604020202020204" pitchFamily="34" charset="0"/>
            </a:defRPr>
          </a:pPr>
          <a:endParaRPr lang="en-US"/>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333333333333333E-2"/>
          <c:y val="3.7786513364336152E-2"/>
          <c:w val="0.93888888888888888"/>
          <c:h val="0.6699629826107758"/>
        </c:manualLayout>
      </c:layout>
      <c:barChart>
        <c:barDir val="col"/>
        <c:grouping val="clustered"/>
        <c:varyColors val="0"/>
        <c:ser>
          <c:idx val="0"/>
          <c:order val="0"/>
          <c:spPr>
            <a:solidFill>
              <a:srgbClr val="FF0000"/>
            </a:solidFill>
            <a:ln>
              <a:noFill/>
            </a:ln>
            <a:effectLst/>
          </c:spPr>
          <c:invertIfNegative val="0"/>
          <c:dPt>
            <c:idx val="0"/>
            <c:invertIfNegative val="0"/>
            <c:bubble3D val="0"/>
            <c:spPr>
              <a:solidFill>
                <a:schemeClr val="accent5"/>
              </a:solidFill>
              <a:ln>
                <a:noFill/>
              </a:ln>
              <a:effectLst/>
            </c:spPr>
            <c:extLst>
              <c:ext xmlns:c16="http://schemas.microsoft.com/office/drawing/2014/chart" uri="{C3380CC4-5D6E-409C-BE32-E72D297353CC}">
                <c16:uniqueId val="{00000001-F8AE-49FE-8D67-79B8C9B70DE7}"/>
              </c:ext>
            </c:extLst>
          </c:dPt>
          <c:dPt>
            <c:idx val="1"/>
            <c:invertIfNegative val="0"/>
            <c:bubble3D val="0"/>
            <c:spPr>
              <a:solidFill>
                <a:srgbClr val="0070C0"/>
              </a:solidFill>
              <a:ln>
                <a:noFill/>
              </a:ln>
              <a:effectLst/>
            </c:spPr>
            <c:extLst>
              <c:ext xmlns:c16="http://schemas.microsoft.com/office/drawing/2014/chart" uri="{C3380CC4-5D6E-409C-BE32-E72D297353CC}">
                <c16:uniqueId val="{00000005-F8AE-49FE-8D67-79B8C9B70DE7}"/>
              </c:ext>
            </c:extLst>
          </c:dPt>
          <c:dPt>
            <c:idx val="2"/>
            <c:invertIfNegative val="0"/>
            <c:bubble3D val="0"/>
            <c:spPr>
              <a:solidFill>
                <a:srgbClr val="FF0000"/>
              </a:solidFill>
              <a:ln>
                <a:noFill/>
              </a:ln>
              <a:effectLst/>
            </c:spPr>
            <c:extLst>
              <c:ext xmlns:c16="http://schemas.microsoft.com/office/drawing/2014/chart" uri="{C3380CC4-5D6E-409C-BE32-E72D297353CC}">
                <c16:uniqueId val="{00000002-F8AE-49FE-8D67-79B8C9B70DE7}"/>
              </c:ext>
            </c:extLst>
          </c:dPt>
          <c:dPt>
            <c:idx val="3"/>
            <c:invertIfNegative val="0"/>
            <c:bubble3D val="0"/>
            <c:spPr>
              <a:solidFill>
                <a:srgbClr val="FF0000"/>
              </a:solidFill>
              <a:ln>
                <a:noFill/>
              </a:ln>
              <a:effectLst/>
            </c:spPr>
            <c:extLst>
              <c:ext xmlns:c16="http://schemas.microsoft.com/office/drawing/2014/chart" uri="{C3380CC4-5D6E-409C-BE32-E72D297353CC}">
                <c16:uniqueId val="{00000003-F8AE-49FE-8D67-79B8C9B70DE7}"/>
              </c:ext>
            </c:extLst>
          </c:dPt>
          <c:dPt>
            <c:idx val="4"/>
            <c:invertIfNegative val="0"/>
            <c:bubble3D val="0"/>
            <c:spPr>
              <a:solidFill>
                <a:srgbClr val="FF0000"/>
              </a:solidFill>
              <a:ln>
                <a:noFill/>
              </a:ln>
              <a:effectLst/>
            </c:spPr>
            <c:extLst>
              <c:ext xmlns:c16="http://schemas.microsoft.com/office/drawing/2014/chart" uri="{C3380CC4-5D6E-409C-BE32-E72D297353CC}">
                <c16:uniqueId val="{00000004-F8AE-49FE-8D67-79B8C9B70DE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1-F8AE-49FE-8D67-79B8C9B70DE7}"/>
                </c:ext>
              </c:extLst>
            </c:dLbl>
            <c:dLbl>
              <c:idx val="1"/>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70C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5-F8AE-49FE-8D67-79B8C9B70DE7}"/>
                </c:ext>
              </c:extLst>
            </c:dLbl>
            <c:dLbl>
              <c:idx val="2"/>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2-F8AE-49FE-8D67-79B8C9B70DE7}"/>
                </c:ext>
              </c:extLst>
            </c:dLbl>
            <c:dLbl>
              <c:idx val="3"/>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3-F8AE-49FE-8D67-79B8C9B70DE7}"/>
                </c:ext>
              </c:extLst>
            </c:dLbl>
            <c:dLbl>
              <c:idx val="4"/>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4-F8AE-49FE-8D67-79B8C9B70DE7}"/>
                </c:ext>
              </c:extLst>
            </c:dLbl>
            <c:dLbl>
              <c:idx val="5"/>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A-89BE-41F7-924F-2F0674399804}"/>
                </c:ext>
              </c:extLst>
            </c:dLbl>
            <c:dLbl>
              <c:idx val="6"/>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B-89BE-41F7-924F-2F0674399804}"/>
                </c:ext>
              </c:extLst>
            </c:dLbl>
            <c:dLbl>
              <c:idx val="7"/>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C-89BE-41F7-924F-2F0674399804}"/>
                </c:ext>
              </c:extLst>
            </c:dLbl>
            <c:dLbl>
              <c:idx val="8"/>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D-89BE-41F7-924F-2F0674399804}"/>
                </c:ext>
              </c:extLst>
            </c:dLbl>
            <c:dLbl>
              <c:idx val="9"/>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E-89BE-41F7-924F-2F0674399804}"/>
                </c:ext>
              </c:extLst>
            </c:dLbl>
            <c:dLbl>
              <c:idx val="1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F-89BE-41F7-924F-2F0674399804}"/>
                </c:ext>
              </c:extLst>
            </c:dLbl>
            <c:dLbl>
              <c:idx val="11"/>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10-89BE-41F7-924F-2F067439980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'[Đồ thị Giá, DSLĐ (2).xlsx]CPI'!$A$9:$A$20</c:f>
              <c:strCache>
                <c:ptCount val="12"/>
                <c:pt idx="0">
                  <c:v>CPI</c:v>
                </c:pt>
                <c:pt idx="1">
                  <c:v> Food and foodstuff services </c:v>
                </c:pt>
                <c:pt idx="2">
                  <c:v>Culture, entertainment and tourism </c:v>
                </c:pt>
                <c:pt idx="3">
                  <c:v> Medicines and health care services </c:v>
                </c:pt>
                <c:pt idx="4">
                  <c:v> Information and communication </c:v>
                </c:pt>
                <c:pt idx="5">
                  <c:v> Housing, electricity, water, fuel and construction materials</c:v>
                </c:pt>
                <c:pt idx="6">
                  <c:v> Garment, hats and footwear </c:v>
                </c:pt>
                <c:pt idx="7">
                  <c:v> Beverages and tobacco </c:v>
                </c:pt>
                <c:pt idx="8">
                  <c:v> Other goods and services </c:v>
                </c:pt>
                <c:pt idx="9">
                  <c:v> Household equipment and goods </c:v>
                </c:pt>
                <c:pt idx="10">
                  <c:v> Education</c:v>
                </c:pt>
                <c:pt idx="11">
                  <c:v> Transport</c:v>
                </c:pt>
              </c:strCache>
            </c:strRef>
          </c:cat>
          <c:val>
            <c:numRef>
              <c:f>'[Đồ thị Giá, DSLĐ (2).xlsx]CPI'!$B$9:$B$20</c:f>
              <c:numCache>
                <c:formatCode>0.00</c:formatCode>
                <c:ptCount val="12"/>
                <c:pt idx="0">
                  <c:v>0.46909999999999741</c:v>
                </c:pt>
                <c:pt idx="1">
                  <c:v>-3.0199999999993565E-2</c:v>
                </c:pt>
                <c:pt idx="2">
                  <c:v>2.5300000000001432E-2</c:v>
                </c:pt>
                <c:pt idx="3">
                  <c:v>4.6599999999997976E-2</c:v>
                </c:pt>
                <c:pt idx="4">
                  <c:v>8.3699999999993224E-2</c:v>
                </c:pt>
                <c:pt idx="5">
                  <c:v>0.10290000000000532</c:v>
                </c:pt>
                <c:pt idx="6">
                  <c:v>0.10859999999999559</c:v>
                </c:pt>
                <c:pt idx="7">
                  <c:v>0.12409999999999854</c:v>
                </c:pt>
                <c:pt idx="8">
                  <c:v>0.14610000000000412</c:v>
                </c:pt>
                <c:pt idx="9">
                  <c:v>0.19240000000000634</c:v>
                </c:pt>
                <c:pt idx="10">
                  <c:v>0.47119999999999607</c:v>
                </c:pt>
                <c:pt idx="11">
                  <c:v>4.0923999999999978</c:v>
                </c:pt>
              </c:numCache>
            </c:numRef>
          </c:val>
          <c:extLst>
            <c:ext xmlns:c16="http://schemas.microsoft.com/office/drawing/2014/chart" uri="{C3380CC4-5D6E-409C-BE32-E72D297353CC}">
              <c16:uniqueId val="{00000000-F8AE-49FE-8D67-79B8C9B70DE7}"/>
            </c:ext>
          </c:extLst>
        </c:ser>
        <c:dLbls>
          <c:showLegendKey val="0"/>
          <c:showVal val="0"/>
          <c:showCatName val="0"/>
          <c:showSerName val="0"/>
          <c:showPercent val="0"/>
          <c:showBubbleSize val="0"/>
        </c:dLbls>
        <c:gapWidth val="219"/>
        <c:overlap val="-27"/>
        <c:axId val="-1981883104"/>
        <c:axId val="-1981881472"/>
      </c:barChart>
      <c:catAx>
        <c:axId val="-19818831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81881472"/>
        <c:crosses val="autoZero"/>
        <c:auto val="1"/>
        <c:lblAlgn val="ctr"/>
        <c:lblOffset val="100"/>
        <c:noMultiLvlLbl val="0"/>
      </c:catAx>
      <c:valAx>
        <c:axId val="-1981881472"/>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9818831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0.18303</cdr:x>
      <cdr:y>0.12744</cdr:y>
    </cdr:from>
    <cdr:to>
      <cdr:x>0.23397</cdr:x>
      <cdr:y>0.17207</cdr:y>
    </cdr:to>
    <cdr:sp macro="" textlink="">
      <cdr:nvSpPr>
        <cdr:cNvPr id="2" name="Rectangle 1"/>
        <cdr:cNvSpPr/>
      </cdr:nvSpPr>
      <cdr:spPr>
        <a:xfrm xmlns:a="http://schemas.openxmlformats.org/drawingml/2006/main">
          <a:off x="1941067" y="552747"/>
          <a:ext cx="540225" cy="19353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2" charset="0"/>
              <a:cs typeface="Arial" panose="020B0604020202020204" pitchFamily="2" charset="0"/>
            </a:rPr>
            <a:t>77,3%</a:t>
          </a:r>
          <a:endParaRPr lang="vi-VN" sz="800">
            <a:solidFill>
              <a:sysClr val="windowText" lastClr="000000"/>
            </a:solidFill>
            <a:latin typeface="Arial" panose="020B0604020202020204" pitchFamily="2" charset="0"/>
            <a:cs typeface="Arial" panose="020B0604020202020204" pitchFamily="2" charset="0"/>
          </a:endParaRPr>
        </a:p>
      </cdr:txBody>
    </cdr:sp>
  </cdr:relSizeAnchor>
  <cdr:relSizeAnchor xmlns:cdr="http://schemas.openxmlformats.org/drawingml/2006/chartDrawing">
    <cdr:from>
      <cdr:x>0.72405</cdr:x>
      <cdr:y>0.56949</cdr:y>
    </cdr:from>
    <cdr:to>
      <cdr:x>0.79909</cdr:x>
      <cdr:y>0.63027</cdr:y>
    </cdr:to>
    <cdr:sp macro="" textlink="">
      <cdr:nvSpPr>
        <cdr:cNvPr id="3" name="Rectangle 2"/>
        <cdr:cNvSpPr/>
      </cdr:nvSpPr>
      <cdr:spPr>
        <a:xfrm xmlns:a="http://schemas.openxmlformats.org/drawingml/2006/main">
          <a:off x="6740715" y="2677478"/>
          <a:ext cx="698603" cy="28574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2" charset="0"/>
              <a:cs typeface="Arial" panose="020B0604020202020204" pitchFamily="2" charset="0"/>
            </a:rPr>
            <a:t>  15,3%</a:t>
          </a:r>
          <a:endParaRPr lang="vi-VN" sz="800">
            <a:solidFill>
              <a:sysClr val="windowText" lastClr="000000"/>
            </a:solidFill>
            <a:latin typeface="Arial" panose="020B0604020202020204" pitchFamily="2" charset="0"/>
            <a:cs typeface="Arial" panose="020B0604020202020204" pitchFamily="2" charset="0"/>
          </a:endParaRPr>
        </a:p>
      </cdr:txBody>
    </cdr:sp>
  </cdr:relSizeAnchor>
  <cdr:relSizeAnchor xmlns:cdr="http://schemas.openxmlformats.org/drawingml/2006/chartDrawing">
    <cdr:from>
      <cdr:x>0.01753</cdr:x>
      <cdr:y>0.03114</cdr:y>
    </cdr:from>
    <cdr:to>
      <cdr:x>0.11695</cdr:x>
      <cdr:y>0.08644</cdr:y>
    </cdr:to>
    <cdr:sp macro="" textlink="">
      <cdr:nvSpPr>
        <cdr:cNvPr id="4" name="Rectangle 3"/>
        <cdr:cNvSpPr/>
      </cdr:nvSpPr>
      <cdr:spPr>
        <a:xfrm xmlns:a="http://schemas.openxmlformats.org/drawingml/2006/main">
          <a:off x="146088" y="155555"/>
          <a:ext cx="828615" cy="276265"/>
        </a:xfrm>
        <a:prstGeom xmlns:a="http://schemas.openxmlformats.org/drawingml/2006/main" prst="rect">
          <a:avLst/>
        </a:prstGeom>
      </cdr:spPr>
      <cdr:txBody>
        <a:bodyPr xmlns:a="http://schemas.openxmlformats.org/drawingml/2006/main" vert="horz" wrap="non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i="1" baseline="0">
              <a:latin typeface="Arial" panose="020B0604020202020204" pitchFamily="2" charset="0"/>
              <a:cs typeface="Arial" panose="020B0604020202020204" pitchFamily="2" charset="0"/>
            </a:rPr>
            <a:t>Bill. VND</a:t>
          </a:r>
          <a:endParaRPr lang="en-US" sz="900" b="1" i="1">
            <a:latin typeface="Arial" panose="020B0604020202020204" pitchFamily="2" charset="0"/>
            <a:cs typeface="Arial" panose="020B0604020202020204" pitchFamily="2" charset="0"/>
          </a:endParaRPr>
        </a:p>
      </cdr:txBody>
    </cdr:sp>
  </cdr:relSizeAnchor>
  <cdr:relSizeAnchor xmlns:cdr="http://schemas.openxmlformats.org/drawingml/2006/chartDrawing">
    <cdr:from>
      <cdr:x>0.16911</cdr:x>
      <cdr:y>0.12934</cdr:y>
    </cdr:from>
    <cdr:to>
      <cdr:x>0.18829</cdr:x>
      <cdr:y>0.16475</cdr:y>
    </cdr:to>
    <cdr:sp macro="" textlink="">
      <cdr:nvSpPr>
        <cdr:cNvPr id="5" name="Right Arrow 4"/>
        <cdr:cNvSpPr/>
      </cdr:nvSpPr>
      <cdr:spPr>
        <a:xfrm xmlns:a="http://schemas.openxmlformats.org/drawingml/2006/main" rot="16200000">
          <a:off x="1818326" y="536049"/>
          <a:ext cx="153581"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0.52733</cdr:x>
      <cdr:y>0.5478</cdr:y>
    </cdr:from>
    <cdr:to>
      <cdr:x>0.54651</cdr:x>
      <cdr:y>0.58321</cdr:y>
    </cdr:to>
    <cdr:sp macro="" textlink="">
      <cdr:nvSpPr>
        <cdr:cNvPr id="6" name="Right Arrow 5"/>
        <cdr:cNvSpPr/>
      </cdr:nvSpPr>
      <cdr:spPr>
        <a:xfrm xmlns:a="http://schemas.openxmlformats.org/drawingml/2006/main" rot="16200000">
          <a:off x="5624404" y="2124786"/>
          <a:ext cx="139415"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0.82303</cdr:x>
      <cdr:y>0.59039</cdr:y>
    </cdr:from>
    <cdr:to>
      <cdr:x>0.84221</cdr:x>
      <cdr:y>0.6258</cdr:y>
    </cdr:to>
    <cdr:sp macro="" textlink="">
      <cdr:nvSpPr>
        <cdr:cNvPr id="7" name="Right Arrow 6"/>
        <cdr:cNvSpPr/>
      </cdr:nvSpPr>
      <cdr:spPr>
        <a:xfrm xmlns:a="http://schemas.openxmlformats.org/drawingml/2006/main" rot="16200000">
          <a:off x="8772675" y="1869638"/>
          <a:ext cx="114794"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0.27541</cdr:x>
      <cdr:y>0.16337</cdr:y>
    </cdr:from>
    <cdr:to>
      <cdr:x>0.36746</cdr:x>
      <cdr:y>0.27989</cdr:y>
    </cdr:to>
    <cdr:sp macro="" textlink="">
      <cdr:nvSpPr>
        <cdr:cNvPr id="8" name="Rectangle 7"/>
        <cdr:cNvSpPr/>
      </cdr:nvSpPr>
      <cdr:spPr>
        <a:xfrm xmlns:a="http://schemas.openxmlformats.org/drawingml/2006/main">
          <a:off x="2920761" y="643202"/>
          <a:ext cx="976203" cy="45875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2" charset="0"/>
              <a:cs typeface="Arial" panose="020B0604020202020204" pitchFamily="2" charset="0"/>
            </a:rPr>
            <a:t>23,8%</a:t>
          </a:r>
          <a:endParaRPr lang="vi-VN" sz="800">
            <a:solidFill>
              <a:sysClr val="windowText" lastClr="000000"/>
            </a:solidFill>
            <a:latin typeface="Arial" panose="020B0604020202020204" pitchFamily="2" charset="0"/>
            <a:cs typeface="Arial" panose="020B0604020202020204" pitchFamily="2" charset="0"/>
          </a:endParaRPr>
        </a:p>
      </cdr:txBody>
    </cdr:sp>
  </cdr:relSizeAnchor>
  <cdr:relSizeAnchor xmlns:cdr="http://schemas.openxmlformats.org/drawingml/2006/chartDrawing">
    <cdr:from>
      <cdr:x>0.35065</cdr:x>
      <cdr:y>0.48661</cdr:y>
    </cdr:from>
    <cdr:to>
      <cdr:x>0.44822</cdr:x>
      <cdr:y>0.58673</cdr:y>
    </cdr:to>
    <cdr:sp macro="" textlink="">
      <cdr:nvSpPr>
        <cdr:cNvPr id="9" name="Rectangle 8"/>
        <cdr:cNvSpPr/>
      </cdr:nvSpPr>
      <cdr:spPr>
        <a:xfrm xmlns:a="http://schemas.openxmlformats.org/drawingml/2006/main">
          <a:off x="3718691" y="1915874"/>
          <a:ext cx="1034744" cy="39418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2" charset="0"/>
              <a:cs typeface="Arial" panose="020B0604020202020204" pitchFamily="2" charset="0"/>
            </a:rPr>
            <a:t>15,8%</a:t>
          </a:r>
          <a:endParaRPr lang="vi-VN" sz="800">
            <a:solidFill>
              <a:sysClr val="windowText" lastClr="000000"/>
            </a:solidFill>
            <a:latin typeface="Arial" panose="020B0604020202020204" pitchFamily="2" charset="0"/>
            <a:cs typeface="Arial" panose="020B0604020202020204" pitchFamily="2" charset="0"/>
          </a:endParaRPr>
        </a:p>
      </cdr:txBody>
    </cdr:sp>
  </cdr:relSizeAnchor>
  <cdr:relSizeAnchor xmlns:cdr="http://schemas.openxmlformats.org/drawingml/2006/chartDrawing">
    <cdr:from>
      <cdr:x>0.43758</cdr:x>
      <cdr:y>0.52072</cdr:y>
    </cdr:from>
    <cdr:to>
      <cdr:x>0.53515</cdr:x>
      <cdr:y>0.59859</cdr:y>
    </cdr:to>
    <cdr:sp macro="" textlink="">
      <cdr:nvSpPr>
        <cdr:cNvPr id="10" name="Rectangle 9"/>
        <cdr:cNvSpPr/>
      </cdr:nvSpPr>
      <cdr:spPr>
        <a:xfrm xmlns:a="http://schemas.openxmlformats.org/drawingml/2006/main">
          <a:off x="4640549" y="2050170"/>
          <a:ext cx="1034743" cy="30658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2" charset="0"/>
              <a:cs typeface="Arial" panose="020B0604020202020204" pitchFamily="2" charset="0"/>
            </a:rPr>
            <a:t>4,70</a:t>
          </a:r>
          <a:endParaRPr lang="vi-VN" sz="800">
            <a:solidFill>
              <a:sysClr val="windowText" lastClr="000000"/>
            </a:solidFill>
            <a:latin typeface="Arial" panose="020B0604020202020204" pitchFamily="2" charset="0"/>
            <a:cs typeface="Arial" panose="020B0604020202020204" pitchFamily="2" charset="0"/>
          </a:endParaRPr>
        </a:p>
      </cdr:txBody>
    </cdr:sp>
  </cdr:relSizeAnchor>
  <cdr:relSizeAnchor xmlns:cdr="http://schemas.openxmlformats.org/drawingml/2006/chartDrawing">
    <cdr:from>
      <cdr:x>0.54005</cdr:x>
      <cdr:y>0.54048</cdr:y>
    </cdr:from>
    <cdr:to>
      <cdr:x>0.63762</cdr:x>
      <cdr:y>0.62587</cdr:y>
    </cdr:to>
    <cdr:sp macro="" textlink="">
      <cdr:nvSpPr>
        <cdr:cNvPr id="11" name="Rectangle 10"/>
        <cdr:cNvSpPr/>
      </cdr:nvSpPr>
      <cdr:spPr>
        <a:xfrm xmlns:a="http://schemas.openxmlformats.org/drawingml/2006/main">
          <a:off x="5727324" y="2127966"/>
          <a:ext cx="1034743" cy="33619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2" charset="0"/>
              <a:cs typeface="Arial" panose="020B0604020202020204" pitchFamily="2" charset="0"/>
            </a:rPr>
            <a:t>14,1%</a:t>
          </a:r>
          <a:endParaRPr lang="vi-VN" sz="800">
            <a:solidFill>
              <a:sysClr val="windowText" lastClr="000000"/>
            </a:solidFill>
            <a:latin typeface="Arial" panose="020B0604020202020204" pitchFamily="2" charset="0"/>
            <a:cs typeface="Arial" panose="020B0604020202020204" pitchFamily="2" charset="0"/>
          </a:endParaRPr>
        </a:p>
      </cdr:txBody>
    </cdr:sp>
  </cdr:relSizeAnchor>
  <cdr:relSizeAnchor xmlns:cdr="http://schemas.openxmlformats.org/drawingml/2006/chartDrawing">
    <cdr:from>
      <cdr:x>0.63601</cdr:x>
      <cdr:y>0.56982</cdr:y>
    </cdr:from>
    <cdr:to>
      <cdr:x>0.73358</cdr:x>
      <cdr:y>0.64573</cdr:y>
    </cdr:to>
    <cdr:sp macro="" textlink="">
      <cdr:nvSpPr>
        <cdr:cNvPr id="12" name="Rectangle 11"/>
        <cdr:cNvSpPr/>
      </cdr:nvSpPr>
      <cdr:spPr>
        <a:xfrm xmlns:a="http://schemas.openxmlformats.org/drawingml/2006/main">
          <a:off x="6744946" y="2243479"/>
          <a:ext cx="1034743" cy="29887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baseline="0">
              <a:solidFill>
                <a:sysClr val="windowText" lastClr="000000"/>
              </a:solidFill>
              <a:latin typeface="Arial" panose="020B0604020202020204" pitchFamily="2" charset="0"/>
              <a:cs typeface="Arial" panose="020B0604020202020204" pitchFamily="2" charset="0"/>
            </a:rPr>
            <a:t>  84</a:t>
          </a:r>
          <a:r>
            <a:rPr lang="en-US" sz="800">
              <a:solidFill>
                <a:sysClr val="windowText" lastClr="000000"/>
              </a:solidFill>
              <a:latin typeface="Arial" panose="020B0604020202020204" pitchFamily="2" charset="0"/>
              <a:cs typeface="Arial" panose="020B0604020202020204" pitchFamily="2" charset="0"/>
            </a:rPr>
            <a:t>,9%</a:t>
          </a:r>
          <a:endParaRPr lang="vi-VN" sz="800">
            <a:solidFill>
              <a:sysClr val="windowText" lastClr="000000"/>
            </a:solidFill>
            <a:latin typeface="Arial" panose="020B0604020202020204" pitchFamily="2" charset="0"/>
            <a:cs typeface="Arial" panose="020B0604020202020204" pitchFamily="2" charset="0"/>
          </a:endParaRPr>
        </a:p>
      </cdr:txBody>
    </cdr:sp>
  </cdr:relSizeAnchor>
  <cdr:relSizeAnchor xmlns:cdr="http://schemas.openxmlformats.org/drawingml/2006/chartDrawing">
    <cdr:from>
      <cdr:x>0.83303</cdr:x>
      <cdr:y>0.58033</cdr:y>
    </cdr:from>
    <cdr:to>
      <cdr:x>0.94104</cdr:x>
      <cdr:y>0.64121</cdr:y>
    </cdr:to>
    <cdr:sp macro="" textlink="">
      <cdr:nvSpPr>
        <cdr:cNvPr id="13" name="Rectangle 12"/>
        <cdr:cNvSpPr/>
      </cdr:nvSpPr>
      <cdr:spPr>
        <a:xfrm xmlns:a="http://schemas.openxmlformats.org/drawingml/2006/main">
          <a:off x="8834378" y="2284843"/>
          <a:ext cx="1145460" cy="23969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2" charset="0"/>
              <a:cs typeface="Arial" panose="020B0604020202020204" pitchFamily="2" charset="0"/>
            </a:rPr>
            <a:t>1,2%</a:t>
          </a:r>
          <a:endParaRPr lang="vi-VN" sz="800">
            <a:solidFill>
              <a:sysClr val="windowText" lastClr="000000"/>
            </a:solidFill>
            <a:latin typeface="Arial" panose="020B0604020202020204" pitchFamily="2" charset="0"/>
            <a:cs typeface="Arial" panose="020B0604020202020204" pitchFamily="2" charset="0"/>
          </a:endParaRPr>
        </a:p>
      </cdr:txBody>
    </cdr:sp>
  </cdr:relSizeAnchor>
  <cdr:relSizeAnchor xmlns:cdr="http://schemas.openxmlformats.org/drawingml/2006/chartDrawing">
    <cdr:from>
      <cdr:x>0.93094</cdr:x>
      <cdr:y>0.58712</cdr:y>
    </cdr:from>
    <cdr:to>
      <cdr:x>1</cdr:x>
      <cdr:y>0.637</cdr:y>
    </cdr:to>
    <cdr:sp macro="" textlink="">
      <cdr:nvSpPr>
        <cdr:cNvPr id="14" name="Rectangle 13"/>
        <cdr:cNvSpPr/>
      </cdr:nvSpPr>
      <cdr:spPr>
        <a:xfrm xmlns:a="http://schemas.openxmlformats.org/drawingml/2006/main">
          <a:off x="8666799" y="2522695"/>
          <a:ext cx="642938" cy="21431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2" charset="0"/>
              <a:cs typeface="Arial" panose="020B0604020202020204" pitchFamily="2" charset="0"/>
            </a:rPr>
            <a:t>69,2%</a:t>
          </a:r>
          <a:endParaRPr lang="vi-VN" sz="800">
            <a:solidFill>
              <a:sysClr val="windowText" lastClr="000000"/>
            </a:solidFill>
            <a:latin typeface="Arial" panose="020B0604020202020204" pitchFamily="2" charset="0"/>
            <a:cs typeface="Arial" panose="020B0604020202020204" pitchFamily="2" charset="0"/>
          </a:endParaRPr>
        </a:p>
      </cdr:txBody>
    </cdr:sp>
  </cdr:relSizeAnchor>
  <cdr:relSizeAnchor xmlns:cdr="http://schemas.openxmlformats.org/drawingml/2006/chartDrawing">
    <cdr:from>
      <cdr:x>0.26387</cdr:x>
      <cdr:y>0.16534</cdr:y>
    </cdr:from>
    <cdr:to>
      <cdr:x>0.28305</cdr:x>
      <cdr:y>0.20075</cdr:y>
    </cdr:to>
    <cdr:sp macro="" textlink="">
      <cdr:nvSpPr>
        <cdr:cNvPr id="15" name="Right Arrow 14"/>
        <cdr:cNvSpPr/>
      </cdr:nvSpPr>
      <cdr:spPr>
        <a:xfrm xmlns:a="http://schemas.openxmlformats.org/drawingml/2006/main" rot="16200000">
          <a:off x="2830375" y="618964"/>
          <a:ext cx="139415"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0.33911</cdr:x>
      <cdr:y>0.49251</cdr:y>
    </cdr:from>
    <cdr:to>
      <cdr:x>0.35829</cdr:x>
      <cdr:y>0.52793</cdr:y>
    </cdr:to>
    <cdr:sp macro="" textlink="">
      <cdr:nvSpPr>
        <cdr:cNvPr id="16" name="Right Arrow 15"/>
        <cdr:cNvSpPr/>
      </cdr:nvSpPr>
      <cdr:spPr>
        <a:xfrm xmlns:a="http://schemas.openxmlformats.org/drawingml/2006/main" rot="16200000">
          <a:off x="3628292" y="1907124"/>
          <a:ext cx="139454"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0.42604</cdr:x>
      <cdr:y>0.53883</cdr:y>
    </cdr:from>
    <cdr:to>
      <cdr:x>0.44522</cdr:x>
      <cdr:y>0.57424</cdr:y>
    </cdr:to>
    <cdr:sp macro="" textlink="">
      <cdr:nvSpPr>
        <cdr:cNvPr id="17" name="Right Arrow 16"/>
        <cdr:cNvSpPr/>
      </cdr:nvSpPr>
      <cdr:spPr>
        <a:xfrm xmlns:a="http://schemas.openxmlformats.org/drawingml/2006/main" rot="5400000">
          <a:off x="4562544" y="1702501"/>
          <a:ext cx="114793" cy="203407"/>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0.63019</cdr:x>
      <cdr:y>0.57113</cdr:y>
    </cdr:from>
    <cdr:to>
      <cdr:x>0.64725</cdr:x>
      <cdr:y>0.60724</cdr:y>
    </cdr:to>
    <cdr:sp macro="" textlink="">
      <cdr:nvSpPr>
        <cdr:cNvPr id="18" name="Right Arrow 17"/>
        <cdr:cNvSpPr/>
      </cdr:nvSpPr>
      <cdr:spPr>
        <a:xfrm xmlns:a="http://schemas.openxmlformats.org/drawingml/2006/main" rot="16200000">
          <a:off x="6702620" y="2229269"/>
          <a:ext cx="142170" cy="180924"/>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0.7181</cdr:x>
      <cdr:y>0.57059</cdr:y>
    </cdr:from>
    <cdr:to>
      <cdr:x>0.73797</cdr:x>
      <cdr:y>0.61599</cdr:y>
    </cdr:to>
    <cdr:sp macro="" textlink="">
      <cdr:nvSpPr>
        <cdr:cNvPr id="19" name="Right Arrow 18"/>
        <cdr:cNvSpPr/>
      </cdr:nvSpPr>
      <cdr:spPr>
        <a:xfrm xmlns:a="http://schemas.openxmlformats.org/drawingml/2006/main" rot="16200000">
          <a:off x="7631519" y="2230505"/>
          <a:ext cx="178747" cy="210724"/>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0.92</cdr:x>
      <cdr:y>0.58742</cdr:y>
    </cdr:from>
    <cdr:to>
      <cdr:x>0.93918</cdr:x>
      <cdr:y>0.62283</cdr:y>
    </cdr:to>
    <cdr:sp macro="" textlink="">
      <cdr:nvSpPr>
        <cdr:cNvPr id="20" name="Right Arrow 19"/>
        <cdr:cNvSpPr/>
      </cdr:nvSpPr>
      <cdr:spPr>
        <a:xfrm xmlns:a="http://schemas.openxmlformats.org/drawingml/2006/main" rot="16200000">
          <a:off x="9787760" y="2315344"/>
          <a:ext cx="141439"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2.xml><?xml version="1.0" encoding="utf-8"?>
<c:userShapes xmlns:c="http://schemas.openxmlformats.org/drawingml/2006/chart">
  <cdr:relSizeAnchor xmlns:cdr="http://schemas.openxmlformats.org/drawingml/2006/chartDrawing">
    <cdr:from>
      <cdr:x>0.87642</cdr:x>
      <cdr:y>0.06562</cdr:y>
    </cdr:from>
    <cdr:to>
      <cdr:x>0.97886</cdr:x>
      <cdr:y>0.14657</cdr:y>
    </cdr:to>
    <cdr:sp macro="" textlink="">
      <cdr:nvSpPr>
        <cdr:cNvPr id="2" name="Rectangle 1"/>
        <cdr:cNvSpPr/>
      </cdr:nvSpPr>
      <cdr:spPr>
        <a:xfrm xmlns:a="http://schemas.openxmlformats.org/drawingml/2006/main" flipH="1">
          <a:off x="5133974" y="200024"/>
          <a:ext cx="600075" cy="246734"/>
        </a:xfrm>
        <a:prstGeom xmlns:a="http://schemas.openxmlformats.org/drawingml/2006/main" prst="rect">
          <a:avLst/>
        </a:prstGeom>
        <a:noFill xmlns:a="http://schemas.openxmlformats.org/drawingml/2006/main"/>
        <a:ln xmlns:a="http://schemas.openxmlformats.org/drawingml/2006/main" w="9525">
          <a:noFill/>
          <a:miter lim="800000"/>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panose="020F0502020204030204"/>
            </a:defRPr>
          </a:lvl1pPr>
          <a:lvl2pPr marL="457200" indent="0">
            <a:defRPr sz="1100">
              <a:latin typeface="Calibri" panose="020F0502020204030204"/>
            </a:defRPr>
          </a:lvl2pPr>
          <a:lvl3pPr marL="914400" indent="0">
            <a:defRPr sz="1100">
              <a:latin typeface="Calibri" panose="020F0502020204030204"/>
            </a:defRPr>
          </a:lvl3pPr>
          <a:lvl4pPr marL="1371600" indent="0">
            <a:defRPr sz="1100">
              <a:latin typeface="Calibri" panose="020F0502020204030204"/>
            </a:defRPr>
          </a:lvl4pPr>
          <a:lvl5pPr marL="1828800" indent="0">
            <a:defRPr sz="1100">
              <a:latin typeface="Calibri" panose="020F0502020204030204"/>
            </a:defRPr>
          </a:lvl5pPr>
          <a:lvl6pPr marL="2286000" indent="0">
            <a:defRPr sz="1100">
              <a:latin typeface="Calibri" panose="020F0502020204030204"/>
            </a:defRPr>
          </a:lvl6pPr>
          <a:lvl7pPr marL="2743200" indent="0">
            <a:defRPr sz="1100">
              <a:latin typeface="Calibri" panose="020F0502020204030204"/>
            </a:defRPr>
          </a:lvl7pPr>
          <a:lvl8pPr marL="3200400" indent="0">
            <a:defRPr sz="1100">
              <a:latin typeface="Calibri" panose="020F0502020204030204"/>
            </a:defRPr>
          </a:lvl8pPr>
          <a:lvl9pPr marL="3657600" indent="0">
            <a:defRPr sz="1100">
              <a:latin typeface="Calibri" panose="020F0502020204030204"/>
            </a:defRPr>
          </a:lvl9pPr>
        </a:lstStyle>
        <a:p xmlns:a="http://schemas.openxmlformats.org/drawingml/2006/main">
          <a:pPr algn="ctr">
            <a:lnSpc>
              <a:spcPct val="115000"/>
            </a:lnSpc>
            <a:spcAft>
              <a:spcPts val="1000"/>
            </a:spcAft>
          </a:pPr>
          <a:r>
            <a:rPr lang="en-GB" sz="1000" b="1">
              <a:effectLst/>
              <a:latin typeface="Arial" panose="020B0604020202020204" pitchFamily="2" charset="0"/>
              <a:ea typeface="Times New Roman" panose="02020603050405020304" charset="0"/>
              <a:cs typeface="Arial" panose="020B0604020202020204" pitchFamily="2" charset="0"/>
            </a:rPr>
            <a:t>40,63</a:t>
          </a:r>
          <a:endParaRPr lang="en-US" sz="1100" b="1">
            <a:effectLst/>
            <a:latin typeface="Arial" panose="020B0604020202020204" pitchFamily="2" charset="0"/>
            <a:ea typeface="Times New Roman" panose="02020603050405020304" charset="0"/>
            <a:cs typeface="Arial" panose="020B0604020202020204" pitchFamily="2" charset="0"/>
          </a:endParaRPr>
        </a:p>
      </cdr:txBody>
    </cdr:sp>
  </cdr:relSizeAnchor>
  <cdr:relSizeAnchor xmlns:cdr="http://schemas.openxmlformats.org/drawingml/2006/chartDrawing">
    <cdr:from>
      <cdr:x>0.85788</cdr:x>
      <cdr:y>0.18824</cdr:y>
    </cdr:from>
    <cdr:to>
      <cdr:x>0.9967</cdr:x>
      <cdr:y>0.26922</cdr:y>
    </cdr:to>
    <cdr:sp macro="" textlink="">
      <cdr:nvSpPr>
        <cdr:cNvPr id="3" name="Rectangle 2"/>
        <cdr:cNvSpPr/>
      </cdr:nvSpPr>
      <cdr:spPr>
        <a:xfrm xmlns:a="http://schemas.openxmlformats.org/drawingml/2006/main" flipH="1">
          <a:off x="4952365" y="609600"/>
          <a:ext cx="801370" cy="262255"/>
        </a:xfrm>
        <a:prstGeom xmlns:a="http://schemas.openxmlformats.org/drawingml/2006/main" prst="rect">
          <a:avLst/>
        </a:prstGeom>
        <a:noFill xmlns:a="http://schemas.openxmlformats.org/drawingml/2006/main"/>
        <a:ln xmlns:a="http://schemas.openxmlformats.org/drawingml/2006/main" w="9525">
          <a:noFill/>
          <a:miter lim="800000"/>
        </a:ln>
      </cdr:spPr>
      <cdr:txBody>
        <a:bodyPr xmlns:a="http://schemas.openxmlformats.org/drawingml/2006/main" rot="0" vert="horz" wrap="square" lIns="91440" tIns="45720" rIns="91440" bIns="4572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2" charset="0"/>
              <a:ea typeface="Times New Roman" panose="02020603050405020304" charset="0"/>
              <a:cs typeface="Arial" panose="020B0604020202020204" pitchFamily="2" charset="0"/>
            </a:rPr>
            <a:t>26,14</a:t>
          </a:r>
          <a:endParaRPr lang="en-US" sz="1100" b="1">
            <a:effectLst/>
            <a:latin typeface="Arial" panose="020B0604020202020204" pitchFamily="2" charset="0"/>
            <a:ea typeface="Times New Roman" panose="02020603050405020304" charset="0"/>
            <a:cs typeface="Arial" panose="020B0604020202020204" pitchFamily="2" charset="0"/>
          </a:endParaRPr>
        </a:p>
      </cdr:txBody>
    </cdr:sp>
  </cdr:relSizeAnchor>
  <cdr:relSizeAnchor xmlns:cdr="http://schemas.openxmlformats.org/drawingml/2006/chartDrawing">
    <cdr:from>
      <cdr:x>0.86702</cdr:x>
      <cdr:y>0.32591</cdr:y>
    </cdr:from>
    <cdr:to>
      <cdr:x>0.98084</cdr:x>
      <cdr:y>0.40686</cdr:y>
    </cdr:to>
    <cdr:sp macro="" textlink="">
      <cdr:nvSpPr>
        <cdr:cNvPr id="4" name="Rectangle 3"/>
        <cdr:cNvSpPr/>
      </cdr:nvSpPr>
      <cdr:spPr>
        <a:xfrm xmlns:a="http://schemas.openxmlformats.org/drawingml/2006/main" flipH="1">
          <a:off x="5005099" y="1055473"/>
          <a:ext cx="657058" cy="262157"/>
        </a:xfrm>
        <a:prstGeom xmlns:a="http://schemas.openxmlformats.org/drawingml/2006/main" prst="rect">
          <a:avLst/>
        </a:prstGeom>
        <a:noFill xmlns:a="http://schemas.openxmlformats.org/drawingml/2006/main"/>
        <a:ln xmlns:a="http://schemas.openxmlformats.org/drawingml/2006/main" w="9525">
          <a:noFill/>
          <a:miter lim="800000"/>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2" charset="0"/>
              <a:ea typeface="Times New Roman" panose="02020603050405020304" charset="0"/>
              <a:cs typeface="Arial" panose="020B0604020202020204" pitchFamily="2" charset="0"/>
            </a:rPr>
            <a:t>20,54</a:t>
          </a:r>
        </a:p>
      </cdr:txBody>
    </cdr:sp>
  </cdr:relSizeAnchor>
  <cdr:relSizeAnchor xmlns:cdr="http://schemas.openxmlformats.org/drawingml/2006/chartDrawing">
    <cdr:from>
      <cdr:x>0.88247</cdr:x>
      <cdr:y>0.47206</cdr:y>
    </cdr:from>
    <cdr:to>
      <cdr:x>0.97027</cdr:x>
      <cdr:y>0.55301</cdr:y>
    </cdr:to>
    <cdr:sp macro="" textlink="">
      <cdr:nvSpPr>
        <cdr:cNvPr id="5" name="Rectangle 4"/>
        <cdr:cNvSpPr/>
      </cdr:nvSpPr>
      <cdr:spPr>
        <a:xfrm xmlns:a="http://schemas.openxmlformats.org/drawingml/2006/main" flipH="1">
          <a:off x="5094286" y="1528763"/>
          <a:ext cx="506851" cy="262157"/>
        </a:xfrm>
        <a:prstGeom xmlns:a="http://schemas.openxmlformats.org/drawingml/2006/main" prst="rect">
          <a:avLst/>
        </a:prstGeom>
        <a:noFill xmlns:a="http://schemas.openxmlformats.org/drawingml/2006/main"/>
        <a:ln xmlns:a="http://schemas.openxmlformats.org/drawingml/2006/main" w="9525">
          <a:noFill/>
          <a:miter lim="800000"/>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2" charset="0"/>
              <a:ea typeface="Times New Roman" panose="02020603050405020304" charset="0"/>
              <a:cs typeface="Arial" panose="020B0604020202020204" pitchFamily="2" charset="0"/>
            </a:rPr>
            <a:t>19,19</a:t>
          </a:r>
          <a:endParaRPr lang="en-US" sz="1100" b="1">
            <a:effectLst/>
            <a:latin typeface="Arial" panose="020B0604020202020204" pitchFamily="2" charset="0"/>
            <a:ea typeface="Times New Roman" panose="02020603050405020304" charset="0"/>
            <a:cs typeface="Arial" panose="020B0604020202020204" pitchFamily="2" charset="0"/>
          </a:endParaRPr>
        </a:p>
      </cdr:txBody>
    </cdr:sp>
  </cdr:relSizeAnchor>
  <cdr:relSizeAnchor xmlns:cdr="http://schemas.openxmlformats.org/drawingml/2006/chartDrawing">
    <cdr:from>
      <cdr:x>0.88043</cdr:x>
      <cdr:y>0.60037</cdr:y>
    </cdr:from>
    <cdr:to>
      <cdr:x>0.97312</cdr:x>
      <cdr:y>0.68132</cdr:y>
    </cdr:to>
    <cdr:sp macro="" textlink="">
      <cdr:nvSpPr>
        <cdr:cNvPr id="6" name="Rectangle 5"/>
        <cdr:cNvSpPr/>
      </cdr:nvSpPr>
      <cdr:spPr>
        <a:xfrm xmlns:a="http://schemas.openxmlformats.org/drawingml/2006/main" flipH="1">
          <a:off x="5082511" y="1944291"/>
          <a:ext cx="535079" cy="262157"/>
        </a:xfrm>
        <a:prstGeom xmlns:a="http://schemas.openxmlformats.org/drawingml/2006/main" prst="rect">
          <a:avLst/>
        </a:prstGeom>
        <a:noFill xmlns:a="http://schemas.openxmlformats.org/drawingml/2006/main"/>
        <a:ln xmlns:a="http://schemas.openxmlformats.org/drawingml/2006/main" w="9525">
          <a:noFill/>
          <a:miter lim="800000"/>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2" charset="0"/>
              <a:ea typeface="Times New Roman" panose="02020603050405020304" charset="0"/>
              <a:cs typeface="Arial" panose="020B0604020202020204" pitchFamily="2" charset="0"/>
            </a:rPr>
            <a:t>16,78</a:t>
          </a:r>
          <a:endParaRPr lang="en-US" sz="1100" b="1">
            <a:effectLst/>
            <a:latin typeface="Arial" panose="020B0604020202020204" pitchFamily="2" charset="0"/>
            <a:ea typeface="Times New Roman" panose="02020603050405020304" charset="0"/>
            <a:cs typeface="Arial" panose="020B0604020202020204" pitchFamily="2"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F2ED0-C22B-4AFE-BBDE-73F719F52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10017</Words>
  <Characters>57097</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ltanh</dc:creator>
  <cp:keywords/>
  <dc:description/>
  <cp:lastModifiedBy>Author</cp:lastModifiedBy>
  <cp:revision>2</cp:revision>
  <cp:lastPrinted>2026-09-03T00:54:00Z</cp:lastPrinted>
  <dcterms:created xsi:type="dcterms:W3CDTF">2026-09-12T06:28:00Z</dcterms:created>
  <dcterms:modified xsi:type="dcterms:W3CDTF">2026-09-12T06:28:00Z</dcterms:modified>
</cp:coreProperties>
</file>